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670EC5CC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8FF08DB" w14:textId="77777777" w:rsidR="002D5AAC" w:rsidRDefault="002D5AAC" w:rsidP="00B6051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B036BC3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D49E625" w14:textId="67C2D18D" w:rsidR="002D5AAC" w:rsidRDefault="00B60511" w:rsidP="00B60511">
            <w:pPr>
              <w:jc w:val="right"/>
            </w:pPr>
            <w:r w:rsidRPr="00B60511">
              <w:rPr>
                <w:sz w:val="40"/>
              </w:rPr>
              <w:t>E</w:t>
            </w:r>
            <w:r w:rsidRPr="00B60511">
              <w:t>/C.12/PER/CO/5</w:t>
            </w:r>
          </w:p>
        </w:tc>
      </w:tr>
      <w:tr w:rsidR="002D5AAC" w:rsidRPr="00B60511" w14:paraId="5D0C3B7F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CC71154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027AC85" wp14:editId="1D1255F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BF0A4C6" w14:textId="77777777" w:rsidR="002D5AAC" w:rsidRPr="00033EE1" w:rsidRDefault="00640F49" w:rsidP="009F1700">
            <w:pPr>
              <w:spacing w:before="120" w:line="44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652C9F04" w14:textId="77777777" w:rsidR="002D5AAC" w:rsidRDefault="00B60511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E47961D" w14:textId="77777777" w:rsidR="00B60511" w:rsidRDefault="00B60511" w:rsidP="00B6051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27 March 2025</w:t>
            </w:r>
          </w:p>
          <w:p w14:paraId="6ED732B0" w14:textId="77777777" w:rsidR="00B60511" w:rsidRDefault="00B60511" w:rsidP="00B6051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9EE10EE" w14:textId="04F93ED5" w:rsidR="00B60511" w:rsidRPr="00D62A45" w:rsidRDefault="00B60511" w:rsidP="00B6051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Spanish</w:t>
            </w:r>
          </w:p>
        </w:tc>
      </w:tr>
    </w:tbl>
    <w:p w14:paraId="37E13224" w14:textId="479BB55F" w:rsidR="00B60511" w:rsidRPr="00B60511" w:rsidRDefault="00B60511" w:rsidP="00B60511">
      <w:pPr>
        <w:spacing w:before="120"/>
        <w:rPr>
          <w:b/>
          <w:sz w:val="24"/>
          <w:szCs w:val="24"/>
        </w:rPr>
      </w:pPr>
      <w:r w:rsidRPr="00B60511">
        <w:rPr>
          <w:b/>
          <w:bCs/>
          <w:sz w:val="24"/>
          <w:szCs w:val="24"/>
        </w:rPr>
        <w:t xml:space="preserve">Комитет по экономическим, </w:t>
      </w:r>
      <w:r w:rsidRPr="00B60511">
        <w:rPr>
          <w:b/>
          <w:bCs/>
          <w:sz w:val="24"/>
          <w:szCs w:val="24"/>
        </w:rPr>
        <w:br/>
      </w:r>
      <w:r w:rsidRPr="00B60511">
        <w:rPr>
          <w:b/>
          <w:bCs/>
          <w:sz w:val="24"/>
          <w:szCs w:val="24"/>
        </w:rPr>
        <w:t>социальным и культурным правам</w:t>
      </w:r>
    </w:p>
    <w:p w14:paraId="554D55F6" w14:textId="77777777" w:rsidR="00B60511" w:rsidRPr="002C6B56" w:rsidRDefault="00B60511" w:rsidP="00B60511">
      <w:pPr>
        <w:pStyle w:val="HChG"/>
        <w:rPr>
          <w:sz w:val="20"/>
        </w:rPr>
      </w:pPr>
      <w:r>
        <w:tab/>
      </w:r>
      <w:r>
        <w:tab/>
        <w:t>Заключительные замечания по пятому периодическому докладу Перу</w:t>
      </w:r>
      <w:r w:rsidRPr="002C6B56">
        <w:rPr>
          <w:rStyle w:val="a8"/>
          <w:b w:val="0"/>
          <w:bCs/>
          <w:sz w:val="20"/>
          <w:vertAlign w:val="baseline"/>
        </w:rPr>
        <w:footnoteReference w:customMarkFollows="1" w:id="1"/>
        <w:t>*</w:t>
      </w:r>
    </w:p>
    <w:p w14:paraId="12E791C4" w14:textId="2D0AC23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1.</w:t>
      </w:r>
      <w:r>
        <w:tab/>
        <w:t>Комитет рассмотрел пятый периодический доклад Перу</w:t>
      </w:r>
      <w:r w:rsidRPr="00EF093C">
        <w:rPr>
          <w:sz w:val="18"/>
          <w:szCs w:val="18"/>
          <w:vertAlign w:val="superscript"/>
        </w:rPr>
        <w:footnoteReference w:id="2"/>
      </w:r>
      <w:r>
        <w:t xml:space="preserve"> на своих </w:t>
      </w:r>
      <w:r w:rsidR="002C6B56">
        <w:br/>
      </w:r>
      <w:r>
        <w:t>6-м и 8-м заседаниях</w:t>
      </w:r>
      <w:r w:rsidRPr="00EF093C">
        <w:rPr>
          <w:rFonts w:asciiTheme="majorBidi" w:hAnsiTheme="majorBidi" w:cstheme="majorBidi"/>
          <w:sz w:val="18"/>
          <w:szCs w:val="18"/>
          <w:vertAlign w:val="superscript"/>
        </w:rPr>
        <w:footnoteReference w:id="3"/>
      </w:r>
      <w:r>
        <w:t xml:space="preserve">, состоявшихся 12 и 13 февраля 2025 года, и на своем </w:t>
      </w:r>
      <w:r w:rsidR="002C6B56">
        <w:br/>
      </w:r>
      <w:r>
        <w:t>30-м заседании 28 февраля 2025 года принял настоящие заключительные замечания.</w:t>
      </w:r>
    </w:p>
    <w:p w14:paraId="58CFC60C" w14:textId="77777777" w:rsidR="00B60511" w:rsidRPr="00F803B5" w:rsidRDefault="00B60511" w:rsidP="00B60511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35ED9CE4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2.</w:t>
      </w:r>
      <w:r>
        <w:tab/>
        <w:t>Комитет приветствует представление пятого периодического доклада</w:t>
      </w:r>
      <w:r w:rsidRPr="001C5D11">
        <w:t xml:space="preserve"> </w:t>
      </w:r>
      <w:r>
        <w:t>Перу и дополнительную информацию, содержащуюся в ответах на перечень вопросов</w:t>
      </w:r>
      <w:r w:rsidRPr="00EF093C">
        <w:rPr>
          <w:sz w:val="18"/>
          <w:szCs w:val="18"/>
          <w:vertAlign w:val="superscript"/>
        </w:rPr>
        <w:footnoteReference w:id="4"/>
      </w:r>
      <w:r>
        <w:t>. Комитет</w:t>
      </w:r>
      <w:r w:rsidRPr="00DC0009">
        <w:t xml:space="preserve"> </w:t>
      </w:r>
      <w:r>
        <w:t>также выражает признательность за диалог, состоявшийся с делегацией государства-участника, и благодарит делегацию за ее устные ответы и представленную дополнительную информацию. Комитет напоминает государству-участнику, что участие в диалоге представителей различных сфер государственного управления дает возможность для плодотворного обмена мнениями между Комитетом и государством-участником по всем аспектам Международного пакта об экономических, социальных и культурных правах и его осуществления. Этот диалог, а также доклад и прочая представленная информация позволяют Комитету провести как можно более полную оценку.</w:t>
      </w:r>
    </w:p>
    <w:p w14:paraId="77A8AB32" w14:textId="77777777" w:rsidR="00B60511" w:rsidRPr="00F803B5" w:rsidRDefault="00B60511" w:rsidP="00B60511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1CBC8B3C" w14:textId="2AFD371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3.</w:t>
      </w:r>
      <w:r>
        <w:tab/>
        <w:t>Комитет с удовлетворением отмечает присоединение государства к Международной конвенции для защиты всех лиц от насильственных исчезновений, Факультативному протоколу к Конвенции о правах ребенка, касающемуся процедуры сообщений, и Конвенции 2019 года о насилии и домогательствах (№</w:t>
      </w:r>
      <w:r w:rsidR="009E242D">
        <w:rPr>
          <w:lang w:val="en-US"/>
        </w:rPr>
        <w:t> </w:t>
      </w:r>
      <w:r>
        <w:t xml:space="preserve">190) Международной организации труда (МОТ). Комитет приветствует также принятие Закона № 31047, который повышает минимальный возраст для работы в качестве домашней прислуги до 18 лет, и принимает к сведению многочисленные политические меры, принятые государством-участников, включая Стратегический план национального развития на период до 2050 года, Национальную политику в области развития и социальной интеграции на период до 2030 года, Национальную политику по обеспечению достойного трудоустройства, Национальную многосекторальную политику в области инвалидности в целях развития на период до 2030 года, Национальную многосекторальную политику в отношении пожилых людей на период до 2030 года, Национальную многосекторальную политику в области здравоохранения </w:t>
      </w:r>
      <w:r>
        <w:lastRenderedPageBreak/>
        <w:t>на период до 2030 года и Национальную многосекторальную политику в области прав человека на период до 2040 года</w:t>
      </w:r>
      <w:r w:rsidR="009D467A">
        <w:t>,</w:t>
      </w:r>
      <w:r>
        <w:t xml:space="preserve"> а также перечисленные ниже вопросы.</w:t>
      </w:r>
    </w:p>
    <w:p w14:paraId="08365032" w14:textId="2A776597" w:rsidR="00B60511" w:rsidRPr="00F803B5" w:rsidRDefault="00B60511" w:rsidP="00B60511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26AF4803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Чрезвычайное положение</w:t>
      </w:r>
    </w:p>
    <w:p w14:paraId="2D6A5742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4.</w:t>
      </w:r>
      <w:r>
        <w:tab/>
        <w:t>Комитет обеспокоен частым объявлением чрезвычайного положения государством-участником. Он также обеспокоен частым привлечением военных в период чрезвычайного положения, особенно во время протестов защитников экономических, социальных и культурных прав, что повышает риск нарушения прав человека, закрепленных в Пакте.</w:t>
      </w:r>
    </w:p>
    <w:p w14:paraId="63A25358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5.</w:t>
      </w:r>
      <w:r>
        <w:tab/>
      </w:r>
      <w:r>
        <w:rPr>
          <w:b/>
          <w:bCs/>
        </w:rPr>
        <w:t>Комитет присоединяется к рекомендациям Комитета по правам человека</w:t>
      </w:r>
      <w:r w:rsidRPr="00EF093C">
        <w:rPr>
          <w:rFonts w:asciiTheme="majorBidi" w:hAnsiTheme="majorBidi" w:cstheme="majorBidi"/>
          <w:sz w:val="18"/>
          <w:szCs w:val="18"/>
          <w:vertAlign w:val="superscript"/>
        </w:rPr>
        <w:footnoteReference w:id="5"/>
      </w:r>
      <w:r>
        <w:rPr>
          <w:b/>
          <w:bCs/>
        </w:rPr>
        <w:t xml:space="preserve"> и настоятельно призывает государство-участник:</w:t>
      </w:r>
    </w:p>
    <w:p w14:paraId="65644509" w14:textId="440F19B3" w:rsidR="00B60511" w:rsidRPr="00F803B5" w:rsidRDefault="00B60511" w:rsidP="00B60511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обеспечить, чтобы чрезвычайное положение объявлялось только в исключительных обстоятельствах, в соответствии со статьей 4 Международного пакта о гражданских и политических правах и рекомендациями Комитета по правам человека;</w:t>
      </w:r>
    </w:p>
    <w:p w14:paraId="52B963F4" w14:textId="1259C1F2" w:rsidR="00B60511" w:rsidRPr="00F803B5" w:rsidRDefault="00B60511" w:rsidP="00B60511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обеспечить, чтобы любые меры, принимаемые в контексте чрезвычайного положения, были строго необходимыми, соразмерными, носили временный характер и подлежали судебному пересмотру, и чтобы все меры, в частности те, которые ограничивают права защитников экономических, социальных и культурных прав на проведение демонстраций, соответствовали обязательствам государства-участника по Пакту;</w:t>
      </w:r>
    </w:p>
    <w:p w14:paraId="2D3C60E2" w14:textId="17066496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>ограничить применение чрезвычайного положения и обеспечить строгое соблюдение прав человека;</w:t>
      </w:r>
    </w:p>
    <w:p w14:paraId="005D7E65" w14:textId="6B4D9A8B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d)</w:t>
      </w:r>
      <w:r w:rsidR="00B60511">
        <w:tab/>
      </w:r>
      <w:r w:rsidR="00B60511">
        <w:rPr>
          <w:b/>
          <w:bCs/>
        </w:rPr>
        <w:t>активизировать свои усилия, в частности на основе подготовки и контроля, по предотвращению нарушений прав человека в рамках военных и полицейских операций;</w:t>
      </w:r>
    </w:p>
    <w:p w14:paraId="1DC69653" w14:textId="1B2EAE59" w:rsidR="00B60511" w:rsidRPr="00F803B5" w:rsidRDefault="009E242D" w:rsidP="00B60511">
      <w:pPr>
        <w:pStyle w:val="SingleTxtG"/>
      </w:pPr>
      <w:r>
        <w:rPr>
          <w:b/>
          <w:bCs/>
          <w:lang w:val="en-US"/>
        </w:rPr>
        <w:tab/>
      </w:r>
      <w:r w:rsidR="00B60511">
        <w:rPr>
          <w:b/>
          <w:bCs/>
        </w:rPr>
        <w:t>e)</w:t>
      </w:r>
      <w:r w:rsidR="00B60511">
        <w:tab/>
      </w:r>
      <w:r w:rsidR="00B60511">
        <w:rPr>
          <w:b/>
          <w:bCs/>
        </w:rPr>
        <w:t>обеспечивать оперативное и эффективное расследование всех заявлений о нарушениях закрепленных в Пакте прав человека, совершаемых во время чрезвычайного положения, а также привлечение виновных к ответственности и предоставление жертвам полного возмещения ущерба.</w:t>
      </w:r>
    </w:p>
    <w:p w14:paraId="6681B961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Применение Пакта на национальном уровне</w:t>
      </w:r>
    </w:p>
    <w:p w14:paraId="19B1B48D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6.</w:t>
      </w:r>
      <w:r>
        <w:tab/>
        <w:t>Комитет отмечает наличие в государстве-участнике как централизованного, так и децентрализованного контроля за соблюдением соответствующих норм, что позволяет рассматривать их конституционность и совместимость с международными положениями о правах человека, которые государство-участник обязалось соблюдать. Вместе с тем Комитет сожалеет об ограниченности информации о судебных решениях, в которых содержатся ссылки на Пакт, и об исполнении таких решений в соответствии с Пактом. Комитет обеспокоен также полученными сообщениями о готовящихся законодательных инициативах, которые идут вразрез с Пактом.</w:t>
      </w:r>
    </w:p>
    <w:p w14:paraId="516857CB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AFCE708" w14:textId="68E35CE1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a)</w:t>
      </w:r>
      <w:r w:rsidR="00B60511">
        <w:tab/>
      </w:r>
      <w:r w:rsidR="00B60511">
        <w:rPr>
          <w:b/>
          <w:bCs/>
        </w:rPr>
        <w:t>активизировать усилия по распространению информации и повышению осведомленности о Пакте среди судей, магистратов, адвокатов, парламентариев и гражданского общества, в том числе при помощи целевых программ подготовки;</w:t>
      </w:r>
    </w:p>
    <w:p w14:paraId="4337E10B" w14:textId="756F07B1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lastRenderedPageBreak/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>принимать необходимые меры для обеспечения своевременного исполнения всех судебных решений, касающихся экономических, социальных и культурных прав;</w:t>
      </w:r>
    </w:p>
    <w:p w14:paraId="51C1333E" w14:textId="3F86F6FB" w:rsidR="00B60511" w:rsidRPr="00F803B5" w:rsidRDefault="009E242D" w:rsidP="00B60511">
      <w:pPr>
        <w:pStyle w:val="SingleTxtG"/>
      </w:pPr>
      <w:r>
        <w:rPr>
          <w:b/>
          <w:bCs/>
          <w:lang w:val="en-US"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>обеспечивать соответствие Пакту любых норм, устанавливаемых в рамках существующих механизмов контроля, в частности, путем гарантирования надлежащего функционирования систем централизованного и децентрализованного контроля конституционности и совместимости национальных норм с международными положениями;</w:t>
      </w:r>
    </w:p>
    <w:p w14:paraId="7BD7BFF7" w14:textId="37BDC164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d)</w:t>
      </w:r>
      <w:r w:rsidR="00B60511">
        <w:tab/>
      </w:r>
      <w:r w:rsidR="00B60511">
        <w:rPr>
          <w:b/>
          <w:bCs/>
        </w:rPr>
        <w:t>укреплять сотрудничество с международными органами и экспертами по правам человека для более эффективного осуществления Пакта и контроля за его осуществлением на национальном уровне;</w:t>
      </w:r>
    </w:p>
    <w:p w14:paraId="1EEC5CE5" w14:textId="05B0FABD" w:rsidR="00B60511" w:rsidRPr="00F803B5" w:rsidRDefault="009E242D" w:rsidP="00B60511">
      <w:pPr>
        <w:pStyle w:val="SingleTxtG"/>
      </w:pPr>
      <w:r>
        <w:rPr>
          <w:b/>
          <w:bCs/>
          <w:lang w:val="en-US"/>
        </w:rPr>
        <w:tab/>
      </w:r>
      <w:r w:rsidR="00B60511">
        <w:rPr>
          <w:b/>
          <w:bCs/>
        </w:rPr>
        <w:t>e)</w:t>
      </w:r>
      <w:r w:rsidR="00B60511">
        <w:tab/>
      </w:r>
      <w:r w:rsidR="00B60511">
        <w:rPr>
          <w:b/>
          <w:bCs/>
        </w:rPr>
        <w:t>руководствоваться замечанием общего порядка № 9 (1998) Комитета о применении Пакта во внутреннем праве.</w:t>
      </w:r>
    </w:p>
    <w:p w14:paraId="6CB481E6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Правозащитники</w:t>
      </w:r>
    </w:p>
    <w:p w14:paraId="63E8440C" w14:textId="1E200BA8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8.</w:t>
      </w:r>
      <w:r>
        <w:tab/>
        <w:t xml:space="preserve">Комитет выражает обеспокоенность в связи с многочисленными сообщениями о нападениях, запугивании, насилии, </w:t>
      </w:r>
      <w:r w:rsidRPr="00C04229">
        <w:t>делегитимизации</w:t>
      </w:r>
      <w:r>
        <w:t xml:space="preserve"> и убийствах защитников экономических, социальных и культурных, экологических и земельных прав. Он</w:t>
      </w:r>
      <w:r w:rsidR="002C6B56">
        <w:t> </w:t>
      </w:r>
      <w:r>
        <w:t>выражает также обеспокоенность по поводу отсутствия надлежащих мер по их защите и сохраняющейся безнаказанности в этих случаях.</w:t>
      </w:r>
    </w:p>
    <w:p w14:paraId="608764FD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53A1594" w14:textId="718FDD3A" w:rsidR="00B60511" w:rsidRPr="00F803B5" w:rsidRDefault="009E242D" w:rsidP="00B60511">
      <w:pPr>
        <w:pStyle w:val="SingleTxtG"/>
        <w:rPr>
          <w:b/>
          <w:bCs/>
        </w:rPr>
      </w:pPr>
      <w:r>
        <w:rPr>
          <w:lang w:val="en-US"/>
        </w:rPr>
        <w:tab/>
      </w:r>
      <w:r w:rsidR="00B60511" w:rsidRPr="009E242D">
        <w:rPr>
          <w:b/>
          <w:bCs/>
        </w:rPr>
        <w:t>a)</w:t>
      </w:r>
      <w:r w:rsidR="00B60511">
        <w:tab/>
      </w:r>
      <w:r w:rsidR="00B60511">
        <w:rPr>
          <w:b/>
          <w:bCs/>
        </w:rPr>
        <w:t>продолжать укреплять Межведомственный механизм по обеспечению безопасности правозащитников, в том числе посредством проведения его региональных круглых столов и ведения Реестра ситуаций риска для правозащитников;</w:t>
      </w:r>
    </w:p>
    <w:p w14:paraId="605A962C" w14:textId="3726FF98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>выделять необходимые финансовые, технические и людские ресурсы, в частности, для осуществления мер защиты, предоставляемых в рамках Межведомственного механизма по обеспечению безопасности правозащитников через соответствующие структуры, такие как Национальная полиция Перу;</w:t>
      </w:r>
    </w:p>
    <w:p w14:paraId="0E3FF3CC" w14:textId="6E283811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>оперативно, беспристрастно и тщательно расследовать случаи нападений на правозащитников, обеспечивая выявление виновных, их судебное преследование и назначение им наказаний, соразмерных тяжести совершенных ими преступлений, с целью искоренения безнаказанности;</w:t>
      </w:r>
    </w:p>
    <w:p w14:paraId="46789C78" w14:textId="17FBD9D1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d)</w:t>
      </w:r>
      <w:r w:rsidR="00B60511">
        <w:tab/>
      </w:r>
      <w:r w:rsidR="00B60511">
        <w:rPr>
          <w:b/>
          <w:bCs/>
        </w:rPr>
        <w:t>принимать все необходимые правовые и административные меры для обеспечения того, чтобы все люди, включая носителей языков коренных народов, пользовались правом на мирные демонстрации в защиту экономических, социальных и культурных прав и чтобы в случае злоупотреблений со стороны властей они имели доступ к государственным системам обеспечения правосудия, возмещения ущерба и привлечения к ответственности;</w:t>
      </w:r>
    </w:p>
    <w:p w14:paraId="1C178CC0" w14:textId="33DFE14C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e)</w:t>
      </w:r>
      <w:r w:rsidR="00B60511">
        <w:tab/>
      </w:r>
      <w:r w:rsidR="00B60511">
        <w:rPr>
          <w:b/>
          <w:bCs/>
        </w:rPr>
        <w:t>принять четкую и конкретную нормативно-правовую базу для обеспечения безопасности правозащитников в соответствии с международными стандартами, обеспечив участие гражданского общества и самих правозащитников в ее разработке и применении на практике;</w:t>
      </w:r>
    </w:p>
    <w:p w14:paraId="4E7F5D78" w14:textId="2ED2E731" w:rsidR="00B60511" w:rsidRPr="00F803B5" w:rsidRDefault="009E242D" w:rsidP="00B60511">
      <w:pPr>
        <w:pStyle w:val="SingleTxtG"/>
      </w:pPr>
      <w:r>
        <w:rPr>
          <w:b/>
          <w:bCs/>
          <w:lang w:val="en-US"/>
        </w:rPr>
        <w:tab/>
      </w:r>
      <w:r w:rsidR="00B60511">
        <w:rPr>
          <w:b/>
          <w:bCs/>
        </w:rPr>
        <w:t>f)</w:t>
      </w:r>
      <w:r w:rsidR="00B60511">
        <w:tab/>
      </w:r>
      <w:r w:rsidR="00B60511">
        <w:rPr>
          <w:b/>
          <w:bCs/>
        </w:rPr>
        <w:t>принимать во внимание заявление Комитета о правозащитниках и экономических, социальных и культурных правах</w:t>
      </w:r>
      <w:r w:rsidR="00B60511" w:rsidRPr="00EF093C">
        <w:rPr>
          <w:sz w:val="18"/>
          <w:szCs w:val="18"/>
          <w:vertAlign w:val="superscript"/>
        </w:rPr>
        <w:footnoteReference w:id="6"/>
      </w:r>
      <w:r w:rsidR="00B60511">
        <w:rPr>
          <w:b/>
          <w:bCs/>
        </w:rPr>
        <w:t>, а также рекомендации Комитета по правам человека в отношении правозащитников</w:t>
      </w:r>
      <w:r w:rsidR="00B60511" w:rsidRPr="00EF093C">
        <w:rPr>
          <w:sz w:val="18"/>
          <w:szCs w:val="18"/>
          <w:vertAlign w:val="superscript"/>
        </w:rPr>
        <w:footnoteReference w:id="7"/>
      </w:r>
      <w:r w:rsidR="00B60511">
        <w:t>.</w:t>
      </w:r>
    </w:p>
    <w:p w14:paraId="07319585" w14:textId="77777777" w:rsidR="00B60511" w:rsidRPr="00F803B5" w:rsidRDefault="00B60511" w:rsidP="00B60511">
      <w:pPr>
        <w:pStyle w:val="H23G"/>
      </w:pPr>
      <w:r>
        <w:lastRenderedPageBreak/>
        <w:tab/>
      </w:r>
      <w:r>
        <w:tab/>
      </w:r>
      <w:r>
        <w:rPr>
          <w:bCs/>
        </w:rPr>
        <w:t>Предпринимательская деятельность и права человека</w:t>
      </w:r>
    </w:p>
    <w:p w14:paraId="1441C964" w14:textId="4E6BE640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10.</w:t>
      </w:r>
      <w:r>
        <w:tab/>
        <w:t xml:space="preserve">Комитет приветствует принятие Национального плана действий в области предпринимательской деятельности и прав человека на 2021–2025 годы. Однако Комитет по-прежнему обеспокоен тем, что Закон № 31973, как представляется, снижает роль Министерства охраны окружающей среды в процессе зонирования лесов, делая возможными изменения в землепользовании и присвоение земель, что негативно сказывается на защите лесных угодий и территорий, которыми традиционно владели или которые занимали или использовали коренные народы. В частности, Комитет обеспокоен продолжающейся утратой лесов в регионе Мадре-де-Дьос, где в период с 2021 по 2024 год было уничтожено более 30 000 гектаров тропических лесов, а также массовым загрязнением рек </w:t>
      </w:r>
      <w:r w:rsidRPr="003402BF">
        <w:t>Амазонск</w:t>
      </w:r>
      <w:r>
        <w:t>ой</w:t>
      </w:r>
      <w:r w:rsidRPr="003402BF">
        <w:t xml:space="preserve"> низменност</w:t>
      </w:r>
      <w:r>
        <w:t>и в результате сброса в них за последние два десятилетия более 3000 тонн ртути. Комитет выражает также свою обеспокоенность в связи с сообщениями о насильственных нападениях на работников официальной горнодобывающей промышленности и их убийстве преступными сообществами, вовлеченными в незаконную добычу полезных ископаемых, а также принятием законодательных реформ, которые могут приводить к безнаказанности в контексте борьбы с коррупцией при эксплуатации природных ресурсов.</w:t>
      </w:r>
    </w:p>
    <w:p w14:paraId="3AD7AC0A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EEFC3A3" w14:textId="6BFC20AF" w:rsidR="00B60511" w:rsidRPr="00F803B5" w:rsidRDefault="009E242D" w:rsidP="00B60511">
      <w:pPr>
        <w:pStyle w:val="SingleTxtG"/>
        <w:rPr>
          <w:b/>
          <w:bCs/>
        </w:rPr>
      </w:pPr>
      <w:r w:rsidRPr="009E242D">
        <w:rPr>
          <w:b/>
          <w:bCs/>
          <w:lang w:val="en-US"/>
        </w:rPr>
        <w:tab/>
      </w:r>
      <w:r w:rsidR="00B60511" w:rsidRPr="009E242D">
        <w:rPr>
          <w:b/>
          <w:bCs/>
        </w:rPr>
        <w:t>a)</w:t>
      </w:r>
      <w:r w:rsidR="00B60511" w:rsidRPr="009E242D">
        <w:rPr>
          <w:b/>
          <w:bCs/>
        </w:rPr>
        <w:tab/>
      </w:r>
      <w:r w:rsidR="00B60511">
        <w:rPr>
          <w:b/>
          <w:bCs/>
        </w:rPr>
        <w:t>разработать четкую нормативно-правовую базу для предприятий, работающих под его юрисдикцией, с тем чтобы обеспечить проявление ими должной осмотрительности в вопросах прав человека для предотвращения или смягчения неблагоприятного воздействия на экономические, социальные и культурные права, и руководствоваться замечанием общего порядка № 24 (2017) Комитета об обязательствах государств по Международному пакту об экономических, социальных и культурных правах в контексте предпринимательской деятельности;</w:t>
      </w:r>
    </w:p>
    <w:p w14:paraId="4F313368" w14:textId="427ECA44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>пересмотреть и скорректировать нормативно-правовую базу, регулирующую вопросы охраны окружающей среды и порядок лицензирования, с целью обеспечения публичных, независимых и систематических оценок воздействия на окружающую среду и права человека, а также проведения широких консультаций с активным участием затрагиваемых общин;</w:t>
      </w:r>
    </w:p>
    <w:p w14:paraId="2D8E0BE7" w14:textId="152273BD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>внести поправки в закон № 31973, гарантировав участие природоохранных органов в принятии решений об изменении классификации лесных участков, защите лесных территорий и права коренных и исконных народов на участие, а также права на консультации и свободное, предварительное и осознанное согласие;</w:t>
      </w:r>
    </w:p>
    <w:p w14:paraId="3D6B5EB5" w14:textId="65BED5C0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d)</w:t>
      </w:r>
      <w:r w:rsidR="00B60511">
        <w:tab/>
      </w:r>
      <w:r w:rsidR="00B60511">
        <w:rPr>
          <w:b/>
          <w:bCs/>
        </w:rPr>
        <w:t>принять срочные меры по борьбе с незаконной добычей полезных ископаемых и загрязнением окружающей среды путем усиления пограничного контроля, введения эффективных санкций, обеспечения отслеживаемости аффинированного золота и разработки плана по исправлению ситуации в координации с местными общинами, в том числе за счет внедрения механизма отслеживания золота с момента его добычи до момента его продажи, обеспечения того, чтобы золотоперерабатывающие предприятия работали в соответствии со строгими стандартами прозрачности и должной осмотрительности, а также за счет усиления надзора за процессами аффинажа и экспорта золота;</w:t>
      </w:r>
    </w:p>
    <w:p w14:paraId="5B1D0BA9" w14:textId="651B1A83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 w:rsidRPr="00F803B5">
        <w:rPr>
          <w:b/>
          <w:bCs/>
        </w:rPr>
        <w:t>e)</w:t>
      </w:r>
      <w:r w:rsidR="00B60511" w:rsidRPr="00F803B5">
        <w:tab/>
      </w:r>
      <w:r w:rsidR="00B60511" w:rsidRPr="00F803B5">
        <w:rPr>
          <w:b/>
          <w:bCs/>
        </w:rPr>
        <w:t>гарантировать защиту работников официальной горнодобывающей</w:t>
      </w:r>
      <w:r w:rsidR="00B60511">
        <w:rPr>
          <w:b/>
          <w:bCs/>
        </w:rPr>
        <w:t xml:space="preserve"> промышленности и борьбу с безнаказанностью путем обеспечения безопасности труда, проведения эффективных расследований случаев насилия и пересмотра законов №№ 31751, 31990 и 32108 для усиления преследования за экологические и коррупционные преступления;</w:t>
      </w:r>
    </w:p>
    <w:p w14:paraId="04553E4C" w14:textId="5BD505C7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 w:rsidRPr="004C27E4">
        <w:rPr>
          <w:b/>
          <w:bCs/>
        </w:rPr>
        <w:t>f)</w:t>
      </w:r>
      <w:r w:rsidR="00B60511" w:rsidRPr="004C27E4">
        <w:tab/>
      </w:r>
      <w:r w:rsidR="00B60511" w:rsidRPr="004C27E4">
        <w:rPr>
          <w:b/>
          <w:bCs/>
        </w:rPr>
        <w:t>обеспечивать, чтобы все инвестиции, как со стороны международных</w:t>
      </w:r>
      <w:r w:rsidR="00B60511">
        <w:rPr>
          <w:b/>
          <w:bCs/>
        </w:rPr>
        <w:t xml:space="preserve"> финансовых институтов, так и со стороны частных инвесторов, особенно те из них, которые связаны с эксплуатацией природных ресурсов, строго соответствовали обязательствам государства по Пакту;</w:t>
      </w:r>
    </w:p>
    <w:p w14:paraId="55438C4D" w14:textId="164B9C9B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lastRenderedPageBreak/>
        <w:tab/>
      </w:r>
      <w:r w:rsidR="00B60511">
        <w:rPr>
          <w:b/>
          <w:bCs/>
        </w:rPr>
        <w:t>g)</w:t>
      </w:r>
      <w:r w:rsidR="00B60511">
        <w:tab/>
      </w:r>
      <w:r w:rsidR="00B60511">
        <w:rPr>
          <w:b/>
          <w:bCs/>
        </w:rPr>
        <w:t>создать прозрачный и независимый механизм мониторинга и контроля, позволяющий осуществлять постоянный надзор за инвестиционными проектами и предпринимательской деятельностью с целью оценки их соответствия правам, защищаемым Пактом;</w:t>
      </w:r>
    </w:p>
    <w:p w14:paraId="1B6A43A3" w14:textId="6DC39CB4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h)</w:t>
      </w:r>
      <w:r w:rsidR="00B60511">
        <w:tab/>
      </w:r>
      <w:r w:rsidR="00B60511">
        <w:rPr>
          <w:b/>
          <w:bCs/>
        </w:rPr>
        <w:t>Комитет рекомендует государству-участнику укреплять сотрудничество между государственными органами, организациями гражданского общества и местными общинами в борьбе с незаконной добычей полезных ископаемых;</w:t>
      </w:r>
    </w:p>
    <w:p w14:paraId="56B179A3" w14:textId="045FA0A7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i)</w:t>
      </w:r>
      <w:r w:rsidR="00B60511">
        <w:tab/>
      </w:r>
      <w:r w:rsidR="00B60511">
        <w:rPr>
          <w:b/>
          <w:bCs/>
        </w:rPr>
        <w:t xml:space="preserve">Комитет настоятельно призывает государство-участник в полной мере выполнить решение Межамериканского суда по правам человека по делу </w:t>
      </w:r>
      <w:r w:rsidR="00B60511">
        <w:rPr>
          <w:b/>
          <w:bCs/>
          <w:i/>
          <w:iCs/>
        </w:rPr>
        <w:t>Жители Ла-Оройи против Перу</w:t>
      </w:r>
      <w:r w:rsidR="00B60511">
        <w:rPr>
          <w:b/>
          <w:bCs/>
        </w:rPr>
        <w:t>, обеспечив полное возмещение ущерба общинам, пострадавшим от промышленного загрязнения;</w:t>
      </w:r>
    </w:p>
    <w:p w14:paraId="71944F9C" w14:textId="63A2D280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j)</w:t>
      </w:r>
      <w:r w:rsidR="00B60511">
        <w:tab/>
      </w:r>
      <w:r w:rsidR="00B60511">
        <w:rPr>
          <w:b/>
          <w:bCs/>
        </w:rPr>
        <w:t>ратифицировать Региональное соглашение о доступе к информации, участии общественности и правосудии по вопросам окружающей среды в Латинской Америке и Карибском бассейне (Соглашение Эскаcу);</w:t>
      </w:r>
    </w:p>
    <w:p w14:paraId="61BEF501" w14:textId="78725C4D" w:rsidR="00B60511" w:rsidRPr="00F803B5" w:rsidRDefault="009E242D" w:rsidP="00B60511">
      <w:pPr>
        <w:pStyle w:val="SingleTxtG"/>
      </w:pPr>
      <w:r>
        <w:rPr>
          <w:b/>
          <w:bCs/>
          <w:lang w:val="en-US"/>
        </w:rPr>
        <w:tab/>
      </w:r>
      <w:r w:rsidR="00B60511">
        <w:rPr>
          <w:b/>
          <w:bCs/>
        </w:rPr>
        <w:t>k)</w:t>
      </w:r>
      <w:r w:rsidR="00B60511">
        <w:tab/>
      </w:r>
      <w:r w:rsidR="00B60511">
        <w:rPr>
          <w:b/>
          <w:bCs/>
        </w:rPr>
        <w:t>учитывать тот факт, что экономическое развитие не может происходить в ущерб правам человека и окружающей среде и что государство должно обеспечивать эффективное регулирование предпринимательской деятельности в соответствии со своими международными обязательствами.</w:t>
      </w:r>
    </w:p>
    <w:p w14:paraId="75C9FF67" w14:textId="77777777" w:rsidR="00B60511" w:rsidRPr="00F803B5" w:rsidRDefault="00B60511" w:rsidP="00B60511">
      <w:pPr>
        <w:pStyle w:val="H23G"/>
      </w:pPr>
      <w:r>
        <w:tab/>
      </w:r>
      <w:r>
        <w:tab/>
        <w:t>С</w:t>
      </w:r>
      <w:r w:rsidRPr="009B2E06">
        <w:rPr>
          <w:bCs/>
        </w:rPr>
        <w:t>мягчени</w:t>
      </w:r>
      <w:r>
        <w:rPr>
          <w:bCs/>
        </w:rPr>
        <w:t>е</w:t>
      </w:r>
      <w:r w:rsidRPr="009B2E06">
        <w:rPr>
          <w:bCs/>
        </w:rPr>
        <w:t xml:space="preserve"> последствий изменения</w:t>
      </w:r>
      <w:r>
        <w:rPr>
          <w:bCs/>
        </w:rPr>
        <w:t xml:space="preserve"> климата</w:t>
      </w:r>
    </w:p>
    <w:p w14:paraId="6157FCAA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12.</w:t>
      </w:r>
      <w:r>
        <w:tab/>
        <w:t>Комитет приветствует разработку Национальной стратегии по борьбе с изменением климата на период до 2050 года. Однако он обеспокоен большим количеством выданных лицензий на добычу углеводородов, что может затруднить достижение целей, поставленных государством-участником.</w:t>
      </w:r>
    </w:p>
    <w:p w14:paraId="0784F57B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2CA1C7E" w14:textId="564BF413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a)</w:t>
      </w:r>
      <w:r w:rsidR="00B60511">
        <w:tab/>
      </w:r>
      <w:r w:rsidR="00B60511">
        <w:rPr>
          <w:b/>
          <w:bCs/>
        </w:rPr>
        <w:t>осуществлять Национальную стратегию по борьбе с изменением климата на период до 2050 года, принимая все необходимые меры для реализации своего определяемого на национальном уровне вклада в рамках Парижского соглашения в таких секторах, как энергетика, транспорт, землепользование, изменение зонирования земель и лесное хозяйство, а также учитывая заявление Комитета об изменении климата и Пакт</w:t>
      </w:r>
      <w:r w:rsidR="00B60511" w:rsidRPr="00EF093C">
        <w:rPr>
          <w:rStyle w:val="a8"/>
          <w:rFonts w:cstheme="majorBidi"/>
          <w:szCs w:val="18"/>
        </w:rPr>
        <w:footnoteReference w:id="8"/>
      </w:r>
      <w:r w:rsidR="00B60511">
        <w:rPr>
          <w:b/>
          <w:bCs/>
        </w:rPr>
        <w:t>;</w:t>
      </w:r>
    </w:p>
    <w:p w14:paraId="6EB3D913" w14:textId="3ADF71B7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>обеспечивать, чтобы выдача новых лицензий на добычу углеводородов не влияла на эти цели;</w:t>
      </w:r>
    </w:p>
    <w:p w14:paraId="049B9CCD" w14:textId="291A5A24" w:rsidR="00B60511" w:rsidRPr="00F803B5" w:rsidRDefault="009E242D" w:rsidP="00B60511">
      <w:pPr>
        <w:pStyle w:val="SingleTxtG"/>
      </w:pPr>
      <w:r>
        <w:rPr>
          <w:b/>
          <w:bCs/>
          <w:lang w:val="en-US"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>обеспечивать, чтобы негативные последствия обезлесения не перевешивали преимуществ от принятия мер по предотвращению изменения климата.</w:t>
      </w:r>
    </w:p>
    <w:p w14:paraId="60DB115A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Права коренных народов</w:t>
      </w:r>
    </w:p>
    <w:p w14:paraId="4F35A254" w14:textId="3D3B2056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14.</w:t>
      </w:r>
      <w:r>
        <w:tab/>
        <w:t>Комитет принимает к сведению применение Закона о праве коренных и исконных народов на предварительные консультации № 29785 и приветствует признание целесообразности средства правовой защиты в виде процедуры ампаро в этом отношении в соответствии с решением Конституционного суда № 310/2023 по делу № 03326–2017 от 6 июня 2023 года. Вместе с тем Комитет обеспокоен утверждениями о препятствиях на пути проведения консультаций и получения свободного, предварительного и осознанного согласия, включая попытки неоправданно ускорить процедуру или проведение консультаций в отсутствие представителей общин, которые сообщали о допущенных в процессе нарушениях. В</w:t>
      </w:r>
      <w:r w:rsidR="009E242D">
        <w:rPr>
          <w:lang w:val="en-US"/>
        </w:rPr>
        <w:t> </w:t>
      </w:r>
      <w:r>
        <w:t xml:space="preserve">частности, Комитет обеспокоен тем, что консультации проводятся после выдачи концессий и, таким образом, компании получают доступ на территории коренных народов до начала процесса консультаций и могут оказывать давление на затрагиваемые народы. Кроме того, он обеспокоен непредоставлением достаточной </w:t>
      </w:r>
      <w:r>
        <w:lastRenderedPageBreak/>
        <w:t>информации о последствиях осуществления предлагаемых проектов (пункт</w:t>
      </w:r>
      <w:r w:rsidR="00B94E4B">
        <w:t> </w:t>
      </w:r>
      <w:r>
        <w:t>2 статьи</w:t>
      </w:r>
      <w:r w:rsidR="009E242D">
        <w:rPr>
          <w:lang w:val="en-US"/>
        </w:rPr>
        <w:t> </w:t>
      </w:r>
      <w:r>
        <w:t>1).</w:t>
      </w:r>
    </w:p>
    <w:p w14:paraId="57A15B4A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15.</w:t>
      </w:r>
      <w:r>
        <w:tab/>
      </w:r>
      <w:r>
        <w:rPr>
          <w:b/>
          <w:bCs/>
        </w:rPr>
        <w:t>Комитет присоединяется к рекомендациям Комитета по правам человека</w:t>
      </w:r>
      <w:r w:rsidRPr="00EF093C">
        <w:rPr>
          <w:sz w:val="18"/>
          <w:szCs w:val="18"/>
          <w:vertAlign w:val="superscript"/>
        </w:rPr>
        <w:footnoteReference w:id="9"/>
      </w:r>
      <w:r>
        <w:rPr>
          <w:b/>
          <w:bCs/>
        </w:rPr>
        <w:t xml:space="preserve"> и настоятельно призывает государство-участник принимать необходимые меры для обеспечения права на консультации и свободное, предварительное и осознанное согласие.</w:t>
      </w:r>
      <w:r>
        <w:t xml:space="preserve"> </w:t>
      </w:r>
      <w:r>
        <w:rPr>
          <w:b/>
          <w:bCs/>
        </w:rPr>
        <w:t>Комитет рекомендует также государству-участнику:</w:t>
      </w:r>
    </w:p>
    <w:p w14:paraId="6437F980" w14:textId="657F6EA7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a)</w:t>
      </w:r>
      <w:r w:rsidR="00B60511">
        <w:tab/>
      </w:r>
      <w:r w:rsidR="00B60511">
        <w:rPr>
          <w:b/>
          <w:bCs/>
        </w:rPr>
        <w:t>обеспечивать проведение на систематической основе и в условиях транспарентности предварительных консультаций для получения свободного, предварительного и осознанного согласия коренных и исконных народов до выдачи концессий на эксплуатацию природных ресурсов и предпринимательскую деятельность на землях и территориях, которыми эти народы традиционно владели и которые они традиционно занимали или использовали;</w:t>
      </w:r>
    </w:p>
    <w:p w14:paraId="526B989D" w14:textId="64C4E139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>обеспечивать проведение консультаций с коренными и исконными народами, затрагиваемыми проектами по добыче полезных ископаемых и предпринимательской деятельностью, гарантировать предоставление им компенсации за любой ущерб или потери, а также получение ими ощутимых выгод от такой деятельности;</w:t>
      </w:r>
    </w:p>
    <w:p w14:paraId="04CA9535" w14:textId="70012F68" w:rsidR="00B60511" w:rsidRPr="00F803B5" w:rsidRDefault="009E242D" w:rsidP="00B60511">
      <w:pPr>
        <w:pStyle w:val="SingleTxtG"/>
      </w:pPr>
      <w:r>
        <w:rPr>
          <w:b/>
          <w:bCs/>
          <w:lang w:val="en-US"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>гарантировать эффективную защиту заповедников и территорий, на которых проживают коренные народы, находящиеся в изоляции или на стадии первоначального контакта, избегая выдачи концессий на осуществление деятельности на таких территориях, и принимать необходимые меры для предотвращения и смягчения воздействия незаконной деятельности на здоровье населения и окружающую среду.</w:t>
      </w:r>
    </w:p>
    <w:p w14:paraId="6ACAC162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Максимальные пределы имеющихся ресурсов</w:t>
      </w:r>
    </w:p>
    <w:p w14:paraId="7F69B01A" w14:textId="1DBDA356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16.</w:t>
      </w:r>
      <w:r>
        <w:tab/>
        <w:t>Комитет обеспокоен тем, что перераспределительный эффект налоговой системы практически равен нулю и что более половины всех налогов составляют регрессивные налоги, в частности общий налог с продаж, что государство-участник не в полной мере использует потенциал по обеспечению доходов для защиты прав граждан и что налоговые льготы и перераспределение расходов, хотя и приносят наибольшую выгоду 10</w:t>
      </w:r>
      <w:r w:rsidR="00B94E4B">
        <w:t> %</w:t>
      </w:r>
      <w:r>
        <w:t xml:space="preserve"> населения с самым низким уровнем доходов, также приносят некоторую выгоду 10</w:t>
      </w:r>
      <w:r w:rsidR="00B94E4B">
        <w:t> %</w:t>
      </w:r>
      <w:r>
        <w:t xml:space="preserve"> населения с самым высоким уровнем доходов. Комитет выражает также обеспокоенность в связи с полученной информацией о регрессивных мерах в области осуществления прав людей с инвалидностью, поскольку Закон о бюджете государственного сектора на 2025 финансовый год </w:t>
      </w:r>
      <w:r w:rsidR="00B94E4B">
        <w:br/>
      </w:r>
      <w:r>
        <w:t>(Закон № 32185), как представляется, значительно сократит расходы, предусмотренные Законом № 32.139, что приведет к фактическому сокращению расходов региональных органов государственной власти (пункт 1 статьи</w:t>
      </w:r>
      <w:r w:rsidR="009E242D">
        <w:rPr>
          <w:lang w:val="en-US"/>
        </w:rPr>
        <w:t> </w:t>
      </w:r>
      <w:r>
        <w:t>2).</w:t>
      </w:r>
    </w:p>
    <w:p w14:paraId="1495DE0B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4740491" w14:textId="7884919A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a)</w:t>
      </w:r>
      <w:r w:rsidR="00B60511">
        <w:tab/>
      </w:r>
      <w:r w:rsidR="00B60511">
        <w:rPr>
          <w:b/>
          <w:bCs/>
        </w:rPr>
        <w:t>добиваться эффективной мобилизации имеющихся ресурсов путем, в частности, корректировки налоговой системы в сторону прогрессивного налогообложения для обеспечения справедливости и равноправия, расширения налоговой базы, совершенствования системы сбора налогов и получения лицензионных платежей от иностранных инвесторов, имеющих лицензию на эксплуатацию природных ресурсов, включая полезные ископаемые, с целью обеспечения надлежащей основы для реализации прав, содержащихся в Пакте;</w:t>
      </w:r>
    </w:p>
    <w:p w14:paraId="01E00DD7" w14:textId="10D2C5A6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>бороться с уклонением от уплаты налогов и налоговым мошенничеством;</w:t>
      </w:r>
    </w:p>
    <w:p w14:paraId="0B7F9872" w14:textId="00F518CC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 xml:space="preserve">добиваться эффективной мобилизации имеющихся ресурсов путем справедливого перераспределения выгод от экономического роста, обеспечивая, чтобы государственные средства тратились в первую очередь и в приоритетном </w:t>
      </w:r>
      <w:r w:rsidR="00B60511">
        <w:rPr>
          <w:b/>
          <w:bCs/>
        </w:rPr>
        <w:lastRenderedPageBreak/>
        <w:t>порядке на выполнение основных обязательств и на решение наиболее сложных и сопряженных с риском проблем для достижения максимальных результатов, и отказавшись от любых регрессивных мер, противоречащих этому принципу, в соответствии с замечанием общего порядка № 3 (1990) Комитета;</w:t>
      </w:r>
    </w:p>
    <w:p w14:paraId="39080EC1" w14:textId="00D91E88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d)</w:t>
      </w:r>
      <w:r w:rsidR="00B60511">
        <w:tab/>
      </w:r>
      <w:r w:rsidR="00B60511">
        <w:rPr>
          <w:b/>
          <w:bCs/>
        </w:rPr>
        <w:t>произвести при участии социальных субъектов оценку фискальной политики, проанализировав ее распределительное воздействие и налоговое бремя по отношению к находящимся в уязвимом положении слоям и группам населения;</w:t>
      </w:r>
    </w:p>
    <w:p w14:paraId="052ADB92" w14:textId="2474FF3B" w:rsidR="00B60511" w:rsidRPr="00F803B5" w:rsidRDefault="009E242D" w:rsidP="00B60511">
      <w:pPr>
        <w:pStyle w:val="SingleTxtG"/>
      </w:pPr>
      <w:r>
        <w:rPr>
          <w:b/>
          <w:bCs/>
          <w:lang w:val="en-US"/>
        </w:rPr>
        <w:tab/>
      </w:r>
      <w:r w:rsidR="00B60511">
        <w:rPr>
          <w:b/>
          <w:bCs/>
        </w:rPr>
        <w:t>e)</w:t>
      </w:r>
      <w:r w:rsidR="00B60511">
        <w:tab/>
      </w:r>
      <w:r w:rsidR="00B60511">
        <w:rPr>
          <w:b/>
          <w:bCs/>
        </w:rPr>
        <w:t>регулярно увеличивать государственные инвестиции для защиты экономических, социальных и культурных прав людей с инвалидностью в полном соответствии с Законом № 32.139.</w:t>
      </w:r>
    </w:p>
    <w:p w14:paraId="583635F2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Коррупция</w:t>
      </w:r>
    </w:p>
    <w:p w14:paraId="32C070D0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18.</w:t>
      </w:r>
      <w:r>
        <w:tab/>
        <w:t>Комитет принимает к сведению принятые меры, включая создание в административных органах должностей сотрудников по вопросам обеспечения добросовестности и создание Единой цифровой платформы для рассмотрения жалоб граждан. Вместе с тем он обеспокоен высоким уровнем безнаказанности, сохраняющимся в государстве-участнике, и сожалеет, что не получил конкретной информации о результатах расследований и наказании виновных в делах о коррупции, которая оказывает особое влияние на экономические, социальные и культурные права. Комитет обеспокоен также сообщениями о попытках ненадлежащего влияния на органы по борьбе с коррупцией, в том числе на прокуратуру, и сожалеет, что государство-участник не представило в ходе диалога дополнительной информации. Комитет обеспокоен сообщениями о политическом вмешательстве в работу судебной системы и в расследования случаев коррупции в государстве-участнике (пункт 1 статьи 2).</w:t>
      </w:r>
    </w:p>
    <w:p w14:paraId="1BB4A49F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C1C1F0E" w14:textId="37703A46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a)</w:t>
      </w:r>
      <w:r w:rsidR="00B60511">
        <w:tab/>
      </w:r>
      <w:r w:rsidR="00B60511">
        <w:rPr>
          <w:b/>
          <w:bCs/>
        </w:rPr>
        <w:t>устранить коренные причины коррупции и ее влияние на экономические, социальные и культурные права;</w:t>
      </w:r>
    </w:p>
    <w:p w14:paraId="5DE05E3C" w14:textId="6F96F5A4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 xml:space="preserve">обеспечить расследование, судебное преследование и осуждение лиц, виновных в коррупции, как, например, в деле о программе </w:t>
      </w:r>
      <w:r>
        <w:rPr>
          <w:b/>
          <w:bCs/>
        </w:rPr>
        <w:t>«</w:t>
      </w:r>
      <w:r w:rsidR="00B60511">
        <w:rPr>
          <w:b/>
          <w:bCs/>
        </w:rPr>
        <w:t>Кали Варма</w:t>
      </w:r>
      <w:r>
        <w:rPr>
          <w:b/>
          <w:bCs/>
        </w:rPr>
        <w:t>»</w:t>
      </w:r>
      <w:r w:rsidR="00B60511">
        <w:rPr>
          <w:b/>
          <w:bCs/>
        </w:rPr>
        <w:t>;</w:t>
      </w:r>
    </w:p>
    <w:p w14:paraId="038C1145" w14:textId="2AE9418F" w:rsidR="00B60511" w:rsidRPr="00F803B5" w:rsidRDefault="009E242D" w:rsidP="00B60511">
      <w:pPr>
        <w:pStyle w:val="SingleTxtG"/>
      </w:pPr>
      <w:r w:rsidRPr="009E242D">
        <w:rPr>
          <w:b/>
          <w:bCs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>усилить меры по борьбе с коррупцией, в частности</w:t>
      </w:r>
      <w:r w:rsidR="00B94E4B">
        <w:rPr>
          <w:b/>
          <w:bCs/>
        </w:rPr>
        <w:t>,</w:t>
      </w:r>
      <w:r w:rsidR="00B60511">
        <w:rPr>
          <w:b/>
          <w:bCs/>
        </w:rPr>
        <w:t xml:space="preserve"> путем укрепления Национальной политики в области обеспечения честности и неподкупности и борьбы с коррупцией и лежащей в ее основе законодательной базы, а также путем создания международного механизма по борьбе с коррупцией и безнаказанностью;</w:t>
      </w:r>
    </w:p>
    <w:p w14:paraId="2F7F4601" w14:textId="11B0C8C3" w:rsidR="00B60511" w:rsidRPr="00F803B5" w:rsidRDefault="009E242D" w:rsidP="00B60511">
      <w:pPr>
        <w:pStyle w:val="SingleTxtG"/>
        <w:rPr>
          <w:b/>
          <w:bCs/>
        </w:rPr>
      </w:pPr>
      <w:r w:rsidRPr="00B94E4B">
        <w:rPr>
          <w:b/>
          <w:bCs/>
        </w:rPr>
        <w:tab/>
      </w:r>
      <w:r w:rsidR="00B60511">
        <w:rPr>
          <w:b/>
          <w:bCs/>
        </w:rPr>
        <w:t>d)</w:t>
      </w:r>
      <w:r w:rsidR="00B60511">
        <w:tab/>
      </w:r>
      <w:r w:rsidR="00B60511">
        <w:rPr>
          <w:b/>
          <w:bCs/>
        </w:rPr>
        <w:t>наращивать потенциал внутренних и внешних органов по борьбе с коррупцией путем их укрепления и защиты от любого неправомерного вмешательства, выделения надлежащих финансовых, людских и технических ресурсов, защиты судей и прокуроров от любого неправомерного давления и укрепления независимости судебных органов для эффективной борьбы с коррупцией;</w:t>
      </w:r>
    </w:p>
    <w:p w14:paraId="40AD6835" w14:textId="4612A4E0" w:rsidR="00B60511" w:rsidRPr="00F803B5" w:rsidRDefault="009E242D" w:rsidP="00B60511">
      <w:pPr>
        <w:pStyle w:val="SingleTxtG"/>
      </w:pPr>
      <w:r>
        <w:rPr>
          <w:b/>
          <w:bCs/>
          <w:lang w:val="en-US"/>
        </w:rPr>
        <w:tab/>
      </w:r>
      <w:r w:rsidR="00B60511">
        <w:rPr>
          <w:b/>
          <w:bCs/>
        </w:rPr>
        <w:t>e)</w:t>
      </w:r>
      <w:r w:rsidR="00B60511">
        <w:tab/>
      </w:r>
      <w:r w:rsidR="00B60511">
        <w:rPr>
          <w:b/>
          <w:bCs/>
        </w:rPr>
        <w:t>обеспечивать независимость и безопасность должностных лиц, ответственных за внутренние и внешние расследования случаев коррупции, с тем чтобы они могли выполнять свою работу, не опасаясь репрессий, и гарантировать прозрачность при проведении расследований актов коррупции и наказании виновных.</w:t>
      </w:r>
    </w:p>
    <w:p w14:paraId="57839CE8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6F276072" w14:textId="6D0E6751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20.</w:t>
      </w:r>
      <w:r>
        <w:tab/>
        <w:t xml:space="preserve">Комитет принимает к сведению законодательные и программные изменения. Вместе с тем Комитет отмечает, что в государстве-участнике отсутствует всеобъемлющий закон о борьбе с дискриминацией, охватывающий как прямую, так и косвенную и структурную дискриминацию. Кроме того, Комитет отмечает большое число зарегистрированных случаев дискриминации в сфере занятости, жилья </w:t>
      </w:r>
      <w:r>
        <w:lastRenderedPageBreak/>
        <w:t>и</w:t>
      </w:r>
      <w:r w:rsidR="00B94E4B">
        <w:t> </w:t>
      </w:r>
      <w:r>
        <w:t>доступа к образованию и здравоохранению как по признаку сексуальной ориентации или гендерной идентичности, так и в отношении женщин, коренного населения, перуанцев африканского происхождения и людей с инвалидностью. Комитет также обеспокоен низким уровнем соблюдения квот для сотрудников с инвалидностью в крупных компаниях и государственных учреждениях (статья 2).</w:t>
      </w:r>
    </w:p>
    <w:p w14:paraId="54ABF265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21.</w:t>
      </w:r>
      <w:r>
        <w:tab/>
      </w:r>
      <w:r>
        <w:rPr>
          <w:b/>
          <w:bCs/>
        </w:rPr>
        <w:t>Комитет ссылается на свое замечание общего порядка № 20 (2009) о недискриминации при осуществлении экономических, социальных и культурных прав и рекомендует государству-участнику:</w:t>
      </w:r>
    </w:p>
    <w:p w14:paraId="637EE5A1" w14:textId="544BFC84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 w:rsidRPr="009E242D">
        <w:rPr>
          <w:b/>
          <w:bCs/>
        </w:rPr>
        <w:t>a)</w:t>
      </w:r>
      <w:r w:rsidR="00B60511" w:rsidRPr="009E242D">
        <w:rPr>
          <w:b/>
          <w:bCs/>
        </w:rPr>
        <w:tab/>
      </w:r>
      <w:r w:rsidR="00B60511">
        <w:rPr>
          <w:b/>
          <w:bCs/>
        </w:rPr>
        <w:t>принять комплексное антидискриминационное законодательство, обеспечивающее полную и действенную защиту от дискриминации во всех сферах и содержащее исчерпывающий перечень запрещенных оснований для дискриминации, включая расовую принадлежность, цвет кожи, пол, инвалидность, сексуальную ориентацию, гендерную идентичность и любые другие основания, предусмотренные в Пакте;</w:t>
      </w:r>
    </w:p>
    <w:p w14:paraId="163C42A2" w14:textId="02233750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>принять законодательство о гражданско-правовых партнерствах в целях обеспечения того, чтобы однополые пары пользовались теми же правами, что и гетеросексуальные, в том числе родительскими правами, и чтобы их дети получали юридическое признание;</w:t>
      </w:r>
    </w:p>
    <w:p w14:paraId="20D4FEF8" w14:textId="1C0DA5FF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>осуществлять общественно-просветительские программы по вопросам дискриминационных норм и убеждений для средств массовой информации и широкой общественности и, в частности, проводить комплексные информационно-просветительские мероприятия для борьбы со стигматизацией, связанной с сексуальной ориентацией и/или гендерной идентичностью или с дискриминацией в отношении людей с инвалидностью, коренных народов, перуанцев африканского происхождения, мигрантов и беженцев;</w:t>
      </w:r>
    </w:p>
    <w:p w14:paraId="264639D3" w14:textId="52A5E860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d)</w:t>
      </w:r>
      <w:r w:rsidR="00B60511">
        <w:tab/>
      </w:r>
      <w:r w:rsidR="00B60511">
        <w:rPr>
          <w:b/>
          <w:bCs/>
        </w:rPr>
        <w:t>обеспечивать соблюдение квот на трудоустройство людей с инвалидностью и ввести действенные санкции для компаний, не соблюдающих эти квоты;</w:t>
      </w:r>
    </w:p>
    <w:p w14:paraId="6F25234C" w14:textId="41D09952" w:rsidR="00B60511" w:rsidRPr="00F803B5" w:rsidRDefault="009E242D" w:rsidP="00B60511">
      <w:pPr>
        <w:pStyle w:val="SingleTxtG"/>
      </w:pPr>
      <w:r>
        <w:rPr>
          <w:b/>
          <w:bCs/>
          <w:lang w:val="en-US"/>
        </w:rPr>
        <w:tab/>
      </w:r>
      <w:r w:rsidR="00B60511">
        <w:rPr>
          <w:b/>
          <w:bCs/>
        </w:rPr>
        <w:t>e)</w:t>
      </w:r>
      <w:r w:rsidR="00B60511">
        <w:tab/>
      </w:r>
      <w:r w:rsidR="00B60511">
        <w:rPr>
          <w:b/>
          <w:bCs/>
        </w:rPr>
        <w:t>предоставлять мигрантам необходимые документы, чтобы они могли пользоваться своими экономическими, социальными и культурными правами.</w:t>
      </w:r>
    </w:p>
    <w:p w14:paraId="7EC81E08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Равные права мужчин и женщин</w:t>
      </w:r>
    </w:p>
    <w:p w14:paraId="5E3509D2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22.</w:t>
      </w:r>
      <w:r>
        <w:tab/>
        <w:t>Комитет с обеспокоенностью отмечает, что женщины сталкиваются со значительным разрывом в оплате труда, более высокими показателями безработицы и неформальной занятости, а также меньше представлены в государственных директивных органах и на руководящих должностях в частном секторе. Комитет обеспокоен высоким процентом женщин старше 65 лет, которые не получают ни пенсии, ни трудового дохода (статьи 3, 7 и 9).</w:t>
      </w:r>
    </w:p>
    <w:p w14:paraId="33C6B34D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 принимать меры по обеспечению равенства между мужчинами и женщинами на рынке труда, а также при получении доступа к праву на социальное обеспечение, включая доступ к пенсиям.</w:t>
      </w:r>
      <w:r>
        <w:t xml:space="preserve"> </w:t>
      </w:r>
      <w:r>
        <w:rPr>
          <w:b/>
          <w:bCs/>
        </w:rPr>
        <w:t>Комитет рекомендует также уделять особое внимание потребностям женщин в рамках политики, направленной на регулирование неформальной занятости.</w:t>
      </w:r>
    </w:p>
    <w:p w14:paraId="68D96E08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Неформальный сектор</w:t>
      </w:r>
    </w:p>
    <w:p w14:paraId="785F19AC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24.</w:t>
      </w:r>
      <w:r>
        <w:tab/>
        <w:t>Комитет обеспокоен тем, что, несмотря на усилия, предпринимаемые государством-участником, значительная доля трудящихся занята в неформальном секторе, что негативно сказывается, в частности, на женщинах, молодых людях и людях с инвалидностью, которые, как сообщается, не пользуются благами социального обеспечения. Он обеспокоен также недостаточным количеством трудовых инспекций как в неформальном секторе, так и в секторе нелегальной добычи полезных ископаемых (статья 6).</w:t>
      </w:r>
    </w:p>
    <w:p w14:paraId="7368C37B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lastRenderedPageBreak/>
        <w:t>25.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5204A62" w14:textId="7A96AE96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a)</w:t>
      </w:r>
      <w:r w:rsidR="00B60511">
        <w:tab/>
      </w:r>
      <w:r w:rsidR="00B60511">
        <w:rPr>
          <w:b/>
          <w:bCs/>
        </w:rPr>
        <w:t>распространить услуги в области социального обеспечения на работников неформального сектора, обеспечив надлежащий уровень жизни для работников и их семей;</w:t>
      </w:r>
    </w:p>
    <w:p w14:paraId="12D25F75" w14:textId="4A178522" w:rsidR="00B60511" w:rsidRPr="00F803B5" w:rsidRDefault="009E242D" w:rsidP="00B60511">
      <w:pPr>
        <w:pStyle w:val="SingleTxtG"/>
      </w:pPr>
      <w:r>
        <w:rPr>
          <w:b/>
          <w:bCs/>
          <w:lang w:val="en-US"/>
        </w:rPr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>принимать при содействии и технической поддержке МОТ необходимые меры для содействия переходу работников из неформального сектора в формальный с уделением особого внимания женщинам, молодым людям и людям с инвалидностью и с учетом Рекомендации 2015 года о переходе от неформальной к формальной экономике (№ 204) МОТ.</w:t>
      </w:r>
    </w:p>
    <w:p w14:paraId="2BA4B46B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Принудительный труд</w:t>
      </w:r>
    </w:p>
    <w:p w14:paraId="68AA2717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26.</w:t>
      </w:r>
      <w:r>
        <w:tab/>
        <w:t>Комитет отмечает усилия, предпринимаемые для искоренения принудительного труда. Однако Комитет обеспокоен тем, что эти меры могут быть недостаточными в свете высоких показателей принудительного труда, особенно в том, что касается потенциала механизмов проведения инспекций (статьи 6 и 7).</w:t>
      </w:r>
    </w:p>
    <w:p w14:paraId="62AA7C5D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 продолжать и расширять меры по борьбе со всеми формами принудительного труда, в частности в сотрудничестве с МОТ, и обеспечивать надлежащее финансирование всех принимаемых мер в этой области, включая достаточное финансирование механизмов проведения инспекций.</w:t>
      </w:r>
      <w:r>
        <w:t xml:space="preserve"> </w:t>
      </w:r>
      <w:r>
        <w:rPr>
          <w:b/>
          <w:bCs/>
        </w:rPr>
        <w:t>Комитет настоятельно призывает государство-участник обеспечить проведение расследований, судебное преследование и осуждение виновных, а также предоставление помощи жертвам.</w:t>
      </w:r>
    </w:p>
    <w:p w14:paraId="4171E1EA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Краткосрочные контракты</w:t>
      </w:r>
    </w:p>
    <w:p w14:paraId="48F49796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28.</w:t>
      </w:r>
      <w:r>
        <w:tab/>
        <w:t>Признавая необходимость принятия конкретных мер, направленных на повышение гибкости рынков труда, Комитет напоминает, что они не должны негативно влиять на стабильность рабочих мест или снижать уровень защиты трудящихся</w:t>
      </w:r>
      <w:r w:rsidRPr="00EF093C">
        <w:rPr>
          <w:sz w:val="18"/>
          <w:szCs w:val="18"/>
          <w:vertAlign w:val="superscript"/>
        </w:rPr>
        <w:footnoteReference w:id="10"/>
      </w:r>
      <w:r>
        <w:t>. Комитет обеспокоен недостаточным регулированием системы временных контрактов, которые могут последовательно продлеваться несколько раз на срок до пяти лет или даже неограниченное число раз в некоторых нетрадиционных экспортных секторах в соответствии с Законом о производительности труда и конкурентоспособности (Указ № 728) и Декретом-законом № 2234 (статьи 6 и 7).</w:t>
      </w:r>
    </w:p>
    <w:p w14:paraId="6A683D91" w14:textId="1E275A34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29.</w:t>
      </w:r>
      <w:r>
        <w:tab/>
      </w:r>
      <w:r>
        <w:rPr>
          <w:b/>
          <w:bCs/>
        </w:rPr>
        <w:t xml:space="preserve">Комитет рекомендует регулировать использование временных контрактов с целью ограничения их применения теми случаями, когда временный характер контракта отвечает потребностям рынка, избегая их последовательного использования в течение длительных периодов времени, что может негативно сказываться на других трудовых правах, в соответствии со своими замечаниями общего порядка </w:t>
      </w:r>
      <w:r w:rsidR="00EA70C2">
        <w:rPr>
          <w:b/>
          <w:bCs/>
        </w:rPr>
        <w:t>№</w:t>
      </w:r>
      <w:r>
        <w:rPr>
          <w:b/>
          <w:bCs/>
        </w:rPr>
        <w:t>№ 18 (2005) и 23 (2016).</w:t>
      </w:r>
    </w:p>
    <w:p w14:paraId="3C0EC8FB" w14:textId="77777777" w:rsidR="00B60511" w:rsidRPr="00F803B5" w:rsidRDefault="00B60511" w:rsidP="00B60511">
      <w:pPr>
        <w:pStyle w:val="H23G"/>
      </w:pPr>
      <w:r>
        <w:tab/>
      </w:r>
      <w:r>
        <w:tab/>
      </w:r>
      <w:r>
        <w:tab/>
      </w:r>
      <w:r>
        <w:rPr>
          <w:bCs/>
        </w:rPr>
        <w:t>Минимальная заработная плата</w:t>
      </w:r>
    </w:p>
    <w:p w14:paraId="1E410ED7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30.</w:t>
      </w:r>
      <w:r>
        <w:tab/>
        <w:t>Комитет с удовлетворением отмечает постепенное повышение минимальной заработной платы (прожиточного минимума). Однако Комитет обеспокоен тем, что масштабы незарегистрированной занятости и ограниченные возможности подразделений трудовой инспекции по проведению проверок ограничивают применение положений о минимальной заработной плате на практике (статья 7).</w:t>
      </w:r>
    </w:p>
    <w:p w14:paraId="40E316C9" w14:textId="77777777" w:rsidR="00B60511" w:rsidRPr="00F803B5" w:rsidRDefault="00B60511" w:rsidP="00B60511">
      <w:pPr>
        <w:pStyle w:val="SingleTxtG"/>
        <w:keepNext/>
        <w:keepLines/>
        <w:tabs>
          <w:tab w:val="clear" w:pos="1701"/>
          <w:tab w:val="clear" w:pos="2268"/>
          <w:tab w:val="clear" w:pos="2835"/>
        </w:tabs>
        <w:spacing w:after="130"/>
        <w:rPr>
          <w:rFonts w:asciiTheme="majorBidi" w:hAnsiTheme="majorBidi" w:cstheme="majorBidi"/>
          <w:b/>
        </w:rPr>
      </w:pPr>
      <w:r>
        <w:t>31.</w:t>
      </w:r>
      <w:r>
        <w:tab/>
      </w:r>
      <w:r>
        <w:rPr>
          <w:b/>
          <w:bCs/>
        </w:rPr>
        <w:t>Комитет напоминает о своем замечании общего порядка № 23 (2016) и рекомендует государству-участнику:</w:t>
      </w:r>
    </w:p>
    <w:p w14:paraId="62EDFE33" w14:textId="08BDF2F0" w:rsidR="00B60511" w:rsidRPr="00F803B5" w:rsidRDefault="009E242D" w:rsidP="00B60511">
      <w:pPr>
        <w:pStyle w:val="SingleTxtG"/>
        <w:spacing w:after="130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a)</w:t>
      </w:r>
      <w:r w:rsidR="00B60511">
        <w:tab/>
      </w:r>
      <w:r w:rsidR="00B60511">
        <w:rPr>
          <w:b/>
          <w:bCs/>
        </w:rPr>
        <w:t>принять срочные меры по укреплению потенциала Национального управления инспекции труда;</w:t>
      </w:r>
    </w:p>
    <w:p w14:paraId="5F3DDAEB" w14:textId="7A1DA393" w:rsidR="00B60511" w:rsidRPr="00F803B5" w:rsidRDefault="009E242D" w:rsidP="00B60511">
      <w:pPr>
        <w:pStyle w:val="SingleTxtG"/>
        <w:spacing w:after="130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 xml:space="preserve">обеспечить эффективный контроль за соблюдением работодателями требования о выплате минимальной заработной платы и предусмотреть </w:t>
      </w:r>
      <w:r w:rsidR="00B60511">
        <w:rPr>
          <w:b/>
          <w:bCs/>
        </w:rPr>
        <w:lastRenderedPageBreak/>
        <w:t>надлежащие и оказывающие сдерживающее воздействие санкции в случае нарушений;</w:t>
      </w:r>
    </w:p>
    <w:p w14:paraId="630454E4" w14:textId="66BC3310" w:rsidR="00B60511" w:rsidRPr="00F803B5" w:rsidRDefault="009E242D" w:rsidP="00B60511">
      <w:pPr>
        <w:pStyle w:val="SingleTxtG"/>
        <w:spacing w:after="130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>обеспечить, чтобы размер минимальной заработной платы позволял всем трудящимся и их семьям иметь достаточный уровень жизни и чтобы он регулярно корректировался с учетом стоимости жизни;</w:t>
      </w:r>
    </w:p>
    <w:p w14:paraId="3839A1C5" w14:textId="5D54D0BE" w:rsidR="00B60511" w:rsidRPr="00F803B5" w:rsidRDefault="009E242D" w:rsidP="00B60511">
      <w:pPr>
        <w:pStyle w:val="SingleTxtG"/>
        <w:spacing w:after="130"/>
      </w:pPr>
      <w:r w:rsidRPr="00EA70C2">
        <w:rPr>
          <w:b/>
          <w:bCs/>
        </w:rPr>
        <w:tab/>
      </w:r>
      <w:r w:rsidR="00B60511">
        <w:rPr>
          <w:b/>
          <w:bCs/>
        </w:rPr>
        <w:t>d)</w:t>
      </w:r>
      <w:r w:rsidR="00B60511">
        <w:tab/>
      </w:r>
      <w:r w:rsidR="00B60511">
        <w:rPr>
          <w:b/>
          <w:bCs/>
        </w:rPr>
        <w:t>ратифицировать Конвенцию МОТ 1970 года (№</w:t>
      </w:r>
      <w:r w:rsidR="00EA70C2">
        <w:rPr>
          <w:b/>
          <w:bCs/>
        </w:rPr>
        <w:t> </w:t>
      </w:r>
      <w:r w:rsidR="00B60511">
        <w:rPr>
          <w:b/>
          <w:bCs/>
        </w:rPr>
        <w:t>131) об установлении минимальной заработной платы.</w:t>
      </w:r>
    </w:p>
    <w:p w14:paraId="15FFCE79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Профсоюзные права</w:t>
      </w:r>
    </w:p>
    <w:p w14:paraId="11A0AB83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32.</w:t>
      </w:r>
      <w:r>
        <w:tab/>
        <w:t xml:space="preserve">Комитет обеспокоен тем, что Закон о производительности труда и конкурентоспособности 1997 года разрешает увольнения без указания причин и что этот Закон, как сообщается, используется для борьбы с профсоюзной деятельностью и ограничения права трудящихся на забастовку. Кроме того, Комитет обеспокоен тем, что право на забастовку строго ограничено для значительной части общества, чья работа квалифицируется как </w:t>
      </w:r>
      <w:r w:rsidRPr="00E6276C">
        <w:t>оказани</w:t>
      </w:r>
      <w:r>
        <w:t>е</w:t>
      </w:r>
      <w:r w:rsidRPr="00E6276C">
        <w:t xml:space="preserve"> жизненно важных услуг</w:t>
      </w:r>
      <w:r>
        <w:t xml:space="preserve"> (статья 8).</w:t>
      </w:r>
    </w:p>
    <w:p w14:paraId="5BE072DE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CA383EB" w14:textId="16032643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a)</w:t>
      </w:r>
      <w:r w:rsidR="00B60511">
        <w:tab/>
      </w:r>
      <w:r w:rsidR="00B60511">
        <w:rPr>
          <w:b/>
          <w:bCs/>
        </w:rPr>
        <w:t>принять законодательные и иные меры для обеспечения соответствия действующих норм статье 8 Пакта и в связи с этим внести поправки в Закон о производительности труда и конкурентоспособности 1997 года;</w:t>
      </w:r>
    </w:p>
    <w:p w14:paraId="38089CF9" w14:textId="11DF8E37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>принять эффективные меры для обеспечения защиты трудящихся от любых репрессий в связи с их участием в профсоюзной деятельности путем предотвращения, расследования и надлежащего наказания любых форм дискриминации и насилия против профсоюзов;</w:t>
      </w:r>
    </w:p>
    <w:p w14:paraId="3D7AC4B0" w14:textId="485F9E76" w:rsidR="00B60511" w:rsidRPr="00B83278" w:rsidRDefault="009E242D" w:rsidP="00B60511">
      <w:pPr>
        <w:pStyle w:val="SingleTxtG"/>
      </w:pPr>
      <w:r>
        <w:rPr>
          <w:b/>
          <w:bCs/>
          <w:lang w:val="en-US"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>провести обзор секторов, в которых право трудящихся на забастовку</w:t>
      </w:r>
      <w:r w:rsidR="00B60511" w:rsidRPr="00673F49">
        <w:rPr>
          <w:b/>
          <w:bCs/>
        </w:rPr>
        <w:t xml:space="preserve"> </w:t>
      </w:r>
      <w:r w:rsidR="00B60511">
        <w:rPr>
          <w:b/>
          <w:bCs/>
        </w:rPr>
        <w:t xml:space="preserve">ограничено, с целью снятия чрезмерных ограничений в секторах, которые не относятся к </w:t>
      </w:r>
      <w:r w:rsidR="00B60511" w:rsidRPr="00B86A60">
        <w:rPr>
          <w:b/>
          <w:bCs/>
        </w:rPr>
        <w:t>служб</w:t>
      </w:r>
      <w:r w:rsidR="00B60511">
        <w:rPr>
          <w:b/>
          <w:bCs/>
        </w:rPr>
        <w:t>ам</w:t>
      </w:r>
      <w:r w:rsidR="00B60511" w:rsidRPr="00B86A60">
        <w:rPr>
          <w:b/>
          <w:bCs/>
        </w:rPr>
        <w:t xml:space="preserve"> жизнеобеспечения</w:t>
      </w:r>
      <w:r w:rsidR="00B60511">
        <w:rPr>
          <w:b/>
          <w:bCs/>
        </w:rPr>
        <w:t>.</w:t>
      </w:r>
    </w:p>
    <w:p w14:paraId="29D871AD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</w:t>
      </w:r>
    </w:p>
    <w:p w14:paraId="6F8DB63D" w14:textId="734126FC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34.</w:t>
      </w:r>
      <w:r>
        <w:tab/>
        <w:t>Комитет обеспокоен тем, что почти 70</w:t>
      </w:r>
      <w:r w:rsidR="00EA70C2">
        <w:t> %</w:t>
      </w:r>
      <w:r>
        <w:t xml:space="preserve"> трудоспособного населения не участвует ни в одной пенсионной программе и что значительная часть людей с низким уровнем доходов не охвачена системой накопительного пенсионного обеспечения. Комитет также обеспокоен тем, что в государстве-участнике отсутствует страхование на случай безработицы, и отмечает, что компенсация за выслугу лет не может быть приравнена к пособию по трудоустройству (статья 9).</w:t>
      </w:r>
    </w:p>
    <w:p w14:paraId="2A952B70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7B0231B" w14:textId="174EDD7A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a)</w:t>
      </w:r>
      <w:r w:rsidR="00B60511">
        <w:tab/>
      </w:r>
      <w:r w:rsidR="00B60511">
        <w:rPr>
          <w:b/>
          <w:bCs/>
        </w:rPr>
        <w:t xml:space="preserve">принять меры </w:t>
      </w:r>
      <w:r w:rsidR="00B60511" w:rsidRPr="00C36E3F">
        <w:rPr>
          <w:b/>
          <w:bCs/>
        </w:rPr>
        <w:t>для продвижения к</w:t>
      </w:r>
      <w:r w:rsidR="00B60511">
        <w:rPr>
          <w:b/>
          <w:bCs/>
        </w:rPr>
        <w:t xml:space="preserve"> всеобщему охвату системы социального обеспечения, включая пенсии по болезни, старости, пособия по безработице, несчастным случаям на производстве, материнству, инвалидности, а также в случае потери кормильца или для сирот;</w:t>
      </w:r>
    </w:p>
    <w:p w14:paraId="7B3F9E38" w14:textId="4793452C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>продолжать сотрудничество с МОТ для создания комплексной системы защиты от безработицы в соответствии со статьями 6 и 9 Пакта, а также замечанием общего порядка № 19 (2017) Комитета;</w:t>
      </w:r>
    </w:p>
    <w:p w14:paraId="52A5BB43" w14:textId="77D17722" w:rsidR="00B60511" w:rsidRPr="00F803B5" w:rsidRDefault="009E242D" w:rsidP="00B60511">
      <w:pPr>
        <w:pStyle w:val="SingleTxtG"/>
      </w:pPr>
      <w:r>
        <w:rPr>
          <w:b/>
          <w:bCs/>
          <w:lang w:val="en-US"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>обеспечить соответствие программ и мер по реагированию на чрезвычайные ситуации целям защиты всего населения, уделяя первоочередное внимание тем, кто находится в наиболее уязвимом положении.</w:t>
      </w:r>
    </w:p>
    <w:p w14:paraId="3B0DC8FD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Защита семьи и детей</w:t>
      </w:r>
    </w:p>
    <w:p w14:paraId="1AE46EF9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36.</w:t>
      </w:r>
      <w:r>
        <w:tab/>
        <w:t xml:space="preserve">Комитет принимает к сведению усилия государства-участника по расширению доступа к правосудию для женщин, ставших жертвами насилия, в частности посредством принятия Закона № 30364 и создания Национальной специализированной системы правосудия для защиты жертв и наказания лиц, виновных в насилии в отношении женщин и членов семьи. Однако Комитет обеспокоен </w:t>
      </w:r>
      <w:r>
        <w:lastRenderedPageBreak/>
        <w:t>распространенностью и масштабами проблемы жестокого обращения и сексуального насилия в отношении детей как в семье, так и в школе. Кроме того, он обеспокоен структурными барьерами, препятствующими эффективному доступу к услугам по защите и помощи, особенно для девочек из числа коренных народов и девочек, проживающих в сельских районах, а также в контексте кризисов, таких как пандемия коронавирусной инфекции (COVID-19) (статья 10).</w:t>
      </w:r>
    </w:p>
    <w:p w14:paraId="488210DC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 принимать эффективные меры для:</w:t>
      </w:r>
    </w:p>
    <w:p w14:paraId="40CDAFEC" w14:textId="39D43E80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a)</w:t>
      </w:r>
      <w:r w:rsidR="00B60511">
        <w:tab/>
      </w:r>
      <w:r w:rsidR="00B60511">
        <w:rPr>
          <w:b/>
          <w:bCs/>
        </w:rPr>
        <w:t>предотвращения ситуаций сексуального насилия в отношении детей и подростков на основе межкультурного, правозащитного и учитывающего гендерные аспекты подхода;</w:t>
      </w:r>
    </w:p>
    <w:p w14:paraId="2DE2CF12" w14:textId="1E6E84C0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>обеспечения доступа к правосудию и средствам правовой защиты;</w:t>
      </w:r>
    </w:p>
    <w:p w14:paraId="712EB350" w14:textId="10E781D6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>постепенного увеличения финансовых и людских ресурсов в интересах повышения эффективности мер по борьбе с сексуальным насилием;</w:t>
      </w:r>
    </w:p>
    <w:p w14:paraId="27A1F2BC" w14:textId="1C6C982E" w:rsidR="00B60511" w:rsidRPr="00F803B5" w:rsidRDefault="009E242D" w:rsidP="00B60511">
      <w:pPr>
        <w:pStyle w:val="SingleTxtG"/>
      </w:pPr>
      <w:r>
        <w:rPr>
          <w:b/>
          <w:bCs/>
          <w:lang w:val="en-US"/>
        </w:rPr>
        <w:tab/>
      </w:r>
      <w:r w:rsidR="00B60511">
        <w:rPr>
          <w:b/>
          <w:bCs/>
        </w:rPr>
        <w:t>d)</w:t>
      </w:r>
      <w:r w:rsidR="00B60511">
        <w:tab/>
      </w:r>
      <w:r w:rsidR="00B60511">
        <w:rPr>
          <w:b/>
          <w:bCs/>
        </w:rPr>
        <w:t>обеспечения присутствия государства на территориях коренных народов для оказания помощи в случаях сексуального насилия с уделением первоочередного внимания принятию мер в интересах детей и подростков, особенно в изолированных регионах, таких как провинция Кондорканки.</w:t>
      </w:r>
    </w:p>
    <w:p w14:paraId="0AE9D4B7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Нищета</w:t>
      </w:r>
    </w:p>
    <w:p w14:paraId="47922FB8" w14:textId="7EBC8124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38.</w:t>
      </w:r>
      <w:r>
        <w:tab/>
        <w:t xml:space="preserve">Комитет приветствует создание Национальной программы по предоставлению непосредственной помощи беднейшим слоям населения </w:t>
      </w:r>
      <w:r w:rsidR="00EA70C2">
        <w:t>«</w:t>
      </w:r>
      <w:r>
        <w:t>Хунтос</w:t>
      </w:r>
      <w:r w:rsidR="00EA70C2">
        <w:t>»</w:t>
      </w:r>
      <w:r>
        <w:t>. Однако Комитет обеспокоен тем, что значительная часть населения по-прежнему живет в нищете и что показатели крайней нищеты растут. Он особенно обеспокоен высоким уровнем нищеты и крайней нищеты в сельских и горных районах, а также в районах тропических лесов, где проживает значительная часть коренного населения. Кроме того, Комитет обеспокоен тем, что более 80</w:t>
      </w:r>
      <w:r w:rsidR="00EA70C2">
        <w:t> %</w:t>
      </w:r>
      <w:r>
        <w:t xml:space="preserve"> населения в этих районах не имеют доступа к комплексному пакету базовых услуг (статья 11).</w:t>
      </w:r>
    </w:p>
    <w:p w14:paraId="4E3D8B5F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A189A13" w14:textId="0D16E159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a)</w:t>
      </w:r>
      <w:r w:rsidR="00B60511">
        <w:tab/>
      </w:r>
      <w:r w:rsidR="00B60511">
        <w:rPr>
          <w:b/>
          <w:bCs/>
        </w:rPr>
        <w:t>обеспечить приоритетное финансирование для устранения существующих пробелов в доступе к услугам и инфраструктуре в таких стратегических областях, как здравоохранение, образование, водоснабжение и санитария, а также социальное обеспечение;</w:t>
      </w:r>
    </w:p>
    <w:p w14:paraId="0CDB8739" w14:textId="41CFD57E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>возобновить усилия по борьбе с нищетой путем повышения эффективности направленных на нее программ и усиления внимания к беднейшим и находящимся в наиболее уязвимом положении домохозяйствам;</w:t>
      </w:r>
    </w:p>
    <w:p w14:paraId="5CDF51A6" w14:textId="75A8DC51" w:rsidR="00B60511" w:rsidRPr="00F803B5" w:rsidRDefault="009E242D" w:rsidP="00B60511">
      <w:pPr>
        <w:pStyle w:val="SingleTxtG"/>
      </w:pPr>
      <w:r>
        <w:rPr>
          <w:b/>
          <w:bCs/>
          <w:lang w:val="en-US"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>отслеживать прогресс в этой области, в том числе путем сбора ежегодных статистических данных о распространенности и масштабах нищеты в разбивке по полу, возрасту, инвалидности, принадлежности к коренным народам, общинам афроперуанцев и других лиц африканского происхождения, миграционному статусу, этнической принадлежности и проживанию в городской/сельской местности в зависимости от обстоятельств и на основе показателей индекса многомерной нищеты, которые должны учитываться при оценке.</w:t>
      </w:r>
    </w:p>
    <w:p w14:paraId="7E4C3321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Адаптация к изменению климата</w:t>
      </w:r>
    </w:p>
    <w:p w14:paraId="4C52736C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40.</w:t>
      </w:r>
      <w:r>
        <w:tab/>
        <w:t>Комитет выражает обеспокоенность в связи с ускорением процесса обезлесения, чрезмерной эксплуатацией природных ресурсов и воздействием изменения климата на наиболее уязвимые общины (статья 11).</w:t>
      </w:r>
    </w:p>
    <w:p w14:paraId="1222C895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B75C781" w14:textId="14CF5AD7" w:rsidR="00B60511" w:rsidRPr="00F803B5" w:rsidRDefault="009E242D" w:rsidP="00B60511">
      <w:pPr>
        <w:pStyle w:val="SingleTxtG"/>
        <w:rPr>
          <w:b/>
          <w:bCs/>
        </w:rPr>
      </w:pPr>
      <w:r w:rsidRPr="009E242D">
        <w:rPr>
          <w:b/>
          <w:bCs/>
          <w:lang w:val="en-US"/>
        </w:rPr>
        <w:tab/>
      </w:r>
      <w:r w:rsidR="00B60511" w:rsidRPr="009E242D">
        <w:rPr>
          <w:b/>
          <w:bCs/>
        </w:rPr>
        <w:t>a)</w:t>
      </w:r>
      <w:r w:rsidR="00B60511" w:rsidRPr="009E242D">
        <w:rPr>
          <w:b/>
          <w:bCs/>
        </w:rPr>
        <w:tab/>
      </w:r>
      <w:r w:rsidR="00B60511">
        <w:rPr>
          <w:b/>
          <w:bCs/>
        </w:rPr>
        <w:t xml:space="preserve">принимать эффективные меры по борьбе с обезлесением и захватом земель добывающими и агропромышленными предприятиями, а также в связи </w:t>
      </w:r>
      <w:r w:rsidR="00B60511">
        <w:rPr>
          <w:b/>
          <w:bCs/>
        </w:rPr>
        <w:lastRenderedPageBreak/>
        <w:t>с</w:t>
      </w:r>
      <w:r w:rsidR="00EA70C2">
        <w:rPr>
          <w:b/>
          <w:bCs/>
        </w:rPr>
        <w:t> </w:t>
      </w:r>
      <w:r w:rsidR="00B60511">
        <w:rPr>
          <w:b/>
          <w:bCs/>
        </w:rPr>
        <w:t>незаконной добычей полезных ископаемых и незаконным оборотом ртути, уделяя особое внимание регионам Амазонки, страдающим от загрязнения;</w:t>
      </w:r>
    </w:p>
    <w:p w14:paraId="507395BA" w14:textId="09983D64" w:rsidR="00B60511" w:rsidRPr="00F803B5" w:rsidRDefault="009E242D" w:rsidP="00B60511">
      <w:pPr>
        <w:pStyle w:val="SingleTxtG"/>
        <w:rPr>
          <w:b/>
          <w:bCs/>
        </w:rPr>
      </w:pPr>
      <w:r w:rsidRPr="00EA70C2">
        <w:rPr>
          <w:b/>
          <w:bCs/>
        </w:rPr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>создать механизмы для восстановления общин, пострадавших от загрязнения в результате как законной, так и незаконной добычи полезных ископаемых и нефти, гарантирующие восстановление окружающей среды и предоставление компенсации пострадавшим;</w:t>
      </w:r>
    </w:p>
    <w:p w14:paraId="7D43CFB1" w14:textId="0D5A85F3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>обеспечить эффективную реализацию Комплексного и межкультурного плана по охране здоровья и мониторингу воздействия тяжелых металлов и углеводородов в бассейнах рек Пастаса, Корриентес, Тигре, Мараньон и Чамбира на период 2022–2026 годов и увеличить выделяемое на эти цели финансирование с учетом особых потребностей коренных народов;</w:t>
      </w:r>
    </w:p>
    <w:p w14:paraId="2D83B250" w14:textId="64D16802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</w:rPr>
        <w:tab/>
      </w:r>
      <w:r w:rsidR="00B60511">
        <w:rPr>
          <w:b/>
          <w:bCs/>
        </w:rPr>
        <w:t>d)</w:t>
      </w:r>
      <w:r w:rsidR="00B60511">
        <w:tab/>
      </w:r>
      <w:r w:rsidR="00B60511">
        <w:rPr>
          <w:b/>
          <w:bCs/>
        </w:rPr>
        <w:t>пересмотреть и обновить Национальный план в области адаптации к изменению климата, включив в него конкретные меры по защите общин, подверженных риску, обеспечив их участие в принятии решений.</w:t>
      </w:r>
    </w:p>
    <w:p w14:paraId="305C6807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Право на достаточное питание</w:t>
      </w:r>
    </w:p>
    <w:p w14:paraId="640F9A86" w14:textId="2D81FC7B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42.</w:t>
      </w:r>
      <w:r>
        <w:tab/>
        <w:t>Комитет приветствует принятие Закона о продовольственной и пищевой безопасности и Национальной политики в области продовольственной и пищевой безопасности. Комитет, однако, обеспокоен тем, что более 50</w:t>
      </w:r>
      <w:r w:rsidR="00EA70C2">
        <w:t> %</w:t>
      </w:r>
      <w:r>
        <w:t xml:space="preserve"> населения живут в условиях отсутствия продовольственной безопасности, в особенности люди, проживающие в сельских и отдаленных районах. Комитет обеспокоен также широкой распространенностью анемии среди детей в возрасте до </w:t>
      </w:r>
      <w:r w:rsidR="00EA70C2">
        <w:t>трех</w:t>
      </w:r>
      <w:r>
        <w:t xml:space="preserve"> лет и задержек роста у детей в возрасте до </w:t>
      </w:r>
      <w:r w:rsidR="00EA70C2">
        <w:t>пяти</w:t>
      </w:r>
      <w:r>
        <w:t xml:space="preserve"> лет. В этом контексте особую тревогу вызывает тот факт, что в рамках программы детского питания </w:t>
      </w:r>
      <w:r w:rsidR="009E242D">
        <w:t>«</w:t>
      </w:r>
      <w:r>
        <w:t>Кали Варма</w:t>
      </w:r>
      <w:r w:rsidR="009E242D">
        <w:t>»</w:t>
      </w:r>
      <w:r>
        <w:t xml:space="preserve"> (статья 11) были допущены серьезные нарушения санитарных норм.</w:t>
      </w:r>
    </w:p>
    <w:p w14:paraId="45A7F98B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81D34CB" w14:textId="6413C0BB" w:rsidR="00B60511" w:rsidRPr="00F803B5" w:rsidRDefault="009E242D" w:rsidP="00B60511">
      <w:pPr>
        <w:pStyle w:val="SingleTxtG"/>
        <w:rPr>
          <w:b/>
          <w:bCs/>
        </w:rPr>
      </w:pPr>
      <w:r w:rsidRPr="009E242D">
        <w:rPr>
          <w:b/>
          <w:bCs/>
          <w:lang w:val="en-US"/>
        </w:rPr>
        <w:tab/>
      </w:r>
      <w:r w:rsidR="00B60511" w:rsidRPr="009E242D">
        <w:rPr>
          <w:b/>
          <w:bCs/>
        </w:rPr>
        <w:t>a)</w:t>
      </w:r>
      <w:r w:rsidR="00B60511">
        <w:tab/>
      </w:r>
      <w:r w:rsidR="00B60511">
        <w:rPr>
          <w:b/>
          <w:bCs/>
        </w:rPr>
        <w:t>реализовать на практике национальную стратегию и законодательство для сокращения масштабов голода и недоедания, особенно в условиях отсутствия продовольственной безопасности;</w:t>
      </w:r>
    </w:p>
    <w:p w14:paraId="737F2DC7" w14:textId="64D5C263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>принимать меры по защите прав мелких фермеров, особенно в отношении продовольствия и питания, средств к существованию, участия в процессах принятия решений, а также доступа к земле и воде и пользования ими;</w:t>
      </w:r>
    </w:p>
    <w:p w14:paraId="710C29EB" w14:textId="778F44DA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>обеспечивать доступ мелких фермеров к производственным ресурсам (земле, воде и семенам) и гарантировать безопасность землевладения;</w:t>
      </w:r>
    </w:p>
    <w:p w14:paraId="7AB11BAC" w14:textId="07A5F265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d)</w:t>
      </w:r>
      <w:r w:rsidR="00B60511">
        <w:tab/>
      </w:r>
      <w:r w:rsidR="00B60511">
        <w:rPr>
          <w:b/>
          <w:bCs/>
        </w:rPr>
        <w:t xml:space="preserve">обеспечить осуществление Закона о продовольственной и пищевой безопасности, способствовать обогащению основных продуктов питания в рамках комплексной стратегии по борьбе с анемией и другими видами дефицита микроэлементов и обеспечить также справедливое распределение пищевых добавок, таких как железо и фолиевая кислота, уделяя первоочередное внимание беременным женщинам и детям в возрасте до </w:t>
      </w:r>
      <w:r w:rsidR="00EA70C2">
        <w:rPr>
          <w:b/>
          <w:bCs/>
        </w:rPr>
        <w:t>пяти</w:t>
      </w:r>
      <w:r w:rsidR="00B60511">
        <w:rPr>
          <w:b/>
          <w:bCs/>
        </w:rPr>
        <w:t xml:space="preserve"> лет;</w:t>
      </w:r>
    </w:p>
    <w:p w14:paraId="777F86B3" w14:textId="030752BB" w:rsidR="00B60511" w:rsidRPr="00F803B5" w:rsidRDefault="009E242D" w:rsidP="00B60511">
      <w:pPr>
        <w:pStyle w:val="SingleTxtG"/>
        <w:rPr>
          <w:b/>
          <w:bCs/>
        </w:rPr>
      </w:pPr>
      <w:r w:rsidRPr="00EA70C2">
        <w:rPr>
          <w:b/>
          <w:bCs/>
        </w:rPr>
        <w:tab/>
      </w:r>
      <w:r w:rsidR="00B60511">
        <w:rPr>
          <w:b/>
          <w:bCs/>
        </w:rPr>
        <w:t>e)</w:t>
      </w:r>
      <w:r w:rsidR="00B60511">
        <w:tab/>
      </w:r>
      <w:r w:rsidR="00B60511">
        <w:rPr>
          <w:b/>
          <w:bCs/>
        </w:rPr>
        <w:t xml:space="preserve">обеспечить включение в проводимую в настоящее время реформу программы </w:t>
      </w:r>
      <w:r w:rsidR="00EA70C2">
        <w:rPr>
          <w:b/>
          <w:bCs/>
        </w:rPr>
        <w:t>«</w:t>
      </w:r>
      <w:r w:rsidR="00B60511">
        <w:rPr>
          <w:b/>
          <w:bCs/>
        </w:rPr>
        <w:t>Кали Варма</w:t>
      </w:r>
      <w:r w:rsidR="00EA70C2">
        <w:rPr>
          <w:b/>
          <w:bCs/>
        </w:rPr>
        <w:t>»</w:t>
      </w:r>
      <w:r w:rsidR="00B60511">
        <w:rPr>
          <w:b/>
          <w:bCs/>
        </w:rPr>
        <w:t xml:space="preserve"> механизмов контроля и надзора за процессами закупки, обработки и распределения, а также за качеством распределяемых продуктов питания, и гарантировать прозрачность в управлении программой, что позволит получать информацию о качестве продуктов питания, отслеживать поставщиков, а также получать любые другие сведения, представляющие общественный интерес.</w:t>
      </w:r>
    </w:p>
    <w:p w14:paraId="725F6C8C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Право на достаточное жилище</w:t>
      </w:r>
    </w:p>
    <w:p w14:paraId="51D429E0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44.</w:t>
      </w:r>
      <w:r>
        <w:tab/>
        <w:t>Комитет обеспокоен острой нехваткой надлежащего и недорогого жилья с точки зрения как количества, так и качества. Он также обеспокоен высоким уровнем нехватки жилья среди населения с низким уровнем доходов (статья 11).</w:t>
      </w:r>
    </w:p>
    <w:p w14:paraId="485901C4" w14:textId="77777777" w:rsidR="009E242D" w:rsidRDefault="009E242D" w:rsidP="00B60511">
      <w:pPr>
        <w:pStyle w:val="SingleTxtG"/>
        <w:tabs>
          <w:tab w:val="clear" w:pos="1701"/>
          <w:tab w:val="clear" w:pos="2268"/>
          <w:tab w:val="clear" w:pos="2835"/>
        </w:tabs>
      </w:pPr>
      <w:r>
        <w:br w:type="page"/>
      </w:r>
    </w:p>
    <w:p w14:paraId="53574952" w14:textId="7435A071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lastRenderedPageBreak/>
        <w:t>45.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6A4AB8D" w14:textId="480BF5B1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 w:rsidRPr="009E242D">
        <w:rPr>
          <w:b/>
          <w:bCs/>
        </w:rPr>
        <w:t>a)</w:t>
      </w:r>
      <w:r w:rsidR="00B60511">
        <w:tab/>
      </w:r>
      <w:r w:rsidR="00B60511">
        <w:rPr>
          <w:b/>
          <w:bCs/>
        </w:rPr>
        <w:t>принять меры по устранению дефицита жилья и уделению особого внимания потребностям находящихся в неблагоприятном положении и маргинализированных лиц и групп путем, в частности, улучшения состояния существующего жилищного фонда и обеспечения гарантий прав собственности, особенно в сельских районах;</w:t>
      </w:r>
    </w:p>
    <w:p w14:paraId="0656151F" w14:textId="0DDD6FFB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>принять срочные меры по предотвращению принудительных выселений и предоставлению всем затронутым лицам доступа к механизмам получения консультаций, компенсации и переселения в достойных условиях в случае перемещения;</w:t>
      </w:r>
    </w:p>
    <w:p w14:paraId="2F74F205" w14:textId="031D9A26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>создать независимые механизмы мониторинга для оценки воздействия проектов в области инфраструктуры и развития на уязвимые общины и предотвращения нарушений права на жилище.</w:t>
      </w:r>
    </w:p>
    <w:p w14:paraId="347586A7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Право на воду и санитарию</w:t>
      </w:r>
    </w:p>
    <w:p w14:paraId="1BBB9088" w14:textId="0101CB8E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46.</w:t>
      </w:r>
      <w:r>
        <w:tab/>
        <w:t>Комитет обеспокоен разрывом между сельскими и городскими районами в том, что касается доступа к воде и, в особенности, к санитарным услугам, а также перебоями в водоснабжении. Комитет обеспокоен также загрязнением воды, вызванным в основном крупномасштабной добычей полезных ископаемых открытым способом, добычей нефти и незаконной добычей полезных ископаемых, в результате чего 31,15</w:t>
      </w:r>
      <w:r w:rsidR="009E242D">
        <w:t> %</w:t>
      </w:r>
      <w:r>
        <w:t xml:space="preserve"> населения ежедневно подвергаются риску отравления тяжелыми металлами, металлоидами и другими токсичными веществами (статья 11).</w:t>
      </w:r>
    </w:p>
    <w:p w14:paraId="05A47F69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2B895FF" w14:textId="21AF4C7E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 w:rsidRPr="009E242D">
        <w:rPr>
          <w:b/>
          <w:bCs/>
        </w:rPr>
        <w:t>a)</w:t>
      </w:r>
      <w:r w:rsidR="00B60511" w:rsidRPr="009E242D">
        <w:rPr>
          <w:b/>
          <w:bCs/>
        </w:rPr>
        <w:tab/>
      </w:r>
      <w:r w:rsidR="00B60511">
        <w:rPr>
          <w:b/>
          <w:bCs/>
        </w:rPr>
        <w:t>обеспечить доступ населения к безопасной и недорогой питьевой воде и санитарным услугам;</w:t>
      </w:r>
    </w:p>
    <w:p w14:paraId="4E5F099D" w14:textId="5D164974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>придерживаться основанного на правах человека подхода к управлению водными ресурсами, обеспечив участие в этом процессе граждан;</w:t>
      </w:r>
    </w:p>
    <w:p w14:paraId="2F00ABCB" w14:textId="3B0CC327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>поощрять деятельность независимых лабораторий, обладающих возможностями для анализа и мониторинга загрязнения воды;</w:t>
      </w:r>
    </w:p>
    <w:p w14:paraId="47CB69D4" w14:textId="73A78B1A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d)</w:t>
      </w:r>
      <w:r w:rsidR="00B60511">
        <w:tab/>
      </w:r>
      <w:r w:rsidR="00B60511">
        <w:rPr>
          <w:b/>
          <w:bCs/>
        </w:rPr>
        <w:t>использовать для снабжения водой населения</w:t>
      </w:r>
      <w:r w:rsidR="00B60511" w:rsidRPr="00FE5D8C">
        <w:rPr>
          <w:b/>
          <w:bCs/>
        </w:rPr>
        <w:t xml:space="preserve"> </w:t>
      </w:r>
      <w:r w:rsidR="00B60511">
        <w:rPr>
          <w:b/>
          <w:bCs/>
        </w:rPr>
        <w:t>в случае</w:t>
      </w:r>
      <w:r w:rsidR="00B60511" w:rsidRPr="00FE5D8C">
        <w:rPr>
          <w:b/>
          <w:bCs/>
        </w:rPr>
        <w:t xml:space="preserve"> </w:t>
      </w:r>
      <w:r w:rsidR="00B60511">
        <w:rPr>
          <w:b/>
          <w:bCs/>
        </w:rPr>
        <w:t>ее нехватки наиболее качественные природные источники;</w:t>
      </w:r>
    </w:p>
    <w:p w14:paraId="61A7D71C" w14:textId="7D905FC6" w:rsidR="00B60511" w:rsidRPr="00F803B5" w:rsidRDefault="009E242D" w:rsidP="00B60511">
      <w:pPr>
        <w:pStyle w:val="SingleTxtG"/>
      </w:pPr>
      <w:r>
        <w:rPr>
          <w:b/>
          <w:bCs/>
          <w:lang w:val="en-US"/>
        </w:rPr>
        <w:tab/>
      </w:r>
      <w:r w:rsidR="00B60511">
        <w:rPr>
          <w:b/>
          <w:bCs/>
        </w:rPr>
        <w:t>e)</w:t>
      </w:r>
      <w:r w:rsidR="00B60511">
        <w:tab/>
      </w:r>
      <w:r w:rsidR="00B60511">
        <w:rPr>
          <w:b/>
          <w:bCs/>
        </w:rPr>
        <w:t>выполнять рекомендации Специального докладчика по вопросу о правах человека на безопасную питьевую воду и санитарные услуги и укреплять сотрудничество со Специальным докладчиком по вопросу о последствиях для прав человека экологически обоснованного регулирования и удаления опасных веществ и отходов.</w:t>
      </w:r>
    </w:p>
    <w:p w14:paraId="7EF438FD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Право на наивысший достижимый уровень физического и психического здоровья</w:t>
      </w:r>
    </w:p>
    <w:p w14:paraId="7A3B50B8" w14:textId="073108E6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48.</w:t>
      </w:r>
      <w:r>
        <w:tab/>
        <w:t>Комитет обеспокоен тем, что государственные инвестиции в здравоохранение составляют всего 4</w:t>
      </w:r>
      <w:r w:rsidR="00327D5D">
        <w:t> %</w:t>
      </w:r>
      <w:r>
        <w:t xml:space="preserve"> от валового внутреннего продукта. Он также обеспокоен снижением уровня охвата населения медицинским обслуживанием в рамках программы комплексного медицинского страхования, от которой зависит б</w:t>
      </w:r>
      <w:r w:rsidRPr="00D74FD6">
        <w:t>о́</w:t>
      </w:r>
      <w:r>
        <w:t>льшая часть населения, а также ограниченностью доступа к медицинским услугам и их низким качеством. Комитет по-прежнему обеспокоен высокими показателями заражения ВИЧ среди коренного населения Амазонии (статья 12).</w:t>
      </w:r>
    </w:p>
    <w:p w14:paraId="5094AB23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2764723" w14:textId="26B72E89" w:rsidR="00B60511" w:rsidRPr="00F803B5" w:rsidRDefault="009E242D" w:rsidP="00B60511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a)</w:t>
      </w:r>
      <w:r w:rsidR="00B60511">
        <w:tab/>
      </w:r>
      <w:r w:rsidR="00B60511">
        <w:rPr>
          <w:b/>
          <w:bCs/>
        </w:rPr>
        <w:t>увеличить государственные инвестиции в здравоохранение и принять бюджетные меры для обеспечения достаточного количества медицинских работников, улучшения медицинской инфраструктуры и оборудования, особенно в сельской местности, и укрепления системы здравоохранения с целью восстановления и повышения уровня охвата детей плановой вакцинацией;</w:t>
      </w:r>
    </w:p>
    <w:p w14:paraId="3E93F95C" w14:textId="5C80FE22" w:rsidR="00B60511" w:rsidRPr="00F803B5" w:rsidRDefault="009E242D" w:rsidP="00B60511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  <w:lang w:val="en-US"/>
        </w:rPr>
        <w:lastRenderedPageBreak/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>обеспечить эффективное осуществление Рамочного закона о всеобщем медицинском страховании 2009 года (Закон № 29344) и принять меры по улучшению доступа к медицинским услугам и повышению их качества, особенно в сельских и отдаленных районах, в том числе путем устранения экономических, культурных и социальных барьеров, препятствующих доступу к этим услугам;</w:t>
      </w:r>
    </w:p>
    <w:p w14:paraId="4DD20AC6" w14:textId="5BA23950" w:rsidR="00B60511" w:rsidRPr="00F803B5" w:rsidRDefault="009E242D" w:rsidP="00B60511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>продолжать работу по усилению децентрализации при предоставлении антиретровирусной терапии на уровне первичной медицинской помощи;</w:t>
      </w:r>
    </w:p>
    <w:p w14:paraId="0DF42B4B" w14:textId="797D9F88" w:rsidR="00B60511" w:rsidRPr="00F803B5" w:rsidRDefault="009E242D" w:rsidP="00B60511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d)</w:t>
      </w:r>
      <w:r w:rsidR="00B60511">
        <w:tab/>
      </w:r>
      <w:r w:rsidR="00B60511">
        <w:rPr>
          <w:b/>
          <w:bCs/>
        </w:rPr>
        <w:t xml:space="preserve">принять меры по сокращению неравенства при получении доступа к медицинским услугам, уделяя первоочередное внимание наиболее уязвимым группам населения, таким как дети, подростки, беременные женщины, коренные и сельские общины, а также люди с инвалидностью, в том числе путем расширения </w:t>
      </w:r>
      <w:proofErr w:type="gramStart"/>
      <w:r w:rsidR="00B60511">
        <w:rPr>
          <w:b/>
          <w:bCs/>
        </w:rPr>
        <w:t>спектра услуг</w:t>
      </w:r>
      <w:proofErr w:type="gramEnd"/>
      <w:r w:rsidR="00B60511">
        <w:rPr>
          <w:b/>
          <w:bCs/>
        </w:rPr>
        <w:t>, учитывающих культурные и языковые особенности.</w:t>
      </w:r>
    </w:p>
    <w:p w14:paraId="6B2D9C28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Право на сексуальное и репродуктивное здоровье</w:t>
      </w:r>
    </w:p>
    <w:p w14:paraId="4FCCA869" w14:textId="1137B8DA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50.</w:t>
      </w:r>
      <w:r>
        <w:tab/>
        <w:t>Комитет приветствует включение комплексного полового воспитания в национальную программу базового образования. Вместе с тем Комитет выражает свою обеспокоенность юридическими и фактическими барьерами, препятствующими доступу к услугам по прерыванию беременности и услугам по охране сексуального и репродуктивного здоровья, а также высоким уровнем материнской смертности в сельских районах. Комитет обеспокоен также высокими показателями подростковой беременности. Комитет выражает свою обеспокоенность в связи с высокими показателями материнской смертности, особенно в сельских районах и среди женщин из числа коренных народов. Он настоятельно призывает государство-участник обеспечить всеобщий доступ к качественным услугам по охране материнского здоровья, в том числе путем подготовки медицинского персонала в отдаленных районах и обеспечения доступности услуг скорой акушерской помощи. Он</w:t>
      </w:r>
      <w:r w:rsidR="009E242D">
        <w:t> </w:t>
      </w:r>
      <w:r>
        <w:t>рекомендует также разработать программы повышения осведомленности о сексуальных и репродуктивных правах на основе межкультурного подхода (статья 12).</w:t>
      </w:r>
    </w:p>
    <w:p w14:paraId="7965A3FA" w14:textId="77777777" w:rsidR="00B60511" w:rsidRPr="001F36F8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  <w:lang w:val="en-US"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B5093DF" w14:textId="635E0CB4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 w:rsidRPr="009E242D">
        <w:rPr>
          <w:b/>
          <w:bCs/>
        </w:rPr>
        <w:t>a)</w:t>
      </w:r>
      <w:r w:rsidR="00B60511" w:rsidRPr="009E242D">
        <w:rPr>
          <w:b/>
          <w:bCs/>
        </w:rPr>
        <w:tab/>
      </w:r>
      <w:r w:rsidR="00B60511">
        <w:rPr>
          <w:b/>
          <w:bCs/>
        </w:rPr>
        <w:t>пересмотреть запрет на прерывание беременности с тем, чтобы он соответствовал принципам целостности, автономии и здоровья женщин, принимая во внимание замечание общего порядка № 22 (2016) Комитета о праве на сексуальное и репродуктивное здоровье и Руководство Всемирной организации здравоохранения по уходу при прерывании беременности;</w:t>
      </w:r>
      <w:r w:rsidR="00B60511">
        <w:t xml:space="preserve"> </w:t>
      </w:r>
      <w:r w:rsidR="00B60511">
        <w:rPr>
          <w:b/>
          <w:bCs/>
        </w:rPr>
        <w:t>тем временем Комитет рекомендует государству-участнику обеспечить эффективное осуществление протокола о прерывании беременности по медицинским показаниям и гарантировать надлежащий доступ к средствам контрацепции и услугам по планированию семьи, уделяя особое внимание девочкам-подросткам и женщинам в сельских районах;</w:t>
      </w:r>
    </w:p>
    <w:p w14:paraId="6D45BB22" w14:textId="2A1A4F9A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>обеспечить наличие качественной информации и услуг в области сексуального и репродуктивного здоровья в рамках системы общественного здравоохранения, включая контрацепцию и экстренную контрацепцию, с целью предотвращения ранней беременности и инфекций, передаваемых половым путем, для всех женщин и подростков, особенно в сельских или отдаленных районах;</w:t>
      </w:r>
    </w:p>
    <w:p w14:paraId="2729017D" w14:textId="4E6C843C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>принимать меры для предоставления психологической и социальной помощи девочкам, ставшим жертвами насильственной беременности, и для предотвращения подобных ситуаций;</w:t>
      </w:r>
    </w:p>
    <w:p w14:paraId="6B2ACEE1" w14:textId="3419E1F7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d)</w:t>
      </w:r>
      <w:r w:rsidR="00B60511">
        <w:tab/>
      </w:r>
      <w:r w:rsidR="00B60511">
        <w:rPr>
          <w:b/>
          <w:bCs/>
        </w:rPr>
        <w:t xml:space="preserve">обеспечить эффективное внедрение комплексного полового воспитания с уделением особого внимания ответственному поведению и предотвращению подростковой беременности, и, как было рекомендовано Комитетом по правам ребенка, отменить Закон № 31498/2022 о повышении </w:t>
      </w:r>
      <w:r w:rsidR="00B60511">
        <w:rPr>
          <w:b/>
          <w:bCs/>
        </w:rPr>
        <w:lastRenderedPageBreak/>
        <w:t>качества образовательных материалов и ресурсов в Перу в связи с его негативным влиянием на право на половое воспитание</w:t>
      </w:r>
      <w:r w:rsidR="00B60511" w:rsidRPr="00EF093C">
        <w:rPr>
          <w:sz w:val="18"/>
          <w:szCs w:val="18"/>
          <w:vertAlign w:val="superscript"/>
        </w:rPr>
        <w:footnoteReference w:id="11"/>
      </w:r>
      <w:r w:rsidR="00B60511">
        <w:rPr>
          <w:b/>
          <w:bCs/>
        </w:rPr>
        <w:t>.</w:t>
      </w:r>
    </w:p>
    <w:p w14:paraId="644F8FF6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</w:p>
    <w:p w14:paraId="5B52C4E1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52.</w:t>
      </w:r>
      <w:r>
        <w:tab/>
        <w:t>Комитет с удовлетворением отмечает высокие показатели завершения начального образования. Вместе с тем он обеспокоен тем, что в сельской местности качество образования ниже, а в школьной инфраструктуре имеются серьезные недостатки. Он обеспокоен также тем, что доля учащихся начальной школы с удовлетворительным уровнем знаний (один из показателей Целей в области устойчивого развития) сокращается, в частности, из-за последствий закрытия школ во время и после кризиса в области здравоохранения, вызванного пандемией COVID-19, что увеличило разрыв в уровне образования между городским и сельским населением, а также для людей, живущих в условиях нищеты (статьи 13 и 14).</w:t>
      </w:r>
    </w:p>
    <w:p w14:paraId="1157D6E4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принять срочные меры для повышения качества образования и улучшения физической инфраструктуры школ в сельских районах.</w:t>
      </w:r>
      <w:r>
        <w:t xml:space="preserve"> </w:t>
      </w:r>
      <w:r>
        <w:rPr>
          <w:b/>
          <w:bCs/>
        </w:rPr>
        <w:t>Кроме того, государству-участнику следует принимать меры по финансированию и более широкой реализации стратегий, направленных на восстановление учебного процесса и внедрение новых форм ускоренного обучения для детей и подростков, которые никогда не посещали школу, бросили учебу, могут бросить учебу или испытывают трудности с возвращением в школу.</w:t>
      </w:r>
    </w:p>
    <w:p w14:paraId="71DB928F" w14:textId="77777777" w:rsidR="00B60511" w:rsidRPr="00F803B5" w:rsidRDefault="00B60511" w:rsidP="00B60511">
      <w:pPr>
        <w:pStyle w:val="H23G"/>
      </w:pPr>
      <w:r>
        <w:tab/>
      </w:r>
      <w:r>
        <w:tab/>
      </w:r>
      <w:r>
        <w:rPr>
          <w:bCs/>
        </w:rPr>
        <w:t>Культурные права</w:t>
      </w:r>
    </w:p>
    <w:p w14:paraId="0F927ED3" w14:textId="253EA0E4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</w:rPr>
      </w:pPr>
      <w:r>
        <w:t>54.</w:t>
      </w:r>
      <w:r>
        <w:tab/>
        <w:t>Комитет с удовлетворением отмечает значительные достижения государства-участника в деле признания и защиты языков коренных народов, включая принятие в июле 2021 года Национальной политики в отношении языков коренных народов, устной традиции и межкультурных отношений на период до 2040 года, а в июне 2022</w:t>
      </w:r>
      <w:r w:rsidR="009E242D">
        <w:t> </w:t>
      </w:r>
      <w:r>
        <w:t>года Национальной политики по вопросам афроперуанского населения на период до 2030 года. Однако Комитет обеспокоен тем, насколько устойчивы будут эти программы с течением времени и достаточны ли их масштабы. Комитет с обеспокоенностью отмечает также неоднократные утверждения о преступлениях, совершенных государственными служащими, и серьезных злоупотреблениях властью в отношении носителей языка кечуа и коренных народов (статья 15).</w:t>
      </w:r>
    </w:p>
    <w:p w14:paraId="02181655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11D7EC3" w14:textId="5862F1F1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 w:rsidRPr="009E242D">
        <w:rPr>
          <w:b/>
          <w:bCs/>
        </w:rPr>
        <w:t>a)</w:t>
      </w:r>
      <w:r w:rsidR="00B60511" w:rsidRPr="009E242D">
        <w:rPr>
          <w:b/>
          <w:bCs/>
        </w:rPr>
        <w:tab/>
        <w:t>пр</w:t>
      </w:r>
      <w:r w:rsidR="00B60511">
        <w:rPr>
          <w:b/>
          <w:bCs/>
        </w:rPr>
        <w:t>инять в консультации с коренными и исконными народами и перу</w:t>
      </w:r>
      <w:r>
        <w:rPr>
          <w:b/>
          <w:bCs/>
          <w:lang w:val="en-US"/>
        </w:rPr>
        <w:t>a</w:t>
      </w:r>
      <w:r w:rsidR="00B60511">
        <w:rPr>
          <w:b/>
          <w:bCs/>
        </w:rPr>
        <w:t>нцами африканского происхождения все необходимые меры для сохранения всех культурных обычаев и языков коренных и исконных народов;</w:t>
      </w:r>
    </w:p>
    <w:p w14:paraId="1394EE6A" w14:textId="05984F0D" w:rsidR="00B60511" w:rsidRPr="00F803B5" w:rsidDel="003A2148" w:rsidRDefault="009E242D" w:rsidP="00B60511">
      <w:pPr>
        <w:pStyle w:val="SingleTxtG"/>
        <w:rPr>
          <w:b/>
          <w:bCs/>
        </w:rPr>
      </w:pPr>
      <w:r w:rsidRPr="009E242D">
        <w:rPr>
          <w:b/>
          <w:bCs/>
        </w:rPr>
        <w:tab/>
      </w:r>
      <w:r w:rsidR="00B60511">
        <w:rPr>
          <w:b/>
          <w:bCs/>
        </w:rPr>
        <w:t>b)</w:t>
      </w:r>
      <w:r w:rsidR="00B60511">
        <w:tab/>
      </w:r>
      <w:r w:rsidR="00B60511">
        <w:rPr>
          <w:b/>
          <w:bCs/>
        </w:rPr>
        <w:t xml:space="preserve">обеспечить доступ к правосудию на языках коренных и исконных народов для тех, чей родной язык не испанский, чтобы обвиняемые могли принимать касающиеся их решения при наличии у них полной информации, и обеспечить получение их </w:t>
      </w:r>
      <w:r>
        <w:rPr>
          <w:b/>
          <w:bCs/>
        </w:rPr>
        <w:t>недвусмысленно</w:t>
      </w:r>
      <w:r w:rsidR="00B60511">
        <w:rPr>
          <w:b/>
          <w:bCs/>
        </w:rPr>
        <w:t xml:space="preserve"> согласия при принятии важных решений, таких как решение признать себя виновным;</w:t>
      </w:r>
    </w:p>
    <w:p w14:paraId="538B0E61" w14:textId="53F3EA35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c)</w:t>
      </w:r>
      <w:r w:rsidR="00B60511">
        <w:tab/>
      </w:r>
      <w:r w:rsidR="00B60511">
        <w:rPr>
          <w:b/>
          <w:bCs/>
        </w:rPr>
        <w:t>обеспечить выделение достаточных финансовых, технических и людских ресурсов для осуществления такой политики и принятия любых других мер, необходимых для сохранения культурной практики и языков коренных народов и перуанцев африканского происхождения;</w:t>
      </w:r>
    </w:p>
    <w:p w14:paraId="18B39015" w14:textId="4F6CD7BB" w:rsidR="00B60511" w:rsidRPr="00F803B5" w:rsidRDefault="009E242D" w:rsidP="00B60511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B60511">
        <w:rPr>
          <w:b/>
          <w:bCs/>
        </w:rPr>
        <w:t>d)</w:t>
      </w:r>
      <w:r w:rsidR="00B60511">
        <w:tab/>
      </w:r>
      <w:r w:rsidR="00B60511">
        <w:rPr>
          <w:b/>
          <w:bCs/>
        </w:rPr>
        <w:t>проводить в консультации с коренными и исконными народами и перуанцами африканского происхождения оценку хода реализации Национальной политики в отношении языков коренных народов, устной традиции и межкультурных отношений на период до 2040 года и Национальной политики по вопросам афроперуанского населения на период до 2030 года.</w:t>
      </w:r>
    </w:p>
    <w:p w14:paraId="3BAB3E3C" w14:textId="77777777" w:rsidR="00B60511" w:rsidRPr="00F803B5" w:rsidRDefault="00B60511" w:rsidP="00B60511">
      <w:pPr>
        <w:pStyle w:val="H1G"/>
      </w:pPr>
      <w:r>
        <w:rPr>
          <w:bCs/>
        </w:rPr>
        <w:lastRenderedPageBreak/>
        <w:tab/>
        <w:t>D.</w:t>
      </w:r>
      <w:r>
        <w:tab/>
      </w:r>
      <w:r>
        <w:rPr>
          <w:bCs/>
        </w:rPr>
        <w:t>Прочие рекомендации</w:t>
      </w:r>
    </w:p>
    <w:p w14:paraId="337F5E03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56.</w:t>
      </w:r>
      <w:r>
        <w:tab/>
      </w:r>
      <w:r>
        <w:rPr>
          <w:b/>
          <w:bCs/>
        </w:rPr>
        <w:t>Комитет призывает государство-участник присоединиться к Факультативному протоколу к Международному пакту об экономических, социальных и культурных правах.</w:t>
      </w:r>
    </w:p>
    <w:p w14:paraId="3846673E" w14:textId="779115D4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57.</w:t>
      </w:r>
      <w:r>
        <w:tab/>
      </w:r>
      <w:r>
        <w:rPr>
          <w:b/>
          <w:bCs/>
        </w:rPr>
        <w:t xml:space="preserve">Комитет рекомендует государству-участнику рассмотреть возможность присоединения к основному договору о правах человека, участником которого оно еще не является, а именно </w:t>
      </w:r>
      <w:r w:rsidR="001F36F8" w:rsidRPr="001F36F8">
        <w:rPr>
          <w:b/>
          <w:bCs/>
        </w:rPr>
        <w:t>—</w:t>
      </w:r>
      <w:r>
        <w:rPr>
          <w:b/>
          <w:bCs/>
        </w:rPr>
        <w:t xml:space="preserve"> ко второму Факультативному протоколу к Международному пакту о гражданских и политических правах, направленному на отмену смертной казни.</w:t>
      </w:r>
    </w:p>
    <w:p w14:paraId="7FF37A4E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 в полной мере учитывать свои обязательства по Пакту и обеспечивать полную реализацию закрепленных в нем прав при осуществлении Повестки дня в области устойчивого развития на период до 2030 года на национальном уровне, пользуясь международной помощью и сотрудничеством, когда это необходимо.</w:t>
      </w:r>
      <w:r>
        <w:t xml:space="preserve"> </w:t>
      </w:r>
      <w:r>
        <w:rPr>
          <w:b/>
          <w:bCs/>
        </w:rPr>
        <w:t>Достижению Целей в области устойчивого развития в значительной степени содействовало бы создание государством-участником независимых механизмов отслеживания прогресса и обращение с бенифициарами государственных программ как с правообладателями, которые могут претендовать на получение причитающихся им льгот.</w:t>
      </w:r>
      <w:r>
        <w:t xml:space="preserve"> </w:t>
      </w:r>
      <w:r>
        <w:rPr>
          <w:b/>
          <w:bCs/>
        </w:rPr>
        <w:t>Достижение этих Целей на основе принципов участия, подотчетности и недискриминации будет способствовать обеспечению того, чтобы никто не был забыт.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забыть.</w:t>
      </w:r>
    </w:p>
    <w:p w14:paraId="3AA7F8CC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59.</w:t>
      </w:r>
      <w:r>
        <w:tab/>
      </w:r>
      <w:r>
        <w:rPr>
          <w:b/>
          <w:bCs/>
        </w:rPr>
        <w:t>Комитет настоятельно призывает государство-участник разработать и использовать в своих докладах показатели в области прав человека</w:t>
      </w:r>
      <w:r w:rsidRPr="00EF093C">
        <w:rPr>
          <w:rStyle w:val="a8"/>
          <w:rFonts w:cstheme="majorBidi"/>
          <w:szCs w:val="18"/>
        </w:rPr>
        <w:footnoteReference w:id="12"/>
      </w:r>
      <w:r>
        <w:rPr>
          <w:b/>
          <w:bCs/>
        </w:rPr>
        <w:t>, с тем чтобы иметь информационную базу для мониторинга хода выполнения своих международных обязательств в области прав человека на основе комплексного правозащитного подхода, включая разбивку данных по различным группам населения, находящимся в уязвимом положении.</w:t>
      </w:r>
      <w:r>
        <w:t xml:space="preserve"> </w:t>
      </w:r>
      <w:r>
        <w:rPr>
          <w:b/>
          <w:bCs/>
        </w:rPr>
        <w:t>С этой целью он рекомендует учитывать концептуальные и методологические рамки для показателей в области прав человека, которые были разработаны Управлением Верховного комиссара Организации Объединенных Наций по правам человека</w:t>
      </w:r>
      <w:r w:rsidRPr="00EF093C">
        <w:rPr>
          <w:rStyle w:val="a8"/>
          <w:rFonts w:cstheme="majorBidi"/>
          <w:szCs w:val="18"/>
        </w:rPr>
        <w:footnoteReference w:id="13"/>
      </w:r>
      <w:r>
        <w:rPr>
          <w:b/>
          <w:bCs/>
        </w:rPr>
        <w:t>.</w:t>
      </w:r>
    </w:p>
    <w:p w14:paraId="59008AB1" w14:textId="77777777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60.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национальном, региональном и местном уровнях, в частности среди парламентариев, государственных должностных лиц и судебных органов, и в своем следующем периодическом докладе представить информацию о мерах, принятых для их осуществления.</w:t>
      </w:r>
      <w:r>
        <w:t xml:space="preserve"> </w:t>
      </w:r>
      <w:r>
        <w:rPr>
          <w:b/>
          <w:bCs/>
        </w:rPr>
        <w:t>Комитет подчеркивает важнейшую роль Конгресса в реализации настоящих заключительных замечаний и призывает государство-участник обеспечить его участие в будущих процедурах представления докладов и последующей деятельности.</w:t>
      </w:r>
      <w:r>
        <w:t xml:space="preserve"> </w:t>
      </w:r>
      <w:r>
        <w:rPr>
          <w:b/>
          <w:bCs/>
        </w:rPr>
        <w:t>Комитет призывает государство-участник привлечь Управление Народного защитника, неправительственные организации и других членов гражданского общества к работе по реализации настоящих заключительных замечаний, а также к процессу консультаций, которые будут проводиться на национальном уровне перед представлением следующего периодического доклада государства-участника.</w:t>
      </w:r>
    </w:p>
    <w:p w14:paraId="04D58750" w14:textId="4F91AC21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61.</w:t>
      </w:r>
      <w:r>
        <w:tab/>
      </w:r>
      <w:r>
        <w:rPr>
          <w:b/>
          <w:bCs/>
        </w:rPr>
        <w:t xml:space="preserve">В соответствии с процедурой последующих действий по осуществлению принятых Комитетом заключительных замечаний государству-участнику предлагается представить в течение 24 месяцев с момента принятия настоящих заключительных замечаний (31 марта 2027 года) информацию о выполнении </w:t>
      </w:r>
      <w:r>
        <w:rPr>
          <w:b/>
          <w:bCs/>
        </w:rPr>
        <w:lastRenderedPageBreak/>
        <w:t xml:space="preserve">рекомендаций Комитета, содержащихся в пунктах 9 b) (правозащитники), </w:t>
      </w:r>
      <w:r w:rsidR="009E242D">
        <w:rPr>
          <w:b/>
          <w:bCs/>
        </w:rPr>
        <w:br/>
      </w:r>
      <w:r>
        <w:rPr>
          <w:b/>
          <w:bCs/>
        </w:rPr>
        <w:t>41 а) (адаптация к изменению климата) и 43 а) (право на достаточное питание).</w:t>
      </w:r>
    </w:p>
    <w:p w14:paraId="0EB4C7D4" w14:textId="6F9710DF" w:rsidR="00B60511" w:rsidRPr="00F803B5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rPr>
          <w:rFonts w:asciiTheme="majorBidi" w:hAnsiTheme="majorBidi" w:cstheme="majorBidi"/>
          <w:b/>
        </w:rPr>
      </w:pPr>
      <w:r>
        <w:t>62.</w:t>
      </w:r>
      <w:r>
        <w:tab/>
      </w:r>
      <w:r>
        <w:rPr>
          <w:b/>
          <w:bCs/>
        </w:rPr>
        <w:t>Комитет просит государство-участник представить свой шестой периодический доклад в соответствии со статьей 16 Пакта не позднее 31 марта 2030 года, если только оно не будет уведомлено об изменении цикла обзора.</w:t>
      </w:r>
      <w:r>
        <w:t xml:space="preserve"> </w:t>
      </w:r>
      <w:r>
        <w:rPr>
          <w:b/>
          <w:bCs/>
        </w:rPr>
        <w:t>В</w:t>
      </w:r>
      <w:r w:rsidR="009E242D">
        <w:rPr>
          <w:b/>
          <w:bCs/>
        </w:rPr>
        <w:t> </w:t>
      </w:r>
      <w:r>
        <w:rPr>
          <w:b/>
          <w:bCs/>
        </w:rPr>
        <w:t>соответствии с резолюцией 68/268 Генеральной Ассамблеи объем доклада не должен превышать 21 200 слов.</w:t>
      </w:r>
      <w:r>
        <w:t xml:space="preserve"> </w:t>
      </w:r>
      <w:r>
        <w:rPr>
          <w:b/>
          <w:bCs/>
        </w:rPr>
        <w:t>Кроме того, он предлагает государству-участнику при необходимости обновить свой общий базовый документ в соответствии с согласованными руководящими принципами представления докладов согласно международным договорам по правам человека</w:t>
      </w:r>
      <w:r w:rsidRPr="00EF093C">
        <w:rPr>
          <w:rStyle w:val="a8"/>
          <w:rFonts w:cstheme="majorBidi"/>
          <w:szCs w:val="18"/>
        </w:rPr>
        <w:footnoteReference w:id="14"/>
      </w:r>
      <w:r>
        <w:rPr>
          <w:b/>
          <w:bCs/>
        </w:rPr>
        <w:t>.</w:t>
      </w:r>
    </w:p>
    <w:p w14:paraId="677EBFD7" w14:textId="77777777" w:rsidR="0038407B" w:rsidRDefault="00B60511" w:rsidP="00B60511">
      <w:pPr>
        <w:pStyle w:val="SingleTxtG"/>
        <w:tabs>
          <w:tab w:val="clear" w:pos="1701"/>
          <w:tab w:val="clear" w:pos="2268"/>
          <w:tab w:val="clear" w:pos="2835"/>
        </w:tabs>
        <w:spacing w:before="240" w:after="0"/>
        <w:ind w:left="0" w:right="0"/>
        <w:jc w:val="center"/>
        <w:rPr>
          <w:u w:val="single"/>
        </w:rPr>
      </w:pPr>
      <w:r w:rsidRPr="00F803B5">
        <w:rPr>
          <w:u w:val="single"/>
        </w:rPr>
        <w:tab/>
      </w:r>
      <w:r w:rsidRPr="00F803B5">
        <w:rPr>
          <w:u w:val="single"/>
        </w:rPr>
        <w:tab/>
      </w:r>
      <w:r w:rsidRPr="00F803B5">
        <w:rPr>
          <w:u w:val="single"/>
        </w:rPr>
        <w:tab/>
      </w:r>
    </w:p>
    <w:p w14:paraId="1FEC6886" w14:textId="3A3D94B5" w:rsidR="00381C24" w:rsidRPr="00B60511" w:rsidRDefault="00381C24" w:rsidP="00896BA2"/>
    <w:sectPr w:rsidR="00381C24" w:rsidRPr="00B60511" w:rsidSect="00B6051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ED4EA" w14:textId="77777777" w:rsidR="006C3911" w:rsidRPr="00A312BC" w:rsidRDefault="006C3911" w:rsidP="00A312BC"/>
  </w:endnote>
  <w:endnote w:type="continuationSeparator" w:id="0">
    <w:p w14:paraId="5051E555" w14:textId="77777777" w:rsidR="006C3911" w:rsidRPr="00A312BC" w:rsidRDefault="006C391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FDC54" w14:textId="25F51C8C" w:rsidR="00B60511" w:rsidRPr="00B60511" w:rsidRDefault="00B60511">
    <w:pPr>
      <w:pStyle w:val="aa"/>
    </w:pPr>
    <w:r w:rsidRPr="00B60511">
      <w:rPr>
        <w:b/>
        <w:sz w:val="18"/>
      </w:rPr>
      <w:fldChar w:fldCharType="begin"/>
    </w:r>
    <w:r w:rsidRPr="00B60511">
      <w:rPr>
        <w:b/>
        <w:sz w:val="18"/>
      </w:rPr>
      <w:instrText xml:space="preserve"> PAGE  \* MERGEFORMAT </w:instrText>
    </w:r>
    <w:r w:rsidRPr="00B60511">
      <w:rPr>
        <w:b/>
        <w:sz w:val="18"/>
      </w:rPr>
      <w:fldChar w:fldCharType="separate"/>
    </w:r>
    <w:r w:rsidRPr="00B60511">
      <w:rPr>
        <w:b/>
        <w:noProof/>
        <w:sz w:val="18"/>
      </w:rPr>
      <w:t>2</w:t>
    </w:r>
    <w:r w:rsidRPr="00B60511">
      <w:rPr>
        <w:b/>
        <w:sz w:val="18"/>
      </w:rPr>
      <w:fldChar w:fldCharType="end"/>
    </w:r>
    <w:r>
      <w:rPr>
        <w:b/>
        <w:sz w:val="18"/>
      </w:rPr>
      <w:tab/>
    </w:r>
    <w:r>
      <w:t>GE.25-03651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D4E81" w14:textId="0FC02216" w:rsidR="00B60511" w:rsidRPr="00B60511" w:rsidRDefault="00B60511" w:rsidP="00B60511">
    <w:pPr>
      <w:pStyle w:val="aa"/>
      <w:tabs>
        <w:tab w:val="clear" w:pos="9639"/>
        <w:tab w:val="right" w:pos="9638"/>
      </w:tabs>
      <w:rPr>
        <w:b/>
        <w:sz w:val="18"/>
      </w:rPr>
    </w:pPr>
    <w:r>
      <w:t>GE.25-03651</w:t>
    </w:r>
    <w:r>
      <w:tab/>
    </w:r>
    <w:r w:rsidRPr="00B60511">
      <w:rPr>
        <w:b/>
        <w:sz w:val="18"/>
      </w:rPr>
      <w:fldChar w:fldCharType="begin"/>
    </w:r>
    <w:r w:rsidRPr="00B60511">
      <w:rPr>
        <w:b/>
        <w:sz w:val="18"/>
      </w:rPr>
      <w:instrText xml:space="preserve"> PAGE  \* MERGEFORMAT </w:instrText>
    </w:r>
    <w:r w:rsidRPr="00B60511">
      <w:rPr>
        <w:b/>
        <w:sz w:val="18"/>
      </w:rPr>
      <w:fldChar w:fldCharType="separate"/>
    </w:r>
    <w:r w:rsidRPr="00B60511">
      <w:rPr>
        <w:b/>
        <w:noProof/>
        <w:sz w:val="18"/>
      </w:rPr>
      <w:t>3</w:t>
    </w:r>
    <w:r w:rsidRPr="00B6051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C46E9" w14:textId="602DDB0C" w:rsidR="00042B72" w:rsidRPr="00B60511" w:rsidRDefault="00B60511" w:rsidP="00B6051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6218DC8" wp14:editId="41D18FE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25-03651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EFE806B" wp14:editId="52CE518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250525  230525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C0A42" w14:textId="77777777" w:rsidR="006C3911" w:rsidRPr="001075E9" w:rsidRDefault="006C391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832452D" w14:textId="77777777" w:rsidR="006C3911" w:rsidRDefault="006C391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FB619A4" w14:textId="53D78F18" w:rsidR="00B60511" w:rsidRPr="00F803B5" w:rsidRDefault="00B60511" w:rsidP="00B60511">
      <w:pPr>
        <w:pStyle w:val="af"/>
        <w:rPr>
          <w:sz w:val="20"/>
        </w:rPr>
      </w:pPr>
      <w:r>
        <w:tab/>
      </w:r>
      <w:r w:rsidRPr="00B60511">
        <w:rPr>
          <w:sz w:val="20"/>
        </w:rPr>
        <w:t>*</w:t>
      </w:r>
      <w:r>
        <w:tab/>
        <w:t>Приняты Комитетом на его семьдесят седьмой сессии (10–28 февраля 2025 года).</w:t>
      </w:r>
    </w:p>
  </w:footnote>
  <w:footnote w:id="2">
    <w:p w14:paraId="3802AB54" w14:textId="75413FB7" w:rsidR="00B60511" w:rsidRPr="00F803B5" w:rsidRDefault="00B60511" w:rsidP="00B60511">
      <w:pPr>
        <w:pStyle w:val="af"/>
        <w:rPr>
          <w:lang w:val="de-CH"/>
        </w:rPr>
      </w:pPr>
      <w:r w:rsidRPr="003F7612">
        <w:tab/>
      </w:r>
      <w:r w:rsidRPr="009C4A7A">
        <w:rPr>
          <w:rStyle w:val="a8"/>
        </w:rPr>
        <w:footnoteRef/>
      </w:r>
      <w:r w:rsidRPr="00F803B5">
        <w:rPr>
          <w:lang w:val="de-CH"/>
        </w:rPr>
        <w:tab/>
      </w:r>
      <w:hyperlink r:id="rId1" w:history="1">
        <w:r w:rsidRPr="00B60511">
          <w:rPr>
            <w:rStyle w:val="a7"/>
            <w:lang w:val="de-CH"/>
          </w:rPr>
          <w:t>E/C.12/PER/5</w:t>
        </w:r>
      </w:hyperlink>
      <w:r w:rsidRPr="00F803B5">
        <w:rPr>
          <w:lang w:val="de-CH"/>
        </w:rPr>
        <w:t>.</w:t>
      </w:r>
    </w:p>
  </w:footnote>
  <w:footnote w:id="3">
    <w:p w14:paraId="59738E01" w14:textId="63B1B39A" w:rsidR="00B60511" w:rsidRPr="00F803B5" w:rsidRDefault="00B60511" w:rsidP="00B60511">
      <w:pPr>
        <w:pStyle w:val="af"/>
        <w:rPr>
          <w:lang w:val="de-CH"/>
        </w:rPr>
      </w:pPr>
      <w:r w:rsidRPr="00F803B5">
        <w:rPr>
          <w:lang w:val="de-CH"/>
        </w:rPr>
        <w:tab/>
      </w:r>
      <w:r w:rsidRPr="009C4A7A">
        <w:rPr>
          <w:rStyle w:val="a8"/>
        </w:rPr>
        <w:footnoteRef/>
      </w:r>
      <w:r w:rsidRPr="00F803B5">
        <w:rPr>
          <w:lang w:val="de-CH"/>
        </w:rPr>
        <w:tab/>
      </w:r>
      <w:r>
        <w:t>См</w:t>
      </w:r>
      <w:r w:rsidRPr="00F803B5">
        <w:rPr>
          <w:lang w:val="de-CH"/>
        </w:rPr>
        <w:t xml:space="preserve">. </w:t>
      </w:r>
      <w:hyperlink r:id="rId2" w:history="1">
        <w:r w:rsidRPr="00B60511">
          <w:rPr>
            <w:rStyle w:val="a7"/>
            <w:lang w:val="de-CH"/>
          </w:rPr>
          <w:t>E/C.12/2025/SR.6</w:t>
        </w:r>
      </w:hyperlink>
      <w:r w:rsidRPr="00F803B5">
        <w:rPr>
          <w:lang w:val="de-CH"/>
        </w:rPr>
        <w:t xml:space="preserve"> </w:t>
      </w:r>
      <w:r>
        <w:t>и</w:t>
      </w:r>
      <w:r w:rsidRPr="00F803B5">
        <w:rPr>
          <w:lang w:val="de-CH"/>
        </w:rPr>
        <w:t xml:space="preserve"> </w:t>
      </w:r>
      <w:hyperlink r:id="rId3" w:history="1">
        <w:r w:rsidRPr="00B60511">
          <w:rPr>
            <w:rStyle w:val="a7"/>
            <w:lang w:val="de-CH"/>
          </w:rPr>
          <w:t>E/C.12/2025/SR.8</w:t>
        </w:r>
      </w:hyperlink>
      <w:r w:rsidRPr="00F803B5">
        <w:rPr>
          <w:lang w:val="de-CH"/>
        </w:rPr>
        <w:t>.</w:t>
      </w:r>
    </w:p>
  </w:footnote>
  <w:footnote w:id="4">
    <w:p w14:paraId="411BAA0F" w14:textId="23BEEE90" w:rsidR="00B60511" w:rsidRPr="00B60511" w:rsidRDefault="00B60511" w:rsidP="00B60511">
      <w:pPr>
        <w:pStyle w:val="af"/>
        <w:rPr>
          <w:lang w:val="de-CH"/>
        </w:rPr>
      </w:pPr>
      <w:r w:rsidRPr="00F803B5">
        <w:rPr>
          <w:lang w:val="de-CH"/>
        </w:rPr>
        <w:tab/>
      </w:r>
      <w:r w:rsidRPr="009C4A7A">
        <w:rPr>
          <w:rStyle w:val="a8"/>
        </w:rPr>
        <w:footnoteRef/>
      </w:r>
      <w:r w:rsidRPr="00B60511">
        <w:rPr>
          <w:lang w:val="de-CH"/>
        </w:rPr>
        <w:tab/>
      </w:r>
      <w:hyperlink r:id="rId4" w:history="1">
        <w:r w:rsidRPr="00B60511">
          <w:rPr>
            <w:rStyle w:val="a7"/>
            <w:lang w:val="de-CH"/>
          </w:rPr>
          <w:t>E/C.12/PER/RQ/5</w:t>
        </w:r>
      </w:hyperlink>
      <w:r w:rsidRPr="00B60511">
        <w:rPr>
          <w:lang w:val="de-CH"/>
        </w:rPr>
        <w:t>.</w:t>
      </w:r>
    </w:p>
  </w:footnote>
  <w:footnote w:id="5">
    <w:p w14:paraId="5D57D84A" w14:textId="57E494A0" w:rsidR="00B60511" w:rsidRPr="00F803B5" w:rsidRDefault="00B60511" w:rsidP="00B60511">
      <w:pPr>
        <w:pStyle w:val="af"/>
        <w:rPr>
          <w:lang w:val="en-US"/>
        </w:rPr>
      </w:pPr>
      <w:r w:rsidRPr="00B60511">
        <w:rPr>
          <w:lang w:val="de-CH"/>
        </w:rPr>
        <w:tab/>
      </w:r>
      <w:r>
        <w:rPr>
          <w:rStyle w:val="a8"/>
        </w:rPr>
        <w:footnoteRef/>
      </w:r>
      <w:r w:rsidRPr="00F803B5">
        <w:rPr>
          <w:lang w:val="en-US"/>
        </w:rPr>
        <w:tab/>
      </w:r>
      <w:hyperlink r:id="rId5" w:history="1">
        <w:r w:rsidRPr="00B60511">
          <w:rPr>
            <w:rStyle w:val="a7"/>
            <w:lang w:val="en-US"/>
          </w:rPr>
          <w:t>CCPR/C/PER/CO/6</w:t>
        </w:r>
      </w:hyperlink>
      <w:r w:rsidRPr="00F803B5">
        <w:rPr>
          <w:lang w:val="en-US"/>
        </w:rPr>
        <w:t xml:space="preserve">, </w:t>
      </w:r>
      <w:r>
        <w:t>п</w:t>
      </w:r>
      <w:r w:rsidRPr="00F803B5">
        <w:rPr>
          <w:lang w:val="en-US"/>
        </w:rPr>
        <w:t>. 13.</w:t>
      </w:r>
    </w:p>
  </w:footnote>
  <w:footnote w:id="6">
    <w:p w14:paraId="0E117CBB" w14:textId="6649573B" w:rsidR="00B60511" w:rsidRPr="00F803B5" w:rsidRDefault="00B60511" w:rsidP="00B60511">
      <w:pPr>
        <w:pStyle w:val="af"/>
        <w:rPr>
          <w:lang w:val="en-US"/>
        </w:rPr>
      </w:pPr>
      <w:r w:rsidRPr="00F803B5">
        <w:rPr>
          <w:lang w:val="en-US"/>
        </w:rPr>
        <w:tab/>
      </w:r>
      <w:r>
        <w:rPr>
          <w:rStyle w:val="a8"/>
        </w:rPr>
        <w:footnoteRef/>
      </w:r>
      <w:r w:rsidRPr="00F803B5">
        <w:rPr>
          <w:lang w:val="en-US"/>
        </w:rPr>
        <w:tab/>
      </w:r>
      <w:hyperlink r:id="rId6" w:history="1">
        <w:r w:rsidRPr="00B60511">
          <w:rPr>
            <w:rStyle w:val="a7"/>
            <w:lang w:val="en-US"/>
          </w:rPr>
          <w:t>E/C.12/2016/2</w:t>
        </w:r>
      </w:hyperlink>
      <w:r w:rsidRPr="00F803B5">
        <w:rPr>
          <w:lang w:val="en-US"/>
        </w:rPr>
        <w:t>.</w:t>
      </w:r>
    </w:p>
  </w:footnote>
  <w:footnote w:id="7">
    <w:p w14:paraId="4FEAD059" w14:textId="37644AF5" w:rsidR="00B60511" w:rsidRPr="00F803B5" w:rsidRDefault="00B60511" w:rsidP="00B60511">
      <w:pPr>
        <w:pStyle w:val="af"/>
        <w:rPr>
          <w:lang w:val="en-US"/>
        </w:rPr>
      </w:pPr>
      <w:r w:rsidRPr="00F803B5">
        <w:rPr>
          <w:lang w:val="en-US"/>
        </w:rPr>
        <w:tab/>
      </w:r>
      <w:r>
        <w:rPr>
          <w:rStyle w:val="a8"/>
        </w:rPr>
        <w:footnoteRef/>
      </w:r>
      <w:r w:rsidRPr="00F803B5">
        <w:rPr>
          <w:lang w:val="en-US"/>
        </w:rPr>
        <w:tab/>
      </w:r>
      <w:hyperlink r:id="rId7" w:history="1">
        <w:r w:rsidRPr="00B60511">
          <w:rPr>
            <w:rStyle w:val="a7"/>
            <w:lang w:val="en-US"/>
          </w:rPr>
          <w:t>CCPR/C/PER/CO/6</w:t>
        </w:r>
      </w:hyperlink>
      <w:r w:rsidRPr="00F803B5">
        <w:rPr>
          <w:lang w:val="en-US"/>
        </w:rPr>
        <w:t xml:space="preserve">, </w:t>
      </w:r>
      <w:r>
        <w:t>пп</w:t>
      </w:r>
      <w:r w:rsidRPr="00F803B5">
        <w:rPr>
          <w:lang w:val="en-US"/>
        </w:rPr>
        <w:t xml:space="preserve">. 38 </w:t>
      </w:r>
      <w:r>
        <w:t>и</w:t>
      </w:r>
      <w:r w:rsidRPr="00F803B5">
        <w:rPr>
          <w:lang w:val="en-US"/>
        </w:rPr>
        <w:t xml:space="preserve"> 39.</w:t>
      </w:r>
    </w:p>
  </w:footnote>
  <w:footnote w:id="8">
    <w:p w14:paraId="7E47CBEE" w14:textId="03308446" w:rsidR="00B60511" w:rsidRPr="00F803B5" w:rsidRDefault="00B60511" w:rsidP="00B60511">
      <w:pPr>
        <w:pStyle w:val="af"/>
        <w:widowControl w:val="0"/>
        <w:rPr>
          <w:lang w:val="en-US"/>
        </w:rPr>
      </w:pPr>
      <w:r w:rsidRPr="00F803B5">
        <w:rPr>
          <w:lang w:val="en-US"/>
        </w:rPr>
        <w:tab/>
      </w:r>
      <w:r>
        <w:rPr>
          <w:rStyle w:val="a8"/>
        </w:rPr>
        <w:footnoteRef/>
      </w:r>
      <w:r w:rsidRPr="00F803B5">
        <w:rPr>
          <w:lang w:val="en-US"/>
        </w:rPr>
        <w:tab/>
      </w:r>
      <w:hyperlink r:id="rId8" w:history="1">
        <w:r w:rsidRPr="00B60511">
          <w:rPr>
            <w:rStyle w:val="a7"/>
            <w:lang w:val="en-US"/>
          </w:rPr>
          <w:t>E/C.12/2018/1</w:t>
        </w:r>
      </w:hyperlink>
      <w:r w:rsidRPr="00F803B5">
        <w:rPr>
          <w:lang w:val="en-US"/>
        </w:rPr>
        <w:t>.</w:t>
      </w:r>
    </w:p>
  </w:footnote>
  <w:footnote w:id="9">
    <w:p w14:paraId="2367755B" w14:textId="32EE2C47" w:rsidR="00B60511" w:rsidRPr="00F803B5" w:rsidRDefault="00B60511" w:rsidP="00B60511">
      <w:pPr>
        <w:pStyle w:val="af"/>
        <w:rPr>
          <w:lang w:val="en-US"/>
        </w:rPr>
      </w:pPr>
      <w:r w:rsidRPr="00F803B5">
        <w:rPr>
          <w:lang w:val="en-US"/>
        </w:rPr>
        <w:tab/>
      </w:r>
      <w:r>
        <w:rPr>
          <w:rStyle w:val="a8"/>
        </w:rPr>
        <w:footnoteRef/>
      </w:r>
      <w:r w:rsidRPr="00F803B5">
        <w:rPr>
          <w:lang w:val="en-US"/>
        </w:rPr>
        <w:tab/>
      </w:r>
      <w:hyperlink r:id="rId9" w:history="1">
        <w:r w:rsidRPr="00B60511">
          <w:rPr>
            <w:rStyle w:val="a7"/>
            <w:lang w:val="en-US"/>
          </w:rPr>
          <w:t>CCPR/C/PER/CO/6</w:t>
        </w:r>
      </w:hyperlink>
      <w:r w:rsidRPr="00F803B5">
        <w:rPr>
          <w:lang w:val="en-US"/>
        </w:rPr>
        <w:t xml:space="preserve">, </w:t>
      </w:r>
      <w:r>
        <w:t>пп</w:t>
      </w:r>
      <w:r w:rsidRPr="00F803B5">
        <w:rPr>
          <w:lang w:val="en-US"/>
        </w:rPr>
        <w:t xml:space="preserve">. 42 </w:t>
      </w:r>
      <w:r>
        <w:t>и</w:t>
      </w:r>
      <w:r w:rsidRPr="00F803B5">
        <w:rPr>
          <w:lang w:val="en-US"/>
        </w:rPr>
        <w:t xml:space="preserve"> 43.</w:t>
      </w:r>
    </w:p>
  </w:footnote>
  <w:footnote w:id="10">
    <w:p w14:paraId="530DDC54" w14:textId="77777777" w:rsidR="00B60511" w:rsidRPr="00F803B5" w:rsidRDefault="00B60511" w:rsidP="00B60511">
      <w:pPr>
        <w:pStyle w:val="af"/>
      </w:pPr>
      <w:r w:rsidRPr="00F803B5">
        <w:rPr>
          <w:lang w:val="en-US"/>
        </w:rPr>
        <w:tab/>
      </w:r>
      <w:r>
        <w:rPr>
          <w:rStyle w:val="a8"/>
        </w:rPr>
        <w:footnoteRef/>
      </w:r>
      <w:r>
        <w:tab/>
        <w:t>Замечание общего порядка № 18 (2005), п. 25.</w:t>
      </w:r>
    </w:p>
  </w:footnote>
  <w:footnote w:id="11">
    <w:p w14:paraId="55CA6C2A" w14:textId="0F48E03A" w:rsidR="00B60511" w:rsidRPr="00B60511" w:rsidRDefault="00B60511" w:rsidP="00B60511">
      <w:pPr>
        <w:pStyle w:val="af"/>
        <w:rPr>
          <w:lang w:val="en-US"/>
        </w:rPr>
      </w:pPr>
      <w:r w:rsidRPr="00EF093C">
        <w:tab/>
      </w:r>
      <w:r>
        <w:rPr>
          <w:rStyle w:val="a8"/>
        </w:rPr>
        <w:footnoteRef/>
      </w:r>
      <w:r w:rsidRPr="00B60511">
        <w:rPr>
          <w:lang w:val="en-US"/>
        </w:rPr>
        <w:tab/>
      </w:r>
      <w:hyperlink r:id="rId10" w:history="1">
        <w:r w:rsidRPr="00B60511">
          <w:rPr>
            <w:rStyle w:val="a7"/>
            <w:lang w:val="en-US"/>
          </w:rPr>
          <w:t>CRC/C/PER/CO/6-7</w:t>
        </w:r>
      </w:hyperlink>
      <w:r w:rsidRPr="00B60511">
        <w:rPr>
          <w:lang w:val="en-US"/>
        </w:rPr>
        <w:t xml:space="preserve">, </w:t>
      </w:r>
      <w:r>
        <w:t>п</w:t>
      </w:r>
      <w:r w:rsidRPr="00B60511">
        <w:rPr>
          <w:lang w:val="en-US"/>
        </w:rPr>
        <w:t>. 23 k).</w:t>
      </w:r>
    </w:p>
  </w:footnote>
  <w:footnote w:id="12">
    <w:p w14:paraId="51A46571" w14:textId="6EAF20FE" w:rsidR="00B60511" w:rsidRPr="00F803B5" w:rsidRDefault="00B60511" w:rsidP="00B60511">
      <w:pPr>
        <w:pStyle w:val="af"/>
        <w:widowControl w:val="0"/>
      </w:pPr>
      <w:r w:rsidRPr="00B60511">
        <w:rPr>
          <w:lang w:val="en-US"/>
        </w:rPr>
        <w:tab/>
      </w:r>
      <w:r>
        <w:rPr>
          <w:rStyle w:val="a8"/>
        </w:rPr>
        <w:footnoteRef/>
      </w:r>
      <w:r>
        <w:tab/>
        <w:t xml:space="preserve">Как, например, было сделано в случае Дополнительного протокола к Американской конвенции о правах человека, касающегося экономических, социальных и культурных прав </w:t>
      </w:r>
      <w:r w:rsidR="009E242D">
        <w:br/>
      </w:r>
      <w:r>
        <w:t xml:space="preserve">(Сан-Сальвадорский протокол). См. </w:t>
      </w:r>
      <w:hyperlink r:id="rId11" w:history="1">
        <w:r w:rsidR="009E242D" w:rsidRPr="00A262A3">
          <w:rPr>
            <w:rStyle w:val="a7"/>
          </w:rPr>
          <w:t>URL:https://www.oas.org/es/sadye/inclusion-social/protocolo-ssv</w:t>
        </w:r>
      </w:hyperlink>
      <w:r>
        <w:t>.</w:t>
      </w:r>
    </w:p>
  </w:footnote>
  <w:footnote w:id="13">
    <w:p w14:paraId="2AD48641" w14:textId="63CEEBCA" w:rsidR="00B60511" w:rsidRPr="00F803B5" w:rsidRDefault="00B60511" w:rsidP="00B60511">
      <w:pPr>
        <w:pStyle w:val="af"/>
        <w:widowControl w:val="0"/>
        <w:rPr>
          <w:lang w:val="de-CH"/>
        </w:rPr>
      </w:pPr>
      <w:r w:rsidRPr="00EF093C">
        <w:tab/>
      </w:r>
      <w:r>
        <w:rPr>
          <w:rStyle w:val="a8"/>
        </w:rPr>
        <w:footnoteRef/>
      </w:r>
      <w:r w:rsidRPr="00F803B5">
        <w:rPr>
          <w:lang w:val="de-CH"/>
        </w:rPr>
        <w:tab/>
      </w:r>
      <w:r>
        <w:t>См</w:t>
      </w:r>
      <w:r w:rsidRPr="00F803B5">
        <w:rPr>
          <w:lang w:val="de-CH"/>
        </w:rPr>
        <w:t xml:space="preserve">. </w:t>
      </w:r>
      <w:hyperlink r:id="rId12" w:history="1">
        <w:r w:rsidRPr="00B60511">
          <w:rPr>
            <w:rStyle w:val="a7"/>
            <w:lang w:val="de-CH"/>
          </w:rPr>
          <w:t>HRI/MC/2008/3</w:t>
        </w:r>
      </w:hyperlink>
      <w:r w:rsidRPr="00F803B5">
        <w:rPr>
          <w:lang w:val="de-CH"/>
        </w:rPr>
        <w:t>.</w:t>
      </w:r>
    </w:p>
  </w:footnote>
  <w:footnote w:id="14">
    <w:p w14:paraId="362F3C2A" w14:textId="6054A525" w:rsidR="00B60511" w:rsidRPr="00EF093C" w:rsidRDefault="00B60511" w:rsidP="00B60511">
      <w:pPr>
        <w:pStyle w:val="af"/>
        <w:widowControl w:val="0"/>
      </w:pPr>
      <w:r w:rsidRPr="00F803B5">
        <w:rPr>
          <w:lang w:val="de-CH"/>
        </w:rPr>
        <w:tab/>
      </w:r>
      <w:r>
        <w:rPr>
          <w:rStyle w:val="a8"/>
        </w:rPr>
        <w:footnoteRef/>
      </w:r>
      <w:r w:rsidRPr="00F803B5">
        <w:rPr>
          <w:lang w:val="de-CH"/>
        </w:rPr>
        <w:tab/>
      </w:r>
      <w:hyperlink r:id="rId13" w:history="1">
        <w:r w:rsidRPr="00B60511">
          <w:rPr>
            <w:rStyle w:val="a7"/>
            <w:lang w:val="de-CH"/>
          </w:rPr>
          <w:t>HRI/GEN/2/Rev.6</w:t>
        </w:r>
      </w:hyperlink>
      <w:r w:rsidRPr="00F803B5">
        <w:rPr>
          <w:lang w:val="de-CH"/>
        </w:rPr>
        <w:t xml:space="preserve">, </w:t>
      </w:r>
      <w:r>
        <w:t>гл</w:t>
      </w:r>
      <w:r w:rsidRPr="00F803B5">
        <w:rPr>
          <w:lang w:val="de-CH"/>
        </w:rPr>
        <w:t xml:space="preserve">. </w:t>
      </w:r>
      <w:r>
        <w:t>I.</w:t>
      </w:r>
      <w:bookmarkStart w:id="0" w:name="_Hlk193474468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0DFB2" w14:textId="6CF30D77" w:rsidR="00B60511" w:rsidRPr="00B60511" w:rsidRDefault="00B60511">
    <w:pPr>
      <w:pStyle w:val="a5"/>
    </w:pPr>
    <w:fldSimple w:instr=" TITLE  \* MERGEFORMAT ">
      <w:r w:rsidR="00811803">
        <w:t>E/C.12/PER/CO/5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84EEF" w14:textId="3499E9E3" w:rsidR="00B60511" w:rsidRPr="00B60511" w:rsidRDefault="00B60511" w:rsidP="00B60511">
    <w:pPr>
      <w:pStyle w:val="a5"/>
      <w:jc w:val="right"/>
    </w:pPr>
    <w:fldSimple w:instr=" TITLE  \* MERGEFORMAT ">
      <w:r w:rsidR="00811803">
        <w:t>E/C.12/PER/CO/5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911"/>
    <w:rsid w:val="000041D5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1F36F8"/>
    <w:rsid w:val="00203065"/>
    <w:rsid w:val="002979E2"/>
    <w:rsid w:val="002A0B6E"/>
    <w:rsid w:val="002A2EFC"/>
    <w:rsid w:val="002B74B1"/>
    <w:rsid w:val="002C0E18"/>
    <w:rsid w:val="002C6B56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27D5D"/>
    <w:rsid w:val="003402C2"/>
    <w:rsid w:val="00381C24"/>
    <w:rsid w:val="0038407B"/>
    <w:rsid w:val="003958D0"/>
    <w:rsid w:val="003A0D43"/>
    <w:rsid w:val="003B00E5"/>
    <w:rsid w:val="003D6B66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379CF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C391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11803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A24AC"/>
    <w:rsid w:val="009D467A"/>
    <w:rsid w:val="009E242D"/>
    <w:rsid w:val="009F1700"/>
    <w:rsid w:val="00A14DA8"/>
    <w:rsid w:val="00A21F00"/>
    <w:rsid w:val="00A312BC"/>
    <w:rsid w:val="00A84021"/>
    <w:rsid w:val="00A84D35"/>
    <w:rsid w:val="00A917B3"/>
    <w:rsid w:val="00AB2DBD"/>
    <w:rsid w:val="00AB4703"/>
    <w:rsid w:val="00AB4B51"/>
    <w:rsid w:val="00AC3430"/>
    <w:rsid w:val="00B10CC7"/>
    <w:rsid w:val="00B36DF7"/>
    <w:rsid w:val="00B520D9"/>
    <w:rsid w:val="00B539E7"/>
    <w:rsid w:val="00B60511"/>
    <w:rsid w:val="00B62458"/>
    <w:rsid w:val="00B94E4B"/>
    <w:rsid w:val="00BC18B2"/>
    <w:rsid w:val="00BD242E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D1D1E"/>
    <w:rsid w:val="00DD44B1"/>
    <w:rsid w:val="00DD78D1"/>
    <w:rsid w:val="00DE32CD"/>
    <w:rsid w:val="00DF71B9"/>
    <w:rsid w:val="00E73F76"/>
    <w:rsid w:val="00E77A26"/>
    <w:rsid w:val="00E90403"/>
    <w:rsid w:val="00EA2C9F"/>
    <w:rsid w:val="00EA420E"/>
    <w:rsid w:val="00EA70C2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7F715B"/>
  <w15:docId w15:val="{26EC23E0-5342-4260-AB85-BFE0AB617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uiPriority w:val="4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HChGChar">
    <w:name w:val="_ H _Ch_G Char"/>
    <w:link w:val="HChG"/>
    <w:rsid w:val="00B60511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locked/>
    <w:rsid w:val="00B60511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B605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E/C.12/2018/1" TargetMode="External"/><Relationship Id="rId13" Type="http://schemas.openxmlformats.org/officeDocument/2006/relationships/hyperlink" Target="http://undocs.org/ru/HRI/GEN/2/Rev.6" TargetMode="External"/><Relationship Id="rId3" Type="http://schemas.openxmlformats.org/officeDocument/2006/relationships/hyperlink" Target="http://undocs.org/ru/E/C.12/2025/SR.8" TargetMode="External"/><Relationship Id="rId7" Type="http://schemas.openxmlformats.org/officeDocument/2006/relationships/hyperlink" Target="http://undocs.org/ru/CCPR/C/PER/CO/6" TargetMode="External"/><Relationship Id="rId12" Type="http://schemas.openxmlformats.org/officeDocument/2006/relationships/hyperlink" Target="http://undocs.org/ru/HRI/MC/2008/3" TargetMode="External"/><Relationship Id="rId2" Type="http://schemas.openxmlformats.org/officeDocument/2006/relationships/hyperlink" Target="http://undocs.org/ru/E/C.12/2025/SR.6" TargetMode="External"/><Relationship Id="rId1" Type="http://schemas.openxmlformats.org/officeDocument/2006/relationships/hyperlink" Target="http://undocs.org/ru/E/C.12/PER/5" TargetMode="External"/><Relationship Id="rId6" Type="http://schemas.openxmlformats.org/officeDocument/2006/relationships/hyperlink" Target="http://undocs.org/ru/E/C.12/2016/2" TargetMode="External"/><Relationship Id="rId11" Type="http://schemas.openxmlformats.org/officeDocument/2006/relationships/hyperlink" Target="URL:https://www.oas.org/es/sadye/inclusion-social/protocolo-ssv" TargetMode="External"/><Relationship Id="rId5" Type="http://schemas.openxmlformats.org/officeDocument/2006/relationships/hyperlink" Target="http://undocs.org/ru/CCPR/C/PER/CO/6" TargetMode="External"/><Relationship Id="rId10" Type="http://schemas.openxmlformats.org/officeDocument/2006/relationships/hyperlink" Target="http://undocs.org/ru/CRC/C/PER/CO/6" TargetMode="External"/><Relationship Id="rId4" Type="http://schemas.openxmlformats.org/officeDocument/2006/relationships/hyperlink" Target="http://undocs.org/ru/E/C.12/PER/RQ/5" TargetMode="External"/><Relationship Id="rId9" Type="http://schemas.openxmlformats.org/officeDocument/2006/relationships/hyperlink" Target="http://undocs.org/ru/CCPR/C/PER/CO/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595207-9CB5-4C73-83CA-281ABA3B9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17</Pages>
  <Words>5553</Words>
  <Characters>45206</Characters>
  <Application>Microsoft Office Word</Application>
  <DocSecurity>0</DocSecurity>
  <Lines>5650</Lines>
  <Paragraphs>1750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E/C.12/PER/CO/5</vt:lpstr>
      <vt:lpstr>A/</vt:lpstr>
      <vt:lpstr>A/</vt:lpstr>
    </vt:vector>
  </TitlesOfParts>
  <Company>DCM</Company>
  <LinksUpToDate>false</LinksUpToDate>
  <CharactersWithSpaces>49009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E/C.12/PER/CO/5</dc:title>
  <dc:subject/>
  <dc:creator>Elena IZOTOVA</dc:creator>
  <cp:keywords/>
  <cp:lastModifiedBy>Elena Izotova</cp:lastModifiedBy>
  <cp:revision>3</cp:revision>
  <cp:lastPrinted>2025-05-23T14:54:00Z</cp:lastPrinted>
  <dcterms:created xsi:type="dcterms:W3CDTF">2025-05-23T14:54:00Z</dcterms:created>
  <dcterms:modified xsi:type="dcterms:W3CDTF">2025-05-23T14:54:00Z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