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5AC" w:rsidRDefault="00B775AC" w:rsidP="00B775AC">
      <w:pPr>
        <w:spacing w:line="60" w:lineRule="exact"/>
        <w:sectPr w:rsidR="00B775AC" w:rsidSect="00B775A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3Size =1Lang = C"/>
            <w10:wrap anchorx="page" anchory="page"/>
          </v:shape>
        </w:pict>
      </w:r>
      <w:commentRangeEnd w:id="0"/>
      <w:r>
        <w:rPr>
          <w:rStyle w:val="CommentReference"/>
        </w:rPr>
        <w:commentReference w:id="0"/>
      </w:r>
    </w:p>
    <w:p w:rsidR="00B775AC" w:rsidRDefault="00B775AC" w:rsidP="00B775AC">
      <w:pPr>
        <w:spacing w:line="60" w:lineRule="exact"/>
      </w:pPr>
    </w:p>
    <w:p w:rsidR="00EC4F68" w:rsidRDefault="00EC4F68" w:rsidP="00EC4F6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ascii="Times New Roman"/>
        </w:rPr>
      </w:pPr>
      <w:r>
        <w:rPr>
          <w:rFonts w:ascii="Times New Roman" w:hint="eastAsia"/>
        </w:rPr>
        <w:t>消除对妇女歧视委员会</w:t>
      </w:r>
    </w:p>
    <w:p w:rsidR="00EC4F68" w:rsidRDefault="00EC4F68" w:rsidP="00EC4F68">
      <w:pPr>
        <w:pStyle w:val="SingleTxt"/>
        <w:spacing w:after="60"/>
        <w:ind w:left="0"/>
        <w:rPr>
          <w:rFonts w:ascii="Times New Roman" w:eastAsia="SimHei"/>
        </w:rPr>
      </w:pPr>
      <w:r>
        <w:rPr>
          <w:rFonts w:ascii="Times New Roman" w:eastAsia="SimHei" w:hint="eastAsia"/>
        </w:rPr>
        <w:t>第五十七届会议</w:t>
      </w:r>
    </w:p>
    <w:p w:rsidR="00EC4F68" w:rsidRDefault="00EC4F68" w:rsidP="00EC4F68">
      <w:pPr>
        <w:pStyle w:val="SingleTxt"/>
        <w:spacing w:after="60"/>
        <w:ind w:left="0"/>
        <w:rPr>
          <w:rFonts w:ascii="Times New Roman"/>
        </w:rPr>
      </w:pPr>
      <w:r>
        <w:rPr>
          <w:rFonts w:ascii="Times New Roman"/>
        </w:rPr>
        <w:t>2014</w:t>
      </w:r>
      <w:r>
        <w:rPr>
          <w:rFonts w:ascii="Times New Roman" w:hint="eastAsia"/>
        </w:rPr>
        <w:t>年</w:t>
      </w:r>
      <w:r>
        <w:rPr>
          <w:rFonts w:ascii="Times New Roman"/>
        </w:rPr>
        <w:t>2</w:t>
      </w:r>
      <w:r>
        <w:rPr>
          <w:rFonts w:ascii="Times New Roman" w:hint="eastAsia"/>
        </w:rPr>
        <w:t>月</w:t>
      </w:r>
      <w:r>
        <w:rPr>
          <w:rFonts w:ascii="Times New Roman"/>
        </w:rPr>
        <w:t>10</w:t>
      </w:r>
      <w:r>
        <w:rPr>
          <w:rFonts w:ascii="Times New Roman" w:hint="eastAsia"/>
        </w:rPr>
        <w:t>日至</w:t>
      </w:r>
      <w:r>
        <w:rPr>
          <w:rFonts w:ascii="Times New Roman"/>
        </w:rPr>
        <w:t>28</w:t>
      </w:r>
      <w:r>
        <w:rPr>
          <w:rFonts w:ascii="Times New Roman" w:hint="eastAsia"/>
        </w:rPr>
        <w:t>日</w:t>
      </w:r>
    </w:p>
    <w:p w:rsidR="00EC4F68" w:rsidRDefault="00EC4F68" w:rsidP="00EC4F68">
      <w:pPr>
        <w:framePr w:w="9792" w:h="432" w:hSpace="180" w:wrap="around" w:hAnchor="page" w:x="1210" w:yAlign="bottom"/>
        <w:spacing w:line="100" w:lineRule="exact"/>
        <w:rPr>
          <w:rFonts w:ascii="Times New Roman"/>
          <w:sz w:val="10"/>
        </w:rPr>
      </w:pPr>
    </w:p>
    <w:p w:rsidR="00EC4F68" w:rsidRDefault="00EC4F68" w:rsidP="00EC4F68">
      <w:pPr>
        <w:framePr w:w="9792" w:h="432" w:hSpace="180" w:wrap="around" w:hAnchor="page" w:x="1210" w:yAlign="bottom"/>
        <w:spacing w:line="60" w:lineRule="exact"/>
        <w:rPr>
          <w:rFonts w:ascii="Times New Roman"/>
          <w:sz w:val="6"/>
        </w:rPr>
      </w:pPr>
      <w:r>
        <w:pict>
          <v:line id="_x0000_s1027" style="position:absolute;left:0;text-align:left;z-index:2;mso-position-horizontal-relative:page" from="108pt,-1pt" to="180pt,-1pt" strokeweight=".25pt">
            <w10:wrap anchorx="page"/>
          </v:line>
        </w:pict>
      </w:r>
    </w:p>
    <w:p w:rsidR="00EC4F68" w:rsidRDefault="00EC4F68" w:rsidP="00EC4F6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ascii="Times New Roman"/>
          <w:sz w:val="18"/>
        </w:rPr>
      </w:pPr>
      <w:r>
        <w:rPr>
          <w:rFonts w:ascii="Times New Roman"/>
          <w:sz w:val="18"/>
        </w:rPr>
        <w:tab/>
      </w:r>
      <w:r>
        <w:rPr>
          <w:rFonts w:ascii="Times New Roman"/>
          <w:sz w:val="18"/>
          <w:vertAlign w:val="superscript"/>
        </w:rPr>
        <w:t>*</w:t>
      </w:r>
      <w:r>
        <w:rPr>
          <w:rFonts w:ascii="Times New Roman"/>
          <w:sz w:val="18"/>
        </w:rPr>
        <w:tab/>
      </w:r>
      <w:r w:rsidRPr="000761D7">
        <w:rPr>
          <w:rFonts w:ascii="Times New Roman"/>
          <w:sz w:val="18"/>
        </w:rPr>
        <w:t>CEDAW/C/57/1</w:t>
      </w:r>
      <w:r>
        <w:rPr>
          <w:rFonts w:ascii="Times New Roman" w:hint="eastAsia"/>
          <w:sz w:val="18"/>
        </w:rPr>
        <w:t>。</w:t>
      </w:r>
    </w:p>
    <w:p w:rsidR="00EC4F68" w:rsidRDefault="00EC4F68" w:rsidP="00EC4F68">
      <w:pPr>
        <w:pStyle w:val="SingleTxt"/>
        <w:spacing w:after="60"/>
        <w:ind w:left="0"/>
        <w:rPr>
          <w:rFonts w:ascii="Times New Roman"/>
        </w:rPr>
      </w:pPr>
      <w:r>
        <w:rPr>
          <w:rFonts w:ascii="Times New Roman" w:hint="eastAsia"/>
        </w:rPr>
        <w:t>临时议程</w:t>
      </w:r>
      <w:r>
        <w:rPr>
          <w:rFonts w:ascii="Times New Roman"/>
          <w:vertAlign w:val="superscript"/>
        </w:rPr>
        <w:t>*</w:t>
      </w:r>
      <w:r>
        <w:rPr>
          <w:rFonts w:ascii="Times New Roman"/>
        </w:rPr>
        <w:t xml:space="preserve"> </w:t>
      </w:r>
      <w:r>
        <w:rPr>
          <w:rFonts w:ascii="Times New Roman" w:hint="eastAsia"/>
        </w:rPr>
        <w:t>项目</w:t>
      </w:r>
      <w:r>
        <w:rPr>
          <w:rFonts w:ascii="Times New Roman"/>
        </w:rPr>
        <w:t>6</w:t>
      </w:r>
    </w:p>
    <w:p w:rsidR="00EC4F68" w:rsidRDefault="00EC4F68" w:rsidP="00EC4F68">
      <w:pPr>
        <w:pStyle w:val="SingleTxt"/>
        <w:spacing w:after="60"/>
        <w:ind w:left="0"/>
        <w:rPr>
          <w:rFonts w:ascii="Times New Roman" w:eastAsia="SimHei"/>
        </w:rPr>
      </w:pPr>
      <w:r>
        <w:rPr>
          <w:rFonts w:ascii="Times New Roman" w:eastAsia="SimHei" w:hint="eastAsia"/>
        </w:rPr>
        <w:t>《消除对妇女一切形式歧视公约》第</w:t>
      </w:r>
      <w:r>
        <w:rPr>
          <w:rFonts w:ascii="Times New Roman" w:eastAsia="SimHei"/>
        </w:rPr>
        <w:t>21</w:t>
      </w:r>
      <w:r>
        <w:rPr>
          <w:rFonts w:ascii="Times New Roman" w:eastAsia="SimHei" w:hint="eastAsia"/>
        </w:rPr>
        <w:t>条</w:t>
      </w:r>
      <w:r>
        <w:rPr>
          <w:rFonts w:ascii="Times New Roman" w:eastAsia="SimHei"/>
        </w:rPr>
        <w:br/>
      </w:r>
      <w:r>
        <w:rPr>
          <w:rFonts w:ascii="Times New Roman" w:eastAsia="SimHei" w:hint="eastAsia"/>
        </w:rPr>
        <w:t>和第</w:t>
      </w:r>
      <w:r>
        <w:rPr>
          <w:rFonts w:ascii="Times New Roman" w:eastAsia="SimHei"/>
        </w:rPr>
        <w:t>22</w:t>
      </w:r>
      <w:r>
        <w:rPr>
          <w:rFonts w:ascii="Times New Roman" w:eastAsia="SimHei" w:hint="eastAsia"/>
        </w:rPr>
        <w:t>条的执行情况</w:t>
      </w:r>
    </w:p>
    <w:p w:rsidR="00EC4F68" w:rsidRDefault="00EC4F68" w:rsidP="00EC4F6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EC4F68" w:rsidRDefault="00EC4F68" w:rsidP="00EC4F6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EC4F68" w:rsidRDefault="00EC4F68" w:rsidP="00EC4F6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EC4F68" w:rsidRDefault="00EC4F68" w:rsidP="00EC4F6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ascii="Times New Roman"/>
        </w:rPr>
        <w:tab/>
      </w:r>
      <w:r>
        <w:rPr>
          <w:rFonts w:ascii="Times New Roman"/>
        </w:rPr>
        <w:tab/>
      </w:r>
      <w:r>
        <w:rPr>
          <w:rFonts w:ascii="Times New Roman" w:hint="eastAsia"/>
        </w:rPr>
        <w:t>各专门机构关于《消除对妇女一切形式歧视公约》在其工作范围内各领域执行情况的报告</w:t>
      </w:r>
    </w:p>
    <w:p w:rsidR="00EC4F68" w:rsidRDefault="00EC4F68" w:rsidP="00EC4F68">
      <w:pPr>
        <w:pStyle w:val="SingleTxt"/>
        <w:spacing w:after="0" w:line="120" w:lineRule="exact"/>
        <w:rPr>
          <w:rFonts w:ascii="Times New Roman"/>
          <w:sz w:val="10"/>
        </w:rPr>
      </w:pPr>
    </w:p>
    <w:p w:rsidR="00EC4F68" w:rsidRDefault="00EC4F68" w:rsidP="00EC4F68">
      <w:pPr>
        <w:pStyle w:val="SingleTxt"/>
        <w:spacing w:after="0" w:line="120" w:lineRule="exact"/>
        <w:rPr>
          <w:rFonts w:ascii="Times New Roman"/>
          <w:sz w:val="10"/>
        </w:rPr>
      </w:pPr>
    </w:p>
    <w:p w:rsidR="00EC4F68" w:rsidRDefault="00EC4F68" w:rsidP="00EC4F68">
      <w:pPr>
        <w:pStyle w:val="SingleTxt"/>
        <w:spacing w:after="0" w:line="120" w:lineRule="exact"/>
        <w:rPr>
          <w:rFonts w:ascii="Times New Roman"/>
          <w:sz w:val="10"/>
        </w:rPr>
      </w:pPr>
    </w:p>
    <w:p w:rsidR="00EC4F68" w:rsidRDefault="00EC4F68" w:rsidP="00EC4F6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ascii="Times New Roman"/>
        </w:rPr>
        <w:tab/>
      </w:r>
      <w:r>
        <w:rPr>
          <w:rFonts w:ascii="Times New Roman"/>
        </w:rPr>
        <w:tab/>
      </w:r>
      <w:r>
        <w:rPr>
          <w:rFonts w:ascii="Times New Roman" w:hint="eastAsia"/>
        </w:rPr>
        <w:t>国际劳工组织的报告</w:t>
      </w:r>
    </w:p>
    <w:p w:rsidR="00EC4F68" w:rsidRDefault="00EC4F68" w:rsidP="00EC4F68">
      <w:pPr>
        <w:pStyle w:val="SingleTxt"/>
        <w:spacing w:after="0" w:line="120" w:lineRule="exact"/>
        <w:rPr>
          <w:rFonts w:ascii="Times New Roman"/>
          <w:sz w:val="10"/>
        </w:rPr>
      </w:pPr>
    </w:p>
    <w:p w:rsidR="00EC4F68" w:rsidRDefault="00EC4F68" w:rsidP="00EC4F68">
      <w:pPr>
        <w:pStyle w:val="SingleTxt"/>
        <w:spacing w:after="0" w:line="120" w:lineRule="exact"/>
        <w:rPr>
          <w:rFonts w:ascii="Times New Roman"/>
          <w:sz w:val="10"/>
        </w:rPr>
      </w:pPr>
    </w:p>
    <w:p w:rsidR="00EC4F68" w:rsidRDefault="00EC4F68" w:rsidP="00EC4F68">
      <w:pPr>
        <w:pStyle w:val="SingleTxt"/>
        <w:spacing w:after="0" w:line="120" w:lineRule="exact"/>
        <w:rPr>
          <w:rFonts w:ascii="Times New Roman"/>
          <w:sz w:val="10"/>
        </w:rPr>
      </w:pP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EC4F68" w:rsidTr="00EC4F68">
        <w:tc>
          <w:tcPr>
            <w:tcW w:w="9850" w:type="dxa"/>
            <w:tcBorders>
              <w:top w:val="single" w:sz="2" w:space="0" w:color="auto"/>
              <w:left w:val="single" w:sz="2" w:space="0" w:color="auto"/>
              <w:bottom w:val="nil"/>
              <w:right w:val="single" w:sz="2" w:space="0" w:color="auto"/>
            </w:tcBorders>
          </w:tcPr>
          <w:p w:rsidR="00EC4F68" w:rsidRDefault="00EC4F68">
            <w:pPr>
              <w:tabs>
                <w:tab w:val="left" w:pos="240"/>
              </w:tabs>
              <w:spacing w:before="240" w:after="120"/>
              <w:rPr>
                <w:rFonts w:ascii="Times New Roman" w:eastAsia="KaiTi_GB2312"/>
                <w:sz w:val="24"/>
              </w:rPr>
            </w:pPr>
            <w:r>
              <w:rPr>
                <w:rFonts w:ascii="Times New Roman" w:eastAsia="KaiTi_GB2312"/>
                <w:sz w:val="24"/>
              </w:rPr>
              <w:tab/>
            </w:r>
            <w:r>
              <w:rPr>
                <w:rFonts w:ascii="Times New Roman" w:eastAsia="KaiTi_GB2312" w:hint="eastAsia"/>
                <w:sz w:val="24"/>
              </w:rPr>
              <w:t>摘要</w:t>
            </w:r>
          </w:p>
        </w:tc>
      </w:tr>
      <w:tr w:rsidR="00EC4F68" w:rsidTr="00EC4F68">
        <w:tc>
          <w:tcPr>
            <w:tcW w:w="9850" w:type="dxa"/>
            <w:tcBorders>
              <w:top w:val="nil"/>
              <w:left w:val="single" w:sz="2" w:space="0" w:color="auto"/>
              <w:bottom w:val="nil"/>
              <w:right w:val="single" w:sz="2" w:space="0" w:color="auto"/>
            </w:tcBorders>
          </w:tcPr>
          <w:p w:rsidR="00EC4F68" w:rsidRDefault="00EC4F68">
            <w:pPr>
              <w:pStyle w:val="SingleTxt"/>
              <w:rPr>
                <w:rFonts w:ascii="Times New Roman"/>
              </w:rPr>
            </w:pPr>
            <w:r>
              <w:rPr>
                <w:rFonts w:ascii="Times New Roman"/>
              </w:rPr>
              <w:tab/>
            </w:r>
            <w:r>
              <w:rPr>
                <w:rFonts w:ascii="Times New Roman" w:hint="eastAsia"/>
              </w:rPr>
              <w:t>依照《消除对妇女一切形式歧视公约》第</w:t>
            </w:r>
            <w:r>
              <w:rPr>
                <w:rFonts w:ascii="Times New Roman"/>
              </w:rPr>
              <w:t>22</w:t>
            </w:r>
            <w:r>
              <w:rPr>
                <w:rFonts w:ascii="Times New Roman" w:hint="eastAsia"/>
              </w:rPr>
              <w:t>条，消除对妇女歧视委员会请联合国各专门机构就《公约》在其工作范围内各领域的执行情况向委员会第五十七届会议提出报告。</w:t>
            </w:r>
          </w:p>
        </w:tc>
      </w:tr>
      <w:tr w:rsidR="00EC4F68" w:rsidTr="00EC4F68">
        <w:tc>
          <w:tcPr>
            <w:tcW w:w="9850" w:type="dxa"/>
            <w:tcBorders>
              <w:top w:val="nil"/>
              <w:left w:val="single" w:sz="2" w:space="0" w:color="auto"/>
              <w:bottom w:val="single" w:sz="2" w:space="0" w:color="auto"/>
              <w:right w:val="single" w:sz="2" w:space="0" w:color="auto"/>
            </w:tcBorders>
          </w:tcPr>
          <w:p w:rsidR="00EC4F68" w:rsidRDefault="00EC4F68">
            <w:pPr>
              <w:pStyle w:val="SingleTxt"/>
              <w:spacing w:after="0" w:line="120" w:lineRule="exact"/>
              <w:rPr>
                <w:rFonts w:ascii="Times New Roman"/>
              </w:rPr>
            </w:pPr>
          </w:p>
        </w:tc>
      </w:tr>
    </w:tbl>
    <w:p w:rsidR="00EC4F68" w:rsidRDefault="00EC4F68" w:rsidP="00EC4F68">
      <w:pPr>
        <w:pStyle w:val="SingleTxt"/>
        <w:rPr>
          <w:rFonts w:ascii="Times New Roman"/>
        </w:rPr>
      </w:pPr>
    </w:p>
    <w:p w:rsidR="00EC4F68" w:rsidRDefault="00EC4F68" w:rsidP="00EC4F6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Lines="100"/>
        <w:ind w:left="1264" w:right="1259" w:hanging="1264"/>
        <w:rPr>
          <w:rFonts w:ascii="Times New Roman"/>
        </w:rPr>
      </w:pPr>
      <w:bookmarkStart w:id="1" w:name="TmpSave"/>
      <w:bookmarkEnd w:id="1"/>
      <w:r>
        <w:rPr>
          <w:rFonts w:ascii="Times New Roman"/>
        </w:rPr>
        <w:br w:type="page"/>
      </w:r>
      <w:r>
        <w:rPr>
          <w:rFonts w:ascii="Times New Roman"/>
        </w:rPr>
        <w:tab/>
      </w:r>
      <w:r>
        <w:rPr>
          <w:rFonts w:ascii="Times New Roman" w:hint="eastAsia"/>
        </w:rPr>
        <w:t>一</w:t>
      </w:r>
      <w:r>
        <w:rPr>
          <w:rFonts w:ascii="Times New Roman"/>
        </w:rPr>
        <w:t>.</w:t>
      </w:r>
      <w:r>
        <w:rPr>
          <w:rFonts w:ascii="Times New Roman"/>
        </w:rPr>
        <w:tab/>
      </w:r>
      <w:r>
        <w:rPr>
          <w:rFonts w:ascii="Times New Roman" w:hint="eastAsia"/>
        </w:rPr>
        <w:t>导言</w:t>
      </w:r>
    </w:p>
    <w:p w:rsidR="00EC4F68" w:rsidRDefault="00EC4F68" w:rsidP="00EC4F68">
      <w:pPr>
        <w:pStyle w:val="SingleTxtG"/>
        <w:numPr>
          <w:ilvl w:val="0"/>
          <w:numId w:val="2"/>
        </w:numPr>
        <w:spacing w:after="140" w:line="320" w:lineRule="exact"/>
        <w:ind w:left="1264" w:right="1264" w:firstLine="0"/>
        <w:rPr>
          <w:rFonts w:ascii="Times New Roman"/>
          <w:sz w:val="21"/>
          <w:szCs w:val="21"/>
          <w:lang w:eastAsia="zh-CN"/>
        </w:rPr>
      </w:pPr>
      <w:r>
        <w:rPr>
          <w:rFonts w:hint="eastAsia"/>
          <w:sz w:val="21"/>
          <w:szCs w:val="21"/>
          <w:lang w:eastAsia="zh-CN"/>
        </w:rPr>
        <w:t>劳工组织的一些公约涉及《消除对妇女一切形式歧视公约》第</w:t>
      </w:r>
      <w:r>
        <w:rPr>
          <w:sz w:val="21"/>
          <w:szCs w:val="21"/>
          <w:lang w:eastAsia="zh-CN"/>
        </w:rPr>
        <w:t>11</w:t>
      </w:r>
      <w:r>
        <w:rPr>
          <w:rFonts w:hint="eastAsia"/>
          <w:sz w:val="21"/>
          <w:szCs w:val="21"/>
          <w:lang w:eastAsia="zh-CN"/>
        </w:rPr>
        <w:t>条的规定。在迄今为止通过的</w:t>
      </w:r>
      <w:r>
        <w:rPr>
          <w:sz w:val="21"/>
          <w:szCs w:val="21"/>
          <w:lang w:eastAsia="zh-CN"/>
        </w:rPr>
        <w:t>189</w:t>
      </w:r>
      <w:r>
        <w:rPr>
          <w:rFonts w:hint="eastAsia"/>
          <w:sz w:val="21"/>
          <w:szCs w:val="21"/>
          <w:lang w:eastAsia="zh-CN"/>
        </w:rPr>
        <w:t>项国际劳工组织（劳工组织）公约中，本报告中的信息主要与下列公约有关：</w:t>
      </w:r>
    </w:p>
    <w:p w:rsidR="00EC4F68" w:rsidRDefault="00EC4F68" w:rsidP="00EC4F68">
      <w:pPr>
        <w:pStyle w:val="Bullet1G"/>
        <w:spacing w:after="140" w:line="320" w:lineRule="exact"/>
        <w:ind w:left="2155" w:right="1264" w:hanging="454"/>
        <w:rPr>
          <w:sz w:val="21"/>
          <w:szCs w:val="21"/>
          <w:lang w:val="en-US" w:eastAsia="zh-CN"/>
        </w:rPr>
      </w:pPr>
      <w:r>
        <w:rPr>
          <w:rFonts w:hint="eastAsia"/>
          <w:sz w:val="21"/>
          <w:szCs w:val="21"/>
          <w:lang w:val="en-US" w:eastAsia="zh-CN"/>
        </w:rPr>
        <w:t>《</w:t>
      </w:r>
      <w:r>
        <w:rPr>
          <w:sz w:val="21"/>
          <w:szCs w:val="21"/>
          <w:lang w:val="en-US" w:eastAsia="zh-CN"/>
        </w:rPr>
        <w:t>1951</w:t>
      </w:r>
      <w:r>
        <w:rPr>
          <w:rFonts w:hint="eastAsia"/>
          <w:sz w:val="21"/>
          <w:szCs w:val="21"/>
          <w:lang w:val="en-US" w:eastAsia="zh-CN"/>
        </w:rPr>
        <w:t>年同酬公约》（第</w:t>
      </w:r>
      <w:r>
        <w:rPr>
          <w:sz w:val="21"/>
          <w:szCs w:val="21"/>
          <w:lang w:val="en-US" w:eastAsia="zh-CN"/>
        </w:rPr>
        <w:t>100</w:t>
      </w:r>
      <w:r>
        <w:rPr>
          <w:rFonts w:hint="eastAsia"/>
          <w:sz w:val="21"/>
          <w:szCs w:val="21"/>
          <w:lang w:val="en-US" w:eastAsia="zh-CN"/>
        </w:rPr>
        <w:t>号），已获</w:t>
      </w:r>
      <w:r>
        <w:rPr>
          <w:sz w:val="21"/>
          <w:szCs w:val="21"/>
          <w:lang w:val="en-US" w:eastAsia="zh-CN"/>
        </w:rPr>
        <w:t>171</w:t>
      </w:r>
      <w:r>
        <w:rPr>
          <w:rFonts w:hint="eastAsia"/>
          <w:sz w:val="21"/>
          <w:szCs w:val="21"/>
          <w:lang w:val="en-US" w:eastAsia="zh-CN"/>
        </w:rPr>
        <w:t>个成员国批准</w:t>
      </w:r>
    </w:p>
    <w:p w:rsidR="00EC4F68" w:rsidRDefault="00EC4F68" w:rsidP="00EC4F68">
      <w:pPr>
        <w:pStyle w:val="Bullet1G"/>
        <w:tabs>
          <w:tab w:val="left" w:pos="425"/>
        </w:tabs>
        <w:spacing w:after="140" w:line="320" w:lineRule="exact"/>
        <w:ind w:left="2155" w:right="1264" w:hanging="454"/>
        <w:rPr>
          <w:sz w:val="21"/>
          <w:szCs w:val="21"/>
          <w:lang w:val="en-US" w:eastAsia="zh-CN"/>
        </w:rPr>
      </w:pPr>
      <w:r>
        <w:rPr>
          <w:rFonts w:hint="eastAsia"/>
          <w:sz w:val="21"/>
          <w:szCs w:val="21"/>
          <w:lang w:val="en-US" w:eastAsia="zh-CN"/>
        </w:rPr>
        <w:t>《</w:t>
      </w:r>
      <w:r>
        <w:rPr>
          <w:sz w:val="21"/>
          <w:szCs w:val="21"/>
          <w:lang w:val="en-US" w:eastAsia="zh-CN"/>
        </w:rPr>
        <w:t>1958</w:t>
      </w:r>
      <w:r>
        <w:rPr>
          <w:rFonts w:hint="eastAsia"/>
          <w:sz w:val="21"/>
          <w:szCs w:val="21"/>
          <w:lang w:val="en-US" w:eastAsia="zh-CN"/>
        </w:rPr>
        <w:t>年（就业和职业）歧视公约》（第</w:t>
      </w:r>
      <w:r>
        <w:rPr>
          <w:sz w:val="21"/>
          <w:szCs w:val="21"/>
          <w:lang w:val="en-US" w:eastAsia="zh-CN"/>
        </w:rPr>
        <w:t>111</w:t>
      </w:r>
      <w:r>
        <w:rPr>
          <w:rFonts w:hint="eastAsia"/>
          <w:sz w:val="21"/>
          <w:szCs w:val="21"/>
          <w:lang w:val="en-US" w:eastAsia="zh-CN"/>
        </w:rPr>
        <w:t>号），已获</w:t>
      </w:r>
      <w:r>
        <w:rPr>
          <w:sz w:val="21"/>
          <w:szCs w:val="21"/>
          <w:lang w:val="en-US" w:eastAsia="zh-CN"/>
        </w:rPr>
        <w:t>172</w:t>
      </w:r>
      <w:r>
        <w:rPr>
          <w:rFonts w:hint="eastAsia"/>
          <w:sz w:val="21"/>
          <w:szCs w:val="21"/>
          <w:lang w:val="en-US" w:eastAsia="zh-CN"/>
        </w:rPr>
        <w:t>个成员国批准</w:t>
      </w:r>
    </w:p>
    <w:p w:rsidR="00EC4F68" w:rsidRDefault="00EC4F68" w:rsidP="00EC4F68">
      <w:pPr>
        <w:pStyle w:val="Bullet1G"/>
        <w:spacing w:after="140" w:line="320" w:lineRule="exact"/>
        <w:ind w:left="2155" w:right="1264" w:hanging="454"/>
        <w:rPr>
          <w:sz w:val="21"/>
          <w:szCs w:val="21"/>
          <w:lang w:val="en-US" w:eastAsia="zh-CN"/>
        </w:rPr>
      </w:pPr>
      <w:r>
        <w:rPr>
          <w:rFonts w:hint="eastAsia"/>
          <w:sz w:val="21"/>
          <w:szCs w:val="21"/>
          <w:lang w:val="en-US" w:eastAsia="zh-CN"/>
        </w:rPr>
        <w:t>《</w:t>
      </w:r>
      <w:r>
        <w:rPr>
          <w:sz w:val="21"/>
          <w:szCs w:val="21"/>
          <w:lang w:val="en-US" w:eastAsia="zh-CN"/>
        </w:rPr>
        <w:t>1981</w:t>
      </w:r>
      <w:r>
        <w:rPr>
          <w:rFonts w:hint="eastAsia"/>
          <w:sz w:val="21"/>
          <w:szCs w:val="21"/>
          <w:lang w:val="en-US" w:eastAsia="zh-CN"/>
        </w:rPr>
        <w:t>年有家庭责任工人公约》（第</w:t>
      </w:r>
      <w:r>
        <w:rPr>
          <w:sz w:val="21"/>
          <w:szCs w:val="21"/>
          <w:lang w:val="en-US" w:eastAsia="zh-CN"/>
        </w:rPr>
        <w:t>156</w:t>
      </w:r>
      <w:r>
        <w:rPr>
          <w:rFonts w:hint="eastAsia"/>
          <w:sz w:val="21"/>
          <w:szCs w:val="21"/>
          <w:lang w:val="en-US" w:eastAsia="zh-CN"/>
        </w:rPr>
        <w:t>号），已获</w:t>
      </w:r>
      <w:r>
        <w:rPr>
          <w:sz w:val="21"/>
          <w:szCs w:val="21"/>
          <w:lang w:val="en-US" w:eastAsia="zh-CN"/>
        </w:rPr>
        <w:t>43</w:t>
      </w:r>
      <w:r>
        <w:rPr>
          <w:rFonts w:hint="eastAsia"/>
          <w:sz w:val="21"/>
          <w:szCs w:val="21"/>
          <w:lang w:val="en-US" w:eastAsia="zh-CN"/>
        </w:rPr>
        <w:t>个成员国批准</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适用时报告提到其他一些与妇女就业有关的公约：</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强迫劳动</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1930</w:t>
      </w:r>
      <w:r>
        <w:rPr>
          <w:rFonts w:hint="eastAsia"/>
          <w:sz w:val="21"/>
          <w:szCs w:val="21"/>
          <w:lang w:val="en-US" w:eastAsia="zh-CN"/>
        </w:rPr>
        <w:t>年强迫劳动公约》（第</w:t>
      </w:r>
      <w:r>
        <w:rPr>
          <w:sz w:val="21"/>
          <w:szCs w:val="21"/>
          <w:lang w:val="en-US" w:eastAsia="zh-CN"/>
        </w:rPr>
        <w:t>29</w:t>
      </w:r>
      <w:r>
        <w:rPr>
          <w:rFonts w:hint="eastAsia"/>
          <w:sz w:val="21"/>
          <w:szCs w:val="21"/>
          <w:lang w:val="en-US" w:eastAsia="zh-CN"/>
        </w:rPr>
        <w:t>号）</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1957</w:t>
      </w:r>
      <w:r>
        <w:rPr>
          <w:rFonts w:hint="eastAsia"/>
          <w:sz w:val="21"/>
          <w:szCs w:val="21"/>
          <w:lang w:val="en-US" w:eastAsia="zh-CN"/>
        </w:rPr>
        <w:t>年废止强迫劳动公约》（第</w:t>
      </w:r>
      <w:r>
        <w:rPr>
          <w:sz w:val="21"/>
          <w:szCs w:val="21"/>
          <w:lang w:val="en-US" w:eastAsia="zh-CN"/>
        </w:rPr>
        <w:t>105</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童工</w:t>
      </w:r>
      <w:proofErr w:type="spellEnd"/>
      <w:r>
        <w:rPr>
          <w:rFonts w:eastAsia="KaiTi_GB2312"/>
          <w:iCs/>
          <w:sz w:val="21"/>
          <w:szCs w:val="21"/>
        </w:rPr>
        <w:t xml:space="preserve"> </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1973</w:t>
      </w:r>
      <w:r>
        <w:rPr>
          <w:rFonts w:hint="eastAsia"/>
          <w:sz w:val="21"/>
          <w:szCs w:val="21"/>
          <w:lang w:val="en-US" w:eastAsia="zh-CN"/>
        </w:rPr>
        <w:t>年最低年龄公约》（第</w:t>
      </w:r>
      <w:r>
        <w:rPr>
          <w:sz w:val="21"/>
          <w:szCs w:val="21"/>
          <w:lang w:val="en-US" w:eastAsia="zh-CN"/>
        </w:rPr>
        <w:t>138</w:t>
      </w:r>
      <w:r>
        <w:rPr>
          <w:rFonts w:hint="eastAsia"/>
          <w:sz w:val="21"/>
          <w:szCs w:val="21"/>
          <w:lang w:val="en-US" w:eastAsia="zh-CN"/>
        </w:rPr>
        <w:t>号）</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1999</w:t>
      </w:r>
      <w:r>
        <w:rPr>
          <w:rFonts w:hint="eastAsia"/>
          <w:sz w:val="21"/>
          <w:szCs w:val="21"/>
          <w:lang w:val="en-US" w:eastAsia="zh-CN"/>
        </w:rPr>
        <w:t>年最恶劣形式的童工劳动公约》（第</w:t>
      </w:r>
      <w:r>
        <w:rPr>
          <w:sz w:val="21"/>
          <w:szCs w:val="21"/>
          <w:lang w:val="en-US" w:eastAsia="zh-CN"/>
        </w:rPr>
        <w:t>182</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结社自由</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1948</w:t>
      </w:r>
      <w:r>
        <w:rPr>
          <w:rFonts w:hint="eastAsia"/>
          <w:sz w:val="21"/>
          <w:szCs w:val="21"/>
          <w:lang w:val="en-US" w:eastAsia="zh-CN"/>
        </w:rPr>
        <w:t>年结社自由和保护组织权公约》（第</w:t>
      </w:r>
      <w:r>
        <w:rPr>
          <w:sz w:val="21"/>
          <w:szCs w:val="21"/>
          <w:lang w:val="en-US" w:eastAsia="zh-CN"/>
        </w:rPr>
        <w:t>87</w:t>
      </w:r>
      <w:r>
        <w:rPr>
          <w:rFonts w:hint="eastAsia"/>
          <w:sz w:val="21"/>
          <w:szCs w:val="21"/>
          <w:lang w:val="en-US" w:eastAsia="zh-CN"/>
        </w:rPr>
        <w:t>号）</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1949</w:t>
      </w:r>
      <w:r>
        <w:rPr>
          <w:rFonts w:hint="eastAsia"/>
          <w:sz w:val="21"/>
          <w:szCs w:val="21"/>
          <w:lang w:val="en-US" w:eastAsia="zh-CN"/>
        </w:rPr>
        <w:t>年组织权及集体谈判公约》（第</w:t>
      </w:r>
      <w:r>
        <w:rPr>
          <w:sz w:val="21"/>
          <w:szCs w:val="21"/>
          <w:lang w:val="en-US" w:eastAsia="zh-CN"/>
        </w:rPr>
        <w:t>98</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就业政策</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1964</w:t>
      </w:r>
      <w:r>
        <w:rPr>
          <w:rFonts w:hint="eastAsia"/>
          <w:sz w:val="21"/>
          <w:szCs w:val="21"/>
          <w:lang w:val="en-US" w:eastAsia="zh-CN"/>
        </w:rPr>
        <w:t>年就业政策公约》（第</w:t>
      </w:r>
      <w:r>
        <w:rPr>
          <w:sz w:val="21"/>
          <w:szCs w:val="21"/>
          <w:lang w:val="en-US" w:eastAsia="zh-CN"/>
        </w:rPr>
        <w:t>122</w:t>
      </w:r>
      <w:r>
        <w:rPr>
          <w:rFonts w:hint="eastAsia"/>
          <w:sz w:val="21"/>
          <w:szCs w:val="21"/>
          <w:lang w:val="en-US" w:eastAsia="zh-CN"/>
        </w:rPr>
        <w:t>号）</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1975</w:t>
      </w:r>
      <w:r>
        <w:rPr>
          <w:rFonts w:hint="eastAsia"/>
          <w:sz w:val="21"/>
          <w:szCs w:val="21"/>
          <w:lang w:val="en-US" w:eastAsia="zh-CN"/>
        </w:rPr>
        <w:t>年人力资源开发公约》（第</w:t>
      </w:r>
      <w:r>
        <w:rPr>
          <w:sz w:val="21"/>
          <w:szCs w:val="21"/>
          <w:lang w:val="en-US" w:eastAsia="zh-CN"/>
        </w:rPr>
        <w:t>142</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保护生育</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1919</w:t>
      </w:r>
      <w:r>
        <w:rPr>
          <w:rFonts w:hint="eastAsia"/>
          <w:sz w:val="21"/>
          <w:szCs w:val="21"/>
          <w:lang w:val="en-US" w:eastAsia="zh-CN"/>
        </w:rPr>
        <w:t>年保护生育公约》（第</w:t>
      </w:r>
      <w:r>
        <w:rPr>
          <w:sz w:val="21"/>
          <w:szCs w:val="21"/>
          <w:lang w:val="en-US" w:eastAsia="zh-CN"/>
        </w:rPr>
        <w:t>3</w:t>
      </w:r>
      <w:r>
        <w:rPr>
          <w:rFonts w:hint="eastAsia"/>
          <w:sz w:val="21"/>
          <w:szCs w:val="21"/>
          <w:lang w:val="en-US" w:eastAsia="zh-CN"/>
        </w:rPr>
        <w:t>号）</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1952</w:t>
      </w:r>
      <w:r>
        <w:rPr>
          <w:rFonts w:hint="eastAsia"/>
          <w:sz w:val="21"/>
          <w:szCs w:val="21"/>
          <w:lang w:val="en-US" w:eastAsia="zh-CN"/>
        </w:rPr>
        <w:t>年保护生育公约》（修订本）（第</w:t>
      </w:r>
      <w:r>
        <w:rPr>
          <w:sz w:val="21"/>
          <w:szCs w:val="21"/>
          <w:lang w:val="en-US" w:eastAsia="zh-CN"/>
        </w:rPr>
        <w:t>103</w:t>
      </w:r>
      <w:r>
        <w:rPr>
          <w:rFonts w:hint="eastAsia"/>
          <w:sz w:val="21"/>
          <w:szCs w:val="21"/>
          <w:lang w:val="en-US" w:eastAsia="zh-CN"/>
        </w:rPr>
        <w:t>号）</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2000</w:t>
      </w:r>
      <w:r>
        <w:rPr>
          <w:rFonts w:hint="eastAsia"/>
          <w:sz w:val="21"/>
          <w:szCs w:val="21"/>
          <w:lang w:val="en-US" w:eastAsia="zh-CN"/>
        </w:rPr>
        <w:t>年保护生育公约》（第</w:t>
      </w:r>
      <w:r>
        <w:rPr>
          <w:sz w:val="21"/>
          <w:szCs w:val="21"/>
          <w:lang w:val="en-US" w:eastAsia="zh-CN"/>
        </w:rPr>
        <w:t>183</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夜间工作</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1948</w:t>
      </w:r>
      <w:r>
        <w:rPr>
          <w:rFonts w:hint="eastAsia"/>
          <w:sz w:val="21"/>
          <w:szCs w:val="21"/>
          <w:lang w:val="en-US" w:eastAsia="zh-CN"/>
        </w:rPr>
        <w:t>年（妇女）夜间工作公约》（修订本）（第</w:t>
      </w:r>
      <w:r>
        <w:rPr>
          <w:sz w:val="21"/>
          <w:szCs w:val="21"/>
          <w:lang w:val="en-US" w:eastAsia="zh-CN"/>
        </w:rPr>
        <w:t>89</w:t>
      </w:r>
      <w:r>
        <w:rPr>
          <w:rFonts w:hint="eastAsia"/>
          <w:sz w:val="21"/>
          <w:szCs w:val="21"/>
          <w:lang w:val="en-US" w:eastAsia="zh-CN"/>
        </w:rPr>
        <w:t>号）和《议定书》</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1990</w:t>
      </w:r>
      <w:r>
        <w:rPr>
          <w:rFonts w:hint="eastAsia"/>
          <w:sz w:val="21"/>
          <w:szCs w:val="21"/>
          <w:lang w:val="en-US" w:eastAsia="zh-CN"/>
        </w:rPr>
        <w:t>年（妇女）夜间工作公约》（第</w:t>
      </w:r>
      <w:r>
        <w:rPr>
          <w:sz w:val="21"/>
          <w:szCs w:val="21"/>
          <w:lang w:val="en-US" w:eastAsia="zh-CN"/>
        </w:rPr>
        <w:t>171</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井下作业</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1935</w:t>
      </w:r>
      <w:r>
        <w:rPr>
          <w:rFonts w:hint="eastAsia"/>
          <w:sz w:val="21"/>
          <w:szCs w:val="21"/>
          <w:lang w:val="en-US" w:eastAsia="zh-CN"/>
        </w:rPr>
        <w:t>年（妇女）井下作业公约》（第</w:t>
      </w:r>
      <w:r>
        <w:rPr>
          <w:sz w:val="21"/>
          <w:szCs w:val="21"/>
          <w:lang w:val="en-US" w:eastAsia="zh-CN"/>
        </w:rPr>
        <w:t>45</w:t>
      </w:r>
      <w:r>
        <w:rPr>
          <w:rFonts w:hint="eastAsia"/>
          <w:sz w:val="21"/>
          <w:szCs w:val="21"/>
          <w:lang w:val="en-US" w:eastAsia="zh-CN"/>
        </w:rPr>
        <w:t>号）</w:t>
      </w:r>
    </w:p>
    <w:p w:rsidR="00EC4F68" w:rsidRDefault="00EC4F68" w:rsidP="00EC4F68">
      <w:pPr>
        <w:pStyle w:val="SingleTxtG"/>
        <w:spacing w:after="140" w:line="320" w:lineRule="exact"/>
        <w:ind w:left="1701" w:right="1264"/>
        <w:rPr>
          <w:sz w:val="21"/>
          <w:szCs w:val="21"/>
        </w:rPr>
      </w:pPr>
      <w:proofErr w:type="spellStart"/>
      <w:r>
        <w:rPr>
          <w:rFonts w:eastAsia="KaiTi_GB2312" w:hint="eastAsia"/>
          <w:sz w:val="21"/>
          <w:szCs w:val="21"/>
          <w:lang w:val="en-US"/>
        </w:rPr>
        <w:t>移徙工人</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1949</w:t>
      </w:r>
      <w:r>
        <w:rPr>
          <w:rFonts w:hint="eastAsia"/>
          <w:sz w:val="21"/>
          <w:szCs w:val="21"/>
          <w:lang w:val="en-US" w:eastAsia="zh-CN"/>
        </w:rPr>
        <w:t>年移徙就业公约》（修订本）（第</w:t>
      </w:r>
      <w:r>
        <w:rPr>
          <w:sz w:val="21"/>
          <w:szCs w:val="21"/>
          <w:lang w:val="en-US" w:eastAsia="zh-CN"/>
        </w:rPr>
        <w:t>97</w:t>
      </w:r>
      <w:r>
        <w:rPr>
          <w:rFonts w:hint="eastAsia"/>
          <w:sz w:val="21"/>
          <w:szCs w:val="21"/>
          <w:lang w:val="en-US" w:eastAsia="zh-CN"/>
        </w:rPr>
        <w:t>号）</w:t>
      </w:r>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1975</w:t>
      </w:r>
      <w:r>
        <w:rPr>
          <w:rFonts w:hint="eastAsia"/>
          <w:sz w:val="21"/>
          <w:szCs w:val="21"/>
          <w:lang w:val="en-US" w:eastAsia="zh-CN"/>
        </w:rPr>
        <w:t>年移徙工人（补充规定）公约》（第</w:t>
      </w:r>
      <w:r>
        <w:rPr>
          <w:sz w:val="21"/>
          <w:szCs w:val="21"/>
          <w:lang w:val="en-US" w:eastAsia="zh-CN"/>
        </w:rPr>
        <w:t>143</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非全时工</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1994</w:t>
      </w:r>
      <w:r>
        <w:rPr>
          <w:rFonts w:hint="eastAsia"/>
          <w:sz w:val="21"/>
          <w:szCs w:val="21"/>
          <w:lang w:val="en-US" w:eastAsia="zh-CN"/>
        </w:rPr>
        <w:t>年非全日制工作公约》（第</w:t>
      </w:r>
      <w:r>
        <w:rPr>
          <w:sz w:val="21"/>
          <w:szCs w:val="21"/>
          <w:lang w:val="en-US" w:eastAsia="zh-CN"/>
        </w:rPr>
        <w:t>175</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iCs/>
          <w:sz w:val="21"/>
          <w:szCs w:val="21"/>
        </w:rPr>
      </w:pPr>
      <w:proofErr w:type="spellStart"/>
      <w:r>
        <w:rPr>
          <w:rFonts w:eastAsia="KaiTi_GB2312" w:hint="eastAsia"/>
          <w:iCs/>
          <w:sz w:val="21"/>
          <w:szCs w:val="21"/>
          <w:lang w:val="en-US"/>
        </w:rPr>
        <w:t>家庭工作</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1996</w:t>
      </w:r>
      <w:r>
        <w:rPr>
          <w:rFonts w:hint="eastAsia"/>
          <w:sz w:val="21"/>
          <w:szCs w:val="21"/>
          <w:lang w:val="en-US" w:eastAsia="zh-CN"/>
        </w:rPr>
        <w:t>年家庭工作公约》（第</w:t>
      </w:r>
      <w:r>
        <w:rPr>
          <w:sz w:val="21"/>
          <w:szCs w:val="21"/>
          <w:lang w:val="en-US" w:eastAsia="zh-CN"/>
        </w:rPr>
        <w:t>177</w:t>
      </w:r>
      <w:r>
        <w:rPr>
          <w:rFonts w:hint="eastAsia"/>
          <w:sz w:val="21"/>
          <w:szCs w:val="21"/>
          <w:lang w:val="en-US" w:eastAsia="zh-CN"/>
        </w:rPr>
        <w:t>号）</w:t>
      </w:r>
    </w:p>
    <w:p w:rsidR="00EC4F68" w:rsidRDefault="00EC4F68" w:rsidP="00EC4F68">
      <w:pPr>
        <w:pStyle w:val="SingleTxtG"/>
        <w:spacing w:after="140" w:line="320" w:lineRule="exact"/>
        <w:ind w:left="1701" w:right="1264"/>
        <w:rPr>
          <w:rFonts w:eastAsia="KaiTi_GB2312"/>
          <w:sz w:val="21"/>
          <w:szCs w:val="21"/>
        </w:rPr>
      </w:pPr>
      <w:proofErr w:type="spellStart"/>
      <w:r>
        <w:rPr>
          <w:rFonts w:eastAsia="KaiTi_GB2312" w:hint="eastAsia"/>
          <w:sz w:val="21"/>
          <w:szCs w:val="21"/>
          <w:lang w:val="en-US"/>
        </w:rPr>
        <w:t>家庭工人</w:t>
      </w:r>
      <w:proofErr w:type="spellEnd"/>
    </w:p>
    <w:p w:rsidR="00EC4F68" w:rsidRDefault="00EC4F68" w:rsidP="00EC4F68">
      <w:pPr>
        <w:pStyle w:val="Bullet1G"/>
        <w:spacing w:after="140" w:line="320" w:lineRule="exact"/>
        <w:ind w:right="1264" w:firstLine="0"/>
        <w:rPr>
          <w:sz w:val="21"/>
          <w:szCs w:val="21"/>
          <w:lang w:val="en-US" w:eastAsia="zh-CN"/>
        </w:rPr>
      </w:pPr>
      <w:r>
        <w:rPr>
          <w:rFonts w:hint="eastAsia"/>
          <w:sz w:val="21"/>
          <w:szCs w:val="21"/>
          <w:lang w:val="en-US" w:eastAsia="zh-CN"/>
        </w:rPr>
        <w:t>《</w:t>
      </w:r>
      <w:r>
        <w:rPr>
          <w:sz w:val="21"/>
          <w:szCs w:val="21"/>
          <w:lang w:val="en-US" w:eastAsia="zh-CN"/>
        </w:rPr>
        <w:t>2011</w:t>
      </w:r>
      <w:r>
        <w:rPr>
          <w:rFonts w:hint="eastAsia"/>
          <w:sz w:val="21"/>
          <w:szCs w:val="21"/>
          <w:lang w:val="en-US" w:eastAsia="zh-CN"/>
        </w:rPr>
        <w:t>年家庭工人公约》（第</w:t>
      </w:r>
      <w:r>
        <w:rPr>
          <w:sz w:val="21"/>
          <w:szCs w:val="21"/>
          <w:lang w:val="en-US" w:eastAsia="zh-CN"/>
        </w:rPr>
        <w:t>189</w:t>
      </w:r>
      <w:r>
        <w:rPr>
          <w:rFonts w:hint="eastAsia"/>
          <w:sz w:val="21"/>
          <w:szCs w:val="21"/>
          <w:lang w:val="en-US" w:eastAsia="zh-CN"/>
        </w:rPr>
        <w:t>号）</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的公约和建议执行问题专家委员会（专家委员会）负责监督已批准的公约的实施情况。该机构由世界各地的独立专家组成，每年召开会议。本报告第二节提交的资料由该委员会提出的意见和直接要求的摘要组成。这些意见是专家委员会在提交大会标准实施问题委员会年度报告中发表的评论，用英文、法文和西班牙文印发。直接要求用英文和法文印发，在西班牙语国家也用西班牙文印发，没有编制成册，但也公布发表，并于不久之后在劳工组织的监督活动数据库</w:t>
      </w:r>
      <w:r>
        <w:rPr>
          <w:sz w:val="21"/>
          <w:szCs w:val="21"/>
          <w:lang w:eastAsia="zh-CN"/>
        </w:rPr>
        <w:t>NORMLEX</w:t>
      </w:r>
      <w:r>
        <w:rPr>
          <w:rFonts w:hint="eastAsia"/>
          <w:sz w:val="21"/>
          <w:szCs w:val="21"/>
          <w:lang w:eastAsia="zh-CN"/>
        </w:rPr>
        <w:t>中公布。</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以下资料简短说明劳工组织监督机构提出的更为详尽的评论。第二节提及的专家委员会相关评论可查阅以下网站：</w:t>
      </w:r>
      <w:proofErr w:type="spellStart"/>
      <w:r w:rsidRPr="000761D7">
        <w:rPr>
          <w:sz w:val="21"/>
          <w:szCs w:val="21"/>
          <w:lang w:eastAsia="zh-CN"/>
        </w:rPr>
        <w:t>www.ilo.org/dyn/normlex/en</w:t>
      </w:r>
      <w:proofErr w:type="spellEnd"/>
      <w:r w:rsidRPr="000761D7">
        <w:rPr>
          <w:sz w:val="21"/>
          <w:szCs w:val="21"/>
          <w:lang w:eastAsia="zh-CN"/>
        </w:rPr>
        <w:t>/</w:t>
      </w:r>
      <w:r>
        <w:rPr>
          <w:rFonts w:hint="eastAsia"/>
          <w:sz w:val="21"/>
          <w:szCs w:val="21"/>
          <w:lang w:eastAsia="zh-CN"/>
        </w:rPr>
        <w:t>。</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应当指出，专家委员会在其评论中常常提到各国政府提交给消除对妇女歧视委员会或联合国其他条约机构的资料，以及这些机构发表的报告。</w:t>
      </w:r>
    </w:p>
    <w:p w:rsidR="00EC4F68" w:rsidRDefault="00EC4F68" w:rsidP="00EC4F6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left="1264" w:right="1259" w:hanging="1264"/>
        <w:rPr>
          <w:rFonts w:ascii="Times New Roman"/>
        </w:rPr>
      </w:pPr>
      <w:r>
        <w:rPr>
          <w:rFonts w:ascii="Times New Roman"/>
        </w:rPr>
        <w:tab/>
      </w:r>
      <w:r>
        <w:rPr>
          <w:rFonts w:ascii="Times New Roman" w:hint="eastAsia"/>
        </w:rPr>
        <w:t>二</w:t>
      </w:r>
      <w:r>
        <w:rPr>
          <w:rFonts w:ascii="Times New Roman"/>
        </w:rPr>
        <w:t>.</w:t>
      </w:r>
      <w:r>
        <w:rPr>
          <w:rFonts w:ascii="Times New Roman"/>
        </w:rPr>
        <w:tab/>
      </w:r>
      <w:r>
        <w:rPr>
          <w:rFonts w:ascii="Times New Roman" w:hint="eastAsia"/>
        </w:rPr>
        <w:t>关于个别国家情况的说明</w:t>
      </w:r>
    </w:p>
    <w:p w:rsidR="00EC4F68" w:rsidRDefault="00EC4F68" w:rsidP="00EC4F68">
      <w:pPr>
        <w:pStyle w:val="SingleTxtG"/>
        <w:spacing w:after="140" w:line="320" w:lineRule="exact"/>
        <w:ind w:left="1264" w:right="1264"/>
        <w:rPr>
          <w:rFonts w:ascii="Times New Roman" w:eastAsia="SimHei"/>
          <w:bCs/>
          <w:sz w:val="24"/>
          <w:szCs w:val="24"/>
          <w:lang w:eastAsia="zh-CN"/>
        </w:rPr>
      </w:pPr>
      <w:r>
        <w:rPr>
          <w:rFonts w:eastAsia="SimHei" w:hint="eastAsia"/>
          <w:bCs/>
          <w:sz w:val="24"/>
          <w:szCs w:val="24"/>
          <w:lang w:eastAsia="zh-CN"/>
        </w:rPr>
        <w:t>巴林</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在劳工组织的相关公约中，巴林已批准第</w:t>
      </w:r>
      <w:r>
        <w:rPr>
          <w:sz w:val="21"/>
          <w:szCs w:val="21"/>
          <w:lang w:eastAsia="zh-CN"/>
        </w:rPr>
        <w:t>111</w:t>
      </w:r>
      <w:r>
        <w:rPr>
          <w:rFonts w:hint="eastAsia"/>
          <w:sz w:val="21"/>
          <w:szCs w:val="21"/>
          <w:lang w:eastAsia="zh-CN"/>
        </w:rPr>
        <w:t>号公约，还批准了第</w:t>
      </w:r>
      <w:r>
        <w:rPr>
          <w:sz w:val="21"/>
          <w:szCs w:val="21"/>
          <w:lang w:eastAsia="zh-CN"/>
        </w:rPr>
        <w:t>29</w:t>
      </w:r>
      <w:r>
        <w:rPr>
          <w:rFonts w:hint="eastAsia"/>
          <w:sz w:val="21"/>
          <w:szCs w:val="21"/>
          <w:lang w:eastAsia="zh-CN"/>
        </w:rPr>
        <w:t>、</w:t>
      </w:r>
      <w:r>
        <w:rPr>
          <w:sz w:val="21"/>
          <w:szCs w:val="21"/>
          <w:lang w:eastAsia="zh-CN"/>
        </w:rPr>
        <w:t>89</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138</w:t>
      </w:r>
      <w:r>
        <w:rPr>
          <w:rFonts w:hint="eastAsia"/>
          <w:sz w:val="21"/>
          <w:szCs w:val="21"/>
          <w:lang w:eastAsia="zh-CN"/>
        </w:rPr>
        <w:t>和第</w:t>
      </w:r>
      <w:r>
        <w:rPr>
          <w:sz w:val="21"/>
          <w:szCs w:val="21"/>
          <w:lang w:eastAsia="zh-CN"/>
        </w:rPr>
        <w:t>182</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sz w:val="21"/>
          <w:szCs w:val="21"/>
          <w:lang w:eastAsia="zh-CN"/>
        </w:rPr>
      </w:pPr>
      <w:r>
        <w:rPr>
          <w:rFonts w:ascii="Times New Roman" w:eastAsia="SimHei"/>
          <w:szCs w:val="21"/>
          <w:lang w:eastAsia="zh-CN"/>
        </w:rPr>
        <w:br w:type="page"/>
      </w:r>
      <w:r>
        <w:rPr>
          <w:rFonts w:eastAsia="SimHei" w:hint="eastAsia"/>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劳工组织专家委员会将就《消除对妇女一切形式歧视公约》有关规定提出的评论意见涉及以下公约：</w:t>
      </w:r>
    </w:p>
    <w:p w:rsidR="00EC4F68" w:rsidRDefault="00EC4F68" w:rsidP="00EC4F68">
      <w:pPr>
        <w:pStyle w:val="SingleTxtG"/>
        <w:spacing w:after="140" w:line="320" w:lineRule="exact"/>
        <w:ind w:left="1264" w:right="1264"/>
        <w:rPr>
          <w:rFonts w:eastAsia="KaiTi_GB2312"/>
          <w:sz w:val="21"/>
          <w:szCs w:val="21"/>
          <w:lang w:eastAsia="zh-CN"/>
        </w:rPr>
      </w:pPr>
      <w:r>
        <w:rPr>
          <w:rFonts w:eastAsia="KaiTi_GB2312" w:hint="eastAsia"/>
          <w:sz w:val="21"/>
          <w:szCs w:val="21"/>
          <w:lang w:eastAsia="zh-CN"/>
        </w:rPr>
        <w:t>《第</w:t>
      </w:r>
      <w:r>
        <w:rPr>
          <w:rFonts w:eastAsia="KaiTi_GB2312"/>
          <w:sz w:val="21"/>
          <w:szCs w:val="21"/>
          <w:lang w:eastAsia="zh-CN"/>
        </w:rPr>
        <w:t>111</w:t>
      </w:r>
      <w:r>
        <w:rPr>
          <w:rFonts w:eastAsia="KaiTi_GB2312" w:hint="eastAsia"/>
          <w:sz w:val="21"/>
          <w:szCs w:val="21"/>
          <w:lang w:eastAsia="zh-CN"/>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专家委员会在</w:t>
      </w:r>
      <w:r>
        <w:rPr>
          <w:sz w:val="21"/>
          <w:szCs w:val="21"/>
          <w:lang w:eastAsia="zh-CN"/>
        </w:rPr>
        <w:t>2012</w:t>
      </w:r>
      <w:r>
        <w:rPr>
          <w:rFonts w:hint="eastAsia"/>
          <w:sz w:val="21"/>
          <w:szCs w:val="21"/>
          <w:lang w:eastAsia="zh-CN"/>
        </w:rPr>
        <w:t>年的意见中注意到通过了</w:t>
      </w:r>
      <w:r>
        <w:rPr>
          <w:sz w:val="21"/>
          <w:szCs w:val="21"/>
          <w:lang w:eastAsia="zh-CN"/>
        </w:rPr>
        <w:t>2012</w:t>
      </w:r>
      <w:r>
        <w:rPr>
          <w:rFonts w:hint="eastAsia"/>
          <w:sz w:val="21"/>
          <w:szCs w:val="21"/>
          <w:lang w:eastAsia="zh-CN"/>
        </w:rPr>
        <w:t>年第</w:t>
      </w:r>
      <w:r>
        <w:rPr>
          <w:sz w:val="21"/>
          <w:szCs w:val="21"/>
          <w:lang w:eastAsia="zh-CN"/>
        </w:rPr>
        <w:t>36</w:t>
      </w:r>
      <w:r>
        <w:rPr>
          <w:rFonts w:hint="eastAsia"/>
          <w:sz w:val="21"/>
          <w:szCs w:val="21"/>
          <w:lang w:eastAsia="zh-CN"/>
        </w:rPr>
        <w:t>号法律《私营部门劳动法》（《劳动法》），该法于</w:t>
      </w:r>
      <w:smartTag w:uri="urn:schemas-microsoft-com:office:smarttags" w:element="chsdate">
        <w:smartTagPr>
          <w:attr w:name="Year" w:val="2012"/>
          <w:attr w:name="Month" w:val="9"/>
          <w:attr w:name="Day" w:val="2"/>
          <w:attr w:name="IsLunarDate" w:val="False"/>
          <w:attr w:name="IsROCDate" w:val="False"/>
        </w:smartTagPr>
        <w:r>
          <w:rPr>
            <w:sz w:val="21"/>
            <w:szCs w:val="21"/>
            <w:lang w:eastAsia="zh-CN"/>
          </w:rPr>
          <w:t>2012</w:t>
        </w:r>
        <w:r>
          <w:rPr>
            <w:rFonts w:hint="eastAsia"/>
            <w:sz w:val="21"/>
            <w:szCs w:val="21"/>
            <w:lang w:eastAsia="zh-CN"/>
          </w:rPr>
          <w:t>年</w:t>
        </w:r>
        <w:r>
          <w:rPr>
            <w:sz w:val="21"/>
            <w:szCs w:val="21"/>
            <w:lang w:eastAsia="zh-CN"/>
          </w:rPr>
          <w:t>9</w:t>
        </w:r>
        <w:r>
          <w:rPr>
            <w:rFonts w:hint="eastAsia"/>
            <w:sz w:val="21"/>
            <w:szCs w:val="21"/>
            <w:lang w:eastAsia="zh-CN"/>
          </w:rPr>
          <w:t>月</w:t>
        </w:r>
        <w:r>
          <w:rPr>
            <w:sz w:val="21"/>
            <w:szCs w:val="21"/>
            <w:lang w:eastAsia="zh-CN"/>
          </w:rPr>
          <w:t>2</w:t>
        </w:r>
        <w:r>
          <w:rPr>
            <w:rFonts w:hint="eastAsia"/>
            <w:sz w:val="21"/>
            <w:szCs w:val="21"/>
            <w:lang w:eastAsia="zh-CN"/>
          </w:rPr>
          <w:t>日</w:t>
        </w:r>
      </w:smartTag>
      <w:r>
        <w:rPr>
          <w:rFonts w:hint="eastAsia"/>
          <w:sz w:val="21"/>
          <w:szCs w:val="21"/>
          <w:lang w:eastAsia="zh-CN"/>
        </w:rPr>
        <w:t>正式生效。委员会注意到，根据其中第</w:t>
      </w:r>
      <w:r>
        <w:rPr>
          <w:sz w:val="21"/>
          <w:szCs w:val="21"/>
          <w:lang w:eastAsia="zh-CN"/>
        </w:rPr>
        <w:t>39</w:t>
      </w:r>
      <w:r>
        <w:rPr>
          <w:rFonts w:hint="eastAsia"/>
          <w:sz w:val="21"/>
          <w:szCs w:val="21"/>
          <w:lang w:eastAsia="zh-CN"/>
        </w:rPr>
        <w:t>条的规定，禁止基于性别、出身、语言、宗教或意识形态的工资歧视。第</w:t>
      </w:r>
      <w:r>
        <w:rPr>
          <w:sz w:val="21"/>
          <w:szCs w:val="21"/>
          <w:lang w:eastAsia="zh-CN"/>
        </w:rPr>
        <w:t>104</w:t>
      </w:r>
      <w:r>
        <w:rPr>
          <w:rFonts w:hint="eastAsia"/>
          <w:sz w:val="21"/>
          <w:szCs w:val="21"/>
          <w:lang w:eastAsia="zh-CN"/>
        </w:rPr>
        <w:t>条规定，如果终止雇用合同是出于性别、肤色、宗教、意识形态、婚姻状况、家庭责任，或女工怀孕、生育或母乳喂养原因，则该终止行为应被视为任意解雇；如果工人提出投诉或正式通知或对雇主发起诉讼，除非该投诉、正式通知或诉讼是缠讼性质的，否则该终止行为也应被视为任意解雇。该条还规定，如果解雇是出于所列举理由之一，法院应下令恢复该雇用合同。此外，第</w:t>
      </w:r>
      <w:r>
        <w:rPr>
          <w:sz w:val="21"/>
          <w:szCs w:val="21"/>
          <w:lang w:eastAsia="zh-CN"/>
        </w:rPr>
        <w:t>29</w:t>
      </w:r>
      <w:r>
        <w:rPr>
          <w:rFonts w:hint="eastAsia"/>
          <w:sz w:val="21"/>
          <w:szCs w:val="21"/>
          <w:lang w:eastAsia="zh-CN"/>
        </w:rPr>
        <w:t>条规定，所有涉及男性就业的条款在类似情况下均应当非歧视地适用于妇女，第</w:t>
      </w:r>
      <w:r>
        <w:rPr>
          <w:sz w:val="21"/>
          <w:szCs w:val="21"/>
          <w:lang w:eastAsia="zh-CN"/>
        </w:rPr>
        <w:t>33</w:t>
      </w:r>
      <w:r>
        <w:rPr>
          <w:rFonts w:hint="eastAsia"/>
          <w:sz w:val="21"/>
          <w:szCs w:val="21"/>
          <w:lang w:eastAsia="zh-CN"/>
        </w:rPr>
        <w:t>条禁止雇主以结婚或休产假为由解雇妇女。</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委员会回顾，其在以往的评论中敦促巴林政府采取措施，确保新《劳动法》中包括明确界定并禁止直接和间接歧视的规定，涵盖《公约》第</w:t>
      </w:r>
      <w:r>
        <w:rPr>
          <w:sz w:val="21"/>
          <w:szCs w:val="21"/>
          <w:lang w:eastAsia="zh-CN"/>
        </w:rPr>
        <w:t>1(1)(a)</w:t>
      </w:r>
      <w:r>
        <w:rPr>
          <w:rFonts w:hint="eastAsia"/>
          <w:sz w:val="21"/>
          <w:szCs w:val="21"/>
          <w:lang w:eastAsia="zh-CN"/>
        </w:rPr>
        <w:t>条列举的所有理由，涉及就业和职业的各个方面并涵盖包括家庭佣工、临时工和农业工人在内的所有工人。但是，委员会注意到，《劳动法》没有对歧视进行定义，没有体现出禁止间接歧视。尽管禁止工资歧视和歧视性解雇，但《公约》第</w:t>
      </w:r>
      <w:r>
        <w:rPr>
          <w:sz w:val="21"/>
          <w:szCs w:val="21"/>
          <w:lang w:eastAsia="zh-CN"/>
        </w:rPr>
        <w:t>1(1</w:t>
      </w:r>
      <w:r>
        <w:rPr>
          <w:rFonts w:hint="eastAsia"/>
          <w:sz w:val="21"/>
          <w:szCs w:val="21"/>
          <w:lang w:eastAsia="zh-CN"/>
        </w:rPr>
        <w:t>）</w:t>
      </w:r>
      <w:r>
        <w:rPr>
          <w:sz w:val="21"/>
          <w:szCs w:val="21"/>
          <w:lang w:eastAsia="zh-CN"/>
        </w:rPr>
        <w:t>(a)</w:t>
      </w:r>
      <w:r>
        <w:rPr>
          <w:rFonts w:hint="eastAsia"/>
          <w:sz w:val="21"/>
          <w:szCs w:val="21"/>
          <w:lang w:eastAsia="zh-CN"/>
        </w:rPr>
        <w:t>条所列理由并没有全部被包括进来。除了工资和解雇之外，《劳动法》没有涵盖《公约》第</w:t>
      </w:r>
      <w:r>
        <w:rPr>
          <w:sz w:val="21"/>
          <w:szCs w:val="21"/>
          <w:lang w:eastAsia="zh-CN"/>
        </w:rPr>
        <w:t>1(3)</w:t>
      </w:r>
      <w:r>
        <w:rPr>
          <w:rFonts w:hint="eastAsia"/>
          <w:sz w:val="21"/>
          <w:szCs w:val="21"/>
          <w:lang w:eastAsia="zh-CN"/>
        </w:rPr>
        <w:t>条的规定，也即保护在获得职业训练、获得就业及特殊职业、以及就业条件方面不受歧视。根据《劳动法》第</w:t>
      </w:r>
      <w:r>
        <w:rPr>
          <w:sz w:val="21"/>
          <w:szCs w:val="21"/>
          <w:lang w:eastAsia="zh-CN"/>
        </w:rPr>
        <w:t>2</w:t>
      </w:r>
      <w:r>
        <w:rPr>
          <w:rFonts w:hint="eastAsia"/>
          <w:sz w:val="21"/>
          <w:szCs w:val="21"/>
          <w:lang w:eastAsia="zh-CN"/>
        </w:rPr>
        <w:t>条的规定，该法不适用于公务员和公法人或家庭佣工及被视为家庭佣工者，例如为雇主或雇主的家庭成员工作的农业工人、保安、保姆、司机和厨师，除了特定的具体条款之外，该法并不包括与歧视有关的规定。委员会请巴林政府提供详细资料，说明其采取了哪些措施确保所有工人，包括《劳动法》禁止歧视条款未涵盖的工人在内，在就业和职业的各个方面不受直接和间接歧视，包括确保其不会因《公约》列举的所有理由在获得就业、职业培训以及就业条件方面受到歧视。委员会还请巴林政府着眼于通过立法充分体现《公约》原则，考虑进一步修订《劳动法》并提供关于其在此方面采取的任何措施的资料。</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委员会注意到，新《劳动法》第</w:t>
      </w:r>
      <w:r>
        <w:rPr>
          <w:sz w:val="21"/>
          <w:szCs w:val="21"/>
          <w:lang w:eastAsia="zh-CN"/>
        </w:rPr>
        <w:t>31</w:t>
      </w:r>
      <w:r>
        <w:rPr>
          <w:rFonts w:hint="eastAsia"/>
          <w:sz w:val="21"/>
          <w:szCs w:val="21"/>
          <w:lang w:eastAsia="zh-CN"/>
        </w:rPr>
        <w:t>条规定负责私营部门劳工事务的部长应当就禁止妇女从事的工作颁布决定，这潜在地在更大范围上限制了妇女就业。委员会敦促巴林政府采取措施，确保适用于保护妇女的措施仅限于严格意义上的保护产妇，废止任何阻碍招聘妇女和妇女就业的障碍，撤销任何此类措施。</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在修订《劳动法》的过程中，没有利用这一机会将明确界定和禁止就业和职业中的性骚扰的条款涵盖在内。委员会注意到，巴林政府再次声称《刑法》的规定已足够充分，而且投诉者还可以向劳动部提出歧视申诉。委员会认为，由于性骚扰问题十分敏感、举证困难而且所涉行为的范围有限，因此通过刑事诉讼解决性骚扰问题是不够的。委员会还认为，《劳动法》里的不歧视条款是不充分的，因为其中仅涵盖了工资歧视和终止雇用行为，并没有明确界定和禁止一切形式的性骚扰。委员会再次敦促巴林政府采取措施明确界定和禁止就业和职业中的性骚扰，其中包括交换型的性骚扰和不友好工作环境型的性骚扰。委员会还请巴林政府采取切实措施预防和解决性骚扰问题。</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委员会注意到，《劳动法》的不歧视条款并未涵盖一些群体，这些群体主要由移徙工人组成，也即家庭佣工及被视为家庭佣工者，包括农业工人、保安、保姆、司机和厨师。委员会忆及</w:t>
      </w:r>
      <w:smartTag w:uri="urn:schemas-microsoft-com:office:smarttags" w:element="chsdate">
        <w:smartTagPr>
          <w:attr w:name="Year" w:val="2009"/>
          <w:attr w:name="Month" w:val="4"/>
          <w:attr w:name="Day" w:val="16"/>
          <w:attr w:name="IsLunarDate" w:val="False"/>
          <w:attr w:name="IsROCDate" w:val="False"/>
        </w:smartTagPr>
        <w:r>
          <w:rPr>
            <w:sz w:val="21"/>
            <w:szCs w:val="21"/>
            <w:lang w:eastAsia="zh-CN"/>
          </w:rPr>
          <w:t>2009</w:t>
        </w:r>
        <w:r>
          <w:rPr>
            <w:rFonts w:hint="eastAsia"/>
            <w:sz w:val="21"/>
            <w:szCs w:val="21"/>
            <w:lang w:eastAsia="zh-CN"/>
          </w:rPr>
          <w:t>年</w:t>
        </w:r>
        <w:r>
          <w:rPr>
            <w:sz w:val="21"/>
            <w:szCs w:val="21"/>
            <w:lang w:eastAsia="zh-CN"/>
          </w:rPr>
          <w:t>4</w:t>
        </w:r>
        <w:r>
          <w:rPr>
            <w:rFonts w:hint="eastAsia"/>
            <w:sz w:val="21"/>
            <w:szCs w:val="21"/>
            <w:lang w:eastAsia="zh-CN"/>
          </w:rPr>
          <w:t>月</w:t>
        </w:r>
        <w:r>
          <w:rPr>
            <w:sz w:val="21"/>
            <w:szCs w:val="21"/>
            <w:lang w:eastAsia="zh-CN"/>
          </w:rPr>
          <w:t>16</w:t>
        </w:r>
        <w:r>
          <w:rPr>
            <w:rFonts w:hint="eastAsia"/>
            <w:sz w:val="21"/>
            <w:szCs w:val="21"/>
            <w:lang w:eastAsia="zh-CN"/>
          </w:rPr>
          <w:t>日</w:t>
        </w:r>
      </w:smartTag>
      <w:r>
        <w:rPr>
          <w:rFonts w:hint="eastAsia"/>
          <w:sz w:val="21"/>
          <w:szCs w:val="21"/>
          <w:lang w:eastAsia="zh-CN"/>
        </w:rPr>
        <w:t>通过的第</w:t>
      </w:r>
      <w:r>
        <w:rPr>
          <w:sz w:val="21"/>
          <w:szCs w:val="21"/>
          <w:lang w:eastAsia="zh-CN"/>
        </w:rPr>
        <w:t>79</w:t>
      </w:r>
      <w:r>
        <w:rPr>
          <w:rFonts w:hint="eastAsia"/>
          <w:sz w:val="21"/>
          <w:szCs w:val="21"/>
          <w:lang w:eastAsia="zh-CN"/>
        </w:rPr>
        <w:t>号决定第</w:t>
      </w:r>
      <w:r>
        <w:rPr>
          <w:sz w:val="21"/>
          <w:szCs w:val="21"/>
          <w:lang w:eastAsia="zh-CN"/>
        </w:rPr>
        <w:t>2</w:t>
      </w:r>
      <w:r>
        <w:rPr>
          <w:rFonts w:hint="eastAsia"/>
          <w:sz w:val="21"/>
          <w:szCs w:val="21"/>
          <w:lang w:eastAsia="zh-CN"/>
        </w:rPr>
        <w:t>条规定，在不侵犯雇主权利的情况下，外国工人有权根据法律条款或当事人之间签订的劳动合同文本更换雇主。更换雇主的请求必须得到劳动市场管理局的批准（第</w:t>
      </w:r>
      <w:r>
        <w:rPr>
          <w:sz w:val="21"/>
          <w:szCs w:val="21"/>
          <w:lang w:eastAsia="zh-CN"/>
        </w:rPr>
        <w:t>5</w:t>
      </w:r>
      <w:r>
        <w:rPr>
          <w:rFonts w:hint="eastAsia"/>
          <w:sz w:val="21"/>
          <w:szCs w:val="21"/>
          <w:lang w:eastAsia="zh-CN"/>
        </w:rPr>
        <w:t>条）。委员会认为，允许雇主在就业合同中规定更换雇主的限制条件会削弱第</w:t>
      </w:r>
      <w:r>
        <w:rPr>
          <w:sz w:val="21"/>
          <w:szCs w:val="21"/>
          <w:lang w:eastAsia="zh-CN"/>
        </w:rPr>
        <w:t>79</w:t>
      </w:r>
      <w:r>
        <w:rPr>
          <w:rFonts w:hint="eastAsia"/>
          <w:sz w:val="21"/>
          <w:szCs w:val="21"/>
          <w:lang w:eastAsia="zh-CN"/>
        </w:rPr>
        <w:t>号决定的目标，这是因为由于谈判权不平等，移徙工人可能会被迫同意这种条款，再次增加自身的依附性，严重影响其享有劳动权利，使其面临遭受歧视的风险。委员会请巴林政府：</w:t>
      </w:r>
      <w:r>
        <w:rPr>
          <w:sz w:val="21"/>
          <w:szCs w:val="21"/>
          <w:lang w:eastAsia="zh-CN"/>
        </w:rPr>
        <w:t>(a)</w:t>
      </w:r>
      <w:r>
        <w:rPr>
          <w:rFonts w:hint="eastAsia"/>
          <w:sz w:val="21"/>
          <w:szCs w:val="21"/>
          <w:lang w:eastAsia="zh-CN"/>
        </w:rPr>
        <w:t>确保有效保护所有移徙工人不因种族、性别、肤色、宗教、政治见解、出身国家或社会出身受到歧视，并确保其能够获得适当的程序和救济；</w:t>
      </w:r>
      <w:r>
        <w:rPr>
          <w:sz w:val="21"/>
          <w:szCs w:val="21"/>
          <w:lang w:eastAsia="zh-CN"/>
        </w:rPr>
        <w:t>(b)</w:t>
      </w:r>
      <w:r>
        <w:rPr>
          <w:rFonts w:hint="eastAsia"/>
          <w:sz w:val="21"/>
          <w:szCs w:val="21"/>
          <w:lang w:eastAsia="zh-CN"/>
        </w:rPr>
        <w:t>确保为调整移徙工人变换雇主的权利而通过的任何法规都不会对移徙工人施加条件或限制，增加其对雇主的依赖性，从而增加其遭受虐待和歧视做法的风险；</w:t>
      </w:r>
      <w:r>
        <w:rPr>
          <w:sz w:val="21"/>
          <w:szCs w:val="21"/>
          <w:lang w:eastAsia="zh-CN"/>
        </w:rPr>
        <w:t>(c)</w:t>
      </w:r>
      <w:r>
        <w:rPr>
          <w:rFonts w:hint="eastAsia"/>
          <w:sz w:val="21"/>
          <w:szCs w:val="21"/>
          <w:lang w:eastAsia="zh-CN"/>
        </w:rPr>
        <w:t>提供资料，介绍依据第</w:t>
      </w:r>
      <w:r>
        <w:rPr>
          <w:sz w:val="21"/>
          <w:szCs w:val="21"/>
          <w:lang w:eastAsia="zh-CN"/>
        </w:rPr>
        <w:t>79</w:t>
      </w:r>
      <w:r>
        <w:rPr>
          <w:rFonts w:hint="eastAsia"/>
          <w:sz w:val="21"/>
          <w:szCs w:val="21"/>
          <w:lang w:eastAsia="zh-CN"/>
        </w:rPr>
        <w:t>号决定变换了雇主的移徙工人的数量，按照性别、职业和来源国分列（获得雇主同意，未获得雇主同意，以及在工作许可结束之后变换雇主）；</w:t>
      </w:r>
      <w:r>
        <w:rPr>
          <w:sz w:val="21"/>
          <w:szCs w:val="21"/>
          <w:lang w:eastAsia="zh-CN"/>
        </w:rPr>
        <w:t>(d)</w:t>
      </w:r>
      <w:r>
        <w:rPr>
          <w:rFonts w:hint="eastAsia"/>
          <w:sz w:val="21"/>
          <w:szCs w:val="21"/>
          <w:lang w:eastAsia="zh-CN"/>
        </w:rPr>
        <w:t>提供资料，介绍劳动市场管理局收到的未经雇主同意而请求变换雇主的申请的性质和数量，按照性别、职业和来源国分列，并介绍被驳回的申请的数量和驳回理由；</w:t>
      </w:r>
      <w:r>
        <w:rPr>
          <w:sz w:val="21"/>
          <w:szCs w:val="21"/>
          <w:lang w:eastAsia="zh-CN"/>
        </w:rPr>
        <w:t>(e)</w:t>
      </w:r>
      <w:r>
        <w:rPr>
          <w:rFonts w:hint="eastAsia"/>
          <w:sz w:val="21"/>
          <w:szCs w:val="21"/>
          <w:lang w:eastAsia="zh-CN"/>
        </w:rPr>
        <w:t>继续提供资料，介绍委员会为确定实施该决定的影响及其后续影响而开展的审查的结果。</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w:t>
      </w:r>
      <w:r>
        <w:rPr>
          <w:sz w:val="21"/>
          <w:szCs w:val="21"/>
          <w:lang w:eastAsia="zh-CN"/>
        </w:rPr>
        <w:t>2012</w:t>
      </w:r>
      <w:r>
        <w:rPr>
          <w:rFonts w:hint="eastAsia"/>
          <w:sz w:val="21"/>
          <w:szCs w:val="21"/>
          <w:lang w:eastAsia="zh-CN"/>
        </w:rPr>
        <w:t>年的直接要求中，委员会注意到巴林政府表示已经建立最高妇女理事会，并在人权和社会发展部成立了两性平等机会股。平等机会股负责与最高妇女理事会协调解决投诉，组织讲习班和培训课程。委员会请政府提供以下方面的具体资料：</w:t>
      </w:r>
      <w:r>
        <w:rPr>
          <w:sz w:val="21"/>
          <w:szCs w:val="21"/>
          <w:lang w:eastAsia="zh-CN"/>
        </w:rPr>
        <w:t>(a)</w:t>
      </w:r>
      <w:r>
        <w:rPr>
          <w:rFonts w:hint="eastAsia"/>
          <w:sz w:val="21"/>
          <w:szCs w:val="21"/>
          <w:lang w:eastAsia="zh-CN"/>
        </w:rPr>
        <w:t>最高妇女理事会的任务，该理事会或平等机会股为宣传《公约》相关信息和促进男女之间在就业和职业方面的机会平等而开展的活动或采取的措施以及取得的成果；</w:t>
      </w:r>
      <w:r>
        <w:rPr>
          <w:sz w:val="21"/>
          <w:szCs w:val="21"/>
          <w:lang w:eastAsia="zh-CN"/>
        </w:rPr>
        <w:t>(b)</w:t>
      </w:r>
      <w:r>
        <w:rPr>
          <w:rFonts w:hint="eastAsia"/>
          <w:sz w:val="21"/>
          <w:szCs w:val="21"/>
          <w:lang w:eastAsia="zh-CN"/>
        </w:rPr>
        <w:t>委员会或平等机会股收到的投诉的性质和数量及其结果；</w:t>
      </w:r>
      <w:r>
        <w:rPr>
          <w:sz w:val="21"/>
          <w:szCs w:val="21"/>
          <w:lang w:eastAsia="zh-CN"/>
        </w:rPr>
        <w:t>(c)</w:t>
      </w:r>
      <w:r>
        <w:rPr>
          <w:rFonts w:hint="eastAsia"/>
          <w:sz w:val="21"/>
          <w:szCs w:val="21"/>
          <w:lang w:eastAsia="zh-CN"/>
        </w:rPr>
        <w:t>长期战略、国家妇女需求融入发展模式、已开展的或已设想的与《公约》原则有关的立法改革，以及所有这些对增加妇女在就业和职业方面的机会的影响；</w:t>
      </w:r>
      <w:r>
        <w:rPr>
          <w:sz w:val="21"/>
          <w:szCs w:val="21"/>
          <w:lang w:eastAsia="zh-CN"/>
        </w:rPr>
        <w:t>(d)</w:t>
      </w:r>
      <w:r>
        <w:rPr>
          <w:rFonts w:hint="eastAsia"/>
          <w:sz w:val="21"/>
          <w:szCs w:val="21"/>
          <w:lang w:eastAsia="zh-CN"/>
        </w:rPr>
        <w:t>受益于职业培训的女性和男性各自的人数，包括关于培训类型以及此类培训如何转化为就业机会的资料；</w:t>
      </w:r>
      <w:r>
        <w:rPr>
          <w:sz w:val="21"/>
          <w:szCs w:val="21"/>
          <w:lang w:eastAsia="zh-CN"/>
        </w:rPr>
        <w:t>(e)</w:t>
      </w:r>
      <w:r>
        <w:rPr>
          <w:rFonts w:hint="eastAsia"/>
          <w:sz w:val="21"/>
          <w:szCs w:val="21"/>
          <w:lang w:eastAsia="zh-CN"/>
        </w:rPr>
        <w:t>为确保妇女获得更广泛的教育、培训和就业机会（包括在传统的男性主导领域获得机会）而采取的措施。</w:t>
      </w:r>
    </w:p>
    <w:p w:rsidR="00EC4F68" w:rsidRDefault="00EC4F68" w:rsidP="00EC4F68">
      <w:pPr>
        <w:pStyle w:val="SingleTxtG"/>
        <w:spacing w:after="140" w:line="320" w:lineRule="exact"/>
        <w:ind w:left="1264" w:right="1264"/>
        <w:rPr>
          <w:sz w:val="21"/>
          <w:szCs w:val="21"/>
          <w:lang w:eastAsia="zh-CN"/>
        </w:rPr>
      </w:pPr>
      <w:r>
        <w:rPr>
          <w:rFonts w:eastAsia="KaiTi_GB2312" w:hint="eastAsia"/>
          <w:sz w:val="21"/>
          <w:szCs w:val="21"/>
          <w:lang w:eastAsia="zh-CN"/>
        </w:rPr>
        <w:t>补充资料</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sz w:val="21"/>
          <w:szCs w:val="21"/>
          <w:lang w:eastAsia="zh-CN"/>
        </w:rPr>
        <w:t>2011</w:t>
      </w:r>
      <w:r>
        <w:rPr>
          <w:rFonts w:hint="eastAsia"/>
          <w:sz w:val="21"/>
          <w:szCs w:val="21"/>
          <w:lang w:eastAsia="zh-CN"/>
        </w:rPr>
        <w:t>年</w:t>
      </w:r>
      <w:r>
        <w:rPr>
          <w:sz w:val="21"/>
          <w:szCs w:val="21"/>
          <w:lang w:eastAsia="zh-CN"/>
        </w:rPr>
        <w:t>6</w:t>
      </w:r>
      <w:r>
        <w:rPr>
          <w:rFonts w:hint="eastAsia"/>
          <w:sz w:val="21"/>
          <w:szCs w:val="21"/>
          <w:lang w:eastAsia="zh-CN"/>
        </w:rPr>
        <w:t>月，参加国际劳工大会第</w:t>
      </w:r>
      <w:r>
        <w:rPr>
          <w:sz w:val="21"/>
          <w:szCs w:val="21"/>
          <w:lang w:eastAsia="zh-CN"/>
        </w:rPr>
        <w:t>100</w:t>
      </w:r>
      <w:r>
        <w:rPr>
          <w:rFonts w:hint="eastAsia"/>
          <w:sz w:val="21"/>
          <w:szCs w:val="21"/>
          <w:lang w:eastAsia="zh-CN"/>
        </w:rPr>
        <w:t>届会议的工人代表根据《国际劳工组织章程》第</w:t>
      </w:r>
      <w:r>
        <w:rPr>
          <w:sz w:val="21"/>
          <w:szCs w:val="21"/>
          <w:lang w:eastAsia="zh-CN"/>
        </w:rPr>
        <w:t>26</w:t>
      </w:r>
      <w:r>
        <w:rPr>
          <w:rFonts w:hint="eastAsia"/>
          <w:sz w:val="21"/>
          <w:szCs w:val="21"/>
          <w:lang w:eastAsia="zh-CN"/>
        </w:rPr>
        <w:t>条提交了关于巴林未遵守《第</w:t>
      </w:r>
      <w:r>
        <w:rPr>
          <w:sz w:val="21"/>
          <w:szCs w:val="21"/>
          <w:lang w:eastAsia="zh-CN"/>
        </w:rPr>
        <w:t>111</w:t>
      </w:r>
      <w:r>
        <w:rPr>
          <w:rFonts w:hint="eastAsia"/>
          <w:sz w:val="21"/>
          <w:szCs w:val="21"/>
          <w:lang w:eastAsia="zh-CN"/>
        </w:rPr>
        <w:t>号公约》的投诉。其中指控继</w:t>
      </w:r>
      <w:r>
        <w:rPr>
          <w:sz w:val="21"/>
          <w:szCs w:val="21"/>
          <w:lang w:eastAsia="zh-CN"/>
        </w:rPr>
        <w:t xml:space="preserve"> 2011</w:t>
      </w:r>
      <w:r>
        <w:rPr>
          <w:rFonts w:hint="eastAsia"/>
          <w:sz w:val="21"/>
          <w:szCs w:val="21"/>
          <w:lang w:eastAsia="zh-CN"/>
        </w:rPr>
        <w:t>年</w:t>
      </w:r>
      <w:r>
        <w:rPr>
          <w:sz w:val="21"/>
          <w:szCs w:val="21"/>
          <w:lang w:eastAsia="zh-CN"/>
        </w:rPr>
        <w:t>2</w:t>
      </w:r>
      <w:r>
        <w:rPr>
          <w:rFonts w:hint="eastAsia"/>
          <w:sz w:val="21"/>
          <w:szCs w:val="21"/>
          <w:lang w:eastAsia="zh-CN"/>
        </w:rPr>
        <w:t>月的巴林事件之后，由于和平示威，要求经济和社会变革并对正在进行的民主化和改革表示支持，包括工运分子、工会成员和工会领导在内的公共和私营部门的</w:t>
      </w:r>
      <w:r>
        <w:rPr>
          <w:sz w:val="21"/>
          <w:szCs w:val="21"/>
          <w:lang w:eastAsia="zh-CN"/>
        </w:rPr>
        <w:t>2 000</w:t>
      </w:r>
      <w:r>
        <w:rPr>
          <w:rFonts w:hint="eastAsia"/>
          <w:sz w:val="21"/>
          <w:szCs w:val="21"/>
          <w:lang w:eastAsia="zh-CN"/>
        </w:rPr>
        <w:t>多名工人遭到停职和包括解雇在内的各种形式的制裁。这份投诉称解雇行为是基于工人的见解、信仰和工会会员身份等理由做出的。这份投诉呼吁国际劳工组织理事会针对基于政治见解和宗教的歧视这一具体指控采取行动。</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根据第</w:t>
      </w:r>
      <w:r>
        <w:rPr>
          <w:sz w:val="21"/>
          <w:szCs w:val="21"/>
          <w:lang w:eastAsia="zh-CN"/>
        </w:rPr>
        <w:t>26</w:t>
      </w:r>
      <w:r>
        <w:rPr>
          <w:rFonts w:hint="eastAsia"/>
          <w:sz w:val="21"/>
          <w:szCs w:val="21"/>
          <w:lang w:eastAsia="zh-CN"/>
        </w:rPr>
        <w:t>条，批准同一项公约的会员国、国际劳工大会代表或国际劳工组织理事会在其自身职责范围内，可以对另一个会员国未遵守所批准公约提出投诉。在收到投诉后，理事会可以就后续程序通过必要的决定。如果持续和严重的侵权行为未能得到会员国的有效解决，理事会可以将投诉移交国际劳工组织的最高调查程序</w:t>
      </w:r>
      <w:r>
        <w:rPr>
          <w:sz w:val="21"/>
          <w:szCs w:val="21"/>
          <w:lang w:eastAsia="zh-CN"/>
        </w:rPr>
        <w:t>——</w:t>
      </w:r>
      <w:r>
        <w:rPr>
          <w:rFonts w:hint="eastAsia"/>
          <w:sz w:val="21"/>
          <w:szCs w:val="21"/>
          <w:lang w:eastAsia="zh-CN"/>
        </w:rPr>
        <w:t>调查委员会。</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理事会第</w:t>
      </w:r>
      <w:r>
        <w:rPr>
          <w:sz w:val="21"/>
          <w:szCs w:val="21"/>
          <w:lang w:eastAsia="zh-CN"/>
        </w:rPr>
        <w:t>312</w:t>
      </w:r>
      <w:r>
        <w:rPr>
          <w:rFonts w:hint="eastAsia"/>
          <w:sz w:val="21"/>
          <w:szCs w:val="21"/>
          <w:lang w:eastAsia="zh-CN"/>
        </w:rPr>
        <w:t>届至第</w:t>
      </w:r>
      <w:r>
        <w:rPr>
          <w:sz w:val="21"/>
          <w:szCs w:val="21"/>
          <w:lang w:eastAsia="zh-CN"/>
        </w:rPr>
        <w:t>319</w:t>
      </w:r>
      <w:r>
        <w:rPr>
          <w:rFonts w:hint="eastAsia"/>
          <w:sz w:val="21"/>
          <w:szCs w:val="21"/>
          <w:lang w:eastAsia="zh-CN"/>
        </w:rPr>
        <w:t>届会议就针对巴林的投诉举行了三方讨论。劳工组织还派遣团前往该国，以审查情况并为巴林政府和社会伙伴提供援助。</w:t>
      </w:r>
      <w:r>
        <w:rPr>
          <w:sz w:val="21"/>
          <w:szCs w:val="21"/>
          <w:lang w:eastAsia="zh-CN"/>
        </w:rPr>
        <w:t>2012</w:t>
      </w:r>
      <w:r>
        <w:rPr>
          <w:rFonts w:hint="eastAsia"/>
          <w:sz w:val="21"/>
          <w:szCs w:val="21"/>
          <w:lang w:eastAsia="zh-CN"/>
        </w:rPr>
        <w:t>年</w:t>
      </w:r>
      <w:r>
        <w:rPr>
          <w:sz w:val="21"/>
          <w:szCs w:val="21"/>
          <w:lang w:eastAsia="zh-CN"/>
        </w:rPr>
        <w:t>3</w:t>
      </w:r>
      <w:r>
        <w:rPr>
          <w:rFonts w:hint="eastAsia"/>
          <w:sz w:val="21"/>
          <w:szCs w:val="21"/>
          <w:lang w:eastAsia="zh-CN"/>
        </w:rPr>
        <w:t>月，三方代表在巴林就投诉中提出的问题签署一项协议。截至</w:t>
      </w:r>
      <w:r>
        <w:rPr>
          <w:sz w:val="21"/>
          <w:szCs w:val="21"/>
          <w:lang w:eastAsia="zh-CN"/>
        </w:rPr>
        <w:t>2013</w:t>
      </w:r>
      <w:r>
        <w:rPr>
          <w:rFonts w:hint="eastAsia"/>
          <w:sz w:val="21"/>
          <w:szCs w:val="21"/>
          <w:lang w:eastAsia="zh-CN"/>
        </w:rPr>
        <w:t>年</w:t>
      </w:r>
      <w:r>
        <w:rPr>
          <w:sz w:val="21"/>
          <w:szCs w:val="21"/>
          <w:lang w:eastAsia="zh-CN"/>
        </w:rPr>
        <w:t>11</w:t>
      </w:r>
      <w:r>
        <w:rPr>
          <w:rFonts w:hint="eastAsia"/>
          <w:sz w:val="21"/>
          <w:szCs w:val="21"/>
          <w:lang w:eastAsia="zh-CN"/>
        </w:rPr>
        <w:t>月，理事会仍然在审议对巴林提出的投诉的情况。预计理事会将于</w:t>
      </w:r>
      <w:r>
        <w:rPr>
          <w:sz w:val="21"/>
          <w:szCs w:val="21"/>
          <w:lang w:eastAsia="zh-CN"/>
        </w:rPr>
        <w:t>2014</w:t>
      </w:r>
      <w:r>
        <w:rPr>
          <w:rFonts w:hint="eastAsia"/>
          <w:sz w:val="21"/>
          <w:szCs w:val="21"/>
          <w:lang w:eastAsia="zh-CN"/>
        </w:rPr>
        <w:t>年</w:t>
      </w:r>
      <w:r>
        <w:rPr>
          <w:sz w:val="21"/>
          <w:szCs w:val="21"/>
          <w:lang w:eastAsia="zh-CN"/>
        </w:rPr>
        <w:t>3</w:t>
      </w:r>
      <w:r>
        <w:rPr>
          <w:rFonts w:hint="eastAsia"/>
          <w:sz w:val="21"/>
          <w:szCs w:val="21"/>
          <w:lang w:eastAsia="zh-CN"/>
        </w:rPr>
        <w:t>月就是否成立一个调查委员会做出决定。</w:t>
      </w:r>
    </w:p>
    <w:p w:rsidR="00EC4F68" w:rsidRDefault="00EC4F68" w:rsidP="00EC4F68">
      <w:pPr>
        <w:pStyle w:val="SingleTxtG"/>
        <w:spacing w:after="140" w:line="320" w:lineRule="exact"/>
        <w:ind w:left="1264" w:right="1264"/>
        <w:rPr>
          <w:rFonts w:eastAsia="SimHei"/>
          <w:bCs/>
          <w:sz w:val="24"/>
          <w:szCs w:val="24"/>
          <w:lang w:eastAsia="zh-CN"/>
        </w:rPr>
      </w:pPr>
      <w:r>
        <w:rPr>
          <w:rFonts w:eastAsia="SimHei" w:hint="eastAsia"/>
          <w:bCs/>
          <w:sz w:val="24"/>
          <w:szCs w:val="24"/>
          <w:lang w:eastAsia="zh-CN"/>
        </w:rPr>
        <w:t>喀麦隆</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在劳工组织的相关公约中，喀麦隆已批准第</w:t>
      </w:r>
      <w:r>
        <w:rPr>
          <w:sz w:val="21"/>
          <w:szCs w:val="21"/>
          <w:lang w:eastAsia="zh-CN"/>
        </w:rPr>
        <w:t>100</w:t>
      </w:r>
      <w:r>
        <w:rPr>
          <w:rFonts w:hint="eastAsia"/>
          <w:sz w:val="21"/>
          <w:szCs w:val="21"/>
          <w:lang w:eastAsia="zh-CN"/>
        </w:rPr>
        <w:t>号和第</w:t>
      </w:r>
      <w:r>
        <w:rPr>
          <w:sz w:val="21"/>
          <w:szCs w:val="21"/>
          <w:lang w:eastAsia="zh-CN"/>
        </w:rPr>
        <w:t>111</w:t>
      </w:r>
      <w:r>
        <w:rPr>
          <w:rFonts w:hint="eastAsia"/>
          <w:sz w:val="21"/>
          <w:szCs w:val="21"/>
          <w:lang w:eastAsia="zh-CN"/>
        </w:rPr>
        <w:t>号公约，该国还批准了第</w:t>
      </w:r>
      <w:r>
        <w:rPr>
          <w:sz w:val="21"/>
          <w:szCs w:val="21"/>
          <w:lang w:eastAsia="zh-CN"/>
        </w:rPr>
        <w:t>3</w:t>
      </w:r>
      <w:r>
        <w:rPr>
          <w:rFonts w:hint="eastAsia"/>
          <w:sz w:val="21"/>
          <w:szCs w:val="21"/>
          <w:lang w:eastAsia="zh-CN"/>
        </w:rPr>
        <w:t>、</w:t>
      </w:r>
      <w:r>
        <w:rPr>
          <w:sz w:val="21"/>
          <w:szCs w:val="21"/>
          <w:lang w:eastAsia="zh-CN"/>
        </w:rPr>
        <w:t>29</w:t>
      </w:r>
      <w:r>
        <w:rPr>
          <w:rFonts w:hint="eastAsia"/>
          <w:sz w:val="21"/>
          <w:szCs w:val="21"/>
          <w:lang w:eastAsia="zh-CN"/>
        </w:rPr>
        <w:t>、</w:t>
      </w:r>
      <w:r>
        <w:rPr>
          <w:sz w:val="21"/>
          <w:szCs w:val="21"/>
          <w:lang w:eastAsia="zh-CN"/>
        </w:rPr>
        <w:t>45</w:t>
      </w:r>
      <w:r>
        <w:rPr>
          <w:rFonts w:hint="eastAsia"/>
          <w:sz w:val="21"/>
          <w:szCs w:val="21"/>
          <w:lang w:eastAsia="zh-CN"/>
        </w:rPr>
        <w:t>、</w:t>
      </w:r>
      <w:r>
        <w:rPr>
          <w:sz w:val="21"/>
          <w:szCs w:val="21"/>
          <w:lang w:eastAsia="zh-CN"/>
        </w:rPr>
        <w:t>87</w:t>
      </w:r>
      <w:r>
        <w:rPr>
          <w:rFonts w:hint="eastAsia"/>
          <w:sz w:val="21"/>
          <w:szCs w:val="21"/>
          <w:lang w:eastAsia="zh-CN"/>
        </w:rPr>
        <w:t>、</w:t>
      </w:r>
      <w:r>
        <w:rPr>
          <w:sz w:val="21"/>
          <w:szCs w:val="21"/>
          <w:lang w:eastAsia="zh-CN"/>
        </w:rPr>
        <w:t>97</w:t>
      </w:r>
      <w:r>
        <w:rPr>
          <w:rFonts w:hint="eastAsia"/>
          <w:sz w:val="21"/>
          <w:szCs w:val="21"/>
          <w:lang w:eastAsia="zh-CN"/>
        </w:rPr>
        <w:t>、</w:t>
      </w:r>
      <w:r>
        <w:rPr>
          <w:sz w:val="21"/>
          <w:szCs w:val="21"/>
          <w:lang w:eastAsia="zh-CN"/>
        </w:rPr>
        <w:t>98</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122</w:t>
      </w:r>
      <w:r>
        <w:rPr>
          <w:rFonts w:hint="eastAsia"/>
          <w:sz w:val="21"/>
          <w:szCs w:val="21"/>
          <w:lang w:eastAsia="zh-CN"/>
        </w:rPr>
        <w:t>、</w:t>
      </w:r>
      <w:r>
        <w:rPr>
          <w:sz w:val="21"/>
          <w:szCs w:val="21"/>
          <w:lang w:eastAsia="zh-CN"/>
        </w:rPr>
        <w:t>138</w:t>
      </w:r>
      <w:r>
        <w:rPr>
          <w:rFonts w:hint="eastAsia"/>
          <w:sz w:val="21"/>
          <w:szCs w:val="21"/>
          <w:lang w:eastAsia="zh-CN"/>
        </w:rPr>
        <w:t>、</w:t>
      </w:r>
      <w:r>
        <w:rPr>
          <w:sz w:val="21"/>
          <w:szCs w:val="21"/>
          <w:lang w:eastAsia="zh-CN"/>
        </w:rPr>
        <w:t>143</w:t>
      </w:r>
      <w:r>
        <w:rPr>
          <w:rFonts w:hint="eastAsia"/>
          <w:sz w:val="21"/>
          <w:szCs w:val="21"/>
          <w:lang w:eastAsia="zh-CN"/>
        </w:rPr>
        <w:t>号和第</w:t>
      </w:r>
      <w:r>
        <w:rPr>
          <w:sz w:val="21"/>
          <w:szCs w:val="21"/>
          <w:lang w:eastAsia="zh-CN"/>
        </w:rPr>
        <w:t>182</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bCs/>
          <w:sz w:val="21"/>
          <w:szCs w:val="21"/>
          <w:lang w:eastAsia="zh-CN"/>
        </w:rPr>
      </w:pPr>
      <w:r>
        <w:rPr>
          <w:rFonts w:eastAsia="SimHei" w:hint="eastAsia"/>
          <w:bCs/>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w:t>
      </w:r>
    </w:p>
    <w:p w:rsidR="00EC4F68" w:rsidRDefault="00EC4F68" w:rsidP="00EC4F68">
      <w:pPr>
        <w:pStyle w:val="SingleTxtG"/>
        <w:spacing w:after="140" w:line="320" w:lineRule="exact"/>
        <w:ind w:left="1264" w:right="1264"/>
        <w:rPr>
          <w:rFonts w:eastAsia="KaiTi_GB2312"/>
          <w:sz w:val="21"/>
          <w:szCs w:val="21"/>
          <w:lang w:eastAsia="zh-CN"/>
        </w:rPr>
      </w:pPr>
      <w:r>
        <w:rPr>
          <w:rFonts w:eastAsia="KaiTi_GB2312" w:hint="eastAsia"/>
          <w:sz w:val="21"/>
          <w:szCs w:val="21"/>
          <w:lang w:eastAsia="zh-CN"/>
        </w:rPr>
        <w:t>《第</w:t>
      </w:r>
      <w:r>
        <w:rPr>
          <w:rFonts w:eastAsia="KaiTi_GB2312"/>
          <w:sz w:val="21"/>
          <w:szCs w:val="21"/>
          <w:lang w:eastAsia="zh-CN"/>
        </w:rPr>
        <w:t>100</w:t>
      </w:r>
      <w:r>
        <w:rPr>
          <w:rFonts w:eastAsia="KaiTi_GB2312" w:hint="eastAsia"/>
          <w:sz w:val="21"/>
          <w:szCs w:val="21"/>
          <w:lang w:eastAsia="zh-CN"/>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专家委员会在其</w:t>
      </w:r>
      <w:r>
        <w:rPr>
          <w:sz w:val="21"/>
          <w:szCs w:val="21"/>
          <w:lang w:eastAsia="zh-CN"/>
        </w:rPr>
        <w:t>2012</w:t>
      </w:r>
      <w:r>
        <w:rPr>
          <w:rFonts w:hint="eastAsia"/>
          <w:sz w:val="21"/>
          <w:szCs w:val="21"/>
          <w:lang w:eastAsia="zh-CN"/>
        </w:rPr>
        <w:t>年的意见中忆及，《劳工法》第</w:t>
      </w:r>
      <w:r>
        <w:rPr>
          <w:sz w:val="21"/>
          <w:szCs w:val="21"/>
          <w:lang w:eastAsia="zh-CN"/>
        </w:rPr>
        <w:t>61(2)</w:t>
      </w:r>
      <w:r>
        <w:rPr>
          <w:rFonts w:hint="eastAsia"/>
          <w:sz w:val="21"/>
          <w:szCs w:val="21"/>
          <w:lang w:eastAsia="zh-CN"/>
        </w:rPr>
        <w:t>条规定，所有工人不论其出身、性别、年龄、地位和宗教信仰，在“同等的工作和技术条件”下获得同等的工资，因此该条款并没有充分反映同值工作同等报酬原则。委员会再次注意到，喀麦隆政府提到了用于修订现有《劳工法》的法案，并指出经过劳动咨询委员会审议的该法案草案修正了《劳动法》第</w:t>
      </w:r>
      <w:r>
        <w:rPr>
          <w:sz w:val="21"/>
          <w:szCs w:val="21"/>
          <w:lang w:eastAsia="zh-CN"/>
        </w:rPr>
        <w:t>61(2)</w:t>
      </w:r>
      <w:r>
        <w:rPr>
          <w:rFonts w:hint="eastAsia"/>
          <w:sz w:val="21"/>
          <w:szCs w:val="21"/>
          <w:lang w:eastAsia="zh-CN"/>
        </w:rPr>
        <w:t>条以便与《公约》保持一致。委员会注意到总理办公室目前正在审查该法案，并相信喀麦隆政府能够在不久的将来证实该法案获得通过并且其新文本中包含充分体现《公约》所确立的男女同值工作同等报酬原则的条款。</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w:t>
      </w:r>
      <w:r>
        <w:rPr>
          <w:sz w:val="21"/>
          <w:szCs w:val="21"/>
          <w:lang w:eastAsia="zh-CN"/>
        </w:rPr>
        <w:t>2012</w:t>
      </w:r>
      <w:r>
        <w:rPr>
          <w:rFonts w:hint="eastAsia"/>
          <w:sz w:val="21"/>
          <w:szCs w:val="21"/>
          <w:lang w:eastAsia="zh-CN"/>
        </w:rPr>
        <w:t>年的直接要求中，在工作评价方面，委员会请喀麦隆政府鼓励社会伙伴根据男女同值工作同等报酬原则，运用客观的工作评价方法，审查工作的命名法和分类法，并鼓励其以相同方式审查政府内的工作。</w:t>
      </w:r>
    </w:p>
    <w:p w:rsidR="00EC4F68" w:rsidRDefault="00EC4F68" w:rsidP="00EC4F68">
      <w:pPr>
        <w:pStyle w:val="SingleTxtG"/>
        <w:spacing w:after="140" w:line="320" w:lineRule="exact"/>
        <w:ind w:left="1264" w:right="1264"/>
        <w:rPr>
          <w:rFonts w:eastAsia="KaiTi_GB2312"/>
          <w:sz w:val="21"/>
          <w:szCs w:val="21"/>
          <w:lang w:eastAsia="zh-CN"/>
        </w:rPr>
      </w:pPr>
      <w:r>
        <w:rPr>
          <w:rFonts w:eastAsia="KaiTi_GB2312" w:hint="eastAsia"/>
          <w:sz w:val="21"/>
          <w:szCs w:val="21"/>
          <w:lang w:val="en-US"/>
        </w:rPr>
        <w:t>《第</w:t>
      </w:r>
      <w:r>
        <w:rPr>
          <w:rFonts w:eastAsia="KaiTi_GB2312"/>
          <w:sz w:val="21"/>
          <w:szCs w:val="21"/>
        </w:rPr>
        <w:t>111</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2012</w:t>
      </w:r>
      <w:r>
        <w:rPr>
          <w:rFonts w:hint="eastAsia"/>
          <w:sz w:val="21"/>
          <w:szCs w:val="21"/>
          <w:lang w:eastAsia="zh-CN"/>
        </w:rPr>
        <w:t>年的意见中，专家委员会注意到劳动咨询委员会已经审议了《劳工法》修订法案，该法案目前正在接受总理办公室的审查。委员会相信喀麦隆政府能够在不久的将来报告通过该法案的案文，并且其中将包含界定和明确禁止基于《公约》所列所有理由的直接或间接歧视的条款，涉及就业和职业的所有方面，包括获得职业培训在内。</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委员会多年来一直敦促喀麦隆政府尽快采取具体措施，实施立法改革程序，以废除一些条款，特别是《刑法》和《民法》中的一些条款以及</w:t>
      </w:r>
      <w:r>
        <w:rPr>
          <w:sz w:val="21"/>
          <w:szCs w:val="21"/>
          <w:lang w:eastAsia="zh-CN"/>
        </w:rPr>
        <w:t>1981</w:t>
      </w:r>
      <w:r>
        <w:rPr>
          <w:rFonts w:hint="eastAsia"/>
          <w:sz w:val="21"/>
          <w:szCs w:val="21"/>
          <w:lang w:eastAsia="zh-CN"/>
        </w:rPr>
        <w:t>年第</w:t>
      </w:r>
      <w:r>
        <w:rPr>
          <w:sz w:val="21"/>
          <w:szCs w:val="21"/>
          <w:lang w:eastAsia="zh-CN"/>
        </w:rPr>
        <w:t>81-02</w:t>
      </w:r>
      <w:r>
        <w:rPr>
          <w:rFonts w:hint="eastAsia"/>
          <w:sz w:val="21"/>
          <w:szCs w:val="21"/>
          <w:lang w:eastAsia="zh-CN"/>
        </w:rPr>
        <w:t>号法令，该法令使丈夫有权以家庭和子女利益为由反对妻子工作。喀麦隆政府仅仅表示应当废除这些条款。此外，在预防和阻止暴力侵害妇女行为的法案的进展方面，喀麦隆政府表示，妇女与家庭部正在对此进行审议。因此，委员会有必要重申其要求，并敦促喀麦隆政府立即采取必要措施，确保在立法中废除在就业和职业方面起到歧视妇女效果的条款，并采取具体措施消除关于男女各自在社会中的作用的定型观念和偏见，从而消除妇女就业障碍。委员会希望政府很快能够报告其通过了关于预防和阻止暴力侵害妇女行为和基于性别的歧视的法案。</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关于《公约》规定的国家平等政策，委员会回顾，没有任何社会完全不存在歧视，委员会敦促政府尽快采取必要措施制定和实施国家平等政策，包括行动纲领和具体措施在内，以促进机会平等和无差别待遇，不论种族、肤色、性别、宗教、政治见解、出身国家或社会出身，并采取措施解决就业和职业方面的歧视做法。</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还注意到，喀麦隆政府的报告未包含对委员会以往评论的任何答复。关于喀麦隆工人总联合会指控一些公司继续宣传基于性别的职位空缺，委员会要求喀麦隆政府提供资料，答复喀麦隆工人总联合会的指控，特别是具体说明劳动监察员是否处理过只面向男性或女性的歧视性就业空缺的例子，并说明在这些情况下采取的任何措施。</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喀麦隆工人总联合会指控一些工作和职业被保留给男性或女性，其中的一个案例涉及消防员，委员会提到其以往的评论，其中指出有必要修订</w:t>
      </w:r>
      <w:smartTag w:uri="urn:schemas-microsoft-com:office:smarttags" w:element="chsdate">
        <w:smartTagPr>
          <w:attr w:name="Year" w:val="1969"/>
          <w:attr w:name="Month" w:val="5"/>
          <w:attr w:name="Day" w:val="27"/>
          <w:attr w:name="IsLunarDate" w:val="False"/>
          <w:attr w:name="IsROCDate" w:val="False"/>
        </w:smartTagPr>
        <w:r>
          <w:rPr>
            <w:sz w:val="21"/>
            <w:szCs w:val="21"/>
            <w:lang w:eastAsia="zh-CN"/>
          </w:rPr>
          <w:t>1969</w:t>
        </w:r>
        <w:r>
          <w:rPr>
            <w:rFonts w:hint="eastAsia"/>
            <w:sz w:val="21"/>
            <w:szCs w:val="21"/>
            <w:lang w:eastAsia="zh-CN"/>
          </w:rPr>
          <w:t>年</w:t>
        </w:r>
        <w:r>
          <w:rPr>
            <w:sz w:val="21"/>
            <w:szCs w:val="21"/>
            <w:lang w:eastAsia="zh-CN"/>
          </w:rPr>
          <w:t>5</w:t>
        </w:r>
        <w:r>
          <w:rPr>
            <w:rFonts w:hint="eastAsia"/>
            <w:sz w:val="21"/>
            <w:szCs w:val="21"/>
            <w:lang w:eastAsia="zh-CN"/>
          </w:rPr>
          <w:t>月</w:t>
        </w:r>
        <w:r>
          <w:rPr>
            <w:sz w:val="21"/>
            <w:szCs w:val="21"/>
            <w:lang w:eastAsia="zh-CN"/>
          </w:rPr>
          <w:t>27</w:t>
        </w:r>
        <w:r>
          <w:rPr>
            <w:rFonts w:hint="eastAsia"/>
            <w:sz w:val="21"/>
            <w:szCs w:val="21"/>
            <w:lang w:eastAsia="zh-CN"/>
          </w:rPr>
          <w:t>日</w:t>
        </w:r>
      </w:smartTag>
      <w:r>
        <w:rPr>
          <w:rFonts w:hint="eastAsia"/>
          <w:sz w:val="21"/>
          <w:szCs w:val="21"/>
          <w:lang w:eastAsia="zh-CN"/>
        </w:rPr>
        <w:t>第</w:t>
      </w:r>
      <w:r>
        <w:rPr>
          <w:sz w:val="21"/>
          <w:szCs w:val="21"/>
          <w:lang w:eastAsia="zh-CN"/>
        </w:rPr>
        <w:t>16/MLTS</w:t>
      </w:r>
      <w:r>
        <w:rPr>
          <w:rFonts w:hint="eastAsia"/>
          <w:sz w:val="21"/>
          <w:szCs w:val="21"/>
          <w:lang w:eastAsia="zh-CN"/>
        </w:rPr>
        <w:t>号法令规定的禁止妇女从事的工作清单。委员会忆及，保护妇女的措施必须仅限于保护产妇，并且不得基于对妇女的专业能力及其在社会中的作用的陈规定型观念，这些观念将妇女限定在特定的工作范围内，委员会敦促喀麦隆政府从这些原则出发，采取必要措施修订禁止妇女从事的工作清单，并采取措施消除实际的妇女就业障碍。</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w:t>
      </w:r>
      <w:r>
        <w:rPr>
          <w:sz w:val="21"/>
          <w:szCs w:val="21"/>
          <w:lang w:eastAsia="zh-CN"/>
        </w:rPr>
        <w:t>2012</w:t>
      </w:r>
      <w:r>
        <w:rPr>
          <w:rFonts w:hint="eastAsia"/>
          <w:sz w:val="21"/>
          <w:szCs w:val="21"/>
          <w:lang w:eastAsia="zh-CN"/>
        </w:rPr>
        <w:t>年的直接要求中，委员会注意到喀麦隆政府的报告中并未包含对委员会以往评论的答复，因此重申以往的要求。</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委员会忆及《刑法》第</w:t>
      </w:r>
      <w:r>
        <w:rPr>
          <w:sz w:val="21"/>
          <w:szCs w:val="21"/>
          <w:lang w:eastAsia="zh-CN"/>
        </w:rPr>
        <w:t>347</w:t>
      </w:r>
      <w:r>
        <w:rPr>
          <w:rFonts w:hint="eastAsia"/>
          <w:sz w:val="21"/>
          <w:szCs w:val="21"/>
          <w:lang w:eastAsia="zh-CN"/>
        </w:rPr>
        <w:t>条对猥亵</w:t>
      </w:r>
      <w:r>
        <w:rPr>
          <w:sz w:val="21"/>
          <w:szCs w:val="21"/>
          <w:lang w:eastAsia="zh-CN"/>
        </w:rPr>
        <w:t>16</w:t>
      </w:r>
      <w:r>
        <w:rPr>
          <w:rFonts w:hint="eastAsia"/>
          <w:sz w:val="21"/>
          <w:szCs w:val="21"/>
          <w:lang w:eastAsia="zh-CN"/>
        </w:rPr>
        <w:t>岁至</w:t>
      </w:r>
      <w:r>
        <w:rPr>
          <w:sz w:val="21"/>
          <w:szCs w:val="21"/>
          <w:lang w:eastAsia="zh-CN"/>
        </w:rPr>
        <w:t>21</w:t>
      </w:r>
      <w:r>
        <w:rPr>
          <w:rFonts w:hint="eastAsia"/>
          <w:sz w:val="21"/>
          <w:szCs w:val="21"/>
          <w:lang w:eastAsia="zh-CN"/>
        </w:rPr>
        <w:t>岁的未成年人做出了规定，但并未涵盖所有在工作场合发生的性骚扰情形，委员会相信喀麦隆政府将采取必要措施，在劳动立法中纳入关于禁止和惩罚性骚扰（包括交换型的性骚扰和不友好工作环境型的性骚扰）的条款。</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喀麦隆政府表示其特别侧重于促进年轻人获得教育和职业培训，主要是向女生颁发科学奖学金，委员会要求喀麦隆政府提供关于促进教育和职业培训平等的资料，以及关于此类措施如何在妇女就业方面（特别是在妇女获得更多传统上由男子占据的工作方面）得到体现的资料。</w:t>
      </w:r>
    </w:p>
    <w:p w:rsidR="00EC4F68" w:rsidRDefault="00EC4F68" w:rsidP="00EC4F68">
      <w:pPr>
        <w:pStyle w:val="SingleTxtG"/>
        <w:spacing w:after="140" w:line="320" w:lineRule="exact"/>
        <w:ind w:left="1264" w:right="1264"/>
        <w:rPr>
          <w:rFonts w:eastAsia="SimHei"/>
          <w:bCs/>
          <w:sz w:val="21"/>
          <w:szCs w:val="21"/>
          <w:lang w:eastAsia="zh-CN"/>
        </w:rPr>
      </w:pPr>
      <w:r>
        <w:rPr>
          <w:rFonts w:eastAsia="SimHei" w:hint="eastAsia"/>
          <w:bCs/>
          <w:sz w:val="21"/>
          <w:szCs w:val="21"/>
          <w:lang w:eastAsia="zh-CN"/>
        </w:rPr>
        <w:t>芬兰</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在劳工组织的相关公约中，芬兰已批准第</w:t>
      </w:r>
      <w:r>
        <w:rPr>
          <w:sz w:val="21"/>
          <w:szCs w:val="21"/>
          <w:lang w:eastAsia="zh-CN"/>
        </w:rPr>
        <w:t>100</w:t>
      </w:r>
      <w:r>
        <w:rPr>
          <w:rFonts w:hint="eastAsia"/>
          <w:sz w:val="21"/>
          <w:szCs w:val="21"/>
          <w:lang w:eastAsia="zh-CN"/>
        </w:rPr>
        <w:t>号和第</w:t>
      </w:r>
      <w:r>
        <w:rPr>
          <w:sz w:val="21"/>
          <w:szCs w:val="21"/>
          <w:lang w:eastAsia="zh-CN"/>
        </w:rPr>
        <w:t>111</w:t>
      </w:r>
      <w:r>
        <w:rPr>
          <w:rFonts w:hint="eastAsia"/>
          <w:sz w:val="21"/>
          <w:szCs w:val="21"/>
          <w:lang w:eastAsia="zh-CN"/>
        </w:rPr>
        <w:t>号公约，还批准了第</w:t>
      </w:r>
      <w:r>
        <w:rPr>
          <w:sz w:val="21"/>
          <w:szCs w:val="21"/>
          <w:lang w:eastAsia="zh-CN"/>
        </w:rPr>
        <w:t>29</w:t>
      </w:r>
      <w:r>
        <w:rPr>
          <w:rFonts w:hint="eastAsia"/>
          <w:sz w:val="21"/>
          <w:szCs w:val="21"/>
          <w:lang w:eastAsia="zh-CN"/>
        </w:rPr>
        <w:t>、</w:t>
      </w:r>
      <w:r>
        <w:rPr>
          <w:sz w:val="21"/>
          <w:szCs w:val="21"/>
          <w:lang w:eastAsia="zh-CN"/>
        </w:rPr>
        <w:t>87</w:t>
      </w:r>
      <w:r>
        <w:rPr>
          <w:rFonts w:hint="eastAsia"/>
          <w:sz w:val="21"/>
          <w:szCs w:val="21"/>
          <w:lang w:eastAsia="zh-CN"/>
        </w:rPr>
        <w:t>、</w:t>
      </w:r>
      <w:r>
        <w:rPr>
          <w:sz w:val="21"/>
          <w:szCs w:val="21"/>
          <w:lang w:eastAsia="zh-CN"/>
        </w:rPr>
        <w:t>98</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122</w:t>
      </w:r>
      <w:r>
        <w:rPr>
          <w:rFonts w:hint="eastAsia"/>
          <w:sz w:val="21"/>
          <w:szCs w:val="21"/>
          <w:lang w:eastAsia="zh-CN"/>
        </w:rPr>
        <w:t>、</w:t>
      </w:r>
      <w:r>
        <w:rPr>
          <w:sz w:val="21"/>
          <w:szCs w:val="21"/>
          <w:lang w:eastAsia="zh-CN"/>
        </w:rPr>
        <w:t>138</w:t>
      </w:r>
      <w:r>
        <w:rPr>
          <w:rFonts w:hint="eastAsia"/>
          <w:sz w:val="21"/>
          <w:szCs w:val="21"/>
          <w:lang w:eastAsia="zh-CN"/>
        </w:rPr>
        <w:t>、</w:t>
      </w:r>
      <w:r>
        <w:rPr>
          <w:sz w:val="21"/>
          <w:szCs w:val="21"/>
          <w:lang w:eastAsia="zh-CN"/>
        </w:rPr>
        <w:t>156</w:t>
      </w:r>
      <w:r>
        <w:rPr>
          <w:rFonts w:hint="eastAsia"/>
          <w:sz w:val="21"/>
          <w:szCs w:val="21"/>
          <w:lang w:eastAsia="zh-CN"/>
        </w:rPr>
        <w:t>号和第</w:t>
      </w:r>
      <w:r>
        <w:rPr>
          <w:sz w:val="21"/>
          <w:szCs w:val="21"/>
          <w:lang w:eastAsia="zh-CN"/>
        </w:rPr>
        <w:t>182</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sz w:val="21"/>
          <w:szCs w:val="21"/>
          <w:lang w:eastAsia="zh-CN"/>
        </w:rPr>
      </w:pPr>
      <w:r>
        <w:rPr>
          <w:rFonts w:eastAsia="SimHei" w:hint="eastAsia"/>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w:t>
      </w:r>
    </w:p>
    <w:p w:rsidR="00EC4F68" w:rsidRDefault="00EC4F68" w:rsidP="00EC4F68">
      <w:pPr>
        <w:pStyle w:val="SingleTxtG"/>
        <w:spacing w:after="140" w:line="320" w:lineRule="exact"/>
        <w:ind w:left="1264" w:right="1264"/>
        <w:rPr>
          <w:sz w:val="21"/>
          <w:szCs w:val="21"/>
          <w:lang w:eastAsia="zh-CN"/>
        </w:rPr>
      </w:pPr>
      <w:r>
        <w:rPr>
          <w:rFonts w:eastAsia="KaiTi_GB2312" w:hint="eastAsia"/>
          <w:sz w:val="21"/>
          <w:szCs w:val="21"/>
          <w:lang w:val="en-US"/>
        </w:rPr>
        <w:t>《第</w:t>
      </w:r>
      <w:r>
        <w:rPr>
          <w:rFonts w:eastAsia="KaiTi_GB2312"/>
          <w:sz w:val="21"/>
          <w:szCs w:val="21"/>
          <w:lang w:eastAsia="zh-CN"/>
        </w:rPr>
        <w:t>100</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w:t>
      </w:r>
      <w:r>
        <w:rPr>
          <w:sz w:val="21"/>
          <w:szCs w:val="21"/>
          <w:lang w:eastAsia="zh-CN"/>
        </w:rPr>
        <w:t>2012</w:t>
      </w:r>
      <w:r>
        <w:rPr>
          <w:rFonts w:hint="eastAsia"/>
          <w:sz w:val="21"/>
          <w:szCs w:val="21"/>
          <w:lang w:eastAsia="zh-CN"/>
        </w:rPr>
        <w:t>年的意见中，专家委员会注意到芬兰政府的报告提到</w:t>
      </w:r>
      <w:r>
        <w:rPr>
          <w:sz w:val="21"/>
          <w:szCs w:val="21"/>
          <w:lang w:eastAsia="zh-CN"/>
        </w:rPr>
        <w:t>2011</w:t>
      </w:r>
      <w:r>
        <w:rPr>
          <w:rFonts w:hint="eastAsia"/>
          <w:sz w:val="21"/>
          <w:szCs w:val="21"/>
          <w:lang w:eastAsia="zh-CN"/>
        </w:rPr>
        <w:t>年男女之间的薪酬相差</w:t>
      </w:r>
      <w:r>
        <w:rPr>
          <w:sz w:val="21"/>
          <w:szCs w:val="21"/>
          <w:lang w:eastAsia="zh-CN"/>
        </w:rPr>
        <w:t>17.9%</w:t>
      </w:r>
      <w:r>
        <w:rPr>
          <w:rFonts w:hint="eastAsia"/>
          <w:sz w:val="21"/>
          <w:szCs w:val="21"/>
          <w:lang w:eastAsia="zh-CN"/>
        </w:rPr>
        <w:t>。按绩效支付的薪酬（奖金）对性别薪资差异有影响，特别是在近期的经济衰退期间，议会的就业与平等委员会认为，《男女平等法》（</w:t>
      </w:r>
      <w:r>
        <w:rPr>
          <w:sz w:val="21"/>
          <w:szCs w:val="21"/>
          <w:lang w:eastAsia="zh-CN"/>
        </w:rPr>
        <w:t>609/1986</w:t>
      </w:r>
      <w:r>
        <w:rPr>
          <w:rFonts w:hint="eastAsia"/>
          <w:sz w:val="21"/>
          <w:szCs w:val="21"/>
          <w:lang w:eastAsia="zh-CN"/>
        </w:rPr>
        <w:t>）应当更加明确地规定薪酬的定义，包括各种其他形式的薪资在内。委员会还注意到，芬兰政府表示劳动力市场隔离仍然是造成性别薪资差异的主要原因。委员会要求芬兰政府说明在经济衰退的形势下为实施同酬方案所采取的措施，以及此类措施对国家、部门和工作场所等各个层面的影响。</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委员会注意到，芬兰政府指出，根据</w:t>
      </w:r>
      <w:r>
        <w:rPr>
          <w:sz w:val="21"/>
          <w:szCs w:val="21"/>
          <w:lang w:eastAsia="zh-CN"/>
        </w:rPr>
        <w:t>2008-2009</w:t>
      </w:r>
      <w:r>
        <w:rPr>
          <w:rFonts w:hint="eastAsia"/>
          <w:sz w:val="21"/>
          <w:szCs w:val="21"/>
          <w:lang w:eastAsia="zh-CN"/>
        </w:rPr>
        <w:t>年的政府调查，发现未能充分遵守起草工作场所平等计划的义务，而且计划和薪资调查的质量需要提高。芬兰政府表示已任命一个三方工作组来审查薪资调查的具体功能和发展需求，该工作组已经于</w:t>
      </w:r>
      <w:r>
        <w:rPr>
          <w:sz w:val="21"/>
          <w:szCs w:val="21"/>
          <w:lang w:eastAsia="zh-CN"/>
        </w:rPr>
        <w:t>2012</w:t>
      </w:r>
      <w:r>
        <w:rPr>
          <w:rFonts w:hint="eastAsia"/>
          <w:sz w:val="21"/>
          <w:szCs w:val="21"/>
          <w:lang w:eastAsia="zh-CN"/>
        </w:rPr>
        <w:t>年</w:t>
      </w:r>
      <w:r>
        <w:rPr>
          <w:sz w:val="21"/>
          <w:szCs w:val="21"/>
          <w:lang w:eastAsia="zh-CN"/>
        </w:rPr>
        <w:t>6</w:t>
      </w:r>
      <w:r>
        <w:rPr>
          <w:rFonts w:hint="eastAsia"/>
          <w:sz w:val="21"/>
          <w:szCs w:val="21"/>
          <w:lang w:eastAsia="zh-CN"/>
        </w:rPr>
        <w:t>月完成工作，并提议更新关于平等计划和薪资调查的培训。委员会请芬兰政府提供关于工作场所平等规划培训的内容及其所取得成果的详细资料。委员会还请芬兰政府进一步提供资料，说明薪资调查对减少私营和公共部门中的性别薪资差异的影响，包括相关统计数据在内，并说明有多少同酬调查促成了具体的后续行动，包括在发现存在薪资歧视的地方采取的纠正行动。</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委员会忆及芬兰专业和管理人员工会联合会表达的关切，也即受过教育的青年妇女比男子更经常获得定期雇用，特别是在公共部门，而获得定期雇用的受过高等教育的妇女在升职方面要比同等教育程度的男子滞后</w:t>
      </w:r>
      <w:r>
        <w:rPr>
          <w:sz w:val="21"/>
          <w:szCs w:val="21"/>
          <w:lang w:eastAsia="zh-CN"/>
        </w:rPr>
        <w:t>10</w:t>
      </w:r>
      <w:r>
        <w:rPr>
          <w:rFonts w:hint="eastAsia"/>
          <w:sz w:val="21"/>
          <w:szCs w:val="21"/>
          <w:lang w:eastAsia="zh-CN"/>
        </w:rPr>
        <w:t>年之久。委员会要求芬兰政府说明如何在间接薪酬歧视的情形下解决女性主要被定期雇用的问题，并查明平等薪酬立法在这方面的差距。</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2012</w:t>
      </w:r>
      <w:r>
        <w:rPr>
          <w:rFonts w:hint="eastAsia"/>
          <w:sz w:val="21"/>
          <w:szCs w:val="21"/>
          <w:lang w:eastAsia="zh-CN"/>
        </w:rPr>
        <w:t>年的直接要求中，委员会注意到，芬兰政府指出“平等薪资，平等和新薪资制度”研究项目进行的分析已于</w:t>
      </w:r>
      <w:r>
        <w:rPr>
          <w:sz w:val="21"/>
          <w:szCs w:val="21"/>
          <w:lang w:eastAsia="zh-CN"/>
        </w:rPr>
        <w:t>2010</w:t>
      </w:r>
      <w:r>
        <w:rPr>
          <w:rFonts w:hint="eastAsia"/>
          <w:sz w:val="21"/>
          <w:szCs w:val="21"/>
          <w:lang w:eastAsia="zh-CN"/>
        </w:rPr>
        <w:t>年底完成，该分析显示，推行新薪资制度为减少性别薪资差异提供的机会有限。委员会要求政府提供关于后续活动或该研究项目相关研究成果的资料。</w:t>
      </w:r>
      <w:r>
        <w:rPr>
          <w:sz w:val="21"/>
          <w:szCs w:val="21"/>
          <w:lang w:eastAsia="zh-CN"/>
        </w:rPr>
        <w:t xml:space="preserve"> </w:t>
      </w:r>
    </w:p>
    <w:p w:rsidR="00EC4F68" w:rsidRDefault="00EC4F68" w:rsidP="00EC4F68">
      <w:pPr>
        <w:pStyle w:val="SingleTxtG"/>
        <w:spacing w:after="140" w:line="320" w:lineRule="exact"/>
        <w:ind w:left="1264" w:right="1264"/>
        <w:rPr>
          <w:rFonts w:eastAsia="KaiTi_GB2312"/>
          <w:sz w:val="21"/>
          <w:szCs w:val="21"/>
        </w:rPr>
      </w:pPr>
      <w:r>
        <w:rPr>
          <w:rFonts w:eastAsia="KaiTi_GB2312" w:hint="eastAsia"/>
          <w:sz w:val="21"/>
          <w:szCs w:val="21"/>
          <w:lang w:val="en-US"/>
        </w:rPr>
        <w:t>《第</w:t>
      </w:r>
      <w:r>
        <w:rPr>
          <w:rFonts w:eastAsia="KaiTi_GB2312"/>
          <w:sz w:val="21"/>
          <w:szCs w:val="21"/>
        </w:rPr>
        <w:t>111</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2012</w:t>
      </w:r>
      <w:r>
        <w:rPr>
          <w:rFonts w:hint="eastAsia"/>
          <w:sz w:val="21"/>
          <w:szCs w:val="21"/>
          <w:lang w:eastAsia="zh-CN"/>
        </w:rPr>
        <w:t>年的直接要求中，专家委员会注意到，芬兰政府表示已于</w:t>
      </w:r>
      <w:r>
        <w:rPr>
          <w:sz w:val="21"/>
          <w:szCs w:val="21"/>
          <w:lang w:eastAsia="zh-CN"/>
        </w:rPr>
        <w:t>2012</w:t>
      </w:r>
      <w:r>
        <w:rPr>
          <w:rFonts w:hint="eastAsia"/>
          <w:sz w:val="21"/>
          <w:szCs w:val="21"/>
          <w:lang w:eastAsia="zh-CN"/>
        </w:rPr>
        <w:t>年</w:t>
      </w:r>
      <w:r>
        <w:rPr>
          <w:sz w:val="21"/>
          <w:szCs w:val="21"/>
          <w:lang w:eastAsia="zh-CN"/>
        </w:rPr>
        <w:t>6</w:t>
      </w:r>
      <w:r>
        <w:rPr>
          <w:rFonts w:hint="eastAsia"/>
          <w:sz w:val="21"/>
          <w:szCs w:val="21"/>
          <w:lang w:eastAsia="zh-CN"/>
        </w:rPr>
        <w:t>月通过关于</w:t>
      </w:r>
      <w:r>
        <w:rPr>
          <w:sz w:val="21"/>
          <w:szCs w:val="21"/>
          <w:lang w:eastAsia="zh-CN"/>
        </w:rPr>
        <w:t>2012-2015</w:t>
      </w:r>
      <w:r>
        <w:rPr>
          <w:rFonts w:hint="eastAsia"/>
          <w:sz w:val="21"/>
          <w:szCs w:val="21"/>
          <w:lang w:eastAsia="zh-CN"/>
        </w:rPr>
        <w:t>年《性别平等行动计划》的决议。该《行动计划》旨在减轻教育、职业选择和劳动力市场方面的性别隔离；为了到</w:t>
      </w:r>
      <w:r>
        <w:rPr>
          <w:sz w:val="21"/>
          <w:szCs w:val="21"/>
          <w:lang w:eastAsia="zh-CN"/>
        </w:rPr>
        <w:t>2020</w:t>
      </w:r>
      <w:r>
        <w:rPr>
          <w:rFonts w:hint="eastAsia"/>
          <w:sz w:val="21"/>
          <w:szCs w:val="21"/>
          <w:lang w:eastAsia="zh-CN"/>
        </w:rPr>
        <w:t>年将参与培训和各阶段教育成果方面的关键性别差异减少一半，目前正采取各种积极措施。委员会注意到，芬兰政府表示，为了保证芬兰教育机构制定涵盖其业务的平等计划，芬兰国家教育委员会与平等问题监察员在</w:t>
      </w:r>
      <w:r>
        <w:rPr>
          <w:sz w:val="21"/>
          <w:szCs w:val="21"/>
          <w:lang w:eastAsia="zh-CN"/>
        </w:rPr>
        <w:t>2009-2010</w:t>
      </w:r>
      <w:r>
        <w:rPr>
          <w:rFonts w:hint="eastAsia"/>
          <w:sz w:val="21"/>
          <w:szCs w:val="21"/>
          <w:lang w:eastAsia="zh-CN"/>
        </w:rPr>
        <w:t>年联手完成了“采取措施减少隔离”教育项目。委员会要求芬兰政府说明根据《性别平等行动计划》采取的解决职业性别隔离问题的具体行动。</w:t>
      </w:r>
      <w:r>
        <w:rPr>
          <w:sz w:val="21"/>
          <w:szCs w:val="21"/>
          <w:lang w:eastAsia="zh-CN"/>
        </w:rPr>
        <w:t xml:space="preserve"> </w:t>
      </w:r>
    </w:p>
    <w:p w:rsidR="00EC4F68" w:rsidRDefault="00EC4F68" w:rsidP="00EC4F68">
      <w:pPr>
        <w:pStyle w:val="SingleTxtG"/>
        <w:spacing w:after="140" w:line="320" w:lineRule="exact"/>
        <w:ind w:left="1264" w:right="1264"/>
        <w:rPr>
          <w:rFonts w:eastAsia="KaiTi_GB2312"/>
          <w:sz w:val="21"/>
          <w:szCs w:val="21"/>
        </w:rPr>
      </w:pPr>
      <w:r>
        <w:rPr>
          <w:rFonts w:eastAsia="KaiTi_GB2312" w:hint="eastAsia"/>
          <w:sz w:val="21"/>
          <w:szCs w:val="21"/>
          <w:lang w:val="en-US"/>
        </w:rPr>
        <w:t>《第</w:t>
      </w:r>
      <w:r>
        <w:rPr>
          <w:rFonts w:eastAsia="KaiTi_GB2312"/>
          <w:sz w:val="21"/>
          <w:szCs w:val="21"/>
        </w:rPr>
        <w:t>1</w:t>
      </w:r>
      <w:r>
        <w:rPr>
          <w:rFonts w:eastAsia="KaiTi_GB2312"/>
          <w:sz w:val="21"/>
          <w:szCs w:val="21"/>
          <w:lang w:eastAsia="zh-CN"/>
        </w:rPr>
        <w:t>56</w:t>
      </w:r>
      <w:r>
        <w:rPr>
          <w:rFonts w:eastAsia="KaiTi_GB2312" w:hint="eastAsia"/>
          <w:sz w:val="21"/>
          <w:szCs w:val="21"/>
          <w:lang w:val="en-US"/>
        </w:rPr>
        <w:t>号公约》</w:t>
      </w:r>
    </w:p>
    <w:p w:rsidR="00EC4F68" w:rsidRDefault="00EC4F68" w:rsidP="00EC4F68">
      <w:pPr>
        <w:pStyle w:val="SingleTxtG"/>
        <w:numPr>
          <w:ilvl w:val="0"/>
          <w:numId w:val="2"/>
        </w:numPr>
        <w:tabs>
          <w:tab w:val="left" w:pos="1701"/>
          <w:tab w:val="left" w:pos="5954"/>
        </w:tabs>
        <w:spacing w:after="140" w:line="320" w:lineRule="exact"/>
        <w:ind w:left="1264" w:right="1264" w:firstLine="0"/>
        <w:rPr>
          <w:bCs/>
          <w:iCs/>
          <w:sz w:val="21"/>
          <w:szCs w:val="21"/>
          <w:lang w:eastAsia="zh-CN"/>
        </w:rPr>
      </w:pPr>
      <w:r>
        <w:rPr>
          <w:rFonts w:hint="eastAsia"/>
          <w:bCs/>
          <w:iCs/>
          <w:sz w:val="21"/>
          <w:szCs w:val="21"/>
          <w:lang w:eastAsia="zh-CN"/>
        </w:rPr>
        <w:t>在其</w:t>
      </w:r>
      <w:r>
        <w:rPr>
          <w:bCs/>
          <w:iCs/>
          <w:sz w:val="21"/>
          <w:szCs w:val="21"/>
          <w:lang w:eastAsia="zh-CN"/>
        </w:rPr>
        <w:t>2012</w:t>
      </w:r>
      <w:r>
        <w:rPr>
          <w:rFonts w:hint="eastAsia"/>
          <w:bCs/>
          <w:iCs/>
          <w:sz w:val="21"/>
          <w:szCs w:val="21"/>
          <w:lang w:eastAsia="zh-CN"/>
        </w:rPr>
        <w:t>年的意见中，专家委员会忆及，促进男性参与养育和照顾子女是芬兰性别平等政策不可或缺的一部分。委员会还注意到，芬兰政府在</w:t>
      </w:r>
      <w:r>
        <w:rPr>
          <w:bCs/>
          <w:iCs/>
          <w:sz w:val="21"/>
          <w:szCs w:val="21"/>
          <w:lang w:eastAsia="zh-CN"/>
        </w:rPr>
        <w:t>2011</w:t>
      </w:r>
      <w:r>
        <w:rPr>
          <w:rFonts w:hint="eastAsia"/>
          <w:bCs/>
          <w:iCs/>
          <w:sz w:val="21"/>
          <w:szCs w:val="21"/>
          <w:lang w:eastAsia="zh-CN"/>
        </w:rPr>
        <w:t>年的第一份性别平等报告中阐述的长期性别平等政策的目标之一是更加平等地在父亲与母亲之间分配家事假，为实现工作和家庭兼顾目标而采取的措施包括：</w:t>
      </w:r>
      <w:r>
        <w:rPr>
          <w:bCs/>
          <w:iCs/>
          <w:sz w:val="21"/>
          <w:szCs w:val="21"/>
          <w:lang w:eastAsia="zh-CN"/>
        </w:rPr>
        <w:t>(a)</w:t>
      </w:r>
      <w:r>
        <w:rPr>
          <w:rFonts w:hint="eastAsia"/>
          <w:bCs/>
          <w:iCs/>
          <w:sz w:val="21"/>
          <w:szCs w:val="21"/>
          <w:lang w:eastAsia="zh-CN"/>
        </w:rPr>
        <w:t>扩大为照顾被抚养子女以外的家庭成员而请假的权利；</w:t>
      </w:r>
      <w:r>
        <w:rPr>
          <w:bCs/>
          <w:iCs/>
          <w:sz w:val="21"/>
          <w:szCs w:val="21"/>
          <w:lang w:eastAsia="zh-CN"/>
        </w:rPr>
        <w:t>(b)</w:t>
      </w:r>
      <w:r>
        <w:rPr>
          <w:rFonts w:hint="eastAsia"/>
          <w:bCs/>
          <w:iCs/>
          <w:sz w:val="21"/>
          <w:szCs w:val="21"/>
          <w:lang w:eastAsia="zh-CN"/>
        </w:rPr>
        <w:t>增加父亲对家事假的使用；</w:t>
      </w:r>
      <w:r>
        <w:rPr>
          <w:bCs/>
          <w:iCs/>
          <w:sz w:val="21"/>
          <w:szCs w:val="21"/>
          <w:lang w:eastAsia="zh-CN"/>
        </w:rPr>
        <w:t>(c)</w:t>
      </w:r>
      <w:r>
        <w:rPr>
          <w:rFonts w:hint="eastAsia"/>
          <w:bCs/>
          <w:iCs/>
          <w:sz w:val="21"/>
          <w:szCs w:val="21"/>
          <w:lang w:eastAsia="zh-CN"/>
        </w:rPr>
        <w:t>更多地补偿雇主因雇员抚育子女而付出的成本；</w:t>
      </w:r>
      <w:r>
        <w:rPr>
          <w:bCs/>
          <w:iCs/>
          <w:sz w:val="21"/>
          <w:szCs w:val="21"/>
          <w:lang w:eastAsia="zh-CN"/>
        </w:rPr>
        <w:t>(d)</w:t>
      </w:r>
      <w:r>
        <w:rPr>
          <w:rFonts w:hint="eastAsia"/>
          <w:bCs/>
          <w:iCs/>
          <w:sz w:val="21"/>
          <w:szCs w:val="21"/>
          <w:lang w:eastAsia="zh-CN"/>
        </w:rPr>
        <w:t>解决不同类型家庭的需求。委员会要求芬兰政府提供关于立法修正育儿假制度的进展情况的资料。</w:t>
      </w:r>
      <w:r>
        <w:rPr>
          <w:bCs/>
          <w:iCs/>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bCs/>
          <w:iCs/>
          <w:sz w:val="21"/>
          <w:szCs w:val="21"/>
          <w:lang w:eastAsia="zh-CN"/>
        </w:rPr>
      </w:pPr>
      <w:r>
        <w:rPr>
          <w:rFonts w:hint="eastAsia"/>
          <w:bCs/>
          <w:iCs/>
          <w:sz w:val="21"/>
          <w:szCs w:val="21"/>
          <w:lang w:eastAsia="zh-CN"/>
        </w:rPr>
        <w:t>委员会以及《就业合同法》第</w:t>
      </w:r>
      <w:r>
        <w:rPr>
          <w:bCs/>
          <w:iCs/>
          <w:sz w:val="21"/>
          <w:szCs w:val="21"/>
          <w:lang w:eastAsia="zh-CN"/>
        </w:rPr>
        <w:t>7</w:t>
      </w:r>
      <w:r>
        <w:rPr>
          <w:rFonts w:hint="eastAsia"/>
          <w:bCs/>
          <w:iCs/>
          <w:sz w:val="21"/>
          <w:szCs w:val="21"/>
          <w:lang w:eastAsia="zh-CN"/>
        </w:rPr>
        <w:t>章第</w:t>
      </w:r>
      <w:r>
        <w:rPr>
          <w:bCs/>
          <w:iCs/>
          <w:sz w:val="21"/>
          <w:szCs w:val="21"/>
          <w:lang w:eastAsia="zh-CN"/>
        </w:rPr>
        <w:t>9</w:t>
      </w:r>
      <w:r>
        <w:rPr>
          <w:rFonts w:hint="eastAsia"/>
          <w:bCs/>
          <w:iCs/>
          <w:sz w:val="21"/>
          <w:szCs w:val="21"/>
          <w:lang w:eastAsia="zh-CN"/>
        </w:rPr>
        <w:t>条似乎主要涉及家事假休假期间被解雇的情况而不是结束休假返回工作时被解雇的情况。委员会要求芬兰政府提供资料，说明相关规定的实际应用情况以及其对休假结束返回工作的工人的能力的影响。</w:t>
      </w:r>
    </w:p>
    <w:p w:rsidR="00EC4F68" w:rsidRDefault="00EC4F68" w:rsidP="00EC4F68">
      <w:pPr>
        <w:pStyle w:val="SingleTxtG"/>
        <w:numPr>
          <w:ilvl w:val="0"/>
          <w:numId w:val="2"/>
        </w:numPr>
        <w:spacing w:after="140" w:line="320" w:lineRule="exact"/>
        <w:ind w:left="1264" w:right="1264" w:firstLine="0"/>
        <w:rPr>
          <w:bCs/>
          <w:iCs/>
          <w:sz w:val="21"/>
          <w:szCs w:val="21"/>
          <w:lang w:eastAsia="zh-CN"/>
        </w:rPr>
      </w:pPr>
      <w:r>
        <w:rPr>
          <w:rFonts w:hint="eastAsia"/>
          <w:bCs/>
          <w:iCs/>
          <w:sz w:val="21"/>
          <w:szCs w:val="21"/>
          <w:lang w:eastAsia="zh-CN"/>
        </w:rPr>
        <w:t>在其</w:t>
      </w:r>
      <w:r>
        <w:rPr>
          <w:bCs/>
          <w:iCs/>
          <w:sz w:val="21"/>
          <w:szCs w:val="21"/>
          <w:lang w:eastAsia="zh-CN"/>
        </w:rPr>
        <w:t>2012</w:t>
      </w:r>
      <w:r>
        <w:rPr>
          <w:rFonts w:hint="eastAsia"/>
          <w:bCs/>
          <w:iCs/>
          <w:sz w:val="21"/>
          <w:szCs w:val="21"/>
          <w:lang w:eastAsia="zh-CN"/>
        </w:rPr>
        <w:t>年的直接要求中，委员会注意到，政府指出</w:t>
      </w:r>
      <w:r>
        <w:rPr>
          <w:bCs/>
          <w:iCs/>
          <w:sz w:val="21"/>
          <w:szCs w:val="21"/>
          <w:lang w:eastAsia="zh-CN"/>
        </w:rPr>
        <w:t>2011</w:t>
      </w:r>
      <w:r>
        <w:rPr>
          <w:rFonts w:hint="eastAsia"/>
          <w:bCs/>
          <w:iCs/>
          <w:sz w:val="21"/>
          <w:szCs w:val="21"/>
          <w:lang w:eastAsia="zh-CN"/>
        </w:rPr>
        <w:t>年</w:t>
      </w:r>
      <w:r>
        <w:rPr>
          <w:bCs/>
          <w:iCs/>
          <w:sz w:val="21"/>
          <w:szCs w:val="21"/>
          <w:lang w:eastAsia="zh-CN"/>
        </w:rPr>
        <w:t>4</w:t>
      </w:r>
      <w:r>
        <w:rPr>
          <w:rFonts w:hint="eastAsia"/>
          <w:bCs/>
          <w:iCs/>
          <w:sz w:val="21"/>
          <w:szCs w:val="21"/>
          <w:lang w:eastAsia="zh-CN"/>
        </w:rPr>
        <w:t>月</w:t>
      </w:r>
      <w:r>
        <w:rPr>
          <w:bCs/>
          <w:iCs/>
          <w:sz w:val="21"/>
          <w:szCs w:val="21"/>
          <w:lang w:eastAsia="zh-CN"/>
        </w:rPr>
        <w:t>1</w:t>
      </w:r>
      <w:r>
        <w:rPr>
          <w:rFonts w:hint="eastAsia"/>
          <w:bCs/>
          <w:iCs/>
          <w:sz w:val="21"/>
          <w:szCs w:val="21"/>
          <w:lang w:eastAsia="zh-CN"/>
        </w:rPr>
        <w:t>日生效的《就业合同法》第</w:t>
      </w:r>
      <w:r>
        <w:rPr>
          <w:bCs/>
          <w:iCs/>
          <w:sz w:val="21"/>
          <w:szCs w:val="21"/>
          <w:lang w:eastAsia="zh-CN"/>
        </w:rPr>
        <w:t>7(a)</w:t>
      </w:r>
      <w:r>
        <w:rPr>
          <w:rFonts w:hint="eastAsia"/>
          <w:bCs/>
          <w:iCs/>
          <w:sz w:val="21"/>
          <w:szCs w:val="21"/>
          <w:lang w:eastAsia="zh-CN"/>
        </w:rPr>
        <w:t>条使个人能够放下工作去照顾老一辈和下一辈的家人或其他近亲。委员会还注意到，政府</w:t>
      </w:r>
      <w:r>
        <w:rPr>
          <w:bCs/>
          <w:iCs/>
          <w:sz w:val="21"/>
          <w:szCs w:val="21"/>
          <w:lang w:eastAsia="zh-CN"/>
        </w:rPr>
        <w:t>2011</w:t>
      </w:r>
      <w:r>
        <w:rPr>
          <w:rFonts w:hint="eastAsia"/>
          <w:bCs/>
          <w:iCs/>
          <w:sz w:val="21"/>
          <w:szCs w:val="21"/>
          <w:lang w:eastAsia="zh-CN"/>
        </w:rPr>
        <w:t>年的性别平等报告提到了将休家事假的权利扩大到为照料被抚养子女之外的家庭成员而休假的重要性。委员会要求政府提供资料，说明《就业合同法》第</w:t>
      </w:r>
      <w:r>
        <w:rPr>
          <w:bCs/>
          <w:iCs/>
          <w:sz w:val="21"/>
          <w:szCs w:val="21"/>
          <w:lang w:eastAsia="zh-CN"/>
        </w:rPr>
        <w:t>7(a)</w:t>
      </w:r>
      <w:r>
        <w:rPr>
          <w:rFonts w:hint="eastAsia"/>
          <w:bCs/>
          <w:iCs/>
          <w:sz w:val="21"/>
          <w:szCs w:val="21"/>
          <w:lang w:eastAsia="zh-CN"/>
        </w:rPr>
        <w:t>条的实际应用情况，包括相关统计资料（涉及申请休假的男女人数以及获准休假以照顾被抚养子女以外的家庭成员的男女人数）。</w:t>
      </w:r>
      <w:r>
        <w:rPr>
          <w:bCs/>
          <w:iCs/>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bCs/>
          <w:iCs/>
          <w:sz w:val="21"/>
          <w:szCs w:val="21"/>
          <w:lang w:eastAsia="zh-CN"/>
        </w:rPr>
      </w:pPr>
      <w:r>
        <w:rPr>
          <w:rFonts w:hint="eastAsia"/>
          <w:bCs/>
          <w:iCs/>
          <w:sz w:val="21"/>
          <w:szCs w:val="21"/>
          <w:lang w:eastAsia="zh-CN"/>
        </w:rPr>
        <w:t>委员会注意到，芬兰政府指出有许多灵活的工作时间安排，包括非全时工作、弹性工作制、远程办公、非全时养恤金、工时银行制度以及工作分配。委员会要求芬兰政府提供资料，说明这些安排对工人协调工作与家庭责任的可能性的影响，包括关于利用这些安排的男女人数的统计资料。</w:t>
      </w:r>
    </w:p>
    <w:p w:rsidR="00EC4F68" w:rsidRDefault="00EC4F68" w:rsidP="00EC4F68">
      <w:pPr>
        <w:pStyle w:val="SingleTxtG"/>
        <w:spacing w:after="140" w:line="320" w:lineRule="exact"/>
        <w:ind w:left="1264" w:right="1264"/>
        <w:rPr>
          <w:rFonts w:eastAsia="SimHei"/>
          <w:bCs/>
          <w:sz w:val="21"/>
          <w:szCs w:val="21"/>
          <w:lang w:eastAsia="zh-CN"/>
        </w:rPr>
      </w:pPr>
      <w:r>
        <w:rPr>
          <w:rFonts w:eastAsia="SimHei" w:hint="eastAsia"/>
          <w:bCs/>
          <w:sz w:val="21"/>
          <w:szCs w:val="21"/>
          <w:lang w:eastAsia="zh-CN"/>
        </w:rPr>
        <w:t>伊拉克</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在劳工组织的相关公约中，伊拉克已批准第</w:t>
      </w:r>
      <w:r>
        <w:rPr>
          <w:sz w:val="21"/>
          <w:szCs w:val="21"/>
          <w:lang w:eastAsia="zh-CN"/>
        </w:rPr>
        <w:t>100</w:t>
      </w:r>
      <w:r>
        <w:rPr>
          <w:rFonts w:hint="eastAsia"/>
          <w:sz w:val="21"/>
          <w:szCs w:val="21"/>
          <w:lang w:eastAsia="zh-CN"/>
        </w:rPr>
        <w:t>号和第</w:t>
      </w:r>
      <w:r>
        <w:rPr>
          <w:sz w:val="21"/>
          <w:szCs w:val="21"/>
          <w:lang w:eastAsia="zh-CN"/>
        </w:rPr>
        <w:t>111</w:t>
      </w:r>
      <w:r>
        <w:rPr>
          <w:rFonts w:hint="eastAsia"/>
          <w:sz w:val="21"/>
          <w:szCs w:val="21"/>
          <w:lang w:eastAsia="zh-CN"/>
        </w:rPr>
        <w:t>号公约，还批准了第</w:t>
      </w:r>
      <w:r>
        <w:rPr>
          <w:sz w:val="21"/>
          <w:szCs w:val="21"/>
          <w:lang w:eastAsia="zh-CN"/>
        </w:rPr>
        <w:t>29</w:t>
      </w:r>
      <w:r>
        <w:rPr>
          <w:rFonts w:hint="eastAsia"/>
          <w:sz w:val="21"/>
          <w:szCs w:val="21"/>
          <w:lang w:eastAsia="zh-CN"/>
        </w:rPr>
        <w:t>、</w:t>
      </w:r>
      <w:r>
        <w:rPr>
          <w:sz w:val="21"/>
          <w:szCs w:val="21"/>
          <w:lang w:eastAsia="zh-CN"/>
        </w:rPr>
        <w:t>98</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122</w:t>
      </w:r>
      <w:r>
        <w:rPr>
          <w:rFonts w:hint="eastAsia"/>
          <w:sz w:val="21"/>
          <w:szCs w:val="21"/>
          <w:lang w:eastAsia="zh-CN"/>
        </w:rPr>
        <w:t>、</w:t>
      </w:r>
      <w:r>
        <w:rPr>
          <w:sz w:val="21"/>
          <w:szCs w:val="21"/>
          <w:lang w:eastAsia="zh-CN"/>
        </w:rPr>
        <w:t>138</w:t>
      </w:r>
      <w:r>
        <w:rPr>
          <w:rFonts w:hint="eastAsia"/>
          <w:sz w:val="21"/>
          <w:szCs w:val="21"/>
          <w:lang w:eastAsia="zh-CN"/>
        </w:rPr>
        <w:t>号和第</w:t>
      </w:r>
      <w:r>
        <w:rPr>
          <w:sz w:val="21"/>
          <w:szCs w:val="21"/>
          <w:lang w:eastAsia="zh-CN"/>
        </w:rPr>
        <w:t>182</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sz w:val="21"/>
          <w:szCs w:val="21"/>
          <w:lang w:eastAsia="zh-CN"/>
        </w:rPr>
      </w:pPr>
      <w:r>
        <w:rPr>
          <w:rFonts w:eastAsia="SimHei" w:hint="eastAsia"/>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w:t>
      </w:r>
    </w:p>
    <w:p w:rsidR="00EC4F68" w:rsidRDefault="00EC4F68" w:rsidP="00EC4F68">
      <w:pPr>
        <w:pStyle w:val="SingleTxtG"/>
        <w:spacing w:after="140" w:line="320" w:lineRule="exact"/>
        <w:ind w:left="1264" w:right="1264"/>
        <w:rPr>
          <w:sz w:val="21"/>
          <w:szCs w:val="21"/>
          <w:lang w:eastAsia="zh-CN"/>
        </w:rPr>
      </w:pPr>
      <w:r>
        <w:rPr>
          <w:rFonts w:eastAsia="KaiTi_GB2312" w:hint="eastAsia"/>
          <w:sz w:val="21"/>
          <w:szCs w:val="21"/>
          <w:lang w:val="en-US"/>
        </w:rPr>
        <w:t>《第</w:t>
      </w:r>
      <w:r>
        <w:rPr>
          <w:rFonts w:eastAsia="KaiTi_GB2312"/>
          <w:sz w:val="21"/>
          <w:szCs w:val="21"/>
        </w:rPr>
        <w:t>1</w:t>
      </w:r>
      <w:r>
        <w:rPr>
          <w:rFonts w:eastAsia="KaiTi_GB2312"/>
          <w:sz w:val="21"/>
          <w:szCs w:val="21"/>
          <w:lang w:eastAsia="zh-CN"/>
        </w:rPr>
        <w:t>00</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2011</w:t>
      </w:r>
      <w:r>
        <w:rPr>
          <w:rFonts w:hint="eastAsia"/>
          <w:sz w:val="21"/>
          <w:szCs w:val="21"/>
          <w:lang w:eastAsia="zh-CN"/>
        </w:rPr>
        <w:t>年的意见中，专家委员会忆及有必要修订《劳动法》第</w:t>
      </w:r>
      <w:r>
        <w:rPr>
          <w:sz w:val="21"/>
          <w:szCs w:val="21"/>
          <w:lang w:eastAsia="zh-CN"/>
        </w:rPr>
        <w:t>4(2)</w:t>
      </w:r>
      <w:r>
        <w:rPr>
          <w:rFonts w:hint="eastAsia"/>
          <w:sz w:val="21"/>
          <w:szCs w:val="21"/>
          <w:lang w:eastAsia="zh-CN"/>
        </w:rPr>
        <w:t>条，以充分表述男女同等价值工作同等报酬原则，因为该款仅规定对相同条件下同等性质和同等劳动量的工作支付同等报酬。伊拉克政府以前曾表示，《劳动法》草案第</w:t>
      </w:r>
      <w:r>
        <w:rPr>
          <w:sz w:val="21"/>
          <w:szCs w:val="21"/>
          <w:lang w:eastAsia="zh-CN"/>
        </w:rPr>
        <w:t>4</w:t>
      </w:r>
      <w:r>
        <w:rPr>
          <w:rFonts w:hint="eastAsia"/>
          <w:sz w:val="21"/>
          <w:szCs w:val="21"/>
          <w:lang w:eastAsia="zh-CN"/>
        </w:rPr>
        <w:t>条规定了男女同等价值的工作同等报酬，而且国家咨询委员会将讨论该草案的案文。委员会注意到，伊拉克政府在其最近的报告中没有提到在修订《劳动法》方面的任何进展，只是一般性地声称法律或实践中不存在对男女所从事工作的任何歧视，工作的价值由职业决定。委员会敦促伊拉克政府确保在修订过程中对男女同等价值工作同等报酬原则给予充分的立法表述，而不是将该原则限定为仅针对相同条件下同等性质同等劳动量的工作，并确保该原则适用于所有工人，不论是技术工人还是非技术工人。</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w:t>
      </w:r>
      <w:r>
        <w:rPr>
          <w:sz w:val="21"/>
          <w:szCs w:val="21"/>
          <w:lang w:eastAsia="zh-CN"/>
        </w:rPr>
        <w:t>2011</w:t>
      </w:r>
      <w:r>
        <w:rPr>
          <w:rFonts w:hint="eastAsia"/>
          <w:sz w:val="21"/>
          <w:szCs w:val="21"/>
          <w:lang w:eastAsia="zh-CN"/>
        </w:rPr>
        <w:t>年的直接要求中，委员会注意到，伊拉克政府表示《劳动法》（</w:t>
      </w:r>
      <w:r>
        <w:rPr>
          <w:sz w:val="21"/>
          <w:szCs w:val="21"/>
          <w:lang w:eastAsia="zh-CN"/>
        </w:rPr>
        <w:t>1987</w:t>
      </w:r>
      <w:r>
        <w:rPr>
          <w:rFonts w:hint="eastAsia"/>
          <w:sz w:val="21"/>
          <w:szCs w:val="21"/>
          <w:lang w:eastAsia="zh-CN"/>
        </w:rPr>
        <w:t>年第</w:t>
      </w:r>
      <w:r>
        <w:rPr>
          <w:sz w:val="21"/>
          <w:szCs w:val="21"/>
          <w:lang w:eastAsia="zh-CN"/>
        </w:rPr>
        <w:t>71</w:t>
      </w:r>
      <w:r>
        <w:rPr>
          <w:rFonts w:hint="eastAsia"/>
          <w:sz w:val="21"/>
          <w:szCs w:val="21"/>
          <w:lang w:eastAsia="zh-CN"/>
        </w:rPr>
        <w:t>号法案）第</w:t>
      </w:r>
      <w:r>
        <w:rPr>
          <w:sz w:val="21"/>
          <w:szCs w:val="21"/>
          <w:lang w:eastAsia="zh-CN"/>
        </w:rPr>
        <w:t>4</w:t>
      </w:r>
      <w:r>
        <w:rPr>
          <w:rFonts w:hint="eastAsia"/>
          <w:sz w:val="21"/>
          <w:szCs w:val="21"/>
          <w:lang w:eastAsia="zh-CN"/>
        </w:rPr>
        <w:t>条规定了非技术工人最低工资标准，其中一般性地规定了每位工人挣得的工资都应足以满足该工人及其家庭的基本需求，并能使该工人受益于经济进步成就。关于技术工人，伊拉克政府表示，工资取决于针对特定职业的协议和雇用合同，与经验、技能和工作场所等因素有关。委员会要求伊拉克政府阐明工资调整委员会是否为不同部门或不同职业类别确立了最低工资，如果是这样，则请伊拉克政府提供关于已确立的工资水平的具体资料。委员会还要求政府提供资料，说明其如何在确定技术工人工资时确保男女同等价值工作同等报酬原则得到适用。此外，由于注意到妇女参与劳动力市场的程度不高，而且集中在少数几个部门，因此委员会要求政府提供资料，说明为增加妇女参与有偿就业以及范围更广泛的工作（包括薪酬较高工作）和部门而采取的所有措施。</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专家委员会已收到并在</w:t>
      </w:r>
      <w:r>
        <w:rPr>
          <w:sz w:val="21"/>
          <w:szCs w:val="21"/>
          <w:lang w:eastAsia="zh-CN"/>
        </w:rPr>
        <w:t>2013</w:t>
      </w:r>
      <w:r>
        <w:rPr>
          <w:rFonts w:hint="eastAsia"/>
          <w:sz w:val="21"/>
          <w:szCs w:val="21"/>
          <w:lang w:eastAsia="zh-CN"/>
        </w:rPr>
        <w:t>年</w:t>
      </w:r>
      <w:r>
        <w:rPr>
          <w:sz w:val="21"/>
          <w:szCs w:val="21"/>
          <w:lang w:eastAsia="zh-CN"/>
        </w:rPr>
        <w:t>11</w:t>
      </w:r>
      <w:r>
        <w:rPr>
          <w:rFonts w:hint="eastAsia"/>
          <w:sz w:val="21"/>
          <w:szCs w:val="21"/>
          <w:lang w:eastAsia="zh-CN"/>
        </w:rPr>
        <w:t>月至</w:t>
      </w:r>
      <w:r>
        <w:rPr>
          <w:sz w:val="21"/>
          <w:szCs w:val="21"/>
          <w:lang w:eastAsia="zh-CN"/>
        </w:rPr>
        <w:t>12</w:t>
      </w:r>
      <w:r>
        <w:rPr>
          <w:rFonts w:hint="eastAsia"/>
          <w:sz w:val="21"/>
          <w:szCs w:val="21"/>
          <w:lang w:eastAsia="zh-CN"/>
        </w:rPr>
        <w:t>月的届会期间审查了政府的最新报告。</w:t>
      </w:r>
    </w:p>
    <w:p w:rsidR="00EC4F68" w:rsidRDefault="00EC4F68" w:rsidP="00EC4F68">
      <w:pPr>
        <w:pStyle w:val="SingleTxtG"/>
        <w:spacing w:after="140" w:line="320" w:lineRule="exact"/>
        <w:ind w:right="1264"/>
        <w:rPr>
          <w:rFonts w:eastAsia="KaiTi_GB2312"/>
          <w:sz w:val="21"/>
          <w:szCs w:val="21"/>
          <w:lang w:eastAsia="zh-CN"/>
        </w:rPr>
      </w:pPr>
      <w:r>
        <w:rPr>
          <w:rFonts w:eastAsia="KaiTi_GB2312" w:hint="eastAsia"/>
          <w:sz w:val="21"/>
          <w:szCs w:val="21"/>
          <w:lang w:val="en-US"/>
        </w:rPr>
        <w:t>《第</w:t>
      </w:r>
      <w:r>
        <w:rPr>
          <w:rFonts w:eastAsia="KaiTi_GB2312"/>
          <w:sz w:val="21"/>
          <w:szCs w:val="21"/>
        </w:rPr>
        <w:t>1</w:t>
      </w:r>
      <w:r>
        <w:rPr>
          <w:rFonts w:eastAsia="KaiTi_GB2312"/>
          <w:sz w:val="21"/>
          <w:szCs w:val="21"/>
          <w:lang w:eastAsia="zh-CN"/>
        </w:rPr>
        <w:t>11</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2011</w:t>
      </w:r>
      <w:r>
        <w:rPr>
          <w:rFonts w:hint="eastAsia"/>
          <w:sz w:val="21"/>
          <w:szCs w:val="21"/>
          <w:lang w:eastAsia="zh-CN"/>
        </w:rPr>
        <w:t>年的直接要求中，专家委员会注意到，伊拉克政府表明《劳动法》草案尚未通过。委员会要求伊拉克政府利用修订《劳动法》的机会，将明确界定和禁止直接歧视及间接歧视的规定包括进来，其中应涉及所有工人、就业的各个阶段和职业，并涵盖《公约》第</w:t>
      </w:r>
      <w:r>
        <w:rPr>
          <w:sz w:val="21"/>
          <w:szCs w:val="21"/>
          <w:lang w:eastAsia="zh-CN"/>
        </w:rPr>
        <w:t>1(1)(a)</w:t>
      </w:r>
      <w:r>
        <w:rPr>
          <w:rFonts w:hint="eastAsia"/>
          <w:sz w:val="21"/>
          <w:szCs w:val="21"/>
          <w:lang w:eastAsia="zh-CN"/>
        </w:rPr>
        <w:t>条列举的所有理由。</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忆及，现有立法似乎没有针对就业和职业方面一切形式的性骚扰提供充分和适当的保护。委员会注意到，伊拉克政府没有提供任何这方面的资料，只是声称没有提交任何性骚扰投诉。委员会要求伊拉克政府利用修订《劳动法》的机会，将明确界定和禁止就业和职业中的性骚扰规定包括进来，包括交换型的性骚扰和不友好工作环境型的性骚扰在内。委员会还要求伊拉克政府提供资料，说明为预防并解决就业和职业中的性骚扰而采取的切实措施。</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委员会注意到，伊拉克政府表示，《劳动法》草案中包括保护女工的条款。该国政府还证实，关于禁止妇女从事特定职业工作的</w:t>
      </w:r>
      <w:r>
        <w:rPr>
          <w:sz w:val="21"/>
          <w:szCs w:val="21"/>
          <w:lang w:eastAsia="zh-CN"/>
        </w:rPr>
        <w:t>1989</w:t>
      </w:r>
      <w:r>
        <w:rPr>
          <w:rFonts w:hint="eastAsia"/>
          <w:sz w:val="21"/>
          <w:szCs w:val="21"/>
          <w:lang w:eastAsia="zh-CN"/>
        </w:rPr>
        <w:t>年第</w:t>
      </w:r>
      <w:r>
        <w:rPr>
          <w:sz w:val="21"/>
          <w:szCs w:val="21"/>
          <w:lang w:eastAsia="zh-CN"/>
        </w:rPr>
        <w:t>480</w:t>
      </w:r>
      <w:r>
        <w:rPr>
          <w:rFonts w:hint="eastAsia"/>
          <w:sz w:val="21"/>
          <w:szCs w:val="21"/>
          <w:lang w:eastAsia="zh-CN"/>
        </w:rPr>
        <w:t>号决议仍然有效。委员会敦促伊拉克政府确保在修订《劳动法》的过程中将关于妇女就业的保护措施严格限定在产妇保护方面，并相应地修订</w:t>
      </w:r>
      <w:r>
        <w:rPr>
          <w:sz w:val="21"/>
          <w:szCs w:val="21"/>
          <w:lang w:eastAsia="zh-CN"/>
        </w:rPr>
        <w:t>1989</w:t>
      </w:r>
      <w:r>
        <w:rPr>
          <w:rFonts w:hint="eastAsia"/>
          <w:sz w:val="21"/>
          <w:szCs w:val="21"/>
          <w:lang w:eastAsia="zh-CN"/>
        </w:rPr>
        <w:t>年第</w:t>
      </w:r>
      <w:r>
        <w:rPr>
          <w:sz w:val="21"/>
          <w:szCs w:val="21"/>
          <w:lang w:eastAsia="zh-CN"/>
        </w:rPr>
        <w:t>480</w:t>
      </w:r>
      <w:r>
        <w:rPr>
          <w:rFonts w:hint="eastAsia"/>
          <w:sz w:val="21"/>
          <w:szCs w:val="21"/>
          <w:lang w:eastAsia="zh-CN"/>
        </w:rPr>
        <w:t>号决议规定的禁令。</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b/>
          <w:bCs/>
          <w:sz w:val="21"/>
          <w:szCs w:val="21"/>
          <w:lang w:eastAsia="zh-CN"/>
        </w:rPr>
      </w:pPr>
      <w:r>
        <w:rPr>
          <w:rFonts w:hint="eastAsia"/>
          <w:sz w:val="21"/>
          <w:szCs w:val="21"/>
          <w:lang w:eastAsia="zh-CN"/>
        </w:rPr>
        <w:t>专家委员会已收到并在</w:t>
      </w:r>
      <w:r>
        <w:rPr>
          <w:sz w:val="21"/>
          <w:szCs w:val="21"/>
          <w:lang w:eastAsia="zh-CN"/>
        </w:rPr>
        <w:t>2013</w:t>
      </w:r>
      <w:r>
        <w:rPr>
          <w:rFonts w:hint="eastAsia"/>
          <w:sz w:val="21"/>
          <w:szCs w:val="21"/>
          <w:lang w:eastAsia="zh-CN"/>
        </w:rPr>
        <w:t>年</w:t>
      </w:r>
      <w:r>
        <w:rPr>
          <w:sz w:val="21"/>
          <w:szCs w:val="21"/>
          <w:lang w:eastAsia="zh-CN"/>
        </w:rPr>
        <w:t>11</w:t>
      </w:r>
      <w:r>
        <w:rPr>
          <w:rFonts w:hint="eastAsia"/>
          <w:sz w:val="21"/>
          <w:szCs w:val="21"/>
          <w:lang w:eastAsia="zh-CN"/>
        </w:rPr>
        <w:t>月至</w:t>
      </w:r>
      <w:r>
        <w:rPr>
          <w:sz w:val="21"/>
          <w:szCs w:val="21"/>
          <w:lang w:eastAsia="zh-CN"/>
        </w:rPr>
        <w:t>12</w:t>
      </w:r>
      <w:r>
        <w:rPr>
          <w:rFonts w:hint="eastAsia"/>
          <w:sz w:val="21"/>
          <w:szCs w:val="21"/>
          <w:lang w:eastAsia="zh-CN"/>
        </w:rPr>
        <w:t>月的届会期间审查了政府的最新报告。</w:t>
      </w:r>
    </w:p>
    <w:p w:rsidR="00EC4F68" w:rsidRDefault="00EC4F68" w:rsidP="00EC4F68">
      <w:pPr>
        <w:pStyle w:val="SingleTxtG"/>
        <w:spacing w:after="140" w:line="320" w:lineRule="exact"/>
        <w:ind w:left="1264" w:right="1264"/>
        <w:rPr>
          <w:rFonts w:eastAsia="SimHei"/>
          <w:bCs/>
          <w:sz w:val="21"/>
          <w:szCs w:val="21"/>
          <w:lang w:eastAsia="zh-CN"/>
        </w:rPr>
      </w:pPr>
      <w:r>
        <w:rPr>
          <w:rFonts w:eastAsia="SimHei" w:hint="eastAsia"/>
          <w:bCs/>
          <w:sz w:val="21"/>
          <w:szCs w:val="21"/>
          <w:lang w:eastAsia="zh-CN"/>
        </w:rPr>
        <w:t>哈萨克斯坦</w:t>
      </w:r>
    </w:p>
    <w:p w:rsidR="00EC4F68" w:rsidRDefault="00EC4F68" w:rsidP="00EC4F68">
      <w:pPr>
        <w:pStyle w:val="SingleTxtG"/>
        <w:numPr>
          <w:ilvl w:val="0"/>
          <w:numId w:val="2"/>
        </w:numPr>
        <w:spacing w:after="140" w:line="320" w:lineRule="exact"/>
        <w:ind w:left="1264" w:right="1264" w:firstLine="0"/>
        <w:rPr>
          <w:rFonts w:eastAsia="SimHei"/>
          <w:bCs/>
          <w:sz w:val="21"/>
          <w:szCs w:val="21"/>
          <w:lang w:eastAsia="zh-CN"/>
        </w:rPr>
      </w:pPr>
      <w:r>
        <w:rPr>
          <w:rFonts w:hint="eastAsia"/>
          <w:sz w:val="21"/>
          <w:szCs w:val="21"/>
          <w:lang w:eastAsia="zh-CN"/>
        </w:rPr>
        <w:t>在劳工组织的相关公约中，哈萨克斯坦已批准第</w:t>
      </w:r>
      <w:r>
        <w:rPr>
          <w:sz w:val="21"/>
          <w:szCs w:val="21"/>
          <w:lang w:eastAsia="zh-CN"/>
        </w:rPr>
        <w:t>100</w:t>
      </w:r>
      <w:r>
        <w:rPr>
          <w:rFonts w:hint="eastAsia"/>
          <w:sz w:val="21"/>
          <w:szCs w:val="21"/>
          <w:lang w:eastAsia="zh-CN"/>
        </w:rPr>
        <w:t>号和第</w:t>
      </w:r>
      <w:r>
        <w:rPr>
          <w:sz w:val="21"/>
          <w:szCs w:val="21"/>
          <w:lang w:eastAsia="zh-CN"/>
        </w:rPr>
        <w:t>111</w:t>
      </w:r>
      <w:r>
        <w:rPr>
          <w:rFonts w:hint="eastAsia"/>
          <w:sz w:val="21"/>
          <w:szCs w:val="21"/>
          <w:lang w:eastAsia="zh-CN"/>
        </w:rPr>
        <w:t>号公约，还批准了第</w:t>
      </w:r>
      <w:r>
        <w:rPr>
          <w:sz w:val="21"/>
          <w:szCs w:val="21"/>
          <w:lang w:eastAsia="zh-CN"/>
        </w:rPr>
        <w:t>29</w:t>
      </w:r>
      <w:r>
        <w:rPr>
          <w:rFonts w:hint="eastAsia"/>
          <w:sz w:val="21"/>
          <w:szCs w:val="21"/>
          <w:lang w:eastAsia="zh-CN"/>
        </w:rPr>
        <w:t>、</w:t>
      </w:r>
      <w:r>
        <w:rPr>
          <w:sz w:val="21"/>
          <w:szCs w:val="21"/>
          <w:lang w:eastAsia="zh-CN"/>
        </w:rPr>
        <w:t>87</w:t>
      </w:r>
      <w:r>
        <w:rPr>
          <w:rFonts w:hint="eastAsia"/>
          <w:sz w:val="21"/>
          <w:szCs w:val="21"/>
          <w:lang w:eastAsia="zh-CN"/>
        </w:rPr>
        <w:t>、</w:t>
      </w:r>
      <w:r>
        <w:rPr>
          <w:sz w:val="21"/>
          <w:szCs w:val="21"/>
          <w:lang w:eastAsia="zh-CN"/>
        </w:rPr>
        <w:t>98</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122</w:t>
      </w:r>
      <w:r>
        <w:rPr>
          <w:rFonts w:hint="eastAsia"/>
          <w:sz w:val="21"/>
          <w:szCs w:val="21"/>
          <w:lang w:eastAsia="zh-CN"/>
        </w:rPr>
        <w:t>、</w:t>
      </w:r>
      <w:r>
        <w:rPr>
          <w:sz w:val="21"/>
          <w:szCs w:val="21"/>
          <w:lang w:eastAsia="zh-CN"/>
        </w:rPr>
        <w:t>138</w:t>
      </w:r>
      <w:r>
        <w:rPr>
          <w:rFonts w:hint="eastAsia"/>
          <w:sz w:val="21"/>
          <w:szCs w:val="21"/>
          <w:lang w:eastAsia="zh-CN"/>
        </w:rPr>
        <w:t>、</w:t>
      </w:r>
      <w:r>
        <w:rPr>
          <w:sz w:val="21"/>
          <w:szCs w:val="21"/>
          <w:lang w:eastAsia="zh-CN"/>
        </w:rPr>
        <w:t>156</w:t>
      </w:r>
      <w:r>
        <w:rPr>
          <w:rFonts w:hint="eastAsia"/>
          <w:sz w:val="21"/>
          <w:szCs w:val="21"/>
          <w:lang w:eastAsia="zh-CN"/>
        </w:rPr>
        <w:t>、</w:t>
      </w:r>
      <w:r>
        <w:rPr>
          <w:sz w:val="21"/>
          <w:szCs w:val="21"/>
          <w:lang w:eastAsia="zh-CN"/>
        </w:rPr>
        <w:t>182</w:t>
      </w:r>
      <w:r>
        <w:rPr>
          <w:rFonts w:hint="eastAsia"/>
          <w:sz w:val="21"/>
          <w:szCs w:val="21"/>
          <w:lang w:eastAsia="zh-CN"/>
        </w:rPr>
        <w:t>号和第</w:t>
      </w:r>
      <w:r>
        <w:rPr>
          <w:sz w:val="21"/>
          <w:szCs w:val="21"/>
          <w:lang w:eastAsia="zh-CN"/>
        </w:rPr>
        <w:t>183</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bCs/>
          <w:sz w:val="21"/>
          <w:szCs w:val="21"/>
          <w:lang w:eastAsia="zh-CN"/>
        </w:rPr>
      </w:pPr>
      <w:r>
        <w:rPr>
          <w:rFonts w:eastAsia="SimHei" w:hint="eastAsia"/>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w:t>
      </w:r>
    </w:p>
    <w:p w:rsidR="00EC4F68" w:rsidRDefault="00EC4F68" w:rsidP="00EC4F68">
      <w:pPr>
        <w:pStyle w:val="SingleTxtG"/>
        <w:spacing w:after="140" w:line="320" w:lineRule="exact"/>
        <w:ind w:left="1264" w:right="1264"/>
        <w:rPr>
          <w:rFonts w:eastAsia="KaiTi_GB2312"/>
          <w:sz w:val="21"/>
          <w:szCs w:val="21"/>
          <w:lang w:eastAsia="zh-CN"/>
        </w:rPr>
      </w:pPr>
      <w:r>
        <w:rPr>
          <w:rFonts w:eastAsia="KaiTi_GB2312" w:hint="eastAsia"/>
          <w:sz w:val="21"/>
          <w:szCs w:val="21"/>
          <w:lang w:val="en-US"/>
        </w:rPr>
        <w:t>《第</w:t>
      </w:r>
      <w:r>
        <w:rPr>
          <w:rFonts w:eastAsia="KaiTi_GB2312"/>
          <w:sz w:val="21"/>
          <w:szCs w:val="21"/>
        </w:rPr>
        <w:t>1</w:t>
      </w:r>
      <w:r>
        <w:rPr>
          <w:rFonts w:eastAsia="KaiTi_GB2312"/>
          <w:sz w:val="21"/>
          <w:szCs w:val="21"/>
          <w:lang w:eastAsia="zh-CN"/>
        </w:rPr>
        <w:t>00</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2012</w:t>
      </w:r>
      <w:r>
        <w:rPr>
          <w:rFonts w:hint="eastAsia"/>
          <w:sz w:val="21"/>
          <w:szCs w:val="21"/>
          <w:lang w:eastAsia="zh-CN"/>
        </w:rPr>
        <w:t>年的意见中，专家委员会忆及，</w:t>
      </w:r>
      <w:r>
        <w:rPr>
          <w:sz w:val="21"/>
          <w:szCs w:val="21"/>
          <w:lang w:eastAsia="zh-CN"/>
        </w:rPr>
        <w:t>2007</w:t>
      </w:r>
      <w:r>
        <w:rPr>
          <w:rFonts w:hint="eastAsia"/>
          <w:sz w:val="21"/>
          <w:szCs w:val="21"/>
          <w:lang w:eastAsia="zh-CN"/>
        </w:rPr>
        <w:t>年《劳动法》所载规定的范围不及《公约》原则的范围。第</w:t>
      </w:r>
      <w:r>
        <w:rPr>
          <w:sz w:val="21"/>
          <w:szCs w:val="21"/>
          <w:lang w:eastAsia="zh-CN"/>
        </w:rPr>
        <w:t>7(2)</w:t>
      </w:r>
      <w:r>
        <w:rPr>
          <w:rFonts w:hint="eastAsia"/>
          <w:sz w:val="21"/>
          <w:szCs w:val="21"/>
          <w:lang w:eastAsia="zh-CN"/>
        </w:rPr>
        <w:t>条禁止在行使劳动权方面的性别歧视，第</w:t>
      </w:r>
      <w:r>
        <w:rPr>
          <w:sz w:val="21"/>
          <w:szCs w:val="21"/>
          <w:lang w:eastAsia="zh-CN"/>
        </w:rPr>
        <w:t>22</w:t>
      </w:r>
      <w:r>
        <w:rPr>
          <w:rFonts w:hint="eastAsia"/>
          <w:sz w:val="21"/>
          <w:szCs w:val="21"/>
          <w:lang w:eastAsia="zh-CN"/>
        </w:rPr>
        <w:t>（</w:t>
      </w:r>
      <w:r>
        <w:rPr>
          <w:sz w:val="21"/>
          <w:szCs w:val="21"/>
          <w:lang w:eastAsia="zh-CN"/>
        </w:rPr>
        <w:t>15</w:t>
      </w:r>
      <w:r>
        <w:rPr>
          <w:rFonts w:hint="eastAsia"/>
          <w:sz w:val="21"/>
          <w:szCs w:val="21"/>
          <w:lang w:eastAsia="zh-CN"/>
        </w:rPr>
        <w:t>）条规定雇员享有不受歧视的同工同酬权利。委员会敦促哈萨克斯坦政府采取具体措施，修订《劳动法》，使男女同等价值工作同等报酬原则充分产生立法方面的效果，不仅允许类似工作之间进行比较，而且允许完全不同性质的工作之间进行比较。</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2012</w:t>
      </w:r>
      <w:r>
        <w:rPr>
          <w:rFonts w:hint="eastAsia"/>
          <w:sz w:val="21"/>
          <w:szCs w:val="21"/>
          <w:lang w:eastAsia="zh-CN"/>
        </w:rPr>
        <w:t>年的直接要求中，委员会欢迎国家最低工资获得通过，并忆及这是适用《公约》的重要方式。委员会要求该国政府提供资料，说明是否有任何工人群体或部门被排除在最低工资的覆盖范围之外。</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委员会忆及，</w:t>
      </w:r>
      <w:r>
        <w:rPr>
          <w:sz w:val="21"/>
          <w:szCs w:val="21"/>
          <w:lang w:eastAsia="zh-CN"/>
        </w:rPr>
        <w:t>2007</w:t>
      </w:r>
      <w:r>
        <w:rPr>
          <w:rFonts w:hint="eastAsia"/>
          <w:sz w:val="21"/>
          <w:szCs w:val="21"/>
          <w:lang w:eastAsia="zh-CN"/>
        </w:rPr>
        <w:t>年《劳动法》第</w:t>
      </w:r>
      <w:r>
        <w:rPr>
          <w:sz w:val="21"/>
          <w:szCs w:val="21"/>
          <w:lang w:eastAsia="zh-CN"/>
        </w:rPr>
        <w:t>121(1)</w:t>
      </w:r>
      <w:r>
        <w:rPr>
          <w:rFonts w:hint="eastAsia"/>
          <w:sz w:val="21"/>
          <w:szCs w:val="21"/>
          <w:lang w:eastAsia="zh-CN"/>
        </w:rPr>
        <w:t>条规定，雇员的月工资应取决于雇员的资格，所完成工作的复杂性、数量和质量，以及工作条件，第</w:t>
      </w:r>
      <w:r>
        <w:rPr>
          <w:sz w:val="21"/>
          <w:szCs w:val="21"/>
          <w:lang w:eastAsia="zh-CN"/>
        </w:rPr>
        <w:t>125</w:t>
      </w:r>
      <w:r>
        <w:rPr>
          <w:rFonts w:hint="eastAsia"/>
          <w:sz w:val="21"/>
          <w:szCs w:val="21"/>
          <w:lang w:eastAsia="zh-CN"/>
        </w:rPr>
        <w:t>条规定了确定不同类型工作的资格要求与复杂性的方式，也即以国家劳动部门制定的手册为依据。根据第</w:t>
      </w:r>
      <w:r>
        <w:rPr>
          <w:sz w:val="21"/>
          <w:szCs w:val="21"/>
          <w:lang w:eastAsia="zh-CN"/>
        </w:rPr>
        <w:t>22</w:t>
      </w:r>
      <w:r>
        <w:rPr>
          <w:rFonts w:hint="eastAsia"/>
          <w:sz w:val="21"/>
          <w:szCs w:val="21"/>
          <w:lang w:eastAsia="zh-CN"/>
        </w:rPr>
        <w:t>（</w:t>
      </w:r>
      <w:r>
        <w:rPr>
          <w:sz w:val="21"/>
          <w:szCs w:val="21"/>
          <w:lang w:eastAsia="zh-CN"/>
        </w:rPr>
        <w:t>23</w:t>
      </w:r>
      <w:r>
        <w:rPr>
          <w:rFonts w:hint="eastAsia"/>
          <w:sz w:val="21"/>
          <w:szCs w:val="21"/>
          <w:lang w:eastAsia="zh-CN"/>
        </w:rPr>
        <w:t>）条，工人有权依据这些标准获得报酬。委员会要求政府提供资料，说明用来比较不同工作的工作评估方法，包括国家劳动部门手册中规定的任何评估方法，并说明在挑选比较因素、衡量这些因素和进行实际比对时不会有直接歧视或间接歧视。</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已要求政府提交报告，该报告应由专家委员会在其</w:t>
      </w:r>
      <w:r>
        <w:rPr>
          <w:sz w:val="21"/>
          <w:szCs w:val="21"/>
          <w:lang w:eastAsia="zh-CN"/>
        </w:rPr>
        <w:t>2013</w:t>
      </w:r>
      <w:r>
        <w:rPr>
          <w:rFonts w:hint="eastAsia"/>
          <w:sz w:val="21"/>
          <w:szCs w:val="21"/>
          <w:lang w:eastAsia="zh-CN"/>
        </w:rPr>
        <w:t>年</w:t>
      </w:r>
      <w:r>
        <w:rPr>
          <w:sz w:val="21"/>
          <w:szCs w:val="21"/>
          <w:lang w:eastAsia="zh-CN"/>
        </w:rPr>
        <w:t>11</w:t>
      </w:r>
      <w:r>
        <w:rPr>
          <w:rFonts w:hint="eastAsia"/>
          <w:sz w:val="21"/>
          <w:szCs w:val="21"/>
          <w:lang w:eastAsia="zh-CN"/>
        </w:rPr>
        <w:t>月至</w:t>
      </w:r>
      <w:r>
        <w:rPr>
          <w:sz w:val="21"/>
          <w:szCs w:val="21"/>
          <w:lang w:eastAsia="zh-CN"/>
        </w:rPr>
        <w:t>12</w:t>
      </w:r>
      <w:r>
        <w:rPr>
          <w:rFonts w:hint="eastAsia"/>
          <w:sz w:val="21"/>
          <w:szCs w:val="21"/>
          <w:lang w:eastAsia="zh-CN"/>
        </w:rPr>
        <w:t>月的届会期间进行审查。</w:t>
      </w:r>
    </w:p>
    <w:p w:rsidR="00EC4F68" w:rsidRDefault="00EC4F68" w:rsidP="00EC4F68">
      <w:pPr>
        <w:pStyle w:val="SingleTxtG"/>
        <w:spacing w:after="140" w:line="320" w:lineRule="exact"/>
        <w:ind w:left="1264" w:right="1264"/>
        <w:rPr>
          <w:rFonts w:eastAsia="KaiTi_GB2312"/>
          <w:sz w:val="21"/>
          <w:szCs w:val="21"/>
        </w:rPr>
      </w:pPr>
      <w:r>
        <w:rPr>
          <w:rFonts w:eastAsia="KaiTi_GB2312" w:hint="eastAsia"/>
          <w:sz w:val="21"/>
          <w:szCs w:val="21"/>
          <w:lang w:val="en-US"/>
        </w:rPr>
        <w:t>《第</w:t>
      </w:r>
      <w:r>
        <w:rPr>
          <w:rFonts w:eastAsia="KaiTi_GB2312"/>
          <w:sz w:val="21"/>
          <w:szCs w:val="21"/>
        </w:rPr>
        <w:t>111</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sz w:val="21"/>
          <w:szCs w:val="21"/>
          <w:lang w:eastAsia="zh-CN"/>
        </w:rPr>
        <w:t xml:space="preserve"> </w:t>
      </w:r>
      <w:r>
        <w:rPr>
          <w:rFonts w:hint="eastAsia"/>
          <w:sz w:val="21"/>
          <w:szCs w:val="21"/>
          <w:lang w:eastAsia="zh-CN"/>
        </w:rPr>
        <w:t>在其</w:t>
      </w:r>
      <w:r>
        <w:rPr>
          <w:sz w:val="21"/>
          <w:szCs w:val="21"/>
          <w:lang w:eastAsia="zh-CN"/>
        </w:rPr>
        <w:t>2012</w:t>
      </w:r>
      <w:r>
        <w:rPr>
          <w:rFonts w:hint="eastAsia"/>
          <w:sz w:val="21"/>
          <w:szCs w:val="21"/>
          <w:lang w:eastAsia="zh-CN"/>
        </w:rPr>
        <w:t>年的意见中，</w:t>
      </w:r>
      <w:r>
        <w:rPr>
          <w:sz w:val="21"/>
          <w:szCs w:val="21"/>
          <w:lang w:eastAsia="zh-CN"/>
        </w:rPr>
        <w:t xml:space="preserve"> </w:t>
      </w:r>
      <w:r>
        <w:rPr>
          <w:rFonts w:hint="eastAsia"/>
          <w:sz w:val="21"/>
          <w:szCs w:val="21"/>
          <w:lang w:eastAsia="zh-CN"/>
        </w:rPr>
        <w:t>专家委员会忆及，根据《劳动法》第</w:t>
      </w:r>
      <w:r>
        <w:rPr>
          <w:sz w:val="21"/>
          <w:szCs w:val="21"/>
          <w:lang w:eastAsia="zh-CN"/>
        </w:rPr>
        <w:t>186</w:t>
      </w:r>
      <w:r>
        <w:rPr>
          <w:rFonts w:hint="eastAsia"/>
          <w:sz w:val="21"/>
          <w:szCs w:val="21"/>
          <w:lang w:eastAsia="zh-CN"/>
        </w:rPr>
        <w:t>条第</w:t>
      </w:r>
      <w:r>
        <w:rPr>
          <w:sz w:val="21"/>
          <w:szCs w:val="21"/>
          <w:lang w:eastAsia="zh-CN"/>
        </w:rPr>
        <w:t>(1)</w:t>
      </w:r>
      <w:r>
        <w:rPr>
          <w:rFonts w:hint="eastAsia"/>
          <w:sz w:val="21"/>
          <w:szCs w:val="21"/>
          <w:lang w:eastAsia="zh-CN"/>
        </w:rPr>
        <w:t>款和第</w:t>
      </w:r>
      <w:r>
        <w:rPr>
          <w:sz w:val="21"/>
          <w:szCs w:val="21"/>
          <w:lang w:eastAsia="zh-CN"/>
        </w:rPr>
        <w:t>(2)</w:t>
      </w:r>
      <w:r>
        <w:rPr>
          <w:rFonts w:hint="eastAsia"/>
          <w:sz w:val="21"/>
          <w:szCs w:val="21"/>
          <w:lang w:eastAsia="zh-CN"/>
        </w:rPr>
        <w:t>款禁止妇女从事的工作清单应当由国家劳动部门与卫生部门商议决定。委员会要求该国政府说明如何确保限制妇女就业的措施严格限定在产妇保护方面。</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委员会忆及，</w:t>
      </w:r>
      <w:r>
        <w:rPr>
          <w:sz w:val="21"/>
          <w:szCs w:val="21"/>
          <w:lang w:eastAsia="zh-CN"/>
        </w:rPr>
        <w:t>2009</w:t>
      </w:r>
      <w:r>
        <w:rPr>
          <w:rFonts w:hint="eastAsia"/>
          <w:sz w:val="21"/>
          <w:szCs w:val="21"/>
          <w:lang w:eastAsia="zh-CN"/>
        </w:rPr>
        <w:t>年《国家保障男女平等权利和平等机会法》规定了劳动关系、教育和培训方面的性别平等。委员会还忆及，</w:t>
      </w:r>
      <w:r>
        <w:rPr>
          <w:sz w:val="21"/>
          <w:szCs w:val="21"/>
          <w:lang w:eastAsia="zh-CN"/>
        </w:rPr>
        <w:t>2006-2016</w:t>
      </w:r>
      <w:r>
        <w:rPr>
          <w:rFonts w:hint="eastAsia"/>
          <w:sz w:val="21"/>
          <w:szCs w:val="21"/>
          <w:lang w:eastAsia="zh-CN"/>
        </w:rPr>
        <w:t>年《性别平等战略》的目标包括：</w:t>
      </w:r>
      <w:r>
        <w:rPr>
          <w:sz w:val="21"/>
          <w:szCs w:val="21"/>
          <w:lang w:eastAsia="zh-CN"/>
        </w:rPr>
        <w:t>(a)</w:t>
      </w:r>
      <w:r>
        <w:rPr>
          <w:rFonts w:hint="eastAsia"/>
          <w:sz w:val="21"/>
          <w:szCs w:val="21"/>
          <w:lang w:eastAsia="zh-CN"/>
        </w:rPr>
        <w:t>实现行政和立法机构以及决策岗位上的男女代表权平等；</w:t>
      </w:r>
      <w:r>
        <w:rPr>
          <w:sz w:val="21"/>
          <w:szCs w:val="21"/>
          <w:lang w:eastAsia="zh-CN"/>
        </w:rPr>
        <w:t>(b)</w:t>
      </w:r>
      <w:r>
        <w:rPr>
          <w:rFonts w:hint="eastAsia"/>
          <w:sz w:val="21"/>
          <w:szCs w:val="21"/>
          <w:lang w:eastAsia="zh-CN"/>
        </w:rPr>
        <w:t>培养妇女的企业家精神，增加妇女在劳动力市场的竞争力。委员会再次要求该国政府提供全面资料，说明</w:t>
      </w:r>
      <w:r>
        <w:rPr>
          <w:sz w:val="21"/>
          <w:szCs w:val="21"/>
          <w:lang w:eastAsia="zh-CN"/>
        </w:rPr>
        <w:t xml:space="preserve"> 2009</w:t>
      </w:r>
      <w:r>
        <w:rPr>
          <w:rFonts w:hint="eastAsia"/>
          <w:sz w:val="21"/>
          <w:szCs w:val="21"/>
          <w:lang w:eastAsia="zh-CN"/>
        </w:rPr>
        <w:t>年《国家保障男女平等权利和平等机会法》的实际实施情况以及为实施</w:t>
      </w:r>
      <w:r>
        <w:rPr>
          <w:sz w:val="21"/>
          <w:szCs w:val="21"/>
          <w:lang w:eastAsia="zh-CN"/>
        </w:rPr>
        <w:t>2006-2016</w:t>
      </w:r>
      <w:r>
        <w:rPr>
          <w:rFonts w:hint="eastAsia"/>
          <w:sz w:val="21"/>
          <w:szCs w:val="21"/>
          <w:lang w:eastAsia="zh-CN"/>
        </w:rPr>
        <w:t>年《性别平等战略》而采取的所有措施。</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委员会还忆及，《劳动法》第</w:t>
      </w:r>
      <w:r>
        <w:rPr>
          <w:sz w:val="21"/>
          <w:szCs w:val="21"/>
          <w:lang w:eastAsia="zh-CN"/>
        </w:rPr>
        <w:t>194</w:t>
      </w:r>
      <w:r>
        <w:rPr>
          <w:rFonts w:hint="eastAsia"/>
          <w:sz w:val="21"/>
          <w:szCs w:val="21"/>
          <w:lang w:eastAsia="zh-CN"/>
        </w:rPr>
        <w:t>条和第</w:t>
      </w:r>
      <w:r>
        <w:rPr>
          <w:sz w:val="21"/>
          <w:szCs w:val="21"/>
          <w:lang w:eastAsia="zh-CN"/>
        </w:rPr>
        <w:t>195</w:t>
      </w:r>
      <w:r>
        <w:rPr>
          <w:rFonts w:hint="eastAsia"/>
          <w:sz w:val="21"/>
          <w:szCs w:val="21"/>
          <w:lang w:eastAsia="zh-CN"/>
        </w:rPr>
        <w:t>条规定，在子女年满</w:t>
      </w:r>
      <w:r>
        <w:rPr>
          <w:sz w:val="21"/>
          <w:szCs w:val="21"/>
          <w:lang w:eastAsia="zh-CN"/>
        </w:rPr>
        <w:t>3</w:t>
      </w:r>
      <w:r>
        <w:rPr>
          <w:rFonts w:hint="eastAsia"/>
          <w:sz w:val="21"/>
          <w:szCs w:val="21"/>
          <w:lang w:eastAsia="zh-CN"/>
        </w:rPr>
        <w:t>岁之前，养父母可享有带薪假，父母享有无薪保育假，男性和女性可平等享有这一权利。但是，委员会还忆及，《劳动法》第</w:t>
      </w:r>
      <w:r>
        <w:rPr>
          <w:sz w:val="21"/>
          <w:szCs w:val="21"/>
          <w:lang w:eastAsia="zh-CN"/>
        </w:rPr>
        <w:t>187</w:t>
      </w:r>
      <w:r>
        <w:rPr>
          <w:rFonts w:hint="eastAsia"/>
          <w:sz w:val="21"/>
          <w:szCs w:val="21"/>
          <w:lang w:eastAsia="zh-CN"/>
        </w:rPr>
        <w:t>条要求在夜班、加班、出差或轮班的情况下，对于子女不满</w:t>
      </w:r>
      <w:r>
        <w:rPr>
          <w:sz w:val="21"/>
          <w:szCs w:val="21"/>
          <w:lang w:eastAsia="zh-CN"/>
        </w:rPr>
        <w:t>7</w:t>
      </w:r>
      <w:r>
        <w:rPr>
          <w:rFonts w:hint="eastAsia"/>
          <w:sz w:val="21"/>
          <w:szCs w:val="21"/>
          <w:lang w:eastAsia="zh-CN"/>
        </w:rPr>
        <w:t>岁的妇女和抚养不足</w:t>
      </w:r>
      <w:r>
        <w:rPr>
          <w:sz w:val="21"/>
          <w:szCs w:val="21"/>
          <w:lang w:eastAsia="zh-CN"/>
        </w:rPr>
        <w:t>7</w:t>
      </w:r>
      <w:r>
        <w:rPr>
          <w:rFonts w:hint="eastAsia"/>
          <w:sz w:val="21"/>
          <w:szCs w:val="21"/>
          <w:lang w:eastAsia="zh-CN"/>
        </w:rPr>
        <w:t>岁儿童的其他人，必须取得其书面同意。根据第</w:t>
      </w:r>
      <w:r>
        <w:rPr>
          <w:sz w:val="21"/>
          <w:szCs w:val="21"/>
          <w:lang w:eastAsia="zh-CN"/>
        </w:rPr>
        <w:t>188</w:t>
      </w:r>
      <w:r>
        <w:rPr>
          <w:rFonts w:hint="eastAsia"/>
          <w:sz w:val="21"/>
          <w:szCs w:val="21"/>
          <w:lang w:eastAsia="zh-CN"/>
        </w:rPr>
        <w:t>条和第</w:t>
      </w:r>
      <w:r>
        <w:rPr>
          <w:sz w:val="21"/>
          <w:szCs w:val="21"/>
          <w:lang w:eastAsia="zh-CN"/>
        </w:rPr>
        <w:t>189</w:t>
      </w:r>
      <w:r>
        <w:rPr>
          <w:rFonts w:hint="eastAsia"/>
          <w:sz w:val="21"/>
          <w:szCs w:val="21"/>
          <w:lang w:eastAsia="zh-CN"/>
        </w:rPr>
        <w:t>条，只有没有母亲照料子女的情况下，父亲才有权中断工作哺育子女和从事非全时工作。委员会要求该国政府修订《劳动法》第</w:t>
      </w:r>
      <w:r>
        <w:rPr>
          <w:sz w:val="21"/>
          <w:szCs w:val="21"/>
          <w:lang w:eastAsia="zh-CN"/>
        </w:rPr>
        <w:t>187</w:t>
      </w:r>
      <w:r>
        <w:rPr>
          <w:rFonts w:hint="eastAsia"/>
          <w:sz w:val="21"/>
          <w:szCs w:val="21"/>
          <w:lang w:eastAsia="zh-CN"/>
        </w:rPr>
        <w:t>条至第</w:t>
      </w:r>
      <w:r>
        <w:rPr>
          <w:sz w:val="21"/>
          <w:szCs w:val="21"/>
          <w:lang w:eastAsia="zh-CN"/>
        </w:rPr>
        <w:t>189</w:t>
      </w:r>
      <w:r>
        <w:rPr>
          <w:rFonts w:hint="eastAsia"/>
          <w:sz w:val="21"/>
          <w:szCs w:val="21"/>
          <w:lang w:eastAsia="zh-CN"/>
        </w:rPr>
        <w:t>条，使男女享有平等的权利。委员会还要求政府提供资料，说明男性和女性在多大程度上行使了《劳动法》第</w:t>
      </w:r>
      <w:r>
        <w:rPr>
          <w:sz w:val="21"/>
          <w:szCs w:val="21"/>
          <w:lang w:eastAsia="zh-CN"/>
        </w:rPr>
        <w:t>194</w:t>
      </w:r>
      <w:r>
        <w:rPr>
          <w:rFonts w:hint="eastAsia"/>
          <w:sz w:val="21"/>
          <w:szCs w:val="21"/>
          <w:lang w:eastAsia="zh-CN"/>
        </w:rPr>
        <w:t>条和第</w:t>
      </w:r>
      <w:r>
        <w:rPr>
          <w:sz w:val="21"/>
          <w:szCs w:val="21"/>
          <w:lang w:eastAsia="zh-CN"/>
        </w:rPr>
        <w:t>195</w:t>
      </w:r>
      <w:r>
        <w:rPr>
          <w:rFonts w:hint="eastAsia"/>
          <w:sz w:val="21"/>
          <w:szCs w:val="21"/>
          <w:lang w:eastAsia="zh-CN"/>
        </w:rPr>
        <w:t>条规定的权利。</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委员会注意到，该国政府已经通过了</w:t>
      </w:r>
      <w:r>
        <w:rPr>
          <w:sz w:val="21"/>
          <w:szCs w:val="21"/>
          <w:lang w:eastAsia="zh-CN"/>
        </w:rPr>
        <w:t>2020</w:t>
      </w:r>
      <w:r>
        <w:rPr>
          <w:rFonts w:hint="eastAsia"/>
          <w:sz w:val="21"/>
          <w:szCs w:val="21"/>
          <w:lang w:eastAsia="zh-CN"/>
        </w:rPr>
        <w:t>年《就业方案》，该方案寻求促进就业机会，为自营职业、失业和较贫困的人提供有补助的培训，并促进农村地区的企业家精神。委员会还注意到，政府表示为解决金融危机采取了一揽子的经济刺激措施，包括地区就业和管理培训战略。委员会请该国政府提供涉及以下方面的资料：</w:t>
      </w:r>
      <w:r>
        <w:rPr>
          <w:sz w:val="21"/>
          <w:szCs w:val="21"/>
          <w:lang w:eastAsia="zh-CN"/>
        </w:rPr>
        <w:t>(a)</w:t>
      </w:r>
      <w:r>
        <w:rPr>
          <w:rFonts w:hint="eastAsia"/>
          <w:sz w:val="21"/>
          <w:szCs w:val="21"/>
          <w:lang w:eastAsia="zh-CN"/>
        </w:rPr>
        <w:t>为促进和确保男女在就业和职业方面的机会与待遇平等而采取的具体措施，包括为促进妇女在妇女代表权不足的领域（包括公务员领域）获得职业和就业而采取的措施；</w:t>
      </w:r>
      <w:r>
        <w:rPr>
          <w:sz w:val="21"/>
          <w:szCs w:val="21"/>
          <w:lang w:eastAsia="zh-CN"/>
        </w:rPr>
        <w:t>(b)</w:t>
      </w:r>
      <w:r>
        <w:rPr>
          <w:rFonts w:hint="eastAsia"/>
          <w:sz w:val="21"/>
          <w:szCs w:val="21"/>
          <w:lang w:eastAsia="zh-CN"/>
        </w:rPr>
        <w:t>为解决金融危机而采取的措施的影响，包括按性别分列的关于男女参与劳动力市场（公共和私营部门）、经济活动部门和职业群体的情况以及就业状况的统计资料；</w:t>
      </w:r>
      <w:r>
        <w:rPr>
          <w:sz w:val="21"/>
          <w:szCs w:val="21"/>
          <w:lang w:eastAsia="zh-CN"/>
        </w:rPr>
        <w:t>(c)</w:t>
      </w:r>
      <w:r>
        <w:rPr>
          <w:rFonts w:hint="eastAsia"/>
          <w:sz w:val="21"/>
          <w:szCs w:val="21"/>
          <w:lang w:eastAsia="zh-CN"/>
        </w:rPr>
        <w:t>说明如何将性别平等原则纳入到</w:t>
      </w:r>
      <w:r>
        <w:rPr>
          <w:sz w:val="21"/>
          <w:szCs w:val="21"/>
          <w:lang w:eastAsia="zh-CN"/>
        </w:rPr>
        <w:t>2020</w:t>
      </w:r>
      <w:r>
        <w:rPr>
          <w:rFonts w:hint="eastAsia"/>
          <w:sz w:val="21"/>
          <w:szCs w:val="21"/>
          <w:lang w:eastAsia="zh-CN"/>
        </w:rPr>
        <w:t>年就业方案等促进就业的方案和措施当中，包括关于已经受益于就业促进措施的妇女人数的统计资料。</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val="de-DE" w:eastAsia="zh-CN"/>
        </w:rPr>
      </w:pPr>
      <w:r>
        <w:rPr>
          <w:rFonts w:hint="eastAsia"/>
          <w:sz w:val="21"/>
          <w:szCs w:val="21"/>
          <w:lang w:eastAsia="zh-CN"/>
        </w:rPr>
        <w:t>已要求该国政府提交报告，该报告应由专家委员会在其</w:t>
      </w:r>
      <w:r>
        <w:rPr>
          <w:sz w:val="21"/>
          <w:szCs w:val="21"/>
          <w:lang w:eastAsia="zh-CN"/>
        </w:rPr>
        <w:t>2013</w:t>
      </w:r>
      <w:r>
        <w:rPr>
          <w:rFonts w:hint="eastAsia"/>
          <w:sz w:val="21"/>
          <w:szCs w:val="21"/>
          <w:lang w:eastAsia="zh-CN"/>
        </w:rPr>
        <w:t>年</w:t>
      </w:r>
      <w:r>
        <w:rPr>
          <w:sz w:val="21"/>
          <w:szCs w:val="21"/>
          <w:lang w:eastAsia="zh-CN"/>
        </w:rPr>
        <w:t>11</w:t>
      </w:r>
      <w:r>
        <w:rPr>
          <w:rFonts w:hint="eastAsia"/>
          <w:sz w:val="21"/>
          <w:szCs w:val="21"/>
          <w:lang w:eastAsia="zh-CN"/>
        </w:rPr>
        <w:t>月至</w:t>
      </w:r>
      <w:r>
        <w:rPr>
          <w:sz w:val="21"/>
          <w:szCs w:val="21"/>
          <w:lang w:eastAsia="zh-CN"/>
        </w:rPr>
        <w:t>12</w:t>
      </w:r>
      <w:r>
        <w:rPr>
          <w:rFonts w:hint="eastAsia"/>
          <w:sz w:val="21"/>
          <w:szCs w:val="21"/>
          <w:lang w:eastAsia="zh-CN"/>
        </w:rPr>
        <w:t>月的届会期间进行审查。</w:t>
      </w:r>
    </w:p>
    <w:p w:rsidR="00EC4F68" w:rsidRDefault="00EC4F68" w:rsidP="00EC4F68">
      <w:pPr>
        <w:pStyle w:val="SingleTxtG"/>
        <w:spacing w:after="140" w:line="320" w:lineRule="exact"/>
        <w:ind w:left="1264" w:right="1264"/>
        <w:rPr>
          <w:rFonts w:eastAsia="SimHei"/>
          <w:bCs/>
          <w:sz w:val="21"/>
          <w:szCs w:val="21"/>
          <w:lang w:eastAsia="zh-CN"/>
        </w:rPr>
      </w:pPr>
      <w:r>
        <w:rPr>
          <w:rFonts w:eastAsia="SimHei" w:hint="eastAsia"/>
          <w:bCs/>
          <w:sz w:val="21"/>
          <w:szCs w:val="21"/>
          <w:lang w:eastAsia="zh-CN"/>
        </w:rPr>
        <w:t>卡塔尔</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在劳工组织的相关公约中，卡塔尔已批准第</w:t>
      </w:r>
      <w:r>
        <w:rPr>
          <w:sz w:val="21"/>
          <w:szCs w:val="21"/>
          <w:lang w:eastAsia="zh-CN"/>
        </w:rPr>
        <w:t>111</w:t>
      </w:r>
      <w:r>
        <w:rPr>
          <w:rFonts w:hint="eastAsia"/>
          <w:sz w:val="21"/>
          <w:szCs w:val="21"/>
          <w:lang w:eastAsia="zh-CN"/>
        </w:rPr>
        <w:t>号公约，还批准了第</w:t>
      </w:r>
      <w:r>
        <w:rPr>
          <w:sz w:val="21"/>
          <w:szCs w:val="21"/>
          <w:lang w:eastAsia="zh-CN"/>
        </w:rPr>
        <w:t>29</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138</w:t>
      </w:r>
      <w:r>
        <w:rPr>
          <w:rFonts w:hint="eastAsia"/>
          <w:sz w:val="21"/>
          <w:szCs w:val="21"/>
          <w:lang w:eastAsia="zh-CN"/>
        </w:rPr>
        <w:t>和第</w:t>
      </w:r>
      <w:r>
        <w:rPr>
          <w:sz w:val="21"/>
          <w:szCs w:val="21"/>
          <w:lang w:eastAsia="zh-CN"/>
        </w:rPr>
        <w:t>182</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sz w:val="21"/>
          <w:szCs w:val="21"/>
          <w:lang w:eastAsia="zh-CN"/>
        </w:rPr>
      </w:pPr>
      <w:r>
        <w:rPr>
          <w:rFonts w:eastAsia="SimHei" w:hint="eastAsia"/>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w:t>
      </w:r>
    </w:p>
    <w:p w:rsidR="00EC4F68" w:rsidRDefault="00EC4F68" w:rsidP="00EC4F68">
      <w:pPr>
        <w:pStyle w:val="SingleTxtG"/>
        <w:spacing w:after="140" w:line="320" w:lineRule="exact"/>
        <w:ind w:left="1264" w:right="1264"/>
        <w:rPr>
          <w:rFonts w:eastAsia="KaiTi_GB2312"/>
          <w:sz w:val="21"/>
          <w:szCs w:val="21"/>
          <w:lang w:eastAsia="zh-CN"/>
        </w:rPr>
      </w:pPr>
      <w:r>
        <w:rPr>
          <w:rFonts w:eastAsia="KaiTi_GB2312" w:hint="eastAsia"/>
          <w:sz w:val="21"/>
          <w:szCs w:val="21"/>
          <w:lang w:eastAsia="zh-CN"/>
        </w:rPr>
        <w:t>《第</w:t>
      </w:r>
      <w:r>
        <w:rPr>
          <w:rFonts w:eastAsia="KaiTi_GB2312"/>
          <w:sz w:val="21"/>
          <w:szCs w:val="21"/>
          <w:lang w:eastAsia="zh-CN"/>
        </w:rPr>
        <w:t>111</w:t>
      </w:r>
      <w:r>
        <w:rPr>
          <w:rFonts w:eastAsia="KaiTi_GB2312" w:hint="eastAsia"/>
          <w:sz w:val="21"/>
          <w:szCs w:val="21"/>
          <w:lang w:eastAsia="zh-CN"/>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2011</w:t>
      </w:r>
      <w:r>
        <w:rPr>
          <w:rFonts w:hint="eastAsia"/>
          <w:sz w:val="21"/>
          <w:szCs w:val="21"/>
          <w:lang w:eastAsia="zh-CN"/>
        </w:rPr>
        <w:t>年的意见中，专家委员会以及，《宪法》（第</w:t>
      </w:r>
      <w:r>
        <w:rPr>
          <w:sz w:val="21"/>
          <w:szCs w:val="21"/>
          <w:lang w:eastAsia="zh-CN"/>
        </w:rPr>
        <w:t>35</w:t>
      </w:r>
      <w:r>
        <w:rPr>
          <w:rFonts w:hint="eastAsia"/>
          <w:sz w:val="21"/>
          <w:szCs w:val="21"/>
          <w:lang w:eastAsia="zh-CN"/>
        </w:rPr>
        <w:t>条）和</w:t>
      </w:r>
      <w:r>
        <w:rPr>
          <w:sz w:val="21"/>
          <w:szCs w:val="21"/>
          <w:lang w:eastAsia="zh-CN"/>
        </w:rPr>
        <w:t xml:space="preserve"> </w:t>
      </w:r>
      <w:r>
        <w:rPr>
          <w:rFonts w:hint="eastAsia"/>
          <w:sz w:val="21"/>
          <w:szCs w:val="21"/>
          <w:lang w:eastAsia="zh-CN"/>
        </w:rPr>
        <w:t>《劳动法》（</w:t>
      </w:r>
      <w:r>
        <w:rPr>
          <w:sz w:val="21"/>
          <w:szCs w:val="21"/>
          <w:lang w:eastAsia="zh-CN"/>
        </w:rPr>
        <w:t>2004</w:t>
      </w:r>
      <w:r>
        <w:rPr>
          <w:rFonts w:hint="eastAsia"/>
          <w:sz w:val="21"/>
          <w:szCs w:val="21"/>
          <w:lang w:eastAsia="zh-CN"/>
        </w:rPr>
        <w:t>年第</w:t>
      </w:r>
      <w:r>
        <w:rPr>
          <w:sz w:val="21"/>
          <w:szCs w:val="21"/>
          <w:lang w:eastAsia="zh-CN"/>
        </w:rPr>
        <w:t>14</w:t>
      </w:r>
      <w:r>
        <w:rPr>
          <w:rFonts w:hint="eastAsia"/>
          <w:sz w:val="21"/>
          <w:szCs w:val="21"/>
          <w:lang w:eastAsia="zh-CN"/>
        </w:rPr>
        <w:t>号法律）（第</w:t>
      </w:r>
      <w:r>
        <w:rPr>
          <w:sz w:val="21"/>
          <w:szCs w:val="21"/>
          <w:lang w:eastAsia="zh-CN"/>
        </w:rPr>
        <w:t>93</w:t>
      </w:r>
      <w:r>
        <w:rPr>
          <w:rFonts w:hint="eastAsia"/>
          <w:sz w:val="21"/>
          <w:szCs w:val="21"/>
          <w:lang w:eastAsia="zh-CN"/>
        </w:rPr>
        <w:t>条和第</w:t>
      </w:r>
      <w:r>
        <w:rPr>
          <w:sz w:val="21"/>
          <w:szCs w:val="21"/>
          <w:lang w:eastAsia="zh-CN"/>
        </w:rPr>
        <w:t>98</w:t>
      </w:r>
      <w:r>
        <w:rPr>
          <w:rFonts w:hint="eastAsia"/>
          <w:sz w:val="21"/>
          <w:szCs w:val="21"/>
          <w:lang w:eastAsia="zh-CN"/>
        </w:rPr>
        <w:t>条）的范围远远不及《公约》原则的范围，因为这些条款并未涵盖基于政治见解、出身国家和社会出身的歧视，仅规定针对特定方面的就业歧视提供保护。委员会要求卡塔尔政府说明在实践中如何针对基于《公约》所列全部理由的直接或间接歧视提供保护，其中涉及获得职业培训和指导，获得就业和特定职业，包括征聘在内，以及全部就业条件。</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欢迎该国政府努力改善对受担保制度约束的工人的保护，建立更加有效的投诉和纠纷解决机制，但仍然令委员会关切的是，卡塔尔允许对工人变更担保人的情况施加限制条件并要求工人获得担保人的许可，这继续使工人处于不利境地。因此，委员会要求该国政府提供资料，说明包括国家人权委员会、劳动关系部和人权部在内的部门为解决基于《公约》所列理由歧视移徙工人的问题而采取的措施，包括通过为移徙工人提供可利用和有效的投诉程序以及咨询和法律援助。委员会要求该国政府继续提供资料，说明为允许移徙工人在更换担保人方面享有适当的灵活性而采取的或设想的措施，这些措施可能有助于帮助避免出现移徙工人易于遭受歧视或虐待的情况。要求该国政府说明在本报告所述期间内成功申请更换工作场所的移徙工人的人数，包括家庭佣工在内，并说明准许这种更换的原因。</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委员会注意到</w:t>
      </w:r>
      <w:r>
        <w:rPr>
          <w:sz w:val="21"/>
          <w:szCs w:val="21"/>
          <w:lang w:eastAsia="zh-CN"/>
        </w:rPr>
        <w:t>2007</w:t>
      </w:r>
      <w:r>
        <w:rPr>
          <w:rFonts w:hint="eastAsia"/>
          <w:sz w:val="21"/>
          <w:szCs w:val="21"/>
          <w:lang w:eastAsia="zh-CN"/>
        </w:rPr>
        <w:t>年从事家政服务的工人全部由非卡塔尔妇女构成，而且《家庭佣工法案》仍在拟定之中，因此委员会要求该国政府在法律和实践中采取一切必要措施保护移徙家庭佣工不会基于《公约》所列理由受到歧视，并希望《家庭佣工法案》很快获得通过并与《公约》原则保持一致。</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忆及，妇女集中参与特定的培训课程和教育机构，一些课程没有任何妇女报名参加，而其他一些课程的学生却全部是妇女。委员会还忆及，有必要采取更加积极的措施，解决就业广告和雇用中的歧视做法，消除雇主对男女各自适合的特定工作的陈规定型观念，并鼓励妇女申请传统上或者专门由男性占据的职位。委员会注意到该国政府承诺提高妇女对劳动力市场的参与度并努力尽快收集和交流所要求的资料，委员会要求该国政府确保其下一份报告中载有全面的资料，说明为解决广告和雇用方面的歧视做法采取了哪些措施来解决对男女适于从事的工作的陈规定型观念。委员会还要求该国政府说明家庭事务最高理事会针对阻碍妇女晋升到领导职位的障碍开展的研究的结果，并提供资料说明为解决妇女集中参与特定职业和培训课程的问题而采取的全部措施。</w:t>
      </w:r>
      <w:r>
        <w:rPr>
          <w:sz w:val="21"/>
          <w:szCs w:val="21"/>
          <w:lang w:eastAsia="zh-CN"/>
        </w:rPr>
        <w:t xml:space="preserve"> </w:t>
      </w:r>
    </w:p>
    <w:p w:rsidR="00EC4F68" w:rsidRDefault="00EC4F68" w:rsidP="00EC4F68">
      <w:pPr>
        <w:pStyle w:val="SingleTxtG"/>
        <w:spacing w:after="140" w:line="320" w:lineRule="exact"/>
        <w:ind w:left="1264" w:right="1264"/>
        <w:rPr>
          <w:rFonts w:eastAsia="SimHei"/>
          <w:bCs/>
          <w:sz w:val="21"/>
          <w:szCs w:val="21"/>
          <w:lang w:eastAsia="zh-CN"/>
        </w:rPr>
      </w:pPr>
      <w:r>
        <w:rPr>
          <w:rFonts w:eastAsia="SimHei" w:hint="eastAsia"/>
          <w:bCs/>
          <w:sz w:val="21"/>
          <w:szCs w:val="21"/>
          <w:lang w:eastAsia="zh-CN"/>
        </w:rPr>
        <w:t>塞内加尔</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在劳工组织的相关公约中，塞内加尔已批准第</w:t>
      </w:r>
      <w:r>
        <w:rPr>
          <w:sz w:val="21"/>
          <w:szCs w:val="21"/>
          <w:lang w:eastAsia="zh-CN"/>
        </w:rPr>
        <w:t>100</w:t>
      </w:r>
      <w:r>
        <w:rPr>
          <w:rFonts w:hint="eastAsia"/>
          <w:sz w:val="21"/>
          <w:szCs w:val="21"/>
          <w:lang w:eastAsia="zh-CN"/>
        </w:rPr>
        <w:t>号和第</w:t>
      </w:r>
      <w:r>
        <w:rPr>
          <w:sz w:val="21"/>
          <w:szCs w:val="21"/>
          <w:lang w:eastAsia="zh-CN"/>
        </w:rPr>
        <w:t>111</w:t>
      </w:r>
      <w:r>
        <w:rPr>
          <w:rFonts w:hint="eastAsia"/>
          <w:sz w:val="21"/>
          <w:szCs w:val="21"/>
          <w:lang w:eastAsia="zh-CN"/>
        </w:rPr>
        <w:t>号公约，还批准了第</w:t>
      </w:r>
      <w:r>
        <w:rPr>
          <w:sz w:val="21"/>
          <w:szCs w:val="21"/>
          <w:lang w:eastAsia="zh-CN"/>
        </w:rPr>
        <w:t>29</w:t>
      </w:r>
      <w:r>
        <w:rPr>
          <w:rFonts w:hint="eastAsia"/>
          <w:sz w:val="21"/>
          <w:szCs w:val="21"/>
          <w:lang w:eastAsia="zh-CN"/>
        </w:rPr>
        <w:t>、</w:t>
      </w:r>
      <w:r>
        <w:rPr>
          <w:sz w:val="21"/>
          <w:szCs w:val="21"/>
          <w:lang w:eastAsia="zh-CN"/>
        </w:rPr>
        <w:t>87</w:t>
      </w:r>
      <w:r>
        <w:rPr>
          <w:rFonts w:hint="eastAsia"/>
          <w:sz w:val="21"/>
          <w:szCs w:val="21"/>
          <w:lang w:eastAsia="zh-CN"/>
        </w:rPr>
        <w:t>、</w:t>
      </w:r>
      <w:r>
        <w:rPr>
          <w:sz w:val="21"/>
          <w:szCs w:val="21"/>
          <w:lang w:eastAsia="zh-CN"/>
        </w:rPr>
        <w:t>89</w:t>
      </w:r>
      <w:r>
        <w:rPr>
          <w:rFonts w:hint="eastAsia"/>
          <w:sz w:val="21"/>
          <w:szCs w:val="21"/>
          <w:lang w:eastAsia="zh-CN"/>
        </w:rPr>
        <w:t>、</w:t>
      </w:r>
      <w:r>
        <w:rPr>
          <w:sz w:val="21"/>
          <w:szCs w:val="21"/>
          <w:lang w:eastAsia="zh-CN"/>
        </w:rPr>
        <w:t>98</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122</w:t>
      </w:r>
      <w:r>
        <w:rPr>
          <w:rFonts w:hint="eastAsia"/>
          <w:sz w:val="21"/>
          <w:szCs w:val="21"/>
          <w:lang w:eastAsia="zh-CN"/>
        </w:rPr>
        <w:t>、</w:t>
      </w:r>
      <w:r>
        <w:rPr>
          <w:sz w:val="21"/>
          <w:szCs w:val="21"/>
          <w:lang w:eastAsia="zh-CN"/>
        </w:rPr>
        <w:t>138</w:t>
      </w:r>
      <w:r>
        <w:rPr>
          <w:rFonts w:hint="eastAsia"/>
          <w:sz w:val="21"/>
          <w:szCs w:val="21"/>
          <w:lang w:eastAsia="zh-CN"/>
        </w:rPr>
        <w:t>号和第</w:t>
      </w:r>
      <w:r>
        <w:rPr>
          <w:sz w:val="21"/>
          <w:szCs w:val="21"/>
          <w:lang w:eastAsia="zh-CN"/>
        </w:rPr>
        <w:t>182</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sz w:val="21"/>
          <w:szCs w:val="21"/>
          <w:lang w:eastAsia="zh-CN"/>
        </w:rPr>
      </w:pPr>
      <w:r>
        <w:rPr>
          <w:rFonts w:eastAsia="SimHei" w:hint="eastAsia"/>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w:t>
      </w:r>
    </w:p>
    <w:p w:rsidR="00EC4F68" w:rsidRDefault="00EC4F68" w:rsidP="00EC4F68">
      <w:pPr>
        <w:pStyle w:val="SingleTxtG"/>
        <w:spacing w:after="140" w:line="320" w:lineRule="exact"/>
        <w:ind w:left="1264" w:right="1264"/>
        <w:rPr>
          <w:sz w:val="21"/>
          <w:szCs w:val="21"/>
          <w:lang w:eastAsia="zh-CN"/>
        </w:rPr>
      </w:pPr>
      <w:r>
        <w:rPr>
          <w:rFonts w:eastAsia="KaiTi_GB2312" w:hint="eastAsia"/>
          <w:sz w:val="21"/>
          <w:szCs w:val="21"/>
          <w:lang w:val="en-US"/>
        </w:rPr>
        <w:t>《第</w:t>
      </w:r>
      <w:r>
        <w:rPr>
          <w:rFonts w:eastAsia="KaiTi_GB2312"/>
          <w:sz w:val="21"/>
          <w:szCs w:val="21"/>
        </w:rPr>
        <w:t>1</w:t>
      </w:r>
      <w:r>
        <w:rPr>
          <w:rFonts w:eastAsia="KaiTi_GB2312"/>
          <w:sz w:val="21"/>
          <w:szCs w:val="21"/>
          <w:lang w:eastAsia="zh-CN"/>
        </w:rPr>
        <w:t>00</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2011</w:t>
      </w:r>
      <w:r>
        <w:rPr>
          <w:rFonts w:hint="eastAsia"/>
          <w:sz w:val="21"/>
          <w:szCs w:val="21"/>
          <w:lang w:eastAsia="zh-CN"/>
        </w:rPr>
        <w:t>年的直接要求中，专家委员会忆及，《劳动法》第</w:t>
      </w:r>
      <w:r>
        <w:rPr>
          <w:sz w:val="21"/>
          <w:szCs w:val="21"/>
          <w:lang w:eastAsia="zh-CN"/>
        </w:rPr>
        <w:t>L.105</w:t>
      </w:r>
      <w:r>
        <w:rPr>
          <w:rFonts w:hint="eastAsia"/>
          <w:sz w:val="21"/>
          <w:szCs w:val="21"/>
          <w:lang w:eastAsia="zh-CN"/>
        </w:rPr>
        <w:t>条规定，在同等工作条件、职业资格和成果的情况下，所有工人不论性别都应享有同等工资，但该条没有充分实行《公约》规定的男女同等价值工作同等报酬原则。而且，委员会注意到，《劳动法》第</w:t>
      </w:r>
      <w:r>
        <w:rPr>
          <w:sz w:val="21"/>
          <w:szCs w:val="21"/>
          <w:lang w:eastAsia="zh-CN"/>
        </w:rPr>
        <w:t>L.86</w:t>
      </w:r>
      <w:r>
        <w:rPr>
          <w:rFonts w:hint="eastAsia"/>
          <w:sz w:val="21"/>
          <w:szCs w:val="21"/>
          <w:lang w:eastAsia="zh-CN"/>
        </w:rPr>
        <w:t>（</w:t>
      </w:r>
      <w:r>
        <w:rPr>
          <w:sz w:val="21"/>
          <w:szCs w:val="21"/>
          <w:lang w:eastAsia="zh-CN"/>
        </w:rPr>
        <w:t>7</w:t>
      </w:r>
      <w:r>
        <w:rPr>
          <w:rFonts w:hint="eastAsia"/>
          <w:sz w:val="21"/>
          <w:szCs w:val="21"/>
          <w:lang w:eastAsia="zh-CN"/>
        </w:rPr>
        <w:t>）条规定，集体协议中必须载有关于妇女和年轻人“同工同酬”原则适用程序的条款。委员会要求该国政府采取必要措施，确保将男女同等价值工作同等报酬原则纳入《劳动法》，并相应地修订《劳动法》第</w:t>
      </w:r>
      <w:r>
        <w:rPr>
          <w:sz w:val="21"/>
          <w:szCs w:val="21"/>
          <w:lang w:eastAsia="zh-CN"/>
        </w:rPr>
        <w:t>L.86</w:t>
      </w:r>
      <w:r>
        <w:rPr>
          <w:rFonts w:hint="eastAsia"/>
          <w:sz w:val="21"/>
          <w:szCs w:val="21"/>
          <w:lang w:eastAsia="zh-CN"/>
        </w:rPr>
        <w:t>（</w:t>
      </w:r>
      <w:r>
        <w:rPr>
          <w:sz w:val="21"/>
          <w:szCs w:val="21"/>
          <w:lang w:eastAsia="zh-CN"/>
        </w:rPr>
        <w:t>7</w:t>
      </w:r>
      <w:r>
        <w:rPr>
          <w:rFonts w:hint="eastAsia"/>
          <w:sz w:val="21"/>
          <w:szCs w:val="21"/>
          <w:lang w:eastAsia="zh-CN"/>
        </w:rPr>
        <w:t>）条和第</w:t>
      </w:r>
      <w:r>
        <w:rPr>
          <w:sz w:val="21"/>
          <w:szCs w:val="21"/>
          <w:lang w:eastAsia="zh-CN"/>
        </w:rPr>
        <w:t>L.105</w:t>
      </w:r>
      <w:r>
        <w:rPr>
          <w:rFonts w:hint="eastAsia"/>
          <w:sz w:val="21"/>
          <w:szCs w:val="21"/>
          <w:lang w:eastAsia="zh-CN"/>
        </w:rPr>
        <w:t>条。</w:t>
      </w:r>
      <w:r>
        <w:rPr>
          <w:sz w:val="21"/>
          <w:szCs w:val="21"/>
          <w:lang w:eastAsia="zh-CN"/>
        </w:rPr>
        <w:t xml:space="preserve"> </w:t>
      </w:r>
    </w:p>
    <w:p w:rsidR="00EC4F68" w:rsidRDefault="00EC4F68" w:rsidP="00EC4F68">
      <w:pPr>
        <w:pStyle w:val="SingleTxtG"/>
        <w:spacing w:after="140" w:line="320" w:lineRule="exact"/>
        <w:ind w:left="1264" w:right="1264"/>
        <w:rPr>
          <w:rFonts w:eastAsia="KaiTi_GB2312"/>
          <w:sz w:val="21"/>
          <w:szCs w:val="21"/>
          <w:lang w:eastAsia="zh-CN"/>
        </w:rPr>
      </w:pPr>
      <w:r>
        <w:rPr>
          <w:rFonts w:ascii="Times New Roman" w:eastAsia="KaiTi_GB2312"/>
          <w:szCs w:val="21"/>
          <w:lang w:eastAsia="zh-CN"/>
        </w:rPr>
        <w:br w:type="page"/>
      </w:r>
      <w:r>
        <w:rPr>
          <w:rFonts w:eastAsia="KaiTi_GB2312" w:hint="eastAsia"/>
          <w:sz w:val="21"/>
          <w:szCs w:val="21"/>
          <w:lang w:val="en-US"/>
        </w:rPr>
        <w:t>《第</w:t>
      </w:r>
      <w:r>
        <w:rPr>
          <w:rFonts w:eastAsia="KaiTi_GB2312"/>
          <w:sz w:val="21"/>
          <w:szCs w:val="21"/>
        </w:rPr>
        <w:t>111</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2011</w:t>
      </w:r>
      <w:r>
        <w:rPr>
          <w:rFonts w:hint="eastAsia"/>
          <w:sz w:val="21"/>
          <w:szCs w:val="21"/>
          <w:lang w:eastAsia="zh-CN"/>
        </w:rPr>
        <w:t>年的意见中，专家委员会注意到，在实施《国家性别平等与公平战略》的背景下，《选举名单性别均等法》于</w:t>
      </w:r>
      <w:r>
        <w:rPr>
          <w:sz w:val="21"/>
          <w:szCs w:val="21"/>
          <w:lang w:eastAsia="zh-CN"/>
        </w:rPr>
        <w:t>2010</w:t>
      </w:r>
      <w:r>
        <w:rPr>
          <w:rFonts w:hint="eastAsia"/>
          <w:sz w:val="21"/>
          <w:szCs w:val="21"/>
          <w:lang w:eastAsia="zh-CN"/>
        </w:rPr>
        <w:t>年获得通过。委员会还注意到，</w:t>
      </w:r>
      <w:r>
        <w:rPr>
          <w:sz w:val="21"/>
          <w:szCs w:val="21"/>
          <w:lang w:eastAsia="zh-CN"/>
        </w:rPr>
        <w:t>2009</w:t>
      </w:r>
      <w:r>
        <w:rPr>
          <w:rFonts w:hint="eastAsia"/>
          <w:sz w:val="21"/>
          <w:szCs w:val="21"/>
          <w:lang w:eastAsia="zh-CN"/>
        </w:rPr>
        <w:t>年</w:t>
      </w:r>
      <w:r>
        <w:rPr>
          <w:sz w:val="21"/>
          <w:szCs w:val="21"/>
          <w:lang w:eastAsia="zh-CN"/>
        </w:rPr>
        <w:t>3</w:t>
      </w:r>
      <w:r>
        <w:rPr>
          <w:rFonts w:hint="eastAsia"/>
          <w:sz w:val="21"/>
          <w:szCs w:val="21"/>
          <w:lang w:eastAsia="zh-CN"/>
        </w:rPr>
        <w:t>月通过了实施</w:t>
      </w:r>
      <w:r>
        <w:rPr>
          <w:sz w:val="21"/>
          <w:szCs w:val="21"/>
          <w:lang w:eastAsia="zh-CN"/>
        </w:rPr>
        <w:t>2009-2015</w:t>
      </w:r>
      <w:r>
        <w:rPr>
          <w:rFonts w:hint="eastAsia"/>
          <w:sz w:val="21"/>
          <w:szCs w:val="21"/>
          <w:lang w:eastAsia="zh-CN"/>
        </w:rPr>
        <w:t>年《国家战略》的计划，该计划中包括增加多项妇女经济权力和自主权（效果</w:t>
      </w:r>
      <w:r>
        <w:rPr>
          <w:sz w:val="21"/>
          <w:szCs w:val="21"/>
          <w:lang w:eastAsia="zh-CN"/>
        </w:rPr>
        <w:t>3</w:t>
      </w:r>
      <w:r>
        <w:rPr>
          <w:rFonts w:hint="eastAsia"/>
          <w:sz w:val="21"/>
          <w:szCs w:val="21"/>
          <w:lang w:eastAsia="zh-CN"/>
        </w:rPr>
        <w:t>）的措施，其具体目标包括：</w:t>
      </w:r>
      <w:r>
        <w:rPr>
          <w:sz w:val="21"/>
          <w:szCs w:val="21"/>
          <w:lang w:eastAsia="zh-CN"/>
        </w:rPr>
        <w:t>(a)</w:t>
      </w:r>
      <w:r>
        <w:rPr>
          <w:rFonts w:hint="eastAsia"/>
          <w:sz w:val="21"/>
          <w:szCs w:val="21"/>
          <w:lang w:eastAsia="zh-CN"/>
        </w:rPr>
        <w:t>妇女获得生产要素和财政资源；</w:t>
      </w:r>
      <w:r>
        <w:rPr>
          <w:sz w:val="21"/>
          <w:szCs w:val="21"/>
          <w:lang w:eastAsia="zh-CN"/>
        </w:rPr>
        <w:t>(b)</w:t>
      </w:r>
      <w:r>
        <w:rPr>
          <w:rFonts w:hint="eastAsia"/>
          <w:sz w:val="21"/>
          <w:szCs w:val="21"/>
          <w:lang w:eastAsia="zh-CN"/>
        </w:rPr>
        <w:t>妇女获得进行经济活动所必需的技术和管理技能；</w:t>
      </w:r>
      <w:r>
        <w:rPr>
          <w:sz w:val="21"/>
          <w:szCs w:val="21"/>
          <w:lang w:eastAsia="zh-CN"/>
        </w:rPr>
        <w:t>(c)</w:t>
      </w:r>
      <w:r>
        <w:rPr>
          <w:rFonts w:hint="eastAsia"/>
          <w:sz w:val="21"/>
          <w:szCs w:val="21"/>
          <w:lang w:eastAsia="zh-CN"/>
        </w:rPr>
        <w:t>妇女有更多的时间从事生产活动。在这些措施中，委员会注意到其中首次设想对妇女获得资源和生产要素的情况进行评估，以及对加强积极的妇女的能力的必要性进行评估。委员会还注意到已经设想起草和实施为减轻妇女工作而加强各项设施的计划和方案。委员会要求该国政府提供资料，说明根据《国家性别平等与公平战略》实施与获取资源和生产要素（包括土地和职业培训）有关的措施的情况，并说明这些措施对劳动力市场性别隔离的影响。委员会还要求该国政府提供一切可用的资料，说明为减轻妇女工作而加强各项设施的计划和方案对妇女培训和妇女就业的影响。</w:t>
      </w:r>
      <w:r>
        <w:rPr>
          <w:sz w:val="21"/>
          <w:szCs w:val="21"/>
          <w:lang w:eastAsia="zh-CN"/>
        </w:rPr>
        <w:t xml:space="preserve"> </w:t>
      </w:r>
    </w:p>
    <w:p w:rsidR="00EC4F68" w:rsidRDefault="00EC4F68" w:rsidP="00EC4F68">
      <w:pPr>
        <w:pStyle w:val="SingleTxtG"/>
        <w:spacing w:after="140" w:line="320" w:lineRule="exact"/>
        <w:ind w:left="1264" w:right="1264"/>
        <w:rPr>
          <w:rFonts w:eastAsia="SimHei"/>
          <w:sz w:val="21"/>
          <w:szCs w:val="21"/>
          <w:lang w:eastAsia="zh-CN"/>
        </w:rPr>
      </w:pPr>
      <w:r>
        <w:rPr>
          <w:rFonts w:eastAsia="SimHei" w:hint="eastAsia"/>
          <w:sz w:val="21"/>
          <w:szCs w:val="21"/>
          <w:lang w:eastAsia="zh-CN"/>
        </w:rPr>
        <w:t>塞拉利昂</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在劳工组织的相关公约中，塞拉利昂已批准第</w:t>
      </w:r>
      <w:r>
        <w:rPr>
          <w:sz w:val="21"/>
          <w:szCs w:val="21"/>
          <w:lang w:eastAsia="zh-CN"/>
        </w:rPr>
        <w:t>100</w:t>
      </w:r>
      <w:r>
        <w:rPr>
          <w:rFonts w:hint="eastAsia"/>
          <w:sz w:val="21"/>
          <w:szCs w:val="21"/>
          <w:lang w:eastAsia="zh-CN"/>
        </w:rPr>
        <w:t>号和第</w:t>
      </w:r>
      <w:r>
        <w:rPr>
          <w:sz w:val="21"/>
          <w:szCs w:val="21"/>
          <w:lang w:eastAsia="zh-CN"/>
        </w:rPr>
        <w:t>111</w:t>
      </w:r>
      <w:r>
        <w:rPr>
          <w:rFonts w:hint="eastAsia"/>
          <w:sz w:val="21"/>
          <w:szCs w:val="21"/>
          <w:lang w:eastAsia="zh-CN"/>
        </w:rPr>
        <w:t>号公约，还批准了第</w:t>
      </w:r>
      <w:r>
        <w:rPr>
          <w:sz w:val="21"/>
          <w:szCs w:val="21"/>
          <w:lang w:eastAsia="zh-CN"/>
        </w:rPr>
        <w:t>29</w:t>
      </w:r>
      <w:r>
        <w:rPr>
          <w:rFonts w:hint="eastAsia"/>
          <w:sz w:val="21"/>
          <w:szCs w:val="21"/>
          <w:lang w:eastAsia="zh-CN"/>
        </w:rPr>
        <w:t>、</w:t>
      </w:r>
      <w:r>
        <w:rPr>
          <w:sz w:val="21"/>
          <w:szCs w:val="21"/>
          <w:lang w:eastAsia="zh-CN"/>
        </w:rPr>
        <w:t>87</w:t>
      </w:r>
      <w:r>
        <w:rPr>
          <w:rFonts w:hint="eastAsia"/>
          <w:sz w:val="21"/>
          <w:szCs w:val="21"/>
          <w:lang w:eastAsia="zh-CN"/>
        </w:rPr>
        <w:t>、</w:t>
      </w:r>
      <w:r>
        <w:rPr>
          <w:sz w:val="21"/>
          <w:szCs w:val="21"/>
          <w:lang w:eastAsia="zh-CN"/>
        </w:rPr>
        <w:t>98</w:t>
      </w:r>
      <w:r>
        <w:rPr>
          <w:rFonts w:hint="eastAsia"/>
          <w:sz w:val="21"/>
          <w:szCs w:val="21"/>
          <w:lang w:eastAsia="zh-CN"/>
        </w:rPr>
        <w:t>、</w:t>
      </w:r>
      <w:r>
        <w:rPr>
          <w:sz w:val="21"/>
          <w:szCs w:val="21"/>
          <w:lang w:eastAsia="zh-CN"/>
        </w:rPr>
        <w:t>105</w:t>
      </w:r>
      <w:r>
        <w:rPr>
          <w:rFonts w:hint="eastAsia"/>
          <w:sz w:val="21"/>
          <w:szCs w:val="21"/>
          <w:lang w:eastAsia="zh-CN"/>
        </w:rPr>
        <w:t>、</w:t>
      </w:r>
      <w:r>
        <w:rPr>
          <w:sz w:val="21"/>
          <w:szCs w:val="21"/>
          <w:lang w:eastAsia="zh-CN"/>
        </w:rPr>
        <w:t>122</w:t>
      </w:r>
      <w:r>
        <w:rPr>
          <w:rFonts w:hint="eastAsia"/>
          <w:sz w:val="21"/>
          <w:szCs w:val="21"/>
          <w:lang w:eastAsia="zh-CN"/>
        </w:rPr>
        <w:t>、</w:t>
      </w:r>
      <w:r>
        <w:rPr>
          <w:sz w:val="21"/>
          <w:szCs w:val="21"/>
          <w:lang w:eastAsia="zh-CN"/>
        </w:rPr>
        <w:t>138</w:t>
      </w:r>
      <w:r>
        <w:rPr>
          <w:rFonts w:hint="eastAsia"/>
          <w:sz w:val="21"/>
          <w:szCs w:val="21"/>
          <w:lang w:eastAsia="zh-CN"/>
        </w:rPr>
        <w:t>号和第</w:t>
      </w:r>
      <w:r>
        <w:rPr>
          <w:sz w:val="21"/>
          <w:szCs w:val="21"/>
          <w:lang w:eastAsia="zh-CN"/>
        </w:rPr>
        <w:t>182</w:t>
      </w:r>
      <w:r>
        <w:rPr>
          <w:rFonts w:hint="eastAsia"/>
          <w:sz w:val="21"/>
          <w:szCs w:val="21"/>
          <w:lang w:eastAsia="zh-CN"/>
        </w:rPr>
        <w:t>号公约。</w:t>
      </w:r>
    </w:p>
    <w:p w:rsidR="00EC4F68" w:rsidRDefault="00EC4F68" w:rsidP="00EC4F68">
      <w:pPr>
        <w:pStyle w:val="SingleTxtG"/>
        <w:spacing w:after="140" w:line="320" w:lineRule="exact"/>
        <w:ind w:left="1264" w:right="1264"/>
        <w:rPr>
          <w:rFonts w:eastAsia="SimHei"/>
          <w:sz w:val="21"/>
          <w:szCs w:val="21"/>
          <w:lang w:eastAsia="zh-CN"/>
        </w:rPr>
      </w:pPr>
      <w:r>
        <w:rPr>
          <w:rFonts w:eastAsia="SimHei" w:hint="eastAsia"/>
          <w:sz w:val="21"/>
          <w:szCs w:val="21"/>
          <w:lang w:eastAsia="zh-CN"/>
        </w:rPr>
        <w:t>劳工组织监督机构的评论</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劳工组织专家委员会将就《消除对妇女一切形式歧视公约》有关规定提出的评论意见涉及：</w:t>
      </w:r>
    </w:p>
    <w:p w:rsidR="00EC4F68" w:rsidRDefault="00EC4F68" w:rsidP="00EC4F68">
      <w:pPr>
        <w:pStyle w:val="SingleTxtG"/>
        <w:spacing w:after="140" w:line="320" w:lineRule="exact"/>
        <w:ind w:left="1264" w:right="1264"/>
        <w:rPr>
          <w:rFonts w:eastAsia="KaiTi_GB2312"/>
          <w:sz w:val="21"/>
          <w:szCs w:val="21"/>
          <w:lang w:eastAsia="zh-CN"/>
        </w:rPr>
      </w:pPr>
      <w:r>
        <w:rPr>
          <w:rFonts w:eastAsia="KaiTi_GB2312" w:hint="eastAsia"/>
          <w:sz w:val="21"/>
          <w:szCs w:val="21"/>
          <w:lang w:eastAsia="zh-CN"/>
        </w:rPr>
        <w:t>《第</w:t>
      </w:r>
      <w:r>
        <w:rPr>
          <w:rFonts w:eastAsia="KaiTi_GB2312"/>
          <w:sz w:val="21"/>
          <w:szCs w:val="21"/>
          <w:lang w:eastAsia="zh-CN"/>
        </w:rPr>
        <w:t>100</w:t>
      </w:r>
      <w:r>
        <w:rPr>
          <w:rFonts w:eastAsia="KaiTi_GB2312" w:hint="eastAsia"/>
          <w:sz w:val="21"/>
          <w:szCs w:val="21"/>
          <w:lang w:eastAsia="zh-CN"/>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2011</w:t>
      </w:r>
      <w:r>
        <w:rPr>
          <w:rFonts w:hint="eastAsia"/>
          <w:sz w:val="21"/>
          <w:szCs w:val="21"/>
          <w:lang w:eastAsia="zh-CN"/>
        </w:rPr>
        <w:t>年的直接要求中，专家委员会遗憾地注意到没有收到该国政府的报告，并重申委员会以往的要求。委员会在该国政府的报告中注意到，由于结构性困难和缺乏能力，在劳工组织的援助下拟订的《就业法》草案仍未最终定稿。该国政府还表示，同样的困难还阻碍了政府收集数据、编写调查报告以及进行全国工作评估。</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该国政府被要求继续提供关于以下措施的资料：</w:t>
      </w:r>
      <w:r>
        <w:rPr>
          <w:sz w:val="21"/>
          <w:szCs w:val="21"/>
          <w:lang w:eastAsia="zh-CN"/>
        </w:rPr>
        <w:t>(a)</w:t>
      </w:r>
      <w:r>
        <w:rPr>
          <w:rFonts w:hint="eastAsia"/>
          <w:sz w:val="21"/>
          <w:szCs w:val="21"/>
          <w:lang w:eastAsia="zh-CN"/>
        </w:rPr>
        <w:t>最终完成正在进行的立法改革，包括男女同等价值工作同酬原则在内；</w:t>
      </w:r>
      <w:r>
        <w:rPr>
          <w:sz w:val="21"/>
          <w:szCs w:val="21"/>
          <w:lang w:eastAsia="zh-CN"/>
        </w:rPr>
        <w:t>(b)</w:t>
      </w:r>
      <w:r>
        <w:rPr>
          <w:rFonts w:hint="eastAsia"/>
          <w:sz w:val="21"/>
          <w:szCs w:val="21"/>
          <w:lang w:eastAsia="zh-CN"/>
        </w:rPr>
        <w:t>促进基于工作表现对工作进行客观评价；</w:t>
      </w:r>
      <w:r>
        <w:rPr>
          <w:sz w:val="21"/>
          <w:szCs w:val="21"/>
          <w:lang w:eastAsia="zh-CN"/>
        </w:rPr>
        <w:t>(c)</w:t>
      </w:r>
      <w:r>
        <w:rPr>
          <w:rFonts w:hint="eastAsia"/>
          <w:sz w:val="21"/>
          <w:szCs w:val="21"/>
          <w:lang w:eastAsia="zh-CN"/>
        </w:rPr>
        <w:t>通过数据收集、研究和调查来评估《公约》在该国的适用现状。</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专家委员会已收到该国政府的最新报告并在</w:t>
      </w:r>
      <w:r>
        <w:rPr>
          <w:sz w:val="21"/>
          <w:szCs w:val="21"/>
          <w:lang w:eastAsia="zh-CN"/>
        </w:rPr>
        <w:t>2013</w:t>
      </w:r>
      <w:r>
        <w:rPr>
          <w:rFonts w:hint="eastAsia"/>
          <w:sz w:val="21"/>
          <w:szCs w:val="21"/>
          <w:lang w:eastAsia="zh-CN"/>
        </w:rPr>
        <w:t>年</w:t>
      </w:r>
      <w:r>
        <w:rPr>
          <w:sz w:val="21"/>
          <w:szCs w:val="21"/>
          <w:lang w:eastAsia="zh-CN"/>
        </w:rPr>
        <w:t>11</w:t>
      </w:r>
      <w:r>
        <w:rPr>
          <w:rFonts w:hint="eastAsia"/>
          <w:sz w:val="21"/>
          <w:szCs w:val="21"/>
          <w:lang w:eastAsia="zh-CN"/>
        </w:rPr>
        <w:t>月至</w:t>
      </w:r>
      <w:r>
        <w:rPr>
          <w:sz w:val="21"/>
          <w:szCs w:val="21"/>
          <w:lang w:eastAsia="zh-CN"/>
        </w:rPr>
        <w:t>12</w:t>
      </w:r>
      <w:r>
        <w:rPr>
          <w:rFonts w:hint="eastAsia"/>
          <w:sz w:val="21"/>
          <w:szCs w:val="21"/>
          <w:lang w:eastAsia="zh-CN"/>
        </w:rPr>
        <w:t>月的届会期间进行了审查。</w:t>
      </w:r>
    </w:p>
    <w:p w:rsidR="00EC4F68" w:rsidRDefault="00EC4F68" w:rsidP="00EC4F68">
      <w:pPr>
        <w:pStyle w:val="SingleTxtG"/>
        <w:spacing w:after="140" w:line="320" w:lineRule="exact"/>
        <w:ind w:left="1264" w:right="1264"/>
        <w:rPr>
          <w:rFonts w:eastAsia="KaiTi_GB2312"/>
          <w:sz w:val="21"/>
          <w:szCs w:val="21"/>
          <w:lang w:eastAsia="zh-CN"/>
        </w:rPr>
      </w:pPr>
      <w:r>
        <w:rPr>
          <w:rFonts w:ascii="Times New Roman" w:eastAsia="KaiTi_GB2312"/>
          <w:szCs w:val="21"/>
          <w:lang w:eastAsia="zh-CN"/>
        </w:rPr>
        <w:br w:type="page"/>
      </w:r>
      <w:r>
        <w:rPr>
          <w:rFonts w:eastAsia="KaiTi_GB2312" w:hint="eastAsia"/>
          <w:sz w:val="21"/>
          <w:szCs w:val="21"/>
          <w:lang w:val="en-US"/>
        </w:rPr>
        <w:t>《第</w:t>
      </w:r>
      <w:r>
        <w:rPr>
          <w:rFonts w:eastAsia="KaiTi_GB2312"/>
          <w:sz w:val="21"/>
          <w:szCs w:val="21"/>
        </w:rPr>
        <w:t>111</w:t>
      </w:r>
      <w:r>
        <w:rPr>
          <w:rFonts w:eastAsia="KaiTi_GB2312" w:hint="eastAsia"/>
          <w:sz w:val="21"/>
          <w:szCs w:val="21"/>
          <w:lang w:val="en-US"/>
        </w:rPr>
        <w:t>号公约》</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在其</w:t>
      </w:r>
      <w:r>
        <w:rPr>
          <w:sz w:val="21"/>
          <w:szCs w:val="21"/>
          <w:lang w:eastAsia="zh-CN"/>
        </w:rPr>
        <w:t>2011</w:t>
      </w:r>
      <w:r>
        <w:rPr>
          <w:rFonts w:hint="eastAsia"/>
          <w:sz w:val="21"/>
          <w:szCs w:val="21"/>
          <w:lang w:eastAsia="zh-CN"/>
        </w:rPr>
        <w:t>年的意见中，专家委员会遗憾地注意到并未收到该国政府的报告。因此，委员会重申其以往的意见，并忆及根据《公约》，塞拉利昂有义务宣布并执行在就业和职业方面促进机会与待遇平等的国家政策，以期消除职业培训、获得就业和特定职业以及就业条件方面的歧视。</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委员会忆及，</w:t>
      </w:r>
      <w:r>
        <w:rPr>
          <w:sz w:val="21"/>
          <w:szCs w:val="21"/>
          <w:lang w:eastAsia="zh-CN"/>
        </w:rPr>
        <w:t>1991</w:t>
      </w:r>
      <w:r>
        <w:rPr>
          <w:rFonts w:hint="eastAsia"/>
          <w:sz w:val="21"/>
          <w:szCs w:val="21"/>
          <w:lang w:eastAsia="zh-CN"/>
        </w:rPr>
        <w:t>年《宪法》第</w:t>
      </w:r>
      <w:r>
        <w:rPr>
          <w:sz w:val="21"/>
          <w:szCs w:val="21"/>
          <w:lang w:eastAsia="zh-CN"/>
        </w:rPr>
        <w:t>7</w:t>
      </w:r>
      <w:r>
        <w:rPr>
          <w:rFonts w:hint="eastAsia"/>
          <w:sz w:val="21"/>
          <w:szCs w:val="21"/>
          <w:lang w:eastAsia="zh-CN"/>
        </w:rPr>
        <w:t>条至第</w:t>
      </w:r>
      <w:r>
        <w:rPr>
          <w:sz w:val="21"/>
          <w:szCs w:val="21"/>
          <w:lang w:eastAsia="zh-CN"/>
        </w:rPr>
        <w:t>9</w:t>
      </w:r>
      <w:r>
        <w:rPr>
          <w:rFonts w:hint="eastAsia"/>
          <w:sz w:val="21"/>
          <w:szCs w:val="21"/>
          <w:lang w:eastAsia="zh-CN"/>
        </w:rPr>
        <w:t>条确定了国家的经济、社会和教育目标，有可能促进《公约》的实施。《宪法》第</w:t>
      </w:r>
      <w:r>
        <w:rPr>
          <w:sz w:val="21"/>
          <w:szCs w:val="21"/>
          <w:lang w:eastAsia="zh-CN"/>
        </w:rPr>
        <w:t>15</w:t>
      </w:r>
      <w:r>
        <w:rPr>
          <w:rFonts w:hint="eastAsia"/>
          <w:sz w:val="21"/>
          <w:szCs w:val="21"/>
          <w:lang w:eastAsia="zh-CN"/>
        </w:rPr>
        <w:t>条保证受法律平等保护的权利，不论种族、部落、出身地、政治见解、肤色、宗教信仰或性别，第</w:t>
      </w:r>
      <w:r>
        <w:rPr>
          <w:sz w:val="21"/>
          <w:szCs w:val="21"/>
          <w:lang w:eastAsia="zh-CN"/>
        </w:rPr>
        <w:t>27</w:t>
      </w:r>
      <w:r>
        <w:rPr>
          <w:rFonts w:hint="eastAsia"/>
          <w:sz w:val="21"/>
          <w:szCs w:val="21"/>
          <w:lang w:eastAsia="zh-CN"/>
        </w:rPr>
        <w:t>条规定了针对歧视的宪法保护。委员会认为这些条款或许是符合《公约》的国家平等政策的重要组成部分；肯定平等和不歧视原则的条款本身并不能构成这种政策。</w:t>
      </w:r>
      <w:r>
        <w:rPr>
          <w:sz w:val="21"/>
          <w:szCs w:val="21"/>
          <w:lang w:eastAsia="zh-CN"/>
        </w:rPr>
        <w:t xml:space="preserve"> </w:t>
      </w:r>
    </w:p>
    <w:p w:rsidR="00EC4F68" w:rsidRDefault="00EC4F68" w:rsidP="00EC4F68">
      <w:pPr>
        <w:pStyle w:val="SingleTxtG"/>
        <w:numPr>
          <w:ilvl w:val="0"/>
          <w:numId w:val="2"/>
        </w:numPr>
        <w:spacing w:after="140" w:line="320" w:lineRule="exact"/>
        <w:ind w:left="1264" w:right="1264" w:firstLine="0"/>
        <w:rPr>
          <w:sz w:val="21"/>
          <w:szCs w:val="21"/>
          <w:lang w:eastAsia="zh-CN"/>
        </w:rPr>
      </w:pPr>
      <w:r>
        <w:rPr>
          <w:rFonts w:hint="eastAsia"/>
          <w:sz w:val="21"/>
          <w:szCs w:val="21"/>
          <w:lang w:eastAsia="zh-CN"/>
        </w:rPr>
        <w:t>尽管认识到政府在巩固和平的过程中面临许多挑战，但委员会鼓励该国政府认真考虑把在法律和实践中实施《公约》作为其促进和平与社会经济稳定的努力的不可分割的组成部分。要求该国政府提供资料，说明为促进和确保平等获得技术和职业培训、公共和私营就业以及平等就业条件而采取的或设想的措施。委员会希望该国政府做出一切努力，在不久的将来采取必要行动。</w:t>
      </w:r>
    </w:p>
    <w:p w:rsidR="00EC4F68" w:rsidRDefault="00EC4F68" w:rsidP="00EC4F68">
      <w:pPr>
        <w:pStyle w:val="SingleTxtG"/>
        <w:numPr>
          <w:ilvl w:val="0"/>
          <w:numId w:val="2"/>
        </w:numPr>
        <w:spacing w:after="140" w:line="320" w:lineRule="exact"/>
        <w:ind w:left="1264" w:right="1264" w:firstLine="0"/>
        <w:rPr>
          <w:rFonts w:eastAsia="KaiTi_GB2312"/>
          <w:sz w:val="21"/>
          <w:szCs w:val="21"/>
          <w:lang w:val="de-DE" w:eastAsia="zh-CN"/>
        </w:rPr>
      </w:pPr>
      <w:r>
        <w:rPr>
          <w:rFonts w:hint="eastAsia"/>
          <w:sz w:val="21"/>
          <w:szCs w:val="21"/>
          <w:lang w:eastAsia="zh-CN"/>
        </w:rPr>
        <w:t>专家委员会已收到该国政府的最新报告并在</w:t>
      </w:r>
      <w:r>
        <w:rPr>
          <w:sz w:val="21"/>
          <w:szCs w:val="21"/>
          <w:lang w:eastAsia="zh-CN"/>
        </w:rPr>
        <w:t>2013</w:t>
      </w:r>
      <w:r>
        <w:rPr>
          <w:rFonts w:hint="eastAsia"/>
          <w:sz w:val="21"/>
          <w:szCs w:val="21"/>
          <w:lang w:eastAsia="zh-CN"/>
        </w:rPr>
        <w:t>年</w:t>
      </w:r>
      <w:r>
        <w:rPr>
          <w:sz w:val="21"/>
          <w:szCs w:val="21"/>
          <w:lang w:eastAsia="zh-CN"/>
        </w:rPr>
        <w:t>11</w:t>
      </w:r>
      <w:r>
        <w:rPr>
          <w:rFonts w:hint="eastAsia"/>
          <w:sz w:val="21"/>
          <w:szCs w:val="21"/>
          <w:lang w:eastAsia="zh-CN"/>
        </w:rPr>
        <w:t>月至</w:t>
      </w:r>
      <w:r>
        <w:rPr>
          <w:sz w:val="21"/>
          <w:szCs w:val="21"/>
          <w:lang w:eastAsia="zh-CN"/>
        </w:rPr>
        <w:t>12</w:t>
      </w:r>
      <w:r>
        <w:rPr>
          <w:rFonts w:hint="eastAsia"/>
          <w:sz w:val="21"/>
          <w:szCs w:val="21"/>
          <w:lang w:eastAsia="zh-CN"/>
        </w:rPr>
        <w:t>月的届会期间进行了审查。</w:t>
      </w:r>
    </w:p>
    <w:p w:rsidR="00EC4F68" w:rsidRDefault="00EC4F68" w:rsidP="00EC4F68">
      <w:pPr>
        <w:pStyle w:val="SingleTxtG"/>
        <w:spacing w:after="140" w:line="320" w:lineRule="exact"/>
        <w:ind w:left="1264" w:right="1264"/>
        <w:rPr>
          <w:rFonts w:eastAsia="KaiTi_GB2312"/>
          <w:sz w:val="21"/>
          <w:szCs w:val="21"/>
          <w:lang w:val="de-DE" w:eastAsia="zh-CN"/>
        </w:rPr>
      </w:pPr>
      <w:r>
        <w:rPr>
          <w:rFonts w:eastAsia="KaiTi_GB2312" w:hint="eastAsia"/>
          <w:sz w:val="21"/>
          <w:szCs w:val="21"/>
          <w:lang w:eastAsia="zh-CN"/>
        </w:rPr>
        <w:t>补充资料</w:t>
      </w:r>
    </w:p>
    <w:p w:rsidR="00EC4F68" w:rsidRDefault="00EC4F68" w:rsidP="00EC4F68">
      <w:pPr>
        <w:pStyle w:val="SingleTxtG"/>
        <w:numPr>
          <w:ilvl w:val="0"/>
          <w:numId w:val="2"/>
        </w:numPr>
        <w:spacing w:after="140" w:line="320" w:lineRule="exact"/>
        <w:ind w:left="1264" w:right="1264" w:firstLine="0"/>
        <w:rPr>
          <w:sz w:val="21"/>
          <w:szCs w:val="21"/>
          <w:lang w:val="de-DE" w:eastAsia="zh-CN"/>
        </w:rPr>
      </w:pPr>
      <w:r>
        <w:rPr>
          <w:sz w:val="21"/>
          <w:szCs w:val="21"/>
          <w:lang w:val="de-DE" w:eastAsia="zh-CN"/>
        </w:rPr>
        <w:t>2013</w:t>
      </w:r>
      <w:r>
        <w:rPr>
          <w:rFonts w:hint="eastAsia"/>
          <w:sz w:val="21"/>
          <w:szCs w:val="21"/>
          <w:lang w:val="de-DE" w:eastAsia="zh-CN"/>
        </w:rPr>
        <w:t>年</w:t>
      </w:r>
      <w:r>
        <w:rPr>
          <w:sz w:val="21"/>
          <w:szCs w:val="21"/>
          <w:lang w:val="de-DE" w:eastAsia="zh-CN"/>
        </w:rPr>
        <w:t>10</w:t>
      </w:r>
      <w:r>
        <w:rPr>
          <w:rFonts w:hint="eastAsia"/>
          <w:sz w:val="21"/>
          <w:szCs w:val="21"/>
          <w:lang w:val="de-DE" w:eastAsia="zh-CN"/>
        </w:rPr>
        <w:t>月，劳工组织的治理与三方机制部发布了一份探讨问题的文件，题为“塞拉利昂劳动法改革范围评估”。</w:t>
      </w:r>
    </w:p>
    <w:p w:rsidR="00EC4F68" w:rsidRDefault="00EC4F68" w:rsidP="00EC4F68">
      <w:pPr>
        <w:pStyle w:val="SingleTxt"/>
        <w:rPr>
          <w:rFonts w:ascii="Times New Roman"/>
          <w:szCs w:val="21"/>
        </w:rPr>
      </w:pPr>
      <w:r>
        <w:pict>
          <v:line id="_x0000_s1028" style="position:absolute;left:0;text-align:left;z-index:3;mso-position-horizontal:center" from="0,30pt" to="1in,30pt" strokeweight=".25pt"/>
        </w:pict>
      </w:r>
    </w:p>
    <w:p w:rsidR="00EA31C3" w:rsidRPr="00EC4F68" w:rsidRDefault="00EA31C3" w:rsidP="00B775AC">
      <w:pPr>
        <w:pStyle w:val="SingleTxt"/>
        <w:rPr>
          <w:rFonts w:hint="eastAsia"/>
        </w:rPr>
      </w:pPr>
    </w:p>
    <w:sectPr w:rsidR="00EA31C3" w:rsidRPr="00EC4F68" w:rsidSect="00B775A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21T13:04:00Z" w:initials="Start">
    <w:p w:rsidR="000761D7" w:rsidRDefault="000761D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NO&gt;&gt;N1362901C&lt;&lt;ODS JOB NO&gt;&gt;</w:t>
      </w:r>
    </w:p>
    <w:p w:rsidR="000761D7" w:rsidRDefault="000761D7">
      <w:pPr>
        <w:pStyle w:val="CommentText"/>
      </w:pPr>
      <w:r>
        <w:t>&lt;&lt;ODS DOC SYMBOL1&gt;&gt;CEDAW/C/57/3&lt;&lt;ODS DOC SYMBOL1&gt;&gt;</w:t>
      </w:r>
    </w:p>
    <w:p w:rsidR="000761D7" w:rsidRDefault="000761D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1D7" w:rsidRDefault="000761D7">
      <w:r>
        <w:separator/>
      </w:r>
    </w:p>
  </w:endnote>
  <w:endnote w:type="continuationSeparator" w:id="0">
    <w:p w:rsidR="000761D7" w:rsidRDefault="000761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761D7" w:rsidTr="00B775AC">
      <w:tblPrEx>
        <w:tblCellMar>
          <w:top w:w="0" w:type="dxa"/>
          <w:bottom w:w="0" w:type="dxa"/>
        </w:tblCellMar>
      </w:tblPrEx>
      <w:tc>
        <w:tcPr>
          <w:tcW w:w="5033" w:type="dxa"/>
          <w:shd w:val="clear" w:color="auto" w:fill="auto"/>
        </w:tcPr>
        <w:p w:rsidR="000761D7" w:rsidRPr="00B775AC" w:rsidRDefault="000761D7" w:rsidP="00B775AC">
          <w:pPr>
            <w:pStyle w:val="Footer"/>
            <w:jc w:val="right"/>
            <w:rPr>
              <w:b w:val="0"/>
              <w:w w:val="103"/>
              <w:sz w:val="14"/>
            </w:rPr>
          </w:pPr>
          <w:fldSimple w:instr=" DOCVARIABLE &quot;FooterJN&quot; \* MERGEFORMAT ">
            <w:r>
              <w:rPr>
                <w:b w:val="0"/>
                <w:w w:val="103"/>
                <w:sz w:val="14"/>
              </w:rPr>
              <w:t>13-62901 (C)</w:t>
            </w:r>
          </w:fldSimple>
        </w:p>
      </w:tc>
      <w:tc>
        <w:tcPr>
          <w:tcW w:w="5033" w:type="dxa"/>
          <w:shd w:val="clear" w:color="auto" w:fill="auto"/>
        </w:tcPr>
        <w:p w:rsidR="000761D7" w:rsidRPr="00B775AC" w:rsidRDefault="000761D7" w:rsidP="00B775AC">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16</w:t>
          </w:r>
          <w:r>
            <w:rPr>
              <w:w w:val="103"/>
            </w:rPr>
            <w:fldChar w:fldCharType="end"/>
          </w:r>
          <w:r>
            <w:rPr>
              <w:w w:val="103"/>
            </w:rPr>
            <w:t>/</w:t>
          </w:r>
          <w:fldSimple w:instr=" NUMPAGES  \* Arabic  \* MERGEFORMAT ">
            <w:r>
              <w:rPr>
                <w:w w:val="103"/>
              </w:rPr>
              <w:t>16</w:t>
            </w:r>
          </w:fldSimple>
        </w:p>
      </w:tc>
    </w:tr>
  </w:tbl>
  <w:p w:rsidR="000761D7" w:rsidRPr="00B775AC" w:rsidRDefault="000761D7" w:rsidP="00B775A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761D7" w:rsidTr="00B775AC">
      <w:tblPrEx>
        <w:tblCellMar>
          <w:top w:w="0" w:type="dxa"/>
          <w:bottom w:w="0" w:type="dxa"/>
        </w:tblCellMar>
      </w:tblPrEx>
      <w:tc>
        <w:tcPr>
          <w:tcW w:w="5033" w:type="dxa"/>
          <w:shd w:val="clear" w:color="auto" w:fill="auto"/>
        </w:tcPr>
        <w:p w:rsidR="000761D7" w:rsidRPr="00B775AC" w:rsidRDefault="000761D7" w:rsidP="00B775AC">
          <w:pPr>
            <w:pStyle w:val="Footer"/>
            <w:jc w:val="right"/>
          </w:pPr>
          <w:fldSimple w:instr=" PAGE  \* Arabic  \* MERGEFORMAT ">
            <w:r>
              <w:t>16</w:t>
            </w:r>
          </w:fldSimple>
          <w:r>
            <w:t>/</w:t>
          </w:r>
          <w:fldSimple w:instr=" NUMPAGES  \* Arabic  \* MERGEFORMAT ">
            <w:r>
              <w:t>16</w:t>
            </w:r>
          </w:fldSimple>
        </w:p>
      </w:tc>
      <w:tc>
        <w:tcPr>
          <w:tcW w:w="5033" w:type="dxa"/>
          <w:shd w:val="clear" w:color="auto" w:fill="auto"/>
        </w:tcPr>
        <w:p w:rsidR="000761D7" w:rsidRPr="00B775AC" w:rsidRDefault="000761D7" w:rsidP="00B775AC">
          <w:pPr>
            <w:pStyle w:val="Footer"/>
            <w:jc w:val="left"/>
            <w:rPr>
              <w:b w:val="0"/>
              <w:w w:val="103"/>
              <w:sz w:val="14"/>
            </w:rPr>
          </w:pPr>
          <w:fldSimple w:instr=" DOCVARIABLE &quot;FooterJN&quot; \* MERGEFORMAT ">
            <w:r>
              <w:rPr>
                <w:b w:val="0"/>
                <w:w w:val="103"/>
                <w:sz w:val="14"/>
              </w:rPr>
              <w:t>13-62901 (C)</w:t>
            </w:r>
          </w:fldSimple>
        </w:p>
      </w:tc>
    </w:tr>
  </w:tbl>
  <w:p w:rsidR="000761D7" w:rsidRPr="00B775AC" w:rsidRDefault="000761D7" w:rsidP="00B775A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761D7" w:rsidTr="00B775AC">
      <w:tblPrEx>
        <w:tblCellMar>
          <w:top w:w="0" w:type="dxa"/>
          <w:bottom w:w="0" w:type="dxa"/>
        </w:tblCellMar>
      </w:tblPrEx>
      <w:tc>
        <w:tcPr>
          <w:tcW w:w="5033" w:type="dxa"/>
        </w:tcPr>
        <w:p w:rsidR="000761D7" w:rsidRDefault="000761D7" w:rsidP="00B775AC">
          <w:pPr>
            <w:pStyle w:val="Footer"/>
            <w:rPr>
              <w:b w:val="0"/>
              <w:sz w:val="21"/>
            </w:rPr>
          </w:pPr>
          <w:r w:rsidRPr="00EC4F68">
            <w:rPr>
              <w:b w:val="0"/>
              <w:sz w:val="21"/>
            </w:rPr>
            <w:t xml:space="preserve">13-62901 </w:t>
          </w:r>
          <w:r>
            <w:rPr>
              <w:rFonts w:hint="eastAsia"/>
              <w:b w:val="0"/>
              <w:sz w:val="21"/>
            </w:rPr>
            <w:t xml:space="preserve">X </w:t>
          </w:r>
          <w:r w:rsidRPr="00EC4F68">
            <w:rPr>
              <w:b w:val="0"/>
              <w:sz w:val="21"/>
            </w:rPr>
            <w:t>(C)</w:t>
          </w:r>
          <w:r>
            <w:rPr>
              <w:b w:val="0"/>
              <w:sz w:val="21"/>
            </w:rPr>
            <w:t xml:space="preserve">    2</w:t>
          </w:r>
          <w:r>
            <w:rPr>
              <w:rFonts w:hint="eastAsia"/>
              <w:b w:val="0"/>
              <w:sz w:val="21"/>
            </w:rPr>
            <w:t>0</w:t>
          </w:r>
          <w:r>
            <w:rPr>
              <w:b w:val="0"/>
              <w:sz w:val="21"/>
            </w:rPr>
            <w:t>0114    210114</w:t>
          </w:r>
        </w:p>
        <w:p w:rsidR="000761D7" w:rsidRPr="00B775AC" w:rsidRDefault="000761D7" w:rsidP="00B775AC">
          <w:pPr>
            <w:spacing w:before="80" w:line="210" w:lineRule="exact"/>
            <w:rPr>
              <w:rFonts w:ascii="Barcode 3 of 9 by request" w:hAnsi="Barcode 3 of 9 by request"/>
              <w:sz w:val="24"/>
            </w:rPr>
          </w:pPr>
          <w:r>
            <w:rPr>
              <w:rFonts w:ascii="Barcode 3 of 9 by request" w:hAnsi="Barcode 3 of 9 by request"/>
              <w:sz w:val="24"/>
            </w:rPr>
            <w:t>*1362901*</w:t>
          </w:r>
        </w:p>
      </w:tc>
      <w:tc>
        <w:tcPr>
          <w:tcW w:w="3686" w:type="dxa"/>
        </w:tcPr>
        <w:p w:rsidR="000761D7" w:rsidRDefault="000761D7" w:rsidP="00B775AC">
          <w:pPr>
            <w:pStyle w:val="Footer"/>
            <w:jc w:val="right"/>
            <w:rPr>
              <w:b w:val="0"/>
              <w:sz w:val="21"/>
            </w:rPr>
          </w:pPr>
          <w:r w:rsidRPr="00B775A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761D7" w:rsidRPr="00B775AC" w:rsidRDefault="000761D7" w:rsidP="00B775A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1D7" w:rsidRDefault="000761D7">
      <w:r>
        <w:separator/>
      </w:r>
    </w:p>
  </w:footnote>
  <w:footnote w:type="continuationSeparator" w:id="0">
    <w:p w:rsidR="000761D7" w:rsidRDefault="000761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761D7" w:rsidTr="00B775AC">
      <w:tblPrEx>
        <w:tblCellMar>
          <w:top w:w="0" w:type="dxa"/>
          <w:bottom w:w="0" w:type="dxa"/>
        </w:tblCellMar>
      </w:tblPrEx>
      <w:trPr>
        <w:trHeight w:hRule="exact" w:val="864"/>
      </w:trPr>
      <w:tc>
        <w:tcPr>
          <w:tcW w:w="4838" w:type="dxa"/>
          <w:shd w:val="clear" w:color="auto" w:fill="auto"/>
          <w:vAlign w:val="bottom"/>
        </w:tcPr>
        <w:p w:rsidR="000761D7" w:rsidRPr="00B775AC" w:rsidRDefault="000761D7" w:rsidP="00B775AC">
          <w:pPr>
            <w:pStyle w:val="Header"/>
            <w:spacing w:after="80"/>
            <w:jc w:val="left"/>
            <w:rPr>
              <w:b/>
              <w:sz w:val="17"/>
            </w:rPr>
          </w:pPr>
          <w:fldSimple w:instr=" DOCVARIABLE &quot;sss1&quot; \* MERGEFORMAT ">
            <w:r>
              <w:rPr>
                <w:b/>
                <w:sz w:val="17"/>
              </w:rPr>
              <w:t>CEDAW/C/57/3</w:t>
            </w:r>
          </w:fldSimple>
        </w:p>
      </w:tc>
      <w:tc>
        <w:tcPr>
          <w:tcW w:w="5033" w:type="dxa"/>
          <w:shd w:val="clear" w:color="auto" w:fill="auto"/>
          <w:vAlign w:val="bottom"/>
        </w:tcPr>
        <w:p w:rsidR="000761D7" w:rsidRDefault="000761D7" w:rsidP="00B775AC">
          <w:pPr>
            <w:pStyle w:val="Header"/>
          </w:pPr>
        </w:p>
      </w:tc>
    </w:tr>
  </w:tbl>
  <w:p w:rsidR="000761D7" w:rsidRPr="00B775AC" w:rsidRDefault="000761D7" w:rsidP="00B775A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761D7" w:rsidTr="00B775AC">
      <w:tblPrEx>
        <w:tblCellMar>
          <w:top w:w="0" w:type="dxa"/>
          <w:bottom w:w="0" w:type="dxa"/>
        </w:tblCellMar>
      </w:tblPrEx>
      <w:trPr>
        <w:trHeight w:hRule="exact" w:val="864"/>
      </w:trPr>
      <w:tc>
        <w:tcPr>
          <w:tcW w:w="4838" w:type="dxa"/>
          <w:shd w:val="clear" w:color="auto" w:fill="auto"/>
          <w:vAlign w:val="bottom"/>
        </w:tcPr>
        <w:p w:rsidR="000761D7" w:rsidRDefault="000761D7" w:rsidP="00B775AC">
          <w:pPr>
            <w:pStyle w:val="Header"/>
          </w:pPr>
        </w:p>
      </w:tc>
      <w:tc>
        <w:tcPr>
          <w:tcW w:w="5033" w:type="dxa"/>
          <w:shd w:val="clear" w:color="auto" w:fill="auto"/>
          <w:vAlign w:val="bottom"/>
        </w:tcPr>
        <w:p w:rsidR="000761D7" w:rsidRPr="00B775AC" w:rsidRDefault="000761D7" w:rsidP="00B775AC">
          <w:pPr>
            <w:pStyle w:val="Header"/>
            <w:spacing w:after="80"/>
            <w:jc w:val="right"/>
            <w:rPr>
              <w:b/>
              <w:sz w:val="17"/>
            </w:rPr>
          </w:pPr>
          <w:fldSimple w:instr=" DOCVARIABLE &quot;sss1&quot; \* MERGEFORMAT ">
            <w:r>
              <w:rPr>
                <w:b/>
                <w:sz w:val="17"/>
              </w:rPr>
              <w:t>CEDAW/C/57/3</w:t>
            </w:r>
          </w:fldSimple>
        </w:p>
      </w:tc>
    </w:tr>
  </w:tbl>
  <w:p w:rsidR="000761D7" w:rsidRPr="00B775AC" w:rsidRDefault="000761D7" w:rsidP="00B775A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761D7" w:rsidTr="00B775A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61D7" w:rsidRDefault="000761D7" w:rsidP="00B775AC">
          <w:pPr>
            <w:pStyle w:val="Header"/>
            <w:spacing w:after="120"/>
          </w:pPr>
        </w:p>
      </w:tc>
      <w:tc>
        <w:tcPr>
          <w:tcW w:w="1872" w:type="dxa"/>
          <w:tcBorders>
            <w:bottom w:val="single" w:sz="4" w:space="0" w:color="auto"/>
          </w:tcBorders>
          <w:shd w:val="clear" w:color="auto" w:fill="auto"/>
          <w:vAlign w:val="bottom"/>
        </w:tcPr>
        <w:p w:rsidR="000761D7" w:rsidRPr="00B775AC" w:rsidRDefault="000761D7" w:rsidP="00B775A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761D7" w:rsidRDefault="000761D7" w:rsidP="00B775AC">
          <w:pPr>
            <w:pStyle w:val="Header"/>
            <w:spacing w:after="120"/>
          </w:pPr>
        </w:p>
      </w:tc>
      <w:tc>
        <w:tcPr>
          <w:tcW w:w="6523" w:type="dxa"/>
          <w:gridSpan w:val="3"/>
          <w:tcBorders>
            <w:bottom w:val="single" w:sz="4" w:space="0" w:color="auto"/>
          </w:tcBorders>
          <w:shd w:val="clear" w:color="auto" w:fill="auto"/>
          <w:vAlign w:val="bottom"/>
        </w:tcPr>
        <w:p w:rsidR="000761D7" w:rsidRPr="00B775AC" w:rsidRDefault="000761D7" w:rsidP="00B775AC">
          <w:pPr>
            <w:spacing w:after="80" w:line="240" w:lineRule="auto"/>
            <w:jc w:val="right"/>
            <w:rPr>
              <w:rFonts w:ascii="Times New Roman"/>
              <w:position w:val="-4"/>
            </w:rPr>
          </w:pPr>
          <w:r>
            <w:rPr>
              <w:rFonts w:ascii="Times New Roman"/>
              <w:position w:val="-4"/>
              <w:sz w:val="40"/>
            </w:rPr>
            <w:t>CEDAW</w:t>
          </w:r>
          <w:r>
            <w:rPr>
              <w:rFonts w:ascii="Times New Roman"/>
              <w:position w:val="-4"/>
            </w:rPr>
            <w:t>/C/57/3</w:t>
          </w:r>
        </w:p>
      </w:tc>
    </w:tr>
    <w:tr w:rsidR="000761D7" w:rsidRPr="00B775AC" w:rsidTr="00B775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61D7" w:rsidRDefault="000761D7" w:rsidP="00B775A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761D7" w:rsidRPr="00B775AC" w:rsidRDefault="000761D7" w:rsidP="00B775AC">
          <w:pPr>
            <w:pStyle w:val="Header"/>
            <w:spacing w:before="109"/>
            <w:ind w:left="-72"/>
          </w:pPr>
        </w:p>
      </w:tc>
      <w:tc>
        <w:tcPr>
          <w:tcW w:w="5227" w:type="dxa"/>
          <w:gridSpan w:val="3"/>
          <w:tcBorders>
            <w:top w:val="single" w:sz="4" w:space="0" w:color="auto"/>
            <w:bottom w:val="single" w:sz="12" w:space="0" w:color="auto"/>
          </w:tcBorders>
          <w:shd w:val="clear" w:color="auto" w:fill="auto"/>
        </w:tcPr>
        <w:p w:rsidR="000761D7" w:rsidRPr="00B775AC" w:rsidRDefault="000761D7" w:rsidP="00B775A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761D7" w:rsidRPr="00B775AC" w:rsidRDefault="000761D7" w:rsidP="00B775AC">
          <w:pPr>
            <w:pStyle w:val="Header"/>
            <w:spacing w:before="109"/>
          </w:pPr>
        </w:p>
      </w:tc>
      <w:tc>
        <w:tcPr>
          <w:tcW w:w="3180" w:type="dxa"/>
          <w:gridSpan w:val="2"/>
          <w:tcBorders>
            <w:top w:val="single" w:sz="4" w:space="0" w:color="auto"/>
            <w:bottom w:val="single" w:sz="12" w:space="0" w:color="auto"/>
          </w:tcBorders>
          <w:shd w:val="clear" w:color="auto" w:fill="auto"/>
        </w:tcPr>
        <w:p w:rsidR="000761D7" w:rsidRDefault="000761D7" w:rsidP="00B775AC">
          <w:pPr>
            <w:spacing w:before="240" w:line="240" w:lineRule="exact"/>
            <w:rPr>
              <w:rFonts w:ascii="Times New Roman"/>
            </w:rPr>
          </w:pPr>
          <w:r>
            <w:rPr>
              <w:rFonts w:ascii="Times New Roman"/>
            </w:rPr>
            <w:t>Distr.: General</w:t>
          </w:r>
        </w:p>
        <w:p w:rsidR="000761D7" w:rsidRDefault="000761D7" w:rsidP="00B775AC">
          <w:pPr>
            <w:spacing w:line="240" w:lineRule="exact"/>
            <w:rPr>
              <w:rFonts w:ascii="Times New Roman"/>
            </w:rPr>
          </w:pPr>
          <w:r>
            <w:rPr>
              <w:rFonts w:ascii="Times New Roman"/>
            </w:rPr>
            <w:t>20 December 2013</w:t>
          </w:r>
        </w:p>
        <w:p w:rsidR="000761D7" w:rsidRDefault="000761D7" w:rsidP="00B775AC">
          <w:pPr>
            <w:spacing w:line="240" w:lineRule="exact"/>
            <w:rPr>
              <w:rFonts w:ascii="Times New Roman"/>
            </w:rPr>
          </w:pPr>
          <w:r>
            <w:rPr>
              <w:rFonts w:ascii="Times New Roman"/>
            </w:rPr>
            <w:t>Chinese</w:t>
          </w:r>
        </w:p>
        <w:p w:rsidR="000761D7" w:rsidRPr="00B775AC" w:rsidRDefault="000761D7" w:rsidP="00B775AC">
          <w:pPr>
            <w:spacing w:line="240" w:lineRule="exact"/>
            <w:rPr>
              <w:rFonts w:ascii="Times New Roman"/>
            </w:rPr>
          </w:pPr>
          <w:r>
            <w:rPr>
              <w:rFonts w:ascii="Times New Roman"/>
            </w:rPr>
            <w:t>Original: English</w:t>
          </w:r>
        </w:p>
      </w:tc>
    </w:tr>
  </w:tbl>
  <w:p w:rsidR="000761D7" w:rsidRPr="00B775AC" w:rsidRDefault="000761D7" w:rsidP="00B775A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24A63D5B"/>
    <w:multiLevelType w:val="hybridMultilevel"/>
    <w:tmpl w:val="75FEFDFE"/>
    <w:lvl w:ilvl="0" w:tplc="A4A03A84">
      <w:start w:val="1"/>
      <w:numFmt w:val="decimal"/>
      <w:lvlText w:val="%1."/>
      <w:lvlJc w:val="left"/>
      <w:pPr>
        <w:ind w:left="1770" w:hanging="420"/>
      </w:pPr>
      <w:rPr>
        <w:rFonts w:cs="Times New Roman"/>
        <w:b w:val="0"/>
        <w:i w:val="0"/>
      </w:rPr>
    </w:lvl>
    <w:lvl w:ilvl="1" w:tplc="04090019">
      <w:start w:val="1"/>
      <w:numFmt w:val="lowerLetter"/>
      <w:lvlText w:val="%2)"/>
      <w:lvlJc w:val="left"/>
      <w:pPr>
        <w:ind w:left="2190" w:hanging="42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901*"/>
    <w:docVar w:name="CreationDt" w:val="21/01/2014 13:00:41"/>
    <w:docVar w:name="DocCategory" w:val="Doc"/>
    <w:docVar w:name="DocType" w:val="Final"/>
    <w:docVar w:name="FooterJN" w:val="13-62901 (C)"/>
    <w:docVar w:name="jobn" w:val="13-62901 (C)"/>
    <w:docVar w:name="jobnDT" w:val="13-62901 (C)   210114"/>
    <w:docVar w:name="jobnDTDT" w:val="13-62901 (C)   210114   210114"/>
    <w:docVar w:name="JobNo" w:val="1362901C"/>
    <w:docVar w:name="OandT" w:val="hou"/>
    <w:docVar w:name="sss1" w:val="CEDAW/C/57/3"/>
    <w:docVar w:name="sss2" w:val="-"/>
    <w:docVar w:name="Symbol1" w:val="CEDAW/C/57/3"/>
    <w:docVar w:name="Symbol2" w:val="-"/>
  </w:docVars>
  <w:rsids>
    <w:rsidRoot w:val="00BF0CF6"/>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1D7"/>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C4FDC"/>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775AC"/>
    <w:rsid w:val="00B8025A"/>
    <w:rsid w:val="00B827B1"/>
    <w:rsid w:val="00B9116F"/>
    <w:rsid w:val="00B9408D"/>
    <w:rsid w:val="00BB23A4"/>
    <w:rsid w:val="00BB6332"/>
    <w:rsid w:val="00BC2276"/>
    <w:rsid w:val="00BD1B08"/>
    <w:rsid w:val="00BD1BFF"/>
    <w:rsid w:val="00BD2150"/>
    <w:rsid w:val="00BE1CC3"/>
    <w:rsid w:val="00BE365A"/>
    <w:rsid w:val="00BE47C4"/>
    <w:rsid w:val="00BF0CF6"/>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42F5A"/>
    <w:rsid w:val="00E5153D"/>
    <w:rsid w:val="00E710FB"/>
    <w:rsid w:val="00E73CC9"/>
    <w:rsid w:val="00E75847"/>
    <w:rsid w:val="00E806D9"/>
    <w:rsid w:val="00E82CA2"/>
    <w:rsid w:val="00E94E5A"/>
    <w:rsid w:val="00E95594"/>
    <w:rsid w:val="00EA31C3"/>
    <w:rsid w:val="00EB33AC"/>
    <w:rsid w:val="00EC4F68"/>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character" w:customStyle="1" w:styleId="SingleTxtGChar">
    <w:name w:val="_ Single Txt_G Char"/>
    <w:link w:val="SingleTxtG"/>
    <w:locked/>
    <w:rsid w:val="00EC4F68"/>
    <w:rPr>
      <w:rFonts w:ascii="SimSun" w:eastAsia="SimSun" w:hAnsi="SimSun"/>
      <w:kern w:val="2"/>
      <w:lang w:eastAsia="en-US" w:bidi="ar-SA"/>
    </w:rPr>
  </w:style>
  <w:style w:type="paragraph" w:customStyle="1" w:styleId="SingleTxtG">
    <w:name w:val="_ Single Txt_G"/>
    <w:basedOn w:val="Normal"/>
    <w:link w:val="SingleTxtGChar"/>
    <w:rsid w:val="00EC4F68"/>
    <w:pPr>
      <w:suppressAutoHyphens/>
      <w:spacing w:after="120" w:line="240" w:lineRule="atLeast"/>
      <w:ind w:left="1134" w:right="1134"/>
    </w:pPr>
    <w:rPr>
      <w:rFonts w:hAnsi="SimSun"/>
      <w:kern w:val="2"/>
      <w:sz w:val="20"/>
      <w:lang w:eastAsia="en-US"/>
    </w:rPr>
  </w:style>
  <w:style w:type="paragraph" w:customStyle="1" w:styleId="Bullet1G">
    <w:name w:val="_Bullet 1_G"/>
    <w:basedOn w:val="Normal"/>
    <w:rsid w:val="00EC4F68"/>
    <w:pPr>
      <w:numPr>
        <w:numId w:val="1"/>
      </w:numPr>
      <w:suppressAutoHyphens/>
      <w:spacing w:after="120" w:line="240" w:lineRule="atLeast"/>
      <w:ind w:right="1134"/>
    </w:pPr>
    <w:rPr>
      <w:rFonts w:ascii="Times New Roman"/>
      <w:kern w:val="2"/>
      <w:sz w:val="20"/>
      <w:lang w:val="en-GB" w:eastAsia="en-US"/>
    </w:rPr>
  </w:style>
</w:styles>
</file>

<file path=word/webSettings.xml><?xml version="1.0" encoding="utf-8"?>
<w:webSettings xmlns:r="http://schemas.openxmlformats.org/officeDocument/2006/relationships" xmlns:w="http://schemas.openxmlformats.org/wordprocessingml/2006/main">
  <w:divs>
    <w:div w:id="546336516">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16</Pages>
  <Words>2135</Words>
  <Characters>12171</Characters>
  <Application>Microsoft Office Outlook</Application>
  <DocSecurity>4</DocSecurity>
  <Lines>101</Lines>
  <Paragraphs>28</Paragraphs>
  <ScaleCrop>false</ScaleCrop>
  <Company>United Nations</Company>
  <LinksUpToDate>false</LinksUpToDate>
  <CharactersWithSpaces>14278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7</cp:revision>
  <cp:lastPrinted>2014-01-21T11:04:00Z</cp:lastPrinted>
  <dcterms:created xsi:type="dcterms:W3CDTF">2014-01-21T10:59:00Z</dcterms:created>
  <dcterms:modified xsi:type="dcterms:W3CDTF">2014-01-21T11:04:00Z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1362901</vt:lpwstr>
  </property>
  <property fmtid="{D5CDD505-2E9C-101B-9397-08002B2CF9AE}" pid="3" name="Symbol1">
    <vt:lpwstr>CEDAW/C/57/3</vt:lpwstr>
  </property>
  <property fmtid="{D5CDD505-2E9C-101B-9397-08002B2CF9AE}" pid="4" name="Symbol2">
    <vt:lpwstr/>
  </property>
  <property fmtid="{D5CDD505-2E9C-101B-9397-08002B2CF9AE}" pid="5" name="Translator">
    <vt:lpwstr/>
  </property>
  <property fmtid="{D5CDD505-2E9C-101B-9397-08002B2CF9AE}" pid="6" name="Operator">
    <vt:lpwstr>hou</vt:lpwstr>
  </property>
  <property fmtid="{D5CDD505-2E9C-101B-9397-08002B2CF9AE}" pid="7" name="DraftPages">
    <vt:lpwstr> </vt:lpwstr>
  </property>
  <property fmtid="{D5CDD505-2E9C-101B-9397-08002B2CF9AE}" pid="8" name="Comment">
    <vt:lpwstr/>
  </property>
</Properties>
</file>