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B1B" w:rsidRDefault="00CF5B1B">
      <w:pPr>
        <w:spacing w:line="240" w:lineRule="auto"/>
        <w:rPr>
          <w:sz w:val="6"/>
        </w:rPr>
        <w:sectPr w:rsidR="00CF5B1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3A6412" w:rsidRPr="003A6412" w:rsidRDefault="003A6412" w:rsidP="003A641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A6412">
        <w:rPr>
          <w:lang w:val="fr-FR"/>
        </w:rPr>
        <w:t>Comité pour l</w:t>
      </w:r>
      <w:r w:rsidR="00CE0D20">
        <w:rPr>
          <w:lang w:val="fr-FR"/>
        </w:rPr>
        <w:t>’</w:t>
      </w:r>
      <w:r w:rsidRPr="003A6412">
        <w:rPr>
          <w:lang w:val="fr-FR"/>
        </w:rPr>
        <w:t>élimination de la</w:t>
      </w:r>
      <w:r>
        <w:rPr>
          <w:lang w:val="fr-FR"/>
        </w:rPr>
        <w:br/>
      </w:r>
      <w:r w:rsidRPr="003A6412">
        <w:rPr>
          <w:lang w:val="fr-FR"/>
        </w:rPr>
        <w:t>discrimination à l</w:t>
      </w:r>
      <w:r w:rsidR="00CE0D20">
        <w:rPr>
          <w:lang w:val="fr-FR"/>
        </w:rPr>
        <w:t>’</w:t>
      </w:r>
      <w:r w:rsidRPr="003A6412">
        <w:rPr>
          <w:lang w:val="fr-FR"/>
        </w:rPr>
        <w:t>égard des femmes</w:t>
      </w:r>
    </w:p>
    <w:p w:rsidR="003A6412" w:rsidRPr="003A6412" w:rsidRDefault="003A6412" w:rsidP="003A6412">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8"/>
          <w:szCs w:val="18"/>
          <w:lang w:val="fr-FR"/>
        </w:rPr>
      </w:pPr>
    </w:p>
    <w:p w:rsidR="003A6412" w:rsidRPr="003A6412" w:rsidRDefault="003A6412" w:rsidP="003A6412">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8"/>
          <w:szCs w:val="18"/>
          <w:lang w:val="fr-FR"/>
        </w:rPr>
      </w:pPr>
    </w:p>
    <w:p w:rsidR="003A6412" w:rsidRPr="003A6412" w:rsidRDefault="003A6412" w:rsidP="003A6412">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8"/>
          <w:szCs w:val="18"/>
          <w:lang w:val="fr-FR"/>
        </w:rPr>
      </w:pPr>
    </w:p>
    <w:p w:rsidR="00CF5B1B" w:rsidRPr="003A6412" w:rsidRDefault="003A6412" w:rsidP="003A64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5B1B" w:rsidRPr="003A6412">
        <w:t>Examen des rapports présentés par les États parties</w:t>
      </w:r>
      <w:r w:rsidR="00B0068A" w:rsidRPr="003A6412">
        <w:br/>
      </w:r>
      <w:r w:rsidR="00CF5B1B" w:rsidRPr="003A6412">
        <w:t>conformément à l</w:t>
      </w:r>
      <w:r w:rsidR="00CE0D20">
        <w:t>’</w:t>
      </w:r>
      <w:r w:rsidR="00CF5B1B" w:rsidRPr="003A6412">
        <w:t xml:space="preserve">article 18 de la Convention </w:t>
      </w:r>
      <w:r w:rsidR="00B0068A" w:rsidRPr="003A6412">
        <w:br/>
      </w:r>
      <w:r w:rsidR="00CF5B1B" w:rsidRPr="003A6412">
        <w:t>sur l</w:t>
      </w:r>
      <w:r w:rsidR="00CE0D20">
        <w:t>’</w:t>
      </w:r>
      <w:r w:rsidR="00CF5B1B" w:rsidRPr="003A6412">
        <w:t>élimination de toutes les formes de discrimin</w:t>
      </w:r>
      <w:r w:rsidR="00CF5B1B" w:rsidRPr="003A6412">
        <w:t>a</w:t>
      </w:r>
      <w:r w:rsidR="00CF5B1B" w:rsidRPr="003A6412">
        <w:t xml:space="preserve">tion </w:t>
      </w:r>
      <w:r w:rsidRPr="003A6412">
        <w:br/>
      </w:r>
      <w:r w:rsidR="00CF5B1B" w:rsidRPr="003A6412">
        <w:t>à l</w:t>
      </w:r>
      <w:r w:rsidR="00CE0D20">
        <w:t>’</w:t>
      </w:r>
      <w:r w:rsidR="00CF5B1B" w:rsidRPr="003A6412">
        <w:t xml:space="preserve">égard des femmes </w:t>
      </w:r>
    </w:p>
    <w:p w:rsidR="003A6412" w:rsidRPr="003A6412" w:rsidRDefault="003A6412" w:rsidP="003A641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szCs w:val="18"/>
        </w:rPr>
      </w:pPr>
    </w:p>
    <w:p w:rsidR="003A6412" w:rsidRPr="003A6412" w:rsidRDefault="003A6412" w:rsidP="003A641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szCs w:val="18"/>
        </w:rPr>
      </w:pPr>
    </w:p>
    <w:p w:rsidR="003A6412" w:rsidRPr="003A6412" w:rsidRDefault="003A6412" w:rsidP="003A641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szCs w:val="18"/>
        </w:rPr>
      </w:pPr>
    </w:p>
    <w:p w:rsidR="00C908D7" w:rsidRDefault="003A6412" w:rsidP="003A641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p>
    <w:p w:rsidR="00CF5B1B" w:rsidRPr="003A6412" w:rsidRDefault="00C908D7" w:rsidP="003A641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Quatrième </w:t>
      </w:r>
      <w:r w:rsidR="00CF5B1B" w:rsidRPr="003A6412">
        <w:t>rapport périodique des États parties</w:t>
      </w:r>
    </w:p>
    <w:p w:rsidR="00CF5B1B" w:rsidRDefault="00CF5B1B" w:rsidP="00CF5B1B">
      <w:pPr>
        <w:pStyle w:val="SingleTxt"/>
      </w:pPr>
    </w:p>
    <w:p w:rsidR="00CF5B1B" w:rsidRDefault="00CF5B1B" w:rsidP="00CF5B1B">
      <w:pPr>
        <w:pStyle w:val="SingleTxt"/>
      </w:pPr>
    </w:p>
    <w:p w:rsidR="00CF5B1B" w:rsidRDefault="00CF5B1B" w:rsidP="00CF5B1B">
      <w:pPr>
        <w:pStyle w:val="SingleTxt"/>
      </w:pPr>
    </w:p>
    <w:p w:rsidR="003A6412" w:rsidRPr="003A6412" w:rsidRDefault="003A6412" w:rsidP="003A6412">
      <w:pPr>
        <w:framePr w:w="9792" w:h="432" w:hSpace="180" w:wrap="around" w:hAnchor="page" w:x="1210" w:yAlign="bottom"/>
        <w:spacing w:line="240" w:lineRule="auto"/>
        <w:rPr>
          <w:sz w:val="10"/>
        </w:rPr>
      </w:pPr>
    </w:p>
    <w:p w:rsidR="003A6412" w:rsidRPr="003A6412" w:rsidRDefault="003A6412" w:rsidP="003A6412">
      <w:pPr>
        <w:framePr w:w="9792" w:h="432" w:hSpace="180" w:wrap="around" w:hAnchor="page" w:x="1210" w:yAlign="bottom"/>
        <w:spacing w:line="240" w:lineRule="auto"/>
        <w:rPr>
          <w:sz w:val="6"/>
        </w:rPr>
      </w:pPr>
      <w:r w:rsidRPr="003A6412">
        <w:rPr>
          <w:noProof/>
          <w:w w:val="100"/>
          <w:sz w:val="6"/>
          <w:lang w:val="en-US"/>
        </w:rPr>
        <w:pict>
          <v:line id="_x0000_s2052" style="position:absolute;z-index:1;mso-position-horizontal-relative:page" from="108pt,-1pt" to="180pt,-1pt" strokeweight=".25pt">
            <w10:wrap anchorx="page"/>
          </v:line>
        </w:pict>
      </w:r>
    </w:p>
    <w:p w:rsidR="00C908D7" w:rsidRPr="00C908D7" w:rsidRDefault="00C908D7" w:rsidP="00C908D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sidR="003A6412">
        <w:rPr>
          <w:sz w:val="17"/>
        </w:rPr>
        <w:t>*</w:t>
      </w:r>
      <w:r w:rsidR="003A6412">
        <w:rPr>
          <w:sz w:val="17"/>
        </w:rPr>
        <w:tab/>
      </w:r>
      <w:r w:rsidRPr="00C908D7">
        <w:rPr>
          <w:sz w:val="17"/>
        </w:rPr>
        <w:t>Le présent document n</w:t>
      </w:r>
      <w:r w:rsidR="00CE0D20">
        <w:rPr>
          <w:sz w:val="17"/>
        </w:rPr>
        <w:t>’</w:t>
      </w:r>
      <w:r w:rsidRPr="00C908D7">
        <w:rPr>
          <w:sz w:val="17"/>
        </w:rPr>
        <w:t>a pas été revu par les services d</w:t>
      </w:r>
      <w:r w:rsidR="00CE0D20">
        <w:rPr>
          <w:sz w:val="17"/>
        </w:rPr>
        <w:t>’</w:t>
      </w:r>
      <w:r w:rsidRPr="00C908D7">
        <w:rPr>
          <w:sz w:val="17"/>
        </w:rPr>
        <w:t>édition.</w:t>
      </w:r>
    </w:p>
    <w:p w:rsidR="00C908D7" w:rsidRPr="00C908D7" w:rsidRDefault="00C908D7" w:rsidP="00C908D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576"/>
        <w:rPr>
          <w:sz w:val="10"/>
        </w:rPr>
      </w:pPr>
    </w:p>
    <w:p w:rsidR="003A6412" w:rsidRPr="003A6412" w:rsidRDefault="00C908D7" w:rsidP="00C908D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r>
      <w:r w:rsidRPr="00C908D7">
        <w:rPr>
          <w:sz w:val="17"/>
        </w:rPr>
        <w:t>Pour le rapport initial soumis par le Gouvernement de la Slovénie, voir le document CEDAW/C/SVN/1, examiné par le Comité lors de sa seizième session.</w:t>
      </w:r>
      <w:r w:rsidR="00BA4F2E">
        <w:rPr>
          <w:sz w:val="17"/>
        </w:rPr>
        <w:t xml:space="preserve"> </w:t>
      </w:r>
      <w:r w:rsidRPr="00C908D7">
        <w:rPr>
          <w:sz w:val="17"/>
        </w:rPr>
        <w:t xml:space="preserve">Pour le deuxième rapport périodique soumis par le Gouvernement de la Slovénie, voir le document CEDAW/C/SVN/2, examiné par le Comité à sa vingt-neuvième session. Pour le troisième rapport périodique soumis par le Gouvernement de la Slovénie, voir le document CEDAW/C/SVN/3, examiné par le Comité à sa vingt-neuvième session. </w:t>
      </w:r>
    </w:p>
    <w:p w:rsidR="00CF5B1B" w:rsidRDefault="003A6412" w:rsidP="003A64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908D7">
        <w:t>Slovénie</w:t>
      </w:r>
      <w:r w:rsidR="00CF5B1B">
        <w:t>*</w:t>
      </w:r>
    </w:p>
    <w:p w:rsidR="003A6412" w:rsidRDefault="00B0068A" w:rsidP="003A6412">
      <w:pPr>
        <w:pStyle w:val="HCh"/>
        <w:spacing w:after="120"/>
      </w:pPr>
      <w:r>
        <w:br w:type="page"/>
      </w:r>
      <w:r w:rsidR="003A6412">
        <w:t>Table des matières</w:t>
      </w:r>
    </w:p>
    <w:p w:rsidR="00C908D7" w:rsidRPr="00C908D7" w:rsidRDefault="00C908D7" w:rsidP="00C908D7">
      <w:pPr>
        <w:pStyle w:val="SingleTxt"/>
        <w:spacing w:after="0" w:line="120" w:lineRule="exact"/>
        <w:rPr>
          <w:sz w:val="10"/>
        </w:rPr>
      </w:pPr>
    </w:p>
    <w:p w:rsidR="000A347D" w:rsidRPr="000A347D" w:rsidRDefault="000A347D" w:rsidP="000A347D">
      <w:pPr>
        <w:pStyle w:val="SingleTxt"/>
        <w:spacing w:after="0" w:line="120" w:lineRule="exact"/>
        <w:rPr>
          <w:sz w:val="10"/>
        </w:rPr>
      </w:pPr>
    </w:p>
    <w:p w:rsidR="000A347D" w:rsidRPr="000A347D" w:rsidRDefault="000A347D" w:rsidP="000A347D">
      <w:pPr>
        <w:pStyle w:val="SingleTxt"/>
        <w:spacing w:after="0" w:line="120" w:lineRule="exact"/>
        <w:rPr>
          <w:sz w:val="10"/>
        </w:rPr>
      </w:pPr>
    </w:p>
    <w:tbl>
      <w:tblPr>
        <w:tblW w:w="9720" w:type="dxa"/>
        <w:tblLayout w:type="fixed"/>
        <w:tblCellMar>
          <w:left w:w="0" w:type="dxa"/>
          <w:right w:w="0" w:type="dxa"/>
        </w:tblCellMar>
        <w:tblLook w:val="0000" w:firstRow="0" w:lastRow="0" w:firstColumn="0" w:lastColumn="0" w:noHBand="0" w:noVBand="0"/>
      </w:tblPr>
      <w:tblGrid>
        <w:gridCol w:w="1060"/>
        <w:gridCol w:w="8030"/>
        <w:gridCol w:w="630"/>
      </w:tblGrid>
      <w:tr w:rsidR="00AA2F8C" w:rsidRPr="003A6412">
        <w:tblPrEx>
          <w:tblCellMar>
            <w:top w:w="0" w:type="dxa"/>
            <w:bottom w:w="0" w:type="dxa"/>
          </w:tblCellMar>
        </w:tblPrEx>
        <w:tc>
          <w:tcPr>
            <w:tcW w:w="1060" w:type="dxa"/>
            <w:shd w:val="clear" w:color="auto" w:fill="auto"/>
          </w:tcPr>
          <w:p w:rsidR="00AA2F8C" w:rsidRPr="003A6412" w:rsidRDefault="00AA2F8C" w:rsidP="003A6412">
            <w:pPr>
              <w:spacing w:after="120" w:line="240" w:lineRule="auto"/>
              <w:jc w:val="right"/>
              <w:rPr>
                <w:i/>
                <w:sz w:val="14"/>
                <w:lang w:val="fr-FR"/>
              </w:rPr>
            </w:pPr>
          </w:p>
        </w:tc>
        <w:tc>
          <w:tcPr>
            <w:tcW w:w="8030" w:type="dxa"/>
            <w:shd w:val="clear" w:color="auto" w:fill="auto"/>
          </w:tcPr>
          <w:p w:rsidR="00AA2F8C" w:rsidRPr="003A6412" w:rsidRDefault="00AA2F8C" w:rsidP="003A6412">
            <w:pPr>
              <w:spacing w:after="120" w:line="240" w:lineRule="auto"/>
              <w:rPr>
                <w:i/>
                <w:sz w:val="14"/>
                <w:lang w:val="fr-FR"/>
              </w:rPr>
            </w:pPr>
          </w:p>
        </w:tc>
        <w:tc>
          <w:tcPr>
            <w:tcW w:w="630" w:type="dxa"/>
            <w:shd w:val="clear" w:color="auto" w:fill="auto"/>
          </w:tcPr>
          <w:p w:rsidR="00AA2F8C" w:rsidRPr="003A6412" w:rsidRDefault="00AA2F8C" w:rsidP="003A6412">
            <w:pPr>
              <w:spacing w:after="120" w:line="240" w:lineRule="auto"/>
              <w:jc w:val="right"/>
              <w:rPr>
                <w:i/>
                <w:sz w:val="14"/>
                <w:lang w:val="fr-FR"/>
              </w:rPr>
            </w:pPr>
            <w:r>
              <w:rPr>
                <w:i/>
                <w:sz w:val="14"/>
                <w:lang w:val="fr-FR"/>
              </w:rPr>
              <w:t>Page</w:t>
            </w:r>
          </w:p>
        </w:tc>
      </w:tr>
      <w:tr w:rsidR="00467423" w:rsidRPr="003A6412">
        <w:tblPrEx>
          <w:tblCellMar>
            <w:top w:w="0" w:type="dxa"/>
            <w:bottom w:w="0" w:type="dxa"/>
          </w:tblCellMar>
        </w:tblPrEx>
        <w:tc>
          <w:tcPr>
            <w:tcW w:w="1060" w:type="dxa"/>
            <w:shd w:val="clear" w:color="auto" w:fill="auto"/>
          </w:tcPr>
          <w:p w:rsidR="00467423" w:rsidRPr="00164199" w:rsidRDefault="00467423" w:rsidP="00B11001">
            <w:pPr>
              <w:spacing w:before="40" w:after="40"/>
              <w:rPr>
                <w:lang w:val="fr-FR"/>
              </w:rPr>
            </w:pPr>
          </w:p>
        </w:tc>
        <w:tc>
          <w:tcPr>
            <w:tcW w:w="8030" w:type="dxa"/>
            <w:shd w:val="clear" w:color="auto" w:fill="auto"/>
          </w:tcPr>
          <w:p w:rsidR="00467423" w:rsidRPr="002150CF" w:rsidRDefault="00467423" w:rsidP="002150CF">
            <w:pPr>
              <w:tabs>
                <w:tab w:val="right" w:pos="1080"/>
                <w:tab w:val="right" w:leader="dot" w:pos="8381"/>
              </w:tabs>
              <w:spacing w:before="40" w:after="40"/>
              <w:rPr>
                <w:b/>
                <w:bCs/>
                <w:spacing w:val="60"/>
                <w:sz w:val="17"/>
              </w:rPr>
            </w:pPr>
            <w:r w:rsidRPr="00164199">
              <w:rPr>
                <w:b/>
                <w:bCs/>
              </w:rPr>
              <w:t>Introduction</w:t>
            </w:r>
            <w:r w:rsidR="002150CF">
              <w:rPr>
                <w:b/>
                <w:bCs/>
                <w:spacing w:val="60"/>
                <w:sz w:val="17"/>
              </w:rPr>
              <w:tab/>
            </w:r>
          </w:p>
        </w:tc>
        <w:tc>
          <w:tcPr>
            <w:tcW w:w="630" w:type="dxa"/>
            <w:shd w:val="clear" w:color="auto" w:fill="auto"/>
            <w:vAlign w:val="bottom"/>
          </w:tcPr>
          <w:p w:rsidR="00467423" w:rsidRPr="00164199" w:rsidRDefault="002150CF" w:rsidP="002150CF">
            <w:pPr>
              <w:spacing w:before="40" w:after="40"/>
              <w:ind w:right="43"/>
              <w:jc w:val="right"/>
              <w:rPr>
                <w:lang w:val="fr-FR"/>
              </w:rPr>
            </w:pPr>
            <w:r>
              <w:rPr>
                <w:lang w:val="fr-FR"/>
              </w:rPr>
              <w:t>3</w:t>
            </w:r>
          </w:p>
        </w:tc>
      </w:tr>
      <w:tr w:rsidR="00467423" w:rsidRPr="003A6412">
        <w:tblPrEx>
          <w:tblCellMar>
            <w:top w:w="0" w:type="dxa"/>
            <w:bottom w:w="0" w:type="dxa"/>
          </w:tblCellMar>
        </w:tblPrEx>
        <w:tc>
          <w:tcPr>
            <w:tcW w:w="1060" w:type="dxa"/>
            <w:shd w:val="clear" w:color="auto" w:fill="auto"/>
          </w:tcPr>
          <w:p w:rsidR="00467423" w:rsidRPr="00164199" w:rsidRDefault="00467423" w:rsidP="00B11001">
            <w:pPr>
              <w:spacing w:before="40" w:after="40"/>
              <w:rPr>
                <w:lang w:val="fr-FR"/>
              </w:rPr>
            </w:pPr>
          </w:p>
        </w:tc>
        <w:tc>
          <w:tcPr>
            <w:tcW w:w="8030" w:type="dxa"/>
            <w:shd w:val="clear" w:color="auto" w:fill="auto"/>
          </w:tcPr>
          <w:p w:rsidR="00467423" w:rsidRPr="002150CF" w:rsidRDefault="00467423" w:rsidP="002150CF">
            <w:pPr>
              <w:tabs>
                <w:tab w:val="right" w:pos="1080"/>
                <w:tab w:val="left" w:pos="1296"/>
                <w:tab w:val="left" w:pos="1728"/>
                <w:tab w:val="right" w:leader="dot" w:pos="8381"/>
              </w:tabs>
              <w:spacing w:before="40" w:after="40"/>
              <w:rPr>
                <w:b/>
                <w:bCs/>
                <w:spacing w:val="60"/>
                <w:sz w:val="17"/>
              </w:rPr>
            </w:pPr>
            <w:r w:rsidRPr="00164199">
              <w:rPr>
                <w:b/>
                <w:bCs/>
              </w:rPr>
              <w:t>Informations générales</w:t>
            </w:r>
            <w:r w:rsidR="002150CF">
              <w:rPr>
                <w:b/>
                <w:bCs/>
                <w:spacing w:val="60"/>
                <w:sz w:val="17"/>
              </w:rPr>
              <w:tab/>
            </w:r>
          </w:p>
        </w:tc>
        <w:tc>
          <w:tcPr>
            <w:tcW w:w="630" w:type="dxa"/>
            <w:shd w:val="clear" w:color="auto" w:fill="auto"/>
            <w:vAlign w:val="bottom"/>
          </w:tcPr>
          <w:p w:rsidR="00467423" w:rsidRPr="00164199" w:rsidRDefault="002150CF" w:rsidP="002150CF">
            <w:pPr>
              <w:spacing w:before="40" w:after="40"/>
              <w:ind w:right="43"/>
              <w:jc w:val="right"/>
              <w:rPr>
                <w:lang w:val="fr-FR"/>
              </w:rPr>
            </w:pPr>
            <w:r>
              <w:rPr>
                <w:lang w:val="fr-FR"/>
              </w:rPr>
              <w:t>4</w:t>
            </w:r>
          </w:p>
        </w:tc>
      </w:tr>
      <w:tr w:rsidR="00467423" w:rsidRPr="003A6412">
        <w:tblPrEx>
          <w:tblCellMar>
            <w:top w:w="0" w:type="dxa"/>
            <w:bottom w:w="0" w:type="dxa"/>
          </w:tblCellMar>
        </w:tblPrEx>
        <w:tc>
          <w:tcPr>
            <w:tcW w:w="1060" w:type="dxa"/>
            <w:shd w:val="clear" w:color="auto" w:fill="auto"/>
          </w:tcPr>
          <w:p w:rsidR="00467423" w:rsidRPr="00164199" w:rsidRDefault="00467423" w:rsidP="00B11001">
            <w:pPr>
              <w:spacing w:before="40" w:after="40"/>
              <w:rPr>
                <w:lang w:val="fr-FR"/>
              </w:rPr>
            </w:pPr>
          </w:p>
        </w:tc>
        <w:tc>
          <w:tcPr>
            <w:tcW w:w="8030" w:type="dxa"/>
            <w:shd w:val="clear" w:color="auto" w:fill="auto"/>
          </w:tcPr>
          <w:p w:rsidR="00467423" w:rsidRPr="002150CF" w:rsidRDefault="00467423" w:rsidP="002150CF">
            <w:pPr>
              <w:tabs>
                <w:tab w:val="left" w:pos="392"/>
                <w:tab w:val="left" w:pos="1296"/>
                <w:tab w:val="left" w:pos="1728"/>
                <w:tab w:val="left" w:pos="2160"/>
                <w:tab w:val="left" w:pos="2592"/>
                <w:tab w:val="left" w:pos="3024"/>
                <w:tab w:val="left" w:pos="3456"/>
                <w:tab w:val="left" w:pos="3888"/>
                <w:tab w:val="left" w:pos="4320"/>
                <w:tab w:val="left" w:pos="4752"/>
                <w:tab w:val="right" w:leader="dot" w:pos="8381"/>
              </w:tabs>
              <w:spacing w:before="40" w:after="40"/>
              <w:rPr>
                <w:bCs/>
                <w:spacing w:val="60"/>
                <w:sz w:val="17"/>
              </w:rPr>
            </w:pPr>
            <w:r w:rsidRPr="00164199">
              <w:rPr>
                <w:bCs/>
              </w:rPr>
              <w:t>a)</w:t>
            </w:r>
            <w:r w:rsidRPr="00164199">
              <w:rPr>
                <w:bCs/>
              </w:rPr>
              <w:tab/>
              <w:t>Les conditions dans lesquelles la Slovénie aborde la question de l</w:t>
            </w:r>
            <w:r w:rsidR="00CE0D20">
              <w:rPr>
                <w:bCs/>
              </w:rPr>
              <w:t>’</w:t>
            </w:r>
            <w:r w:rsidRPr="00164199">
              <w:rPr>
                <w:bCs/>
              </w:rPr>
              <w:t>élimination de</w:t>
            </w:r>
            <w:r w:rsidR="00D008C9" w:rsidRPr="00164199">
              <w:rPr>
                <w:bCs/>
              </w:rPr>
              <w:br/>
            </w:r>
            <w:r w:rsidRPr="00164199">
              <w:rPr>
                <w:bCs/>
              </w:rPr>
              <w:t xml:space="preserve"> </w:t>
            </w:r>
            <w:r w:rsidR="00D008C9" w:rsidRPr="00164199">
              <w:rPr>
                <w:bCs/>
              </w:rPr>
              <w:tab/>
            </w:r>
            <w:r w:rsidRPr="00164199">
              <w:rPr>
                <w:bCs/>
              </w:rPr>
              <w:t>toutes les formes de discrimination à l</w:t>
            </w:r>
            <w:r w:rsidR="00CE0D20">
              <w:rPr>
                <w:bCs/>
              </w:rPr>
              <w:t>’</w:t>
            </w:r>
            <w:r w:rsidRPr="00164199">
              <w:rPr>
                <w:bCs/>
              </w:rPr>
              <w:t>égard des femmes</w:t>
            </w:r>
            <w:r w:rsidR="002150CF">
              <w:rPr>
                <w:bCs/>
                <w:spacing w:val="60"/>
                <w:sz w:val="17"/>
              </w:rPr>
              <w:tab/>
            </w:r>
            <w:r w:rsidR="002150CF">
              <w:rPr>
                <w:bCs/>
                <w:spacing w:val="60"/>
                <w:sz w:val="17"/>
              </w:rPr>
              <w:tab/>
            </w:r>
          </w:p>
        </w:tc>
        <w:tc>
          <w:tcPr>
            <w:tcW w:w="630" w:type="dxa"/>
            <w:shd w:val="clear" w:color="auto" w:fill="auto"/>
            <w:vAlign w:val="bottom"/>
          </w:tcPr>
          <w:p w:rsidR="00467423" w:rsidRPr="00164199" w:rsidRDefault="002150CF" w:rsidP="002150CF">
            <w:pPr>
              <w:spacing w:before="40" w:after="40"/>
              <w:ind w:right="43"/>
              <w:jc w:val="right"/>
              <w:rPr>
                <w:lang w:val="fr-FR"/>
              </w:rPr>
            </w:pPr>
            <w:r>
              <w:rPr>
                <w:lang w:val="fr-FR"/>
              </w:rPr>
              <w:t>4</w:t>
            </w:r>
          </w:p>
        </w:tc>
      </w:tr>
      <w:tr w:rsidR="00467423" w:rsidRPr="003A6412">
        <w:tblPrEx>
          <w:tblCellMar>
            <w:top w:w="0" w:type="dxa"/>
            <w:bottom w:w="0" w:type="dxa"/>
          </w:tblCellMar>
        </w:tblPrEx>
        <w:tc>
          <w:tcPr>
            <w:tcW w:w="1060" w:type="dxa"/>
            <w:shd w:val="clear" w:color="auto" w:fill="auto"/>
          </w:tcPr>
          <w:p w:rsidR="00467423" w:rsidRPr="00164199" w:rsidRDefault="00467423" w:rsidP="00B11001">
            <w:pPr>
              <w:spacing w:before="40" w:after="40"/>
              <w:rPr>
                <w:lang w:val="fr-FR"/>
              </w:rPr>
            </w:pPr>
          </w:p>
        </w:tc>
        <w:tc>
          <w:tcPr>
            <w:tcW w:w="8030" w:type="dxa"/>
            <w:shd w:val="clear" w:color="auto" w:fill="auto"/>
          </w:tcPr>
          <w:p w:rsidR="00467423" w:rsidRPr="002150CF" w:rsidRDefault="00467423" w:rsidP="002150CF">
            <w:pPr>
              <w:tabs>
                <w:tab w:val="left" w:pos="417"/>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before="40" w:after="40"/>
              <w:rPr>
                <w:bCs/>
                <w:spacing w:val="60"/>
                <w:sz w:val="17"/>
              </w:rPr>
            </w:pPr>
            <w:r w:rsidRPr="00164199">
              <w:rPr>
                <w:bCs/>
              </w:rPr>
              <w:t>b)</w:t>
            </w:r>
            <w:r w:rsidRPr="00164199">
              <w:rPr>
                <w:bCs/>
              </w:rPr>
              <w:tab/>
            </w:r>
            <w:r w:rsidR="002150CF">
              <w:rPr>
                <w:bCs/>
              </w:rPr>
              <w:tab/>
              <w:t>L</w:t>
            </w:r>
            <w:r w:rsidRPr="00164199">
              <w:rPr>
                <w:bCs/>
              </w:rPr>
              <w:t xml:space="preserve">es mesures adoptées en vue de la mise en œuvre de la Convention, et les effets </w:t>
            </w:r>
            <w:r w:rsidR="00D008C9" w:rsidRPr="00164199">
              <w:rPr>
                <w:bCs/>
              </w:rPr>
              <w:br/>
            </w:r>
            <w:r w:rsidR="00D008C9" w:rsidRPr="00164199">
              <w:rPr>
                <w:bCs/>
              </w:rPr>
              <w:tab/>
            </w:r>
            <w:r w:rsidRPr="00164199">
              <w:rPr>
                <w:bCs/>
              </w:rPr>
              <w:t>de la ratification de la Convention sur la situation de la Slovénie en général, et</w:t>
            </w:r>
            <w:r w:rsidR="00D008C9" w:rsidRPr="00164199">
              <w:rPr>
                <w:bCs/>
              </w:rPr>
              <w:br/>
            </w:r>
            <w:r w:rsidRPr="00164199">
              <w:rPr>
                <w:bCs/>
              </w:rPr>
              <w:t xml:space="preserve"> </w:t>
            </w:r>
            <w:r w:rsidR="00D008C9" w:rsidRPr="00164199">
              <w:rPr>
                <w:bCs/>
              </w:rPr>
              <w:tab/>
            </w:r>
            <w:r w:rsidRPr="00164199">
              <w:rPr>
                <w:bCs/>
              </w:rPr>
              <w:t>plus particulièrement aux niveaux social, économique, politique et juridique</w:t>
            </w:r>
            <w:r w:rsidR="002150CF">
              <w:rPr>
                <w:bCs/>
                <w:spacing w:val="60"/>
                <w:sz w:val="17"/>
              </w:rPr>
              <w:tab/>
            </w:r>
            <w:r w:rsidR="002150CF">
              <w:rPr>
                <w:bCs/>
                <w:spacing w:val="60"/>
                <w:sz w:val="17"/>
              </w:rPr>
              <w:tab/>
            </w:r>
          </w:p>
        </w:tc>
        <w:tc>
          <w:tcPr>
            <w:tcW w:w="630" w:type="dxa"/>
            <w:shd w:val="clear" w:color="auto" w:fill="auto"/>
            <w:vAlign w:val="bottom"/>
          </w:tcPr>
          <w:p w:rsidR="00467423" w:rsidRPr="00164199" w:rsidRDefault="002150CF" w:rsidP="002150CF">
            <w:pPr>
              <w:spacing w:before="40" w:after="40"/>
              <w:ind w:right="43"/>
              <w:jc w:val="right"/>
              <w:rPr>
                <w:lang w:val="fr-FR"/>
              </w:rPr>
            </w:pPr>
            <w:r>
              <w:rPr>
                <w:lang w:val="fr-FR"/>
              </w:rPr>
              <w:t>8</w:t>
            </w:r>
          </w:p>
        </w:tc>
      </w:tr>
      <w:tr w:rsidR="00467423" w:rsidRPr="003A6412">
        <w:tblPrEx>
          <w:tblCellMar>
            <w:top w:w="0" w:type="dxa"/>
            <w:bottom w:w="0" w:type="dxa"/>
          </w:tblCellMar>
        </w:tblPrEx>
        <w:tc>
          <w:tcPr>
            <w:tcW w:w="1060" w:type="dxa"/>
            <w:shd w:val="clear" w:color="auto" w:fill="auto"/>
          </w:tcPr>
          <w:p w:rsidR="00467423" w:rsidRPr="00164199" w:rsidRDefault="00467423" w:rsidP="00B11001">
            <w:pPr>
              <w:spacing w:before="40" w:after="40"/>
              <w:rPr>
                <w:lang w:val="fr-FR"/>
              </w:rPr>
            </w:pPr>
          </w:p>
        </w:tc>
        <w:tc>
          <w:tcPr>
            <w:tcW w:w="8030" w:type="dxa"/>
            <w:shd w:val="clear" w:color="auto" w:fill="auto"/>
          </w:tcPr>
          <w:p w:rsidR="00467423" w:rsidRPr="002150CF" w:rsidRDefault="00467423" w:rsidP="002150CF">
            <w:pPr>
              <w:tabs>
                <w:tab w:val="left" w:pos="417"/>
                <w:tab w:val="right" w:pos="1080"/>
                <w:tab w:val="left" w:pos="1296"/>
                <w:tab w:val="left" w:pos="1728"/>
                <w:tab w:val="left" w:pos="2160"/>
                <w:tab w:val="left" w:pos="2592"/>
                <w:tab w:val="left" w:pos="3024"/>
                <w:tab w:val="left" w:pos="3456"/>
                <w:tab w:val="left" w:pos="3888"/>
                <w:tab w:val="left" w:pos="4320"/>
                <w:tab w:val="right" w:leader="dot" w:pos="8381"/>
              </w:tabs>
              <w:spacing w:before="40" w:after="40"/>
              <w:rPr>
                <w:bCs/>
                <w:spacing w:val="60"/>
                <w:sz w:val="17"/>
              </w:rPr>
            </w:pPr>
            <w:r w:rsidRPr="00164199">
              <w:rPr>
                <w:bCs/>
              </w:rPr>
              <w:t>c)</w:t>
            </w:r>
            <w:r w:rsidRPr="00164199">
              <w:rPr>
                <w:bCs/>
              </w:rPr>
              <w:tab/>
              <w:t>Les mécanismes institutionnels visant à la parité</w:t>
            </w:r>
            <w:r w:rsidR="002150CF">
              <w:rPr>
                <w:bCs/>
                <w:spacing w:val="60"/>
                <w:sz w:val="17"/>
              </w:rPr>
              <w:tab/>
            </w:r>
          </w:p>
        </w:tc>
        <w:tc>
          <w:tcPr>
            <w:tcW w:w="630" w:type="dxa"/>
            <w:shd w:val="clear" w:color="auto" w:fill="auto"/>
            <w:vAlign w:val="bottom"/>
          </w:tcPr>
          <w:p w:rsidR="00467423" w:rsidRPr="00164199" w:rsidRDefault="002150CF" w:rsidP="002150CF">
            <w:pPr>
              <w:spacing w:before="40" w:after="40"/>
              <w:ind w:right="43"/>
              <w:jc w:val="right"/>
              <w:rPr>
                <w:lang w:val="fr-FR"/>
              </w:rPr>
            </w:pPr>
            <w:r>
              <w:rPr>
                <w:lang w:val="fr-FR"/>
              </w:rPr>
              <w:t>8</w:t>
            </w:r>
          </w:p>
        </w:tc>
      </w:tr>
      <w:tr w:rsidR="00467423" w:rsidRPr="003A6412">
        <w:tblPrEx>
          <w:tblCellMar>
            <w:top w:w="0" w:type="dxa"/>
            <w:bottom w:w="0" w:type="dxa"/>
          </w:tblCellMar>
        </w:tblPrEx>
        <w:tc>
          <w:tcPr>
            <w:tcW w:w="1060" w:type="dxa"/>
            <w:shd w:val="clear" w:color="auto" w:fill="auto"/>
          </w:tcPr>
          <w:p w:rsidR="00467423" w:rsidRPr="00164199" w:rsidRDefault="00467423" w:rsidP="00B11001">
            <w:pPr>
              <w:spacing w:before="40" w:after="40"/>
              <w:rPr>
                <w:lang w:val="fr-FR"/>
              </w:rPr>
            </w:pPr>
          </w:p>
        </w:tc>
        <w:tc>
          <w:tcPr>
            <w:tcW w:w="8030" w:type="dxa"/>
            <w:shd w:val="clear" w:color="auto" w:fill="auto"/>
          </w:tcPr>
          <w:p w:rsidR="00467423" w:rsidRPr="002150CF" w:rsidRDefault="00467423" w:rsidP="002150CF">
            <w:pPr>
              <w:tabs>
                <w:tab w:val="left" w:pos="417"/>
                <w:tab w:val="right" w:pos="1080"/>
                <w:tab w:val="left" w:pos="1296"/>
                <w:tab w:val="left" w:pos="1728"/>
                <w:tab w:val="left" w:pos="2160"/>
                <w:tab w:val="left" w:pos="2592"/>
                <w:tab w:val="left" w:pos="3024"/>
                <w:tab w:val="left" w:pos="3456"/>
                <w:tab w:val="right" w:leader="dot" w:pos="8381"/>
              </w:tabs>
              <w:spacing w:before="40" w:after="40"/>
              <w:rPr>
                <w:bCs/>
                <w:spacing w:val="60"/>
                <w:sz w:val="17"/>
              </w:rPr>
            </w:pPr>
            <w:r w:rsidRPr="00164199">
              <w:rPr>
                <w:bCs/>
              </w:rPr>
              <w:t>d)</w:t>
            </w:r>
            <w:r w:rsidRPr="00164199">
              <w:rPr>
                <w:bCs/>
              </w:rPr>
              <w:tab/>
              <w:t>Les moyens – financiers et autres – permettant de garantir et de faire progresser</w:t>
            </w:r>
            <w:r w:rsidR="00D008C9" w:rsidRPr="00164199">
              <w:rPr>
                <w:bCs/>
              </w:rPr>
              <w:br/>
            </w:r>
            <w:r w:rsidRPr="00164199">
              <w:rPr>
                <w:bCs/>
              </w:rPr>
              <w:t xml:space="preserve"> </w:t>
            </w:r>
            <w:r w:rsidR="00D008C9" w:rsidRPr="00164199">
              <w:rPr>
                <w:bCs/>
              </w:rPr>
              <w:tab/>
            </w:r>
            <w:r w:rsidRPr="00164199">
              <w:rPr>
                <w:bCs/>
              </w:rPr>
              <w:t>de manière positive la condition féminine</w:t>
            </w:r>
            <w:r w:rsidR="002150CF">
              <w:rPr>
                <w:bCs/>
                <w:spacing w:val="60"/>
                <w:sz w:val="17"/>
              </w:rPr>
              <w:tab/>
            </w:r>
            <w:r w:rsidR="002150CF">
              <w:rPr>
                <w:bCs/>
                <w:spacing w:val="60"/>
                <w:sz w:val="17"/>
              </w:rPr>
              <w:tab/>
            </w:r>
          </w:p>
        </w:tc>
        <w:tc>
          <w:tcPr>
            <w:tcW w:w="630" w:type="dxa"/>
            <w:shd w:val="clear" w:color="auto" w:fill="auto"/>
            <w:vAlign w:val="bottom"/>
          </w:tcPr>
          <w:p w:rsidR="00467423" w:rsidRPr="00164199" w:rsidRDefault="002150CF" w:rsidP="002150CF">
            <w:pPr>
              <w:spacing w:before="40" w:after="40"/>
              <w:ind w:right="43"/>
              <w:jc w:val="right"/>
              <w:rPr>
                <w:lang w:val="fr-FR"/>
              </w:rPr>
            </w:pPr>
            <w:r>
              <w:rPr>
                <w:lang w:val="fr-FR"/>
              </w:rPr>
              <w:t>8</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2150CF" w:rsidRDefault="00D008C9" w:rsidP="002150C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before="40" w:after="40"/>
              <w:rPr>
                <w:b/>
                <w:spacing w:val="60"/>
                <w:sz w:val="17"/>
              </w:rPr>
            </w:pPr>
            <w:r w:rsidRPr="00164199">
              <w:rPr>
                <w:b/>
              </w:rPr>
              <w:t>Mise en œuvre des dispositions contenues dans chaque article de la Convention</w:t>
            </w:r>
            <w:r w:rsidR="002150CF">
              <w:rPr>
                <w:b/>
                <w:spacing w:val="60"/>
                <w:sz w:val="17"/>
              </w:rPr>
              <w:tab/>
            </w:r>
          </w:p>
        </w:tc>
        <w:tc>
          <w:tcPr>
            <w:tcW w:w="630" w:type="dxa"/>
            <w:shd w:val="clear" w:color="auto" w:fill="auto"/>
            <w:vAlign w:val="bottom"/>
          </w:tcPr>
          <w:p w:rsidR="00D008C9" w:rsidRDefault="002150CF" w:rsidP="002150CF">
            <w:pPr>
              <w:spacing w:before="40" w:after="40"/>
              <w:ind w:right="43"/>
              <w:jc w:val="right"/>
              <w:rPr>
                <w:sz w:val="17"/>
                <w:szCs w:val="17"/>
                <w:lang w:val="fr-FR"/>
              </w:rPr>
            </w:pPr>
            <w:r>
              <w:rPr>
                <w:sz w:val="17"/>
                <w:szCs w:val="17"/>
                <w:lang w:val="fr-FR"/>
              </w:rPr>
              <w:t>12</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2150CF" w:rsidRDefault="00D008C9" w:rsidP="002150CF">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40"/>
              <w:rPr>
                <w:spacing w:val="60"/>
                <w:sz w:val="17"/>
              </w:rPr>
            </w:pPr>
            <w:r w:rsidRPr="00397012">
              <w:t>Article premier</w:t>
            </w:r>
            <w:r w:rsidR="00164199">
              <w:tab/>
            </w:r>
            <w:r w:rsidRPr="00397012">
              <w:t>La discrimination à l</w:t>
            </w:r>
            <w:r w:rsidR="00CE0D20">
              <w:t>’</w:t>
            </w:r>
            <w:r w:rsidRPr="00397012">
              <w:t>égard des femmes</w:t>
            </w:r>
            <w:r w:rsidR="002150CF">
              <w:rPr>
                <w:spacing w:val="60"/>
                <w:sz w:val="17"/>
              </w:rPr>
              <w:tab/>
            </w:r>
          </w:p>
        </w:tc>
        <w:tc>
          <w:tcPr>
            <w:tcW w:w="630" w:type="dxa"/>
            <w:shd w:val="clear" w:color="auto" w:fill="auto"/>
            <w:vAlign w:val="bottom"/>
          </w:tcPr>
          <w:p w:rsidR="00D008C9" w:rsidRPr="00605A86" w:rsidRDefault="002150CF" w:rsidP="002150CF">
            <w:pPr>
              <w:spacing w:before="40" w:after="40"/>
              <w:ind w:right="43"/>
              <w:jc w:val="right"/>
              <w:rPr>
                <w:sz w:val="17"/>
                <w:szCs w:val="17"/>
                <w:lang w:val="fr-FR"/>
              </w:rPr>
            </w:pPr>
            <w:r>
              <w:rPr>
                <w:sz w:val="17"/>
                <w:szCs w:val="17"/>
                <w:lang w:val="fr-FR"/>
              </w:rPr>
              <w:t>12</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2150CF" w:rsidRDefault="00D008C9" w:rsidP="002150C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before="40" w:after="40"/>
              <w:rPr>
                <w:spacing w:val="60"/>
                <w:sz w:val="17"/>
              </w:rPr>
            </w:pPr>
            <w:r w:rsidRPr="00397012">
              <w:t>Articles 2 et 3</w:t>
            </w:r>
            <w:r w:rsidRPr="00397012">
              <w:tab/>
            </w:r>
            <w:r w:rsidR="00164199">
              <w:tab/>
            </w:r>
            <w:r w:rsidRPr="00397012">
              <w:t>Les mesures garantissant l</w:t>
            </w:r>
            <w:r w:rsidR="00CE0D20">
              <w:t>’</w:t>
            </w:r>
            <w:r w:rsidRPr="00397012">
              <w:t>égalité entre les femmes et les hommes</w:t>
            </w:r>
            <w:r w:rsidR="002150CF">
              <w:rPr>
                <w:spacing w:val="60"/>
                <w:sz w:val="17"/>
              </w:rPr>
              <w:tab/>
            </w:r>
          </w:p>
        </w:tc>
        <w:tc>
          <w:tcPr>
            <w:tcW w:w="630" w:type="dxa"/>
            <w:shd w:val="clear" w:color="auto" w:fill="auto"/>
            <w:vAlign w:val="bottom"/>
          </w:tcPr>
          <w:p w:rsidR="00D008C9" w:rsidRPr="00605A86" w:rsidRDefault="002150CF" w:rsidP="002150CF">
            <w:pPr>
              <w:spacing w:before="40" w:after="40"/>
              <w:ind w:right="43"/>
              <w:jc w:val="right"/>
              <w:rPr>
                <w:sz w:val="17"/>
                <w:szCs w:val="17"/>
                <w:lang w:val="fr-FR"/>
              </w:rPr>
            </w:pPr>
            <w:r>
              <w:rPr>
                <w:sz w:val="17"/>
                <w:szCs w:val="17"/>
                <w:lang w:val="fr-FR"/>
              </w:rPr>
              <w:t>12</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2150CF" w:rsidRDefault="00D008C9" w:rsidP="002150CF">
            <w:pPr>
              <w:tabs>
                <w:tab w:val="right" w:pos="1080"/>
                <w:tab w:val="left" w:pos="1296"/>
                <w:tab w:val="left" w:pos="1728"/>
                <w:tab w:val="left" w:pos="2160"/>
                <w:tab w:val="left" w:pos="2592"/>
                <w:tab w:val="right" w:leader="dot" w:pos="8381"/>
              </w:tabs>
              <w:spacing w:before="40" w:after="40"/>
              <w:rPr>
                <w:spacing w:val="60"/>
                <w:sz w:val="17"/>
              </w:rPr>
            </w:pPr>
            <w:r w:rsidRPr="00397012">
              <w:t>Article 4</w:t>
            </w:r>
            <w:r w:rsidRPr="00397012">
              <w:tab/>
            </w:r>
            <w:r w:rsidR="002150CF">
              <w:tab/>
            </w:r>
            <w:r w:rsidR="00164199">
              <w:tab/>
            </w:r>
            <w:r w:rsidRPr="00397012">
              <w:t>L</w:t>
            </w:r>
            <w:r w:rsidR="00CE0D20">
              <w:t>’</w:t>
            </w:r>
            <w:r w:rsidRPr="00397012">
              <w:t xml:space="preserve">encouragement à une égalité effective entre les deux sexes par des </w:t>
            </w:r>
            <w:r w:rsidR="00164199">
              <w:br/>
            </w:r>
            <w:r w:rsidR="00164199">
              <w:tab/>
            </w:r>
            <w:r w:rsidRPr="00397012">
              <w:t xml:space="preserve"> </w:t>
            </w:r>
            <w:r w:rsidR="002150CF">
              <w:tab/>
            </w:r>
            <w:r w:rsidR="002150CF">
              <w:tab/>
            </w:r>
            <w:r w:rsidRPr="00397012">
              <w:t>mesures temporaires spéciales</w:t>
            </w:r>
            <w:r w:rsidR="002150CF">
              <w:rPr>
                <w:spacing w:val="60"/>
                <w:sz w:val="17"/>
              </w:rPr>
              <w:tab/>
            </w:r>
            <w:r w:rsidR="002150CF">
              <w:rPr>
                <w:spacing w:val="60"/>
                <w:sz w:val="17"/>
              </w:rPr>
              <w:tab/>
            </w:r>
          </w:p>
        </w:tc>
        <w:tc>
          <w:tcPr>
            <w:tcW w:w="630" w:type="dxa"/>
            <w:shd w:val="clear" w:color="auto" w:fill="auto"/>
            <w:vAlign w:val="bottom"/>
          </w:tcPr>
          <w:p w:rsidR="00D008C9" w:rsidRPr="00605A86" w:rsidRDefault="002150CF" w:rsidP="002150CF">
            <w:pPr>
              <w:spacing w:before="40" w:after="40"/>
              <w:ind w:right="43"/>
              <w:jc w:val="right"/>
              <w:rPr>
                <w:sz w:val="17"/>
                <w:szCs w:val="17"/>
                <w:lang w:val="fr-FR"/>
              </w:rPr>
            </w:pPr>
            <w:r>
              <w:rPr>
                <w:sz w:val="17"/>
                <w:szCs w:val="17"/>
                <w:lang w:val="fr-FR"/>
              </w:rPr>
              <w:t>18</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2150CF" w:rsidRDefault="00D008C9" w:rsidP="002150CF">
            <w:pPr>
              <w:tabs>
                <w:tab w:val="right" w:pos="1080"/>
                <w:tab w:val="left" w:pos="1296"/>
                <w:tab w:val="left" w:pos="1728"/>
                <w:tab w:val="left" w:pos="2160"/>
                <w:tab w:val="left" w:pos="2592"/>
                <w:tab w:val="left" w:pos="3024"/>
                <w:tab w:val="left" w:pos="3456"/>
                <w:tab w:val="left" w:pos="3888"/>
                <w:tab w:val="right" w:leader="dot" w:pos="8381"/>
              </w:tabs>
              <w:spacing w:before="40" w:after="40"/>
              <w:rPr>
                <w:spacing w:val="60"/>
                <w:sz w:val="17"/>
              </w:rPr>
            </w:pPr>
            <w:r w:rsidRPr="00397012">
              <w:t>Article 5</w:t>
            </w:r>
            <w:r w:rsidRPr="00397012">
              <w:tab/>
            </w:r>
            <w:r w:rsidR="002150CF">
              <w:tab/>
            </w:r>
            <w:r w:rsidR="002150CF">
              <w:tab/>
            </w:r>
            <w:r w:rsidRPr="00397012">
              <w:t>L</w:t>
            </w:r>
            <w:r w:rsidR="00CE0D20">
              <w:t>’</w:t>
            </w:r>
            <w:r w:rsidRPr="00397012">
              <w:t>élimination des préjugés et stéréotypes</w:t>
            </w:r>
            <w:r w:rsidR="002150CF">
              <w:rPr>
                <w:spacing w:val="60"/>
                <w:sz w:val="17"/>
              </w:rPr>
              <w:tab/>
            </w:r>
            <w:r w:rsidR="002150CF">
              <w:rPr>
                <w:spacing w:val="60"/>
                <w:sz w:val="17"/>
              </w:rPr>
              <w:tab/>
            </w:r>
          </w:p>
        </w:tc>
        <w:tc>
          <w:tcPr>
            <w:tcW w:w="630" w:type="dxa"/>
            <w:shd w:val="clear" w:color="auto" w:fill="auto"/>
            <w:vAlign w:val="bottom"/>
          </w:tcPr>
          <w:p w:rsidR="00D008C9" w:rsidRPr="00605A86" w:rsidRDefault="002150CF" w:rsidP="002150CF">
            <w:pPr>
              <w:spacing w:before="40" w:after="40"/>
              <w:ind w:right="43"/>
              <w:jc w:val="right"/>
              <w:rPr>
                <w:sz w:val="17"/>
                <w:szCs w:val="17"/>
                <w:lang w:val="fr-FR"/>
              </w:rPr>
            </w:pPr>
            <w:r>
              <w:rPr>
                <w:sz w:val="17"/>
                <w:szCs w:val="17"/>
                <w:lang w:val="fr-FR"/>
              </w:rPr>
              <w:t>19</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2150CF" w:rsidRDefault="00D008C9" w:rsidP="002150CF">
            <w:pPr>
              <w:tabs>
                <w:tab w:val="right" w:pos="1080"/>
                <w:tab w:val="left" w:pos="1296"/>
                <w:tab w:val="left" w:pos="1728"/>
                <w:tab w:val="left" w:pos="2160"/>
                <w:tab w:val="left" w:pos="2592"/>
                <w:tab w:val="left" w:pos="3024"/>
                <w:tab w:val="left" w:pos="3456"/>
                <w:tab w:val="left" w:pos="3888"/>
                <w:tab w:val="right" w:leader="dot" w:pos="8381"/>
              </w:tabs>
              <w:spacing w:before="40" w:after="40"/>
              <w:rPr>
                <w:spacing w:val="60"/>
                <w:sz w:val="17"/>
              </w:rPr>
            </w:pPr>
            <w:r w:rsidRPr="00397012">
              <w:t>Article 6</w:t>
            </w:r>
            <w:r w:rsidRPr="00397012">
              <w:tab/>
            </w:r>
            <w:r w:rsidR="002150CF">
              <w:tab/>
            </w:r>
            <w:r w:rsidR="002150CF">
              <w:tab/>
            </w:r>
            <w:r w:rsidRPr="00397012">
              <w:t>La traite des femmes et la prostitution</w:t>
            </w:r>
            <w:r w:rsidR="002150CF">
              <w:rPr>
                <w:spacing w:val="60"/>
                <w:sz w:val="17"/>
              </w:rPr>
              <w:tab/>
            </w:r>
          </w:p>
        </w:tc>
        <w:tc>
          <w:tcPr>
            <w:tcW w:w="630" w:type="dxa"/>
            <w:shd w:val="clear" w:color="auto" w:fill="auto"/>
            <w:vAlign w:val="bottom"/>
          </w:tcPr>
          <w:p w:rsidR="00D008C9" w:rsidRPr="003A6412" w:rsidRDefault="002150CF" w:rsidP="002150CF">
            <w:pPr>
              <w:spacing w:before="40" w:after="40"/>
              <w:jc w:val="right"/>
              <w:rPr>
                <w:lang w:val="fr-FR"/>
              </w:rPr>
            </w:pPr>
            <w:r>
              <w:rPr>
                <w:lang w:val="fr-FR"/>
              </w:rPr>
              <w:t>29</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2150CF" w:rsidRDefault="00D008C9" w:rsidP="002150CF">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40"/>
              <w:rPr>
                <w:spacing w:val="60"/>
                <w:sz w:val="17"/>
              </w:rPr>
            </w:pPr>
            <w:r w:rsidRPr="00397012">
              <w:t>Article 7</w:t>
            </w:r>
            <w:r w:rsidRPr="00397012">
              <w:tab/>
            </w:r>
            <w:r w:rsidR="002150CF">
              <w:tab/>
            </w:r>
            <w:r w:rsidR="002150CF">
              <w:tab/>
            </w:r>
            <w:r w:rsidRPr="00397012">
              <w:t>Les femmes dans la vie publique et politique</w:t>
            </w:r>
            <w:r w:rsidR="002150CF">
              <w:rPr>
                <w:spacing w:val="60"/>
                <w:sz w:val="17"/>
              </w:rPr>
              <w:tab/>
            </w:r>
            <w:r w:rsidR="002150CF">
              <w:rPr>
                <w:spacing w:val="60"/>
                <w:sz w:val="17"/>
              </w:rPr>
              <w:tab/>
            </w:r>
          </w:p>
        </w:tc>
        <w:tc>
          <w:tcPr>
            <w:tcW w:w="630" w:type="dxa"/>
            <w:shd w:val="clear" w:color="auto" w:fill="auto"/>
            <w:vAlign w:val="bottom"/>
          </w:tcPr>
          <w:p w:rsidR="00D008C9" w:rsidRPr="003A6412" w:rsidRDefault="002150CF" w:rsidP="002150CF">
            <w:pPr>
              <w:spacing w:before="40" w:after="40"/>
              <w:jc w:val="right"/>
              <w:rPr>
                <w:lang w:val="fr-FR"/>
              </w:rPr>
            </w:pPr>
            <w:r>
              <w:rPr>
                <w:lang w:val="fr-FR"/>
              </w:rPr>
              <w:t>32</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2150CF" w:rsidRDefault="00D008C9" w:rsidP="002150CF">
            <w:pPr>
              <w:tabs>
                <w:tab w:val="right" w:pos="1080"/>
                <w:tab w:val="left" w:pos="1296"/>
                <w:tab w:val="left" w:pos="1728"/>
                <w:tab w:val="left" w:pos="2160"/>
                <w:tab w:val="left" w:pos="2592"/>
                <w:tab w:val="left" w:pos="3024"/>
                <w:tab w:val="left" w:pos="3456"/>
                <w:tab w:val="left" w:pos="3888"/>
                <w:tab w:val="right" w:leader="dot" w:pos="8381"/>
              </w:tabs>
              <w:spacing w:before="40" w:after="40"/>
              <w:rPr>
                <w:spacing w:val="60"/>
                <w:sz w:val="17"/>
              </w:rPr>
            </w:pPr>
            <w:r w:rsidRPr="00397012">
              <w:t>Article 8</w:t>
            </w:r>
            <w:r w:rsidRPr="00397012">
              <w:tab/>
            </w:r>
            <w:r w:rsidR="002150CF">
              <w:tab/>
            </w:r>
            <w:r w:rsidR="002150CF">
              <w:tab/>
            </w:r>
            <w:r w:rsidRPr="00397012">
              <w:t xml:space="preserve">Les femmes en tant que représentantes du gouvernement dans les </w:t>
            </w:r>
            <w:r w:rsidR="002150CF">
              <w:tab/>
            </w:r>
            <w:r w:rsidR="002150CF">
              <w:br/>
            </w:r>
            <w:r w:rsidR="002150CF">
              <w:tab/>
            </w:r>
            <w:r w:rsidR="002150CF">
              <w:tab/>
            </w:r>
            <w:r w:rsidR="002150CF">
              <w:tab/>
            </w:r>
            <w:r w:rsidRPr="00397012">
              <w:t>organisations internationales et dans la carrière diplomatique</w:t>
            </w:r>
            <w:r w:rsidR="002150CF">
              <w:rPr>
                <w:spacing w:val="60"/>
                <w:sz w:val="17"/>
              </w:rPr>
              <w:tab/>
            </w:r>
          </w:p>
        </w:tc>
        <w:tc>
          <w:tcPr>
            <w:tcW w:w="630" w:type="dxa"/>
            <w:shd w:val="clear" w:color="auto" w:fill="auto"/>
            <w:vAlign w:val="bottom"/>
          </w:tcPr>
          <w:p w:rsidR="00D008C9" w:rsidRPr="003A6412" w:rsidRDefault="002150CF" w:rsidP="002150CF">
            <w:pPr>
              <w:spacing w:before="40" w:after="40"/>
              <w:jc w:val="right"/>
              <w:rPr>
                <w:lang w:val="fr-FR"/>
              </w:rPr>
            </w:pPr>
            <w:r>
              <w:rPr>
                <w:lang w:val="fr-FR"/>
              </w:rPr>
              <w:t>37</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2150CF" w:rsidRDefault="00D008C9" w:rsidP="002150CF">
            <w:pPr>
              <w:tabs>
                <w:tab w:val="right" w:pos="1080"/>
                <w:tab w:val="left" w:pos="1296"/>
                <w:tab w:val="left" w:pos="1728"/>
                <w:tab w:val="left" w:pos="2160"/>
                <w:tab w:val="right" w:leader="dot" w:pos="8381"/>
              </w:tabs>
              <w:spacing w:before="40" w:after="40"/>
              <w:rPr>
                <w:spacing w:val="60"/>
                <w:sz w:val="17"/>
              </w:rPr>
            </w:pPr>
            <w:r w:rsidRPr="00397012">
              <w:t>Article 9</w:t>
            </w:r>
            <w:r w:rsidRPr="00397012">
              <w:tab/>
            </w:r>
            <w:r w:rsidR="002150CF">
              <w:tab/>
            </w:r>
            <w:r w:rsidR="002150CF">
              <w:tab/>
            </w:r>
            <w:r w:rsidRPr="00397012">
              <w:t>La citoyenneté</w:t>
            </w:r>
            <w:r w:rsidR="002150CF">
              <w:rPr>
                <w:spacing w:val="60"/>
                <w:sz w:val="17"/>
              </w:rPr>
              <w:tab/>
            </w:r>
            <w:r w:rsidR="002150CF">
              <w:rPr>
                <w:spacing w:val="60"/>
                <w:sz w:val="17"/>
              </w:rPr>
              <w:tab/>
            </w:r>
          </w:p>
        </w:tc>
        <w:tc>
          <w:tcPr>
            <w:tcW w:w="630" w:type="dxa"/>
            <w:shd w:val="clear" w:color="auto" w:fill="auto"/>
            <w:vAlign w:val="bottom"/>
          </w:tcPr>
          <w:p w:rsidR="00D008C9" w:rsidRPr="003A6412" w:rsidRDefault="002150CF" w:rsidP="002150CF">
            <w:pPr>
              <w:spacing w:before="40" w:after="40"/>
              <w:jc w:val="right"/>
              <w:rPr>
                <w:lang w:val="fr-FR"/>
              </w:rPr>
            </w:pPr>
            <w:r>
              <w:rPr>
                <w:lang w:val="fr-FR"/>
              </w:rPr>
              <w:t>37</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2150CF" w:rsidRDefault="00D008C9" w:rsidP="002150CF">
            <w:pPr>
              <w:tabs>
                <w:tab w:val="right" w:pos="1080"/>
                <w:tab w:val="left" w:pos="1296"/>
                <w:tab w:val="left" w:pos="1728"/>
                <w:tab w:val="right" w:leader="dot" w:pos="8381"/>
              </w:tabs>
              <w:spacing w:before="40" w:after="40"/>
              <w:rPr>
                <w:spacing w:val="60"/>
                <w:sz w:val="17"/>
              </w:rPr>
            </w:pPr>
            <w:r w:rsidRPr="00397012">
              <w:t>Article 10</w:t>
            </w:r>
            <w:r w:rsidRPr="00397012">
              <w:tab/>
            </w:r>
            <w:r w:rsidR="002150CF">
              <w:tab/>
            </w:r>
            <w:r w:rsidR="002150CF">
              <w:tab/>
            </w:r>
            <w:r w:rsidRPr="00397012">
              <w:t>L</w:t>
            </w:r>
            <w:r w:rsidR="00CE0D20">
              <w:t>’</w:t>
            </w:r>
            <w:r w:rsidRPr="00397012">
              <w:t>éducation</w:t>
            </w:r>
            <w:r w:rsidR="002150CF">
              <w:rPr>
                <w:spacing w:val="60"/>
                <w:sz w:val="17"/>
              </w:rPr>
              <w:tab/>
            </w:r>
          </w:p>
        </w:tc>
        <w:tc>
          <w:tcPr>
            <w:tcW w:w="630" w:type="dxa"/>
            <w:shd w:val="clear" w:color="auto" w:fill="auto"/>
            <w:vAlign w:val="bottom"/>
          </w:tcPr>
          <w:p w:rsidR="00D008C9" w:rsidRPr="003A6412" w:rsidRDefault="002150CF" w:rsidP="002150CF">
            <w:pPr>
              <w:spacing w:before="40" w:after="40"/>
              <w:jc w:val="right"/>
              <w:rPr>
                <w:lang w:val="fr-FR"/>
              </w:rPr>
            </w:pPr>
            <w:r>
              <w:rPr>
                <w:lang w:val="fr-FR"/>
              </w:rPr>
              <w:t>38</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2150CF" w:rsidRDefault="00D008C9" w:rsidP="00223AA4">
            <w:pPr>
              <w:tabs>
                <w:tab w:val="right" w:pos="1080"/>
                <w:tab w:val="left" w:pos="1296"/>
                <w:tab w:val="left" w:pos="1730"/>
                <w:tab w:val="right" w:leader="dot" w:pos="8381"/>
              </w:tabs>
              <w:spacing w:before="40" w:after="40"/>
              <w:rPr>
                <w:spacing w:val="60"/>
                <w:sz w:val="17"/>
              </w:rPr>
            </w:pPr>
            <w:r w:rsidRPr="00397012">
              <w:t>Article 11</w:t>
            </w:r>
            <w:r w:rsidRPr="00397012">
              <w:tab/>
            </w:r>
            <w:r w:rsidR="002150CF">
              <w:tab/>
            </w:r>
            <w:r w:rsidR="00223AA4">
              <w:tab/>
            </w:r>
            <w:r w:rsidRPr="00397012">
              <w:t>L</w:t>
            </w:r>
            <w:r w:rsidR="00CE0D20">
              <w:t>’</w:t>
            </w:r>
            <w:r w:rsidRPr="00397012">
              <w:t>emploi</w:t>
            </w:r>
            <w:r w:rsidR="002150CF">
              <w:rPr>
                <w:spacing w:val="60"/>
                <w:sz w:val="17"/>
              </w:rPr>
              <w:tab/>
            </w:r>
          </w:p>
        </w:tc>
        <w:tc>
          <w:tcPr>
            <w:tcW w:w="630" w:type="dxa"/>
            <w:shd w:val="clear" w:color="auto" w:fill="auto"/>
            <w:vAlign w:val="bottom"/>
          </w:tcPr>
          <w:p w:rsidR="00D008C9" w:rsidRPr="003A6412" w:rsidRDefault="002150CF" w:rsidP="002150CF">
            <w:pPr>
              <w:spacing w:before="40" w:after="40"/>
              <w:jc w:val="right"/>
              <w:rPr>
                <w:lang w:val="fr-FR"/>
              </w:rPr>
            </w:pPr>
            <w:r>
              <w:rPr>
                <w:lang w:val="fr-FR"/>
              </w:rPr>
              <w:t>41</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2150CF" w:rsidRDefault="00D008C9" w:rsidP="002150CF">
            <w:pPr>
              <w:tabs>
                <w:tab w:val="right" w:pos="1080"/>
                <w:tab w:val="left" w:pos="1296"/>
                <w:tab w:val="left" w:pos="1728"/>
                <w:tab w:val="left" w:pos="2160"/>
                <w:tab w:val="left" w:pos="2592"/>
                <w:tab w:val="right" w:leader="dot" w:pos="8381"/>
              </w:tabs>
              <w:spacing w:before="40" w:after="40"/>
              <w:rPr>
                <w:spacing w:val="60"/>
                <w:sz w:val="17"/>
              </w:rPr>
            </w:pPr>
            <w:r w:rsidRPr="00397012">
              <w:t>Article 12</w:t>
            </w:r>
            <w:r w:rsidRPr="00397012">
              <w:tab/>
            </w:r>
            <w:r w:rsidR="00223AA4">
              <w:tab/>
            </w:r>
            <w:r w:rsidR="00223AA4">
              <w:tab/>
            </w:r>
            <w:r w:rsidRPr="00397012">
              <w:t>La santé des femmes</w:t>
            </w:r>
            <w:r w:rsidR="002150CF">
              <w:rPr>
                <w:spacing w:val="60"/>
                <w:sz w:val="17"/>
              </w:rPr>
              <w:tab/>
            </w:r>
          </w:p>
        </w:tc>
        <w:tc>
          <w:tcPr>
            <w:tcW w:w="630" w:type="dxa"/>
            <w:shd w:val="clear" w:color="auto" w:fill="auto"/>
            <w:vAlign w:val="bottom"/>
          </w:tcPr>
          <w:p w:rsidR="00D008C9" w:rsidRPr="003A6412" w:rsidRDefault="002150CF" w:rsidP="002150CF">
            <w:pPr>
              <w:spacing w:before="40" w:after="40"/>
              <w:jc w:val="right"/>
              <w:rPr>
                <w:lang w:val="fr-FR"/>
              </w:rPr>
            </w:pPr>
            <w:r>
              <w:rPr>
                <w:lang w:val="fr-FR"/>
              </w:rPr>
              <w:t>49</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2150CF" w:rsidRDefault="00D008C9" w:rsidP="002150C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before="40" w:after="40"/>
              <w:rPr>
                <w:spacing w:val="60"/>
                <w:sz w:val="17"/>
              </w:rPr>
            </w:pPr>
            <w:r w:rsidRPr="00397012">
              <w:t>Article 13</w:t>
            </w:r>
            <w:r w:rsidRPr="00397012">
              <w:tab/>
            </w:r>
            <w:r w:rsidR="00223AA4">
              <w:tab/>
            </w:r>
            <w:r w:rsidR="00223AA4">
              <w:tab/>
            </w:r>
            <w:r w:rsidRPr="00397012">
              <w:t>Les autres secteurs de la vie économique et sociale</w:t>
            </w:r>
            <w:r w:rsidR="002150CF">
              <w:rPr>
                <w:spacing w:val="60"/>
                <w:sz w:val="17"/>
              </w:rPr>
              <w:tab/>
            </w:r>
          </w:p>
        </w:tc>
        <w:tc>
          <w:tcPr>
            <w:tcW w:w="630" w:type="dxa"/>
            <w:shd w:val="clear" w:color="auto" w:fill="auto"/>
            <w:vAlign w:val="bottom"/>
          </w:tcPr>
          <w:p w:rsidR="00D008C9" w:rsidRPr="003A6412" w:rsidRDefault="002150CF" w:rsidP="002150CF">
            <w:pPr>
              <w:spacing w:before="40" w:after="40"/>
              <w:jc w:val="right"/>
              <w:rPr>
                <w:lang w:val="fr-FR"/>
              </w:rPr>
            </w:pPr>
            <w:r>
              <w:rPr>
                <w:lang w:val="fr-FR"/>
              </w:rPr>
              <w:t>56</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2150CF" w:rsidRDefault="00D008C9" w:rsidP="002150CF">
            <w:pPr>
              <w:tabs>
                <w:tab w:val="right" w:pos="1080"/>
                <w:tab w:val="left" w:pos="1296"/>
                <w:tab w:val="left" w:pos="1728"/>
                <w:tab w:val="left" w:pos="2160"/>
                <w:tab w:val="left" w:pos="2592"/>
                <w:tab w:val="right" w:leader="dot" w:pos="8381"/>
              </w:tabs>
              <w:spacing w:before="40" w:after="40"/>
              <w:rPr>
                <w:spacing w:val="60"/>
                <w:sz w:val="17"/>
              </w:rPr>
            </w:pPr>
            <w:r w:rsidRPr="00397012">
              <w:t>Article 14</w:t>
            </w:r>
            <w:r w:rsidRPr="00397012">
              <w:tab/>
            </w:r>
            <w:r w:rsidR="00223AA4">
              <w:tab/>
            </w:r>
            <w:r w:rsidR="00223AA4">
              <w:tab/>
            </w:r>
            <w:r w:rsidRPr="00397012">
              <w:t>Les femmes rurales</w:t>
            </w:r>
            <w:r w:rsidR="002150CF">
              <w:rPr>
                <w:spacing w:val="60"/>
                <w:sz w:val="17"/>
              </w:rPr>
              <w:tab/>
            </w:r>
            <w:r w:rsidR="002150CF">
              <w:rPr>
                <w:spacing w:val="60"/>
                <w:sz w:val="17"/>
              </w:rPr>
              <w:tab/>
            </w:r>
          </w:p>
        </w:tc>
        <w:tc>
          <w:tcPr>
            <w:tcW w:w="630" w:type="dxa"/>
            <w:shd w:val="clear" w:color="auto" w:fill="auto"/>
            <w:vAlign w:val="bottom"/>
          </w:tcPr>
          <w:p w:rsidR="00D008C9" w:rsidRPr="003A6412" w:rsidRDefault="002150CF" w:rsidP="002150CF">
            <w:pPr>
              <w:spacing w:before="40" w:after="40"/>
              <w:jc w:val="right"/>
              <w:rPr>
                <w:lang w:val="fr-FR"/>
              </w:rPr>
            </w:pPr>
            <w:r>
              <w:rPr>
                <w:lang w:val="fr-FR"/>
              </w:rPr>
              <w:t>58</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2150CF" w:rsidRDefault="00D008C9" w:rsidP="002150CF">
            <w:pPr>
              <w:tabs>
                <w:tab w:val="right" w:pos="1080"/>
                <w:tab w:val="left" w:pos="1296"/>
                <w:tab w:val="left" w:pos="1728"/>
                <w:tab w:val="left" w:pos="2160"/>
                <w:tab w:val="left" w:pos="2592"/>
                <w:tab w:val="right" w:leader="dot" w:pos="8381"/>
              </w:tabs>
              <w:spacing w:before="40" w:after="40"/>
              <w:rPr>
                <w:spacing w:val="60"/>
                <w:sz w:val="17"/>
              </w:rPr>
            </w:pPr>
            <w:r w:rsidRPr="00397012">
              <w:t>Article 15</w:t>
            </w:r>
            <w:r w:rsidRPr="00397012">
              <w:tab/>
            </w:r>
            <w:r w:rsidR="00223AA4">
              <w:tab/>
            </w:r>
            <w:r w:rsidR="00223AA4">
              <w:tab/>
            </w:r>
            <w:r w:rsidRPr="00397012">
              <w:t>L</w:t>
            </w:r>
            <w:r w:rsidR="00CE0D20">
              <w:t>’</w:t>
            </w:r>
            <w:r w:rsidRPr="00397012">
              <w:t>égalité devant la loi</w:t>
            </w:r>
            <w:r w:rsidR="002150CF">
              <w:rPr>
                <w:spacing w:val="60"/>
                <w:sz w:val="17"/>
              </w:rPr>
              <w:tab/>
            </w:r>
          </w:p>
        </w:tc>
        <w:tc>
          <w:tcPr>
            <w:tcW w:w="630" w:type="dxa"/>
            <w:shd w:val="clear" w:color="auto" w:fill="auto"/>
            <w:vAlign w:val="bottom"/>
          </w:tcPr>
          <w:p w:rsidR="00D008C9" w:rsidRPr="003A6412" w:rsidRDefault="002150CF" w:rsidP="002150CF">
            <w:pPr>
              <w:spacing w:before="40" w:after="40"/>
              <w:jc w:val="right"/>
              <w:rPr>
                <w:lang w:val="fr-FR"/>
              </w:rPr>
            </w:pPr>
            <w:r>
              <w:rPr>
                <w:lang w:val="fr-FR"/>
              </w:rPr>
              <w:t>60</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2150CF" w:rsidRDefault="00D008C9" w:rsidP="002150CF">
            <w:pPr>
              <w:tabs>
                <w:tab w:val="right" w:pos="1080"/>
                <w:tab w:val="left" w:pos="1296"/>
                <w:tab w:val="left" w:pos="1728"/>
                <w:tab w:val="left" w:pos="2160"/>
                <w:tab w:val="left" w:pos="2592"/>
                <w:tab w:val="left" w:pos="3024"/>
                <w:tab w:val="left" w:pos="3456"/>
                <w:tab w:val="left" w:pos="3888"/>
                <w:tab w:val="right" w:leader="dot" w:pos="8381"/>
              </w:tabs>
              <w:spacing w:before="40" w:after="40"/>
              <w:rPr>
                <w:spacing w:val="60"/>
                <w:sz w:val="17"/>
              </w:rPr>
            </w:pPr>
            <w:r w:rsidRPr="00397012">
              <w:t>Article 16</w:t>
            </w:r>
            <w:r w:rsidRPr="00397012">
              <w:tab/>
            </w:r>
            <w:r w:rsidR="00223AA4">
              <w:tab/>
            </w:r>
            <w:r w:rsidR="00223AA4">
              <w:tab/>
            </w:r>
            <w:r w:rsidRPr="00397012">
              <w:t>Le mariage et les rapports familiaux</w:t>
            </w:r>
            <w:r w:rsidR="002150CF">
              <w:rPr>
                <w:spacing w:val="60"/>
                <w:sz w:val="17"/>
              </w:rPr>
              <w:tab/>
            </w:r>
          </w:p>
        </w:tc>
        <w:tc>
          <w:tcPr>
            <w:tcW w:w="630" w:type="dxa"/>
            <w:shd w:val="clear" w:color="auto" w:fill="auto"/>
            <w:vAlign w:val="bottom"/>
          </w:tcPr>
          <w:p w:rsidR="00D008C9" w:rsidRPr="003A6412" w:rsidRDefault="002150CF" w:rsidP="002150CF">
            <w:pPr>
              <w:spacing w:before="40" w:after="40"/>
              <w:jc w:val="right"/>
              <w:rPr>
                <w:lang w:val="fr-FR"/>
              </w:rPr>
            </w:pPr>
            <w:r>
              <w:rPr>
                <w:lang w:val="fr-FR"/>
              </w:rPr>
              <w:t>60</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2150CF" w:rsidRDefault="00D008C9" w:rsidP="002150CF">
            <w:pPr>
              <w:tabs>
                <w:tab w:val="right" w:pos="1080"/>
                <w:tab w:val="left" w:pos="1296"/>
                <w:tab w:val="left" w:pos="1728"/>
                <w:tab w:val="left" w:pos="2160"/>
                <w:tab w:val="left" w:pos="2592"/>
                <w:tab w:val="right" w:leader="dot" w:pos="8381"/>
              </w:tabs>
              <w:spacing w:before="40" w:after="40"/>
              <w:rPr>
                <w:b/>
                <w:spacing w:val="60"/>
                <w:sz w:val="17"/>
              </w:rPr>
            </w:pPr>
            <w:r w:rsidRPr="002150CF">
              <w:rPr>
                <w:b/>
              </w:rPr>
              <w:t>Annexe 1 :</w:t>
            </w:r>
            <w:r w:rsidRPr="002150CF">
              <w:rPr>
                <w:b/>
              </w:rPr>
              <w:tab/>
              <w:t>Références juridiques</w:t>
            </w:r>
            <w:r w:rsidR="002150CF" w:rsidRPr="002150CF">
              <w:rPr>
                <w:b/>
                <w:spacing w:val="60"/>
                <w:sz w:val="17"/>
              </w:rPr>
              <w:tab/>
            </w:r>
          </w:p>
        </w:tc>
        <w:tc>
          <w:tcPr>
            <w:tcW w:w="630" w:type="dxa"/>
            <w:shd w:val="clear" w:color="auto" w:fill="auto"/>
            <w:vAlign w:val="bottom"/>
          </w:tcPr>
          <w:p w:rsidR="00D008C9" w:rsidRPr="003A6412" w:rsidRDefault="002150CF" w:rsidP="002150CF">
            <w:pPr>
              <w:spacing w:before="40" w:after="40"/>
              <w:jc w:val="right"/>
              <w:rPr>
                <w:lang w:val="fr-FR"/>
              </w:rPr>
            </w:pPr>
            <w:r>
              <w:rPr>
                <w:lang w:val="fr-FR"/>
              </w:rPr>
              <w:t>63</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2150CF" w:rsidRDefault="00164199" w:rsidP="002150CF">
            <w:pPr>
              <w:tabs>
                <w:tab w:val="right" w:pos="1080"/>
                <w:tab w:val="left" w:pos="1296"/>
                <w:tab w:val="left" w:pos="1728"/>
                <w:tab w:val="left" w:pos="2160"/>
                <w:tab w:val="left" w:pos="2592"/>
                <w:tab w:val="left" w:pos="3024"/>
                <w:tab w:val="left" w:pos="3456"/>
                <w:tab w:val="right" w:leader="dot" w:pos="8381"/>
              </w:tabs>
              <w:spacing w:before="40" w:after="40"/>
              <w:rPr>
                <w:spacing w:val="60"/>
                <w:sz w:val="17"/>
              </w:rPr>
            </w:pPr>
            <w:r>
              <w:rPr>
                <w:b/>
                <w:bCs/>
              </w:rPr>
              <w:t>Annexe 2 :</w:t>
            </w:r>
            <w:r>
              <w:rPr>
                <w:b/>
                <w:bCs/>
              </w:rPr>
              <w:tab/>
              <w:t>Tableaux (données statistiques)</w:t>
            </w:r>
            <w:r w:rsidR="002150CF">
              <w:rPr>
                <w:b/>
                <w:bCs/>
                <w:spacing w:val="60"/>
                <w:sz w:val="17"/>
              </w:rPr>
              <w:tab/>
            </w:r>
            <w:r w:rsidR="002150CF">
              <w:rPr>
                <w:b/>
                <w:bCs/>
                <w:spacing w:val="60"/>
                <w:sz w:val="17"/>
              </w:rPr>
              <w:tab/>
            </w:r>
          </w:p>
        </w:tc>
        <w:tc>
          <w:tcPr>
            <w:tcW w:w="630" w:type="dxa"/>
            <w:shd w:val="clear" w:color="auto" w:fill="auto"/>
            <w:vAlign w:val="bottom"/>
          </w:tcPr>
          <w:p w:rsidR="00D008C9" w:rsidRPr="003A6412" w:rsidRDefault="002150CF" w:rsidP="002150CF">
            <w:pPr>
              <w:spacing w:before="40" w:after="40"/>
              <w:jc w:val="right"/>
              <w:rPr>
                <w:lang w:val="fr-FR"/>
              </w:rPr>
            </w:pPr>
            <w:r>
              <w:rPr>
                <w:lang w:val="fr-FR"/>
              </w:rPr>
              <w:t>66</w:t>
            </w:r>
          </w:p>
        </w:tc>
      </w:tr>
      <w:tr w:rsidR="00D008C9" w:rsidRPr="003A6412">
        <w:tblPrEx>
          <w:tblCellMar>
            <w:top w:w="0" w:type="dxa"/>
            <w:bottom w:w="0" w:type="dxa"/>
          </w:tblCellMar>
        </w:tblPrEx>
        <w:tc>
          <w:tcPr>
            <w:tcW w:w="1060" w:type="dxa"/>
            <w:shd w:val="clear" w:color="auto" w:fill="auto"/>
          </w:tcPr>
          <w:p w:rsidR="00D008C9" w:rsidRPr="003A6412" w:rsidRDefault="00D008C9" w:rsidP="00B11001">
            <w:pPr>
              <w:spacing w:before="40" w:after="40"/>
              <w:rPr>
                <w:lang w:val="fr-FR"/>
              </w:rPr>
            </w:pPr>
          </w:p>
        </w:tc>
        <w:tc>
          <w:tcPr>
            <w:tcW w:w="8030" w:type="dxa"/>
            <w:shd w:val="clear" w:color="auto" w:fill="auto"/>
          </w:tcPr>
          <w:p w:rsidR="00D008C9" w:rsidRPr="00397012" w:rsidRDefault="00D008C9" w:rsidP="00B11001">
            <w:pPr>
              <w:spacing w:before="40" w:after="40"/>
            </w:pPr>
          </w:p>
        </w:tc>
        <w:tc>
          <w:tcPr>
            <w:tcW w:w="630" w:type="dxa"/>
            <w:shd w:val="clear" w:color="auto" w:fill="auto"/>
          </w:tcPr>
          <w:p w:rsidR="00D008C9" w:rsidRPr="003A6412" w:rsidRDefault="00D008C9" w:rsidP="00B11001">
            <w:pPr>
              <w:spacing w:before="40" w:after="40"/>
              <w:rPr>
                <w:lang w:val="fr-FR"/>
              </w:rPr>
            </w:pPr>
          </w:p>
        </w:tc>
      </w:tr>
      <w:tr w:rsidR="00D008C9" w:rsidRPr="003A6412">
        <w:tblPrEx>
          <w:tblCellMar>
            <w:top w:w="0" w:type="dxa"/>
            <w:bottom w:w="0" w:type="dxa"/>
          </w:tblCellMar>
        </w:tblPrEx>
        <w:tc>
          <w:tcPr>
            <w:tcW w:w="1060" w:type="dxa"/>
            <w:shd w:val="clear" w:color="auto" w:fill="auto"/>
          </w:tcPr>
          <w:p w:rsidR="00D008C9" w:rsidRPr="003A6412" w:rsidRDefault="00D008C9" w:rsidP="003A6412">
            <w:pPr>
              <w:rPr>
                <w:lang w:val="fr-FR"/>
              </w:rPr>
            </w:pPr>
          </w:p>
        </w:tc>
        <w:tc>
          <w:tcPr>
            <w:tcW w:w="8030" w:type="dxa"/>
            <w:shd w:val="clear" w:color="auto" w:fill="auto"/>
          </w:tcPr>
          <w:p w:rsidR="00D008C9" w:rsidRPr="00397012" w:rsidRDefault="00D008C9" w:rsidP="00CE0D20"/>
        </w:tc>
        <w:tc>
          <w:tcPr>
            <w:tcW w:w="630" w:type="dxa"/>
            <w:shd w:val="clear" w:color="auto" w:fill="auto"/>
          </w:tcPr>
          <w:p w:rsidR="00D008C9" w:rsidRPr="003A6412" w:rsidRDefault="00D008C9" w:rsidP="003A6412">
            <w:pPr>
              <w:rPr>
                <w:lang w:val="fr-FR"/>
              </w:rPr>
            </w:pPr>
          </w:p>
        </w:tc>
      </w:tr>
    </w:tbl>
    <w:p w:rsidR="009A2C2B" w:rsidRDefault="009A2C2B" w:rsidP="003A6412">
      <w:pPr>
        <w:rPr>
          <w:lang w:val="fr-FR"/>
        </w:rPr>
      </w:pPr>
    </w:p>
    <w:p w:rsidR="00164199" w:rsidRDefault="009A2C2B" w:rsidP="001641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rsidR="00164199">
        <w:t>Introduction</w:t>
      </w:r>
    </w:p>
    <w:p w:rsidR="00164199" w:rsidRPr="00164199" w:rsidRDefault="00164199" w:rsidP="00164199">
      <w:pPr>
        <w:pStyle w:val="SingleTxt"/>
        <w:spacing w:after="0" w:line="120" w:lineRule="exact"/>
        <w:rPr>
          <w:sz w:val="10"/>
        </w:rPr>
      </w:pPr>
    </w:p>
    <w:p w:rsidR="00164199" w:rsidRPr="00164199" w:rsidRDefault="00164199" w:rsidP="00164199">
      <w:pPr>
        <w:pStyle w:val="SingleTxt"/>
        <w:spacing w:after="0" w:line="120" w:lineRule="exact"/>
        <w:rPr>
          <w:sz w:val="10"/>
        </w:rPr>
      </w:pPr>
    </w:p>
    <w:p w:rsidR="00164199" w:rsidRDefault="00164199" w:rsidP="00164199">
      <w:pPr>
        <w:pStyle w:val="SingleTxt"/>
      </w:pPr>
      <w:r>
        <w:tab/>
        <w:t>En présentant un rapport sur la mise en œuvre des dispositions de la Convention sur l</w:t>
      </w:r>
      <w:r w:rsidR="00CE0D20">
        <w:t>’</w:t>
      </w:r>
      <w:r>
        <w:t>élimination de toutes les formes de discrimination à l</w:t>
      </w:r>
      <w:r w:rsidR="00CE0D20">
        <w:t>’</w:t>
      </w:r>
      <w:r>
        <w:t>égard des femmes, la Slovénie s</w:t>
      </w:r>
      <w:r w:rsidR="00CE0D20">
        <w:t>’</w:t>
      </w:r>
      <w:r>
        <w:t>efforce de respecter les obligations fixées à l</w:t>
      </w:r>
      <w:r w:rsidR="00CE0D20">
        <w:t>’</w:t>
      </w:r>
      <w:r>
        <w:t>article 18 de la Convention, car elle considère que ce travail, soumis à l</w:t>
      </w:r>
      <w:r w:rsidR="00CE0D20">
        <w:t>’</w:t>
      </w:r>
      <w:r>
        <w:t>organe chargé du suivi de ces questions, est l</w:t>
      </w:r>
      <w:r w:rsidR="00CE0D20">
        <w:t>’</w:t>
      </w:r>
      <w:r>
        <w:t>occasion d</w:t>
      </w:r>
      <w:r w:rsidR="00CE0D20">
        <w:t>’</w:t>
      </w:r>
      <w:r>
        <w:t>évaluer – par un tableau d</w:t>
      </w:r>
      <w:r w:rsidR="00CE0D20">
        <w:t>’</w:t>
      </w:r>
      <w:r>
        <w:t>ensemble de la législation, des politiques et des pratiques nationales – les progrès accomplis dans le sens des normes et principes établis par la Convention, mais aussi d</w:t>
      </w:r>
      <w:r w:rsidR="00CE0D20">
        <w:t>’</w:t>
      </w:r>
      <w:r>
        <w:t>identifier les problèmes et obstacles qui empêchent encore les femmes slovènes de jouir totalement de leurs droits civils, politiques, économiques, sociaux et culturels.</w:t>
      </w:r>
    </w:p>
    <w:p w:rsidR="00164199" w:rsidRDefault="00CE0D20" w:rsidP="00164199">
      <w:pPr>
        <w:pStyle w:val="SingleTxt"/>
      </w:pPr>
      <w:r>
        <w:tab/>
      </w:r>
      <w:r w:rsidR="00164199">
        <w:t>Pour l</w:t>
      </w:r>
      <w:r>
        <w:t>’</w:t>
      </w:r>
      <w:r w:rsidR="00164199">
        <w:t>élaboration de ce Quatrième Rapport, les documents suivants ont été pris en compte :</w:t>
      </w:r>
    </w:p>
    <w:p w:rsidR="00164199" w:rsidRDefault="00CE0D20" w:rsidP="00D200A9">
      <w:pPr>
        <w:pStyle w:val="SingleTxt"/>
        <w:numPr>
          <w:ilvl w:val="2"/>
          <w:numId w:val="1"/>
        </w:numPr>
        <w:ind w:left="1742" w:hanging="475"/>
      </w:pPr>
      <w:r>
        <w:t>L</w:t>
      </w:r>
      <w:r w:rsidR="00164199">
        <w:t>es principes directeurs sur la forme et le contenu des rapports – principes adoptés par le Comité pour l</w:t>
      </w:r>
      <w:r>
        <w:t>’</w:t>
      </w:r>
      <w:r w:rsidR="00164199">
        <w:t>élimination de la discrimination à l</w:t>
      </w:r>
      <w:r>
        <w:t>’</w:t>
      </w:r>
      <w:r w:rsidR="00164199">
        <w:t>égard des femmes et applicables à tous les rapports présentés au Comité depuis le 31</w:t>
      </w:r>
      <w:r>
        <w:t> </w:t>
      </w:r>
      <w:r w:rsidR="00164199">
        <w:t>décembre 2002</w:t>
      </w:r>
      <w:r>
        <w:t>;</w:t>
      </w:r>
    </w:p>
    <w:p w:rsidR="00164199" w:rsidRDefault="00CE0D20" w:rsidP="00D200A9">
      <w:pPr>
        <w:pStyle w:val="SingleTxt"/>
        <w:numPr>
          <w:ilvl w:val="2"/>
          <w:numId w:val="1"/>
        </w:numPr>
        <w:ind w:left="1742" w:hanging="475"/>
      </w:pPr>
      <w:r>
        <w:t>L</w:t>
      </w:r>
      <w:r w:rsidR="00164199">
        <w:t>es observations générales du Comité pour l</w:t>
      </w:r>
      <w:r>
        <w:t>’</w:t>
      </w:r>
      <w:r w:rsidR="00164199">
        <w:t>élimination de la discrimination à l</w:t>
      </w:r>
      <w:r>
        <w:t>’</w:t>
      </w:r>
      <w:r w:rsidR="00164199">
        <w:t>égard des femmes concernant des dispositions précises de la Convention</w:t>
      </w:r>
      <w:r>
        <w:t>;</w:t>
      </w:r>
    </w:p>
    <w:p w:rsidR="00164199" w:rsidRDefault="00CE0D20" w:rsidP="00D200A9">
      <w:pPr>
        <w:pStyle w:val="SingleTxt"/>
        <w:numPr>
          <w:ilvl w:val="2"/>
          <w:numId w:val="1"/>
        </w:numPr>
        <w:ind w:left="1742" w:hanging="475"/>
      </w:pPr>
      <w:r>
        <w:t>L</w:t>
      </w:r>
      <w:r w:rsidR="00164199">
        <w:t>e projet de principes directeurs harmonisés sur la présentation de rapports aux organes des Nations Unies chargés de veiller à l</w:t>
      </w:r>
      <w:r>
        <w:t>’</w:t>
      </w:r>
      <w:r w:rsidR="00164199">
        <w:t>application des traités internationaux relatifs aux droits de l</w:t>
      </w:r>
      <w:r>
        <w:t>’</w:t>
      </w:r>
      <w:r w:rsidR="00164199">
        <w:t>homme</w:t>
      </w:r>
      <w:r>
        <w:t>;</w:t>
      </w:r>
    </w:p>
    <w:p w:rsidR="00164199" w:rsidRDefault="00CE0D20" w:rsidP="00D200A9">
      <w:pPr>
        <w:pStyle w:val="SingleTxt"/>
        <w:numPr>
          <w:ilvl w:val="2"/>
          <w:numId w:val="1"/>
        </w:numPr>
        <w:ind w:left="1742" w:hanging="475"/>
      </w:pPr>
      <w:r>
        <w:t>L</w:t>
      </w:r>
      <w:r w:rsidR="00164199">
        <w:t>es principes directeurs d</w:t>
      </w:r>
      <w:r>
        <w:t>’</w:t>
      </w:r>
      <w:r w:rsidR="00164199">
        <w:t>élaboration et de présentation des rapports de la Slovénie, conformément aux Pactes, Conventions et Protocoles des Nations Unies concernant les droits de l</w:t>
      </w:r>
      <w:r>
        <w:t>’</w:t>
      </w:r>
      <w:r w:rsidR="00164199">
        <w:t>homme, et en vue de l</w:t>
      </w:r>
      <w:r>
        <w:t>’</w:t>
      </w:r>
      <w:r w:rsidR="00164199">
        <w:t xml:space="preserve">application des recommandations des organes chargés de contrôler le respect, par les </w:t>
      </w:r>
      <w:r w:rsidR="00221C8A">
        <w:t>États</w:t>
      </w:r>
      <w:r w:rsidR="00164199">
        <w:t xml:space="preserve"> parties, de leurs obligations internationales – principes adoptés par le gouvernement de la République de Slovénie le 3 mars 2005</w:t>
      </w:r>
      <w:r>
        <w:t>;</w:t>
      </w:r>
    </w:p>
    <w:p w:rsidR="00164199" w:rsidRDefault="00CE0D20" w:rsidP="00D200A9">
      <w:pPr>
        <w:pStyle w:val="SingleTxt"/>
        <w:numPr>
          <w:ilvl w:val="2"/>
          <w:numId w:val="1"/>
        </w:numPr>
        <w:ind w:left="1742" w:hanging="475"/>
      </w:pPr>
      <w:r>
        <w:t>L</w:t>
      </w:r>
      <w:r w:rsidR="00164199">
        <w:t>es recommandations contenues dans les conclusions du Comité pour l</w:t>
      </w:r>
      <w:r>
        <w:t>’</w:t>
      </w:r>
      <w:r w:rsidR="00164199">
        <w:t>élimination de la discrimination à l</w:t>
      </w:r>
      <w:r>
        <w:t>’</w:t>
      </w:r>
      <w:r w:rsidR="00164199">
        <w:t xml:space="preserve">égard des femmes, qui a examiné les deuxième et troisième rapports périodiques de la Slovénie lors de sa vingt-neuvième session (le 10 juillet 2003 très précisément). </w:t>
      </w:r>
    </w:p>
    <w:p w:rsidR="00164199" w:rsidRDefault="00CE0D20" w:rsidP="00164199">
      <w:pPr>
        <w:pStyle w:val="SingleTxt"/>
      </w:pPr>
      <w:r>
        <w:tab/>
      </w:r>
      <w:r w:rsidR="00164199">
        <w:t>Le présent rapport établit notamment les nouveaux éléments intervenus, en matière d</w:t>
      </w:r>
      <w:r>
        <w:t>’</w:t>
      </w:r>
      <w:r w:rsidR="00164199">
        <w:t>application des dispositions de la Convention, dans la période qui a suivi la présentation du rapport précédent (en décembre 2002), et fournit également les informations et données requises par le Comité lors de l</w:t>
      </w:r>
      <w:r>
        <w:t>’</w:t>
      </w:r>
      <w:r w:rsidR="00164199">
        <w:t>examen des deuxième et troisième rapports périodiques de la Slovénie. Ont participé à l</w:t>
      </w:r>
      <w:r>
        <w:t>’</w:t>
      </w:r>
      <w:r w:rsidR="00164199">
        <w:t>élaboration du présent rapport tous les ministères et administrations publiques concernés</w:t>
      </w:r>
      <w:r>
        <w:t>;</w:t>
      </w:r>
      <w:r w:rsidR="00164199">
        <w:t xml:space="preserve"> mais on a également demandé aux ONG opérant dans les domaines couverts par la Convention de donner leur avis et de soumettre des propositions susceptibles de compléter ou de modifier le contenu du rapport.</w:t>
      </w:r>
    </w:p>
    <w:p w:rsidR="00164199" w:rsidRDefault="00CE0D20" w:rsidP="00164199">
      <w:pPr>
        <w:pStyle w:val="SingleTxt"/>
      </w:pPr>
      <w:r>
        <w:tab/>
      </w:r>
      <w:r w:rsidR="00164199">
        <w:t>La délégation de la République de Slovénie a présenté au grand public – dans le cadre d</w:t>
      </w:r>
      <w:r>
        <w:t>’</w:t>
      </w:r>
      <w:r w:rsidR="00164199">
        <w:t>une conférence de presse – l</w:t>
      </w:r>
      <w:r>
        <w:t>’</w:t>
      </w:r>
      <w:r w:rsidR="00164199">
        <w:t>avis du Comité pour l</w:t>
      </w:r>
      <w:r>
        <w:t>’</w:t>
      </w:r>
      <w:r w:rsidR="00164199">
        <w:t>élimination de la discrimination à l</w:t>
      </w:r>
      <w:r>
        <w:t>’</w:t>
      </w:r>
      <w:r w:rsidR="00164199">
        <w:t>égard des femmes, qui avait été présenté dans un rapport écrit, à la suite de l</w:t>
      </w:r>
      <w:r>
        <w:t>’</w:t>
      </w:r>
      <w:r w:rsidR="00164199">
        <w:t>examen conjoint des deuxième et troisième rapports périodiques de la Slovénie sur l</w:t>
      </w:r>
      <w:r>
        <w:t>’</w:t>
      </w:r>
      <w:r w:rsidR="00164199">
        <w:t>application de la Convention, lors de la vingt-neuvième session du Comité, en 2003. La délégation slovène avait invité à cette conférence de presse un représentant d</w:t>
      </w:r>
      <w:r>
        <w:t>’</w:t>
      </w:r>
      <w:r w:rsidR="00164199">
        <w:t>une organisation non gouvernementale ayant assisté à l</w:t>
      </w:r>
      <w:r>
        <w:t>’</w:t>
      </w:r>
      <w:r w:rsidR="00164199">
        <w:t>examen du rapport de la Slovénie par le Comité. Le gouvernement de la République de Slovénie a examiné le rapport de sa délégation et les conclusions du Comité pour l</w:t>
      </w:r>
      <w:r>
        <w:t>’</w:t>
      </w:r>
      <w:r w:rsidR="00164199">
        <w:t>élimination de la discrimination à l</w:t>
      </w:r>
      <w:r>
        <w:t>’</w:t>
      </w:r>
      <w:r w:rsidR="00164199">
        <w:t>égard des femmes, présentées lors de sa session du 9 septembre 2003</w:t>
      </w:r>
      <w:r>
        <w:t>;</w:t>
      </w:r>
      <w:r w:rsidR="00164199">
        <w:t xml:space="preserve"> le gouvernement slovène a ensuite adopté une décision, demandant aux ministères et organes gouvernementaux concernés d</w:t>
      </w:r>
      <w:r>
        <w:t>’</w:t>
      </w:r>
      <w:r w:rsidR="00164199">
        <w:t>examiner les conclusions du Comité et d</w:t>
      </w:r>
      <w:r>
        <w:t>’</w:t>
      </w:r>
      <w:r w:rsidR="00164199">
        <w:t>adopter des mesures en vue de l</w:t>
      </w:r>
      <w:r>
        <w:t>’</w:t>
      </w:r>
      <w:r w:rsidR="00164199">
        <w:t>application des recommandations du Comité, afin que, dans le cadre de son prochain rapport périodique, la Slovénie soit à même de présenter le plus d</w:t>
      </w:r>
      <w:r>
        <w:t>’</w:t>
      </w:r>
      <w:r w:rsidR="00164199">
        <w:t>informations et de données possibles, parmi toutes celles requises par le Comité. La communication, en direction du grand public,</w:t>
      </w:r>
      <w:r w:rsidR="00BA4F2E">
        <w:t xml:space="preserve"> </w:t>
      </w:r>
      <w:r w:rsidR="00164199">
        <w:t>au sujet des progrès accomplis – mais aussi des lacunes qui subsistent – en matière d</w:t>
      </w:r>
      <w:r>
        <w:t>’</w:t>
      </w:r>
      <w:r w:rsidR="00164199">
        <w:t>application des dispositions de la Convention se fait notamment par la publication des rapports de la Slovénie, et par la traduction des conclusions du Comité pour l</w:t>
      </w:r>
      <w:r>
        <w:t>’</w:t>
      </w:r>
      <w:r w:rsidR="00164199">
        <w:t>élimination de la discrimination à l</w:t>
      </w:r>
      <w:r>
        <w:t>’</w:t>
      </w:r>
      <w:r w:rsidR="00164199">
        <w:t xml:space="preserve">égard des femmes – traduction disponible sue le site Internet du </w:t>
      </w:r>
      <w:r w:rsidR="003158AC">
        <w:t xml:space="preserve">“ </w:t>
      </w:r>
      <w:r w:rsidR="00164199">
        <w:t>Bureau pour l</w:t>
      </w:r>
      <w:r>
        <w:t>’</w:t>
      </w:r>
      <w:r w:rsidR="00221C8A">
        <w:t>Égalité</w:t>
      </w:r>
      <w:r w:rsidR="00164199">
        <w:t xml:space="preserve"> des Chances</w:t>
      </w:r>
      <w:r>
        <w:t> »</w:t>
      </w:r>
      <w:r w:rsidR="00164199">
        <w:t>.</w:t>
      </w:r>
    </w:p>
    <w:p w:rsidR="00CE0D20" w:rsidRPr="00CE0D20" w:rsidRDefault="00CE0D20" w:rsidP="00CE0D20">
      <w:pPr>
        <w:pStyle w:val="SingleTxt"/>
        <w:spacing w:after="0" w:line="120" w:lineRule="exact"/>
        <w:rPr>
          <w:sz w:val="10"/>
        </w:rPr>
      </w:pPr>
    </w:p>
    <w:p w:rsidR="00CE0D20" w:rsidRPr="00CE0D20" w:rsidRDefault="00CE0D20" w:rsidP="00CE0D20">
      <w:pPr>
        <w:pStyle w:val="SingleTxt"/>
        <w:spacing w:after="0" w:line="120" w:lineRule="exact"/>
        <w:rPr>
          <w:sz w:val="10"/>
        </w:rPr>
      </w:pPr>
    </w:p>
    <w:p w:rsidR="00164199" w:rsidRDefault="00CE0D20" w:rsidP="00CE0D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Informations générales</w:t>
      </w:r>
    </w:p>
    <w:p w:rsidR="00CE0D20" w:rsidRPr="00CE0D20" w:rsidRDefault="00CE0D20" w:rsidP="00CE0D20">
      <w:pPr>
        <w:pStyle w:val="SingleTxt"/>
        <w:spacing w:after="0" w:line="120" w:lineRule="exact"/>
        <w:rPr>
          <w:sz w:val="10"/>
        </w:rPr>
      </w:pPr>
    </w:p>
    <w:p w:rsidR="00CE0D20" w:rsidRPr="00CE0D20" w:rsidRDefault="00CE0D20" w:rsidP="00CE0D20">
      <w:pPr>
        <w:pStyle w:val="SingleTxt"/>
        <w:spacing w:after="0" w:line="120" w:lineRule="exact"/>
        <w:rPr>
          <w:sz w:val="10"/>
        </w:rPr>
      </w:pPr>
    </w:p>
    <w:p w:rsidR="00164199" w:rsidRDefault="00164199" w:rsidP="00627247">
      <w:pPr>
        <w:pStyle w:val="SingleTxt"/>
        <w:jc w:val="left"/>
        <w:rPr>
          <w:b/>
        </w:rPr>
      </w:pPr>
      <w:r w:rsidRPr="00627247">
        <w:rPr>
          <w:b/>
        </w:rPr>
        <w:t>a)</w:t>
      </w:r>
      <w:r>
        <w:tab/>
      </w:r>
      <w:r w:rsidRPr="00CE0D20">
        <w:rPr>
          <w:b/>
        </w:rPr>
        <w:t>Les conditions dans lesquelles la Slovénie aborde la question</w:t>
      </w:r>
      <w:r w:rsidR="00627247">
        <w:rPr>
          <w:b/>
        </w:rPr>
        <w:br/>
      </w:r>
      <w:r w:rsidRPr="00CE0D20">
        <w:rPr>
          <w:b/>
        </w:rPr>
        <w:t xml:space="preserve"> </w:t>
      </w:r>
      <w:r w:rsidR="00627247">
        <w:rPr>
          <w:b/>
        </w:rPr>
        <w:tab/>
      </w:r>
      <w:r w:rsidRPr="00CE0D20">
        <w:rPr>
          <w:b/>
        </w:rPr>
        <w:t>de l</w:t>
      </w:r>
      <w:r w:rsidR="00CE0D20" w:rsidRPr="00CE0D20">
        <w:rPr>
          <w:b/>
        </w:rPr>
        <w:t>’</w:t>
      </w:r>
      <w:r w:rsidRPr="00CE0D20">
        <w:rPr>
          <w:b/>
        </w:rPr>
        <w:t>élimination de toutes les formes de discrimination à l</w:t>
      </w:r>
      <w:r w:rsidR="00CE0D20" w:rsidRPr="00CE0D20">
        <w:rPr>
          <w:b/>
        </w:rPr>
        <w:t>’</w:t>
      </w:r>
      <w:r w:rsidRPr="00CE0D20">
        <w:rPr>
          <w:b/>
        </w:rPr>
        <w:t xml:space="preserve">égard </w:t>
      </w:r>
      <w:r w:rsidR="00627247">
        <w:rPr>
          <w:b/>
        </w:rPr>
        <w:br/>
      </w:r>
      <w:r w:rsidR="00627247">
        <w:rPr>
          <w:b/>
        </w:rPr>
        <w:tab/>
      </w:r>
      <w:r w:rsidRPr="00CE0D20">
        <w:rPr>
          <w:b/>
        </w:rPr>
        <w:t>des femmes</w:t>
      </w:r>
    </w:p>
    <w:p w:rsidR="00CE0D20" w:rsidRPr="00CE0D20" w:rsidRDefault="00CE0D20" w:rsidP="00CE0D20">
      <w:pPr>
        <w:pStyle w:val="SingleTxt"/>
        <w:spacing w:after="0" w:line="120" w:lineRule="exact"/>
        <w:rPr>
          <w:b/>
          <w:sz w:val="10"/>
        </w:rPr>
      </w:pPr>
    </w:p>
    <w:p w:rsidR="00164199" w:rsidRDefault="00CE0D20" w:rsidP="00CE0D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La population slovène</w:t>
      </w:r>
    </w:p>
    <w:p w:rsidR="00CE0D20" w:rsidRPr="00CE0D20" w:rsidRDefault="00CE0D20" w:rsidP="00CE0D20">
      <w:pPr>
        <w:pStyle w:val="SingleTxt"/>
        <w:spacing w:after="0" w:line="120" w:lineRule="exact"/>
        <w:rPr>
          <w:sz w:val="10"/>
        </w:rPr>
      </w:pPr>
    </w:p>
    <w:p w:rsidR="00164199" w:rsidRDefault="00CE0D20" w:rsidP="00CE0D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Données fondamentales</w:t>
      </w:r>
    </w:p>
    <w:p w:rsidR="00CE0D20" w:rsidRPr="00CE0D20" w:rsidRDefault="00CE0D20" w:rsidP="00CE0D20">
      <w:pPr>
        <w:pStyle w:val="SingleTxt"/>
        <w:spacing w:after="0" w:line="120" w:lineRule="exact"/>
        <w:rPr>
          <w:sz w:val="10"/>
        </w:rPr>
      </w:pPr>
    </w:p>
    <w:p w:rsidR="00164199" w:rsidRDefault="00CE0D20" w:rsidP="00164199">
      <w:pPr>
        <w:pStyle w:val="SingleTxt"/>
      </w:pPr>
      <w:r>
        <w:tab/>
        <w:t>À</w:t>
      </w:r>
      <w:r w:rsidR="00164199">
        <w:t xml:space="preserve"> la fin de l</w:t>
      </w:r>
      <w:r>
        <w:t>’</w:t>
      </w:r>
      <w:r w:rsidR="00164199">
        <w:t>année 2004, la Slovénie comptait 1 997 590 habitants – dont 977 052 hommes et 1 020 538 femmes. Par conséquent, à cette date, les femmes constituaient 51,19</w:t>
      </w:r>
      <w:r>
        <w:t> </w:t>
      </w:r>
      <w:r w:rsidR="00164199">
        <w:t>% de la population totale du pays. En comparaison avec les chiffres fournis dans le Troisième rapport, on constate une très légère croissance démographique au cours de la période allant jusqu</w:t>
      </w:r>
      <w:r>
        <w:t>’</w:t>
      </w:r>
      <w:r w:rsidR="00164199">
        <w:t>en 2004, mais, en ce qui concerne le nombre de femmes, une baisse</w:t>
      </w:r>
      <w:r w:rsidR="00BA4F2E">
        <w:t xml:space="preserve"> </w:t>
      </w:r>
      <w:r w:rsidR="00164199">
        <w:t>de 0,1%</w:t>
      </w:r>
      <w:r w:rsidR="00164199" w:rsidRPr="006A4785">
        <w:rPr>
          <w:rStyle w:val="FootnoteReference"/>
        </w:rPr>
        <w:footnoteReference w:customMarkFollows="1" w:id="1"/>
        <w:t>1</w:t>
      </w:r>
      <w:r w:rsidR="00164199">
        <w:t>.</w:t>
      </w:r>
    </w:p>
    <w:p w:rsidR="00CE0D20" w:rsidRPr="00CE0D20" w:rsidRDefault="00CE0D20" w:rsidP="00CE0D20">
      <w:pPr>
        <w:pStyle w:val="SingleTxt"/>
        <w:spacing w:after="0" w:line="120" w:lineRule="exact"/>
        <w:rPr>
          <w:sz w:val="10"/>
        </w:rPr>
      </w:pPr>
    </w:p>
    <w:p w:rsidR="00164199" w:rsidRDefault="00CE0D20" w:rsidP="00CE0D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Le taux de fécondité et le nombre d</w:t>
      </w:r>
      <w:r>
        <w:t>’</w:t>
      </w:r>
      <w:r w:rsidR="00164199">
        <w:t>avortements</w:t>
      </w:r>
    </w:p>
    <w:p w:rsidR="00CE0D20" w:rsidRPr="00CE0D20" w:rsidRDefault="00CE0D20" w:rsidP="00CE0D20">
      <w:pPr>
        <w:pStyle w:val="SingleTxt"/>
        <w:spacing w:after="0" w:line="120" w:lineRule="exact"/>
        <w:rPr>
          <w:sz w:val="10"/>
        </w:rPr>
      </w:pPr>
    </w:p>
    <w:p w:rsidR="00164199" w:rsidRDefault="00CE0D20" w:rsidP="00164199">
      <w:pPr>
        <w:pStyle w:val="SingleTxt"/>
      </w:pPr>
      <w:r>
        <w:tab/>
      </w:r>
      <w:r w:rsidR="00164199">
        <w:t>Les chiffres concernant la période 2000-2004 indiquent que la Slovénie se situe parmi les pays ayant un taux de fécondité très bas : 9 naissances pour 1000 habitants, en 2004. Il faut noter toutefois que le nombre d</w:t>
      </w:r>
      <w:r>
        <w:t>’</w:t>
      </w:r>
      <w:r w:rsidR="00164199">
        <w:t>enfants nés en 2004 (17 961) a augmenté par rapport aux naissances de 2001 (17 477). De même, l</w:t>
      </w:r>
      <w:r>
        <w:t>’</w:t>
      </w:r>
      <w:r w:rsidR="00164199">
        <w:t>âge moyen des mères à la naissance de leur premier enfant</w:t>
      </w:r>
      <w:r w:rsidR="00BA4F2E">
        <w:t xml:space="preserve"> </w:t>
      </w:r>
      <w:r w:rsidR="00164199">
        <w:t>a légèrement augmenté en 2004 : il était alors de 29,2 ans, contre 28,5 ans en 2001 (chiffres concernant les mères accouchant d</w:t>
      </w:r>
      <w:r>
        <w:t>’</w:t>
      </w:r>
      <w:r w:rsidR="00164199">
        <w:t>un enfant en vie)</w:t>
      </w:r>
      <w:r w:rsidR="00164199" w:rsidRPr="006A4785">
        <w:rPr>
          <w:rStyle w:val="FootnoteReference"/>
        </w:rPr>
        <w:footnoteReference w:customMarkFollows="1" w:id="2"/>
        <w:t>2</w:t>
      </w:r>
      <w:r w:rsidR="00164199">
        <w:t>. Par ailleurs, le nombre d</w:t>
      </w:r>
      <w:r>
        <w:t>’</w:t>
      </w:r>
      <w:r w:rsidR="00164199">
        <w:t>avortements légaux a régulièrement baissé. En 2000, on avait compté 8429 avortements légaux</w:t>
      </w:r>
      <w:r>
        <w:t>;</w:t>
      </w:r>
      <w:r w:rsidR="00164199">
        <w:t xml:space="preserve"> en 2001, on n</w:t>
      </w:r>
      <w:r>
        <w:t>’</w:t>
      </w:r>
      <w:r w:rsidR="00164199">
        <w:t>en comptait plus que 7799, et, en 2002, 7327 seulement</w:t>
      </w:r>
      <w:r w:rsidR="00164199" w:rsidRPr="006A4785">
        <w:rPr>
          <w:rStyle w:val="FootnoteReference"/>
        </w:rPr>
        <w:footnoteReference w:customMarkFollows="1" w:id="3"/>
        <w:t>3</w:t>
      </w:r>
      <w:r w:rsidR="00164199">
        <w:t>. En 2003, le taux des avortements légaux était de 13,5 pour 1000 femmes en âge de procréer</w:t>
      </w:r>
      <w:r>
        <w:t>;</w:t>
      </w:r>
      <w:r w:rsidR="00164199">
        <w:t xml:space="preserve"> ce taux a baissé de manière assez importante ces dix dernières années (en 1995, il était de 20,8 pour 1000 femmes en âge de procréer).</w:t>
      </w:r>
    </w:p>
    <w:p w:rsidR="00164199" w:rsidRDefault="00CE0D20" w:rsidP="00CE0D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Le mariage et le divorce</w:t>
      </w:r>
    </w:p>
    <w:p w:rsidR="00CE0D20" w:rsidRPr="00CE0D20" w:rsidRDefault="00CE0D20" w:rsidP="00CE0D20">
      <w:pPr>
        <w:pStyle w:val="SingleTxt"/>
        <w:spacing w:after="0" w:line="120" w:lineRule="exact"/>
        <w:rPr>
          <w:sz w:val="10"/>
        </w:rPr>
      </w:pPr>
    </w:p>
    <w:p w:rsidR="00164199" w:rsidRDefault="00CE0D20" w:rsidP="00164199">
      <w:pPr>
        <w:pStyle w:val="SingleTxt"/>
      </w:pPr>
      <w:r>
        <w:tab/>
      </w:r>
      <w:r w:rsidR="00164199">
        <w:t>En 2004, le nombre de mariages accusait un net recul par rapport aux chiffres de 2000</w:t>
      </w:r>
      <w:r>
        <w:t>;</w:t>
      </w:r>
      <w:r w:rsidR="00164199">
        <w:t xml:space="preserve"> en revanche, le nombre de divorces augmentait. En 2000, on avait enregistré 7201 mariages et 2125 divorces. En 2004, on a compté 6558 mariages (soit 643 de moins qu</w:t>
      </w:r>
      <w:r>
        <w:t>’</w:t>
      </w:r>
      <w:r w:rsidR="00164199">
        <w:t>en 2000), alors que, cette même année, le nombre de divorces augmentait de 286 par rapport à 2000. L</w:t>
      </w:r>
      <w:r>
        <w:t>’</w:t>
      </w:r>
      <w:r w:rsidR="00164199">
        <w:t>âge moyen du mariage a régulièrement augmenté (aussi bien pour les hommes que pour les femmes) : en 2004, il était en moyenne de 32,6 ans pour les hommes et de 29,6 ans pour les femmes</w:t>
      </w:r>
      <w:r w:rsidR="00164199" w:rsidRPr="006A4785">
        <w:rPr>
          <w:rStyle w:val="FootnoteReference"/>
        </w:rPr>
        <w:footnoteReference w:customMarkFollows="1" w:id="4"/>
        <w:t>4</w:t>
      </w:r>
      <w:r w:rsidR="00164199">
        <w:t xml:space="preserve">. </w:t>
      </w:r>
    </w:p>
    <w:p w:rsidR="00CE0D20" w:rsidRPr="00CE0D20" w:rsidRDefault="00CE0D20" w:rsidP="00CE0D20">
      <w:pPr>
        <w:pStyle w:val="SingleTxt"/>
        <w:spacing w:after="0" w:line="120" w:lineRule="exact"/>
        <w:rPr>
          <w:sz w:val="10"/>
        </w:rPr>
      </w:pPr>
    </w:p>
    <w:p w:rsidR="00164199" w:rsidRDefault="00CE0D20" w:rsidP="00CE0D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Vieillissement de la population et mortalité</w:t>
      </w:r>
    </w:p>
    <w:p w:rsidR="00CE0D20" w:rsidRPr="00CE0D20" w:rsidRDefault="00CE0D20" w:rsidP="00CE0D20">
      <w:pPr>
        <w:pStyle w:val="SingleTxt"/>
        <w:spacing w:after="0" w:line="120" w:lineRule="exact"/>
        <w:rPr>
          <w:sz w:val="10"/>
        </w:rPr>
      </w:pPr>
    </w:p>
    <w:p w:rsidR="00164199" w:rsidRDefault="00CE0D20" w:rsidP="00164199">
      <w:pPr>
        <w:pStyle w:val="SingleTxt"/>
      </w:pPr>
      <w:r>
        <w:tab/>
      </w:r>
      <w:r w:rsidR="00164199">
        <w:t>Les chiffres concernant la pyramide des âges (de la population slovène) indiquent que le processus de vieillissement de la société – caractéristique de tous les pays développés – se poursuit. Pour la période 2003-2004, l</w:t>
      </w:r>
      <w:r>
        <w:t>’</w:t>
      </w:r>
      <w:r w:rsidR="00164199">
        <w:t>âge moyen de l</w:t>
      </w:r>
      <w:r>
        <w:t>’</w:t>
      </w:r>
      <w:r w:rsidR="00164199">
        <w:t>espérance de vie était de 77,4 ans (ou, pour être tout à fait précis, de 73,5 ans pour les hommes et de 81,1 ans pour les femmes). Si l</w:t>
      </w:r>
      <w:r>
        <w:t>’</w:t>
      </w:r>
      <w:r w:rsidR="00164199">
        <w:t>on compare aux chiffres de la période 2000-2001 (espérance de vie de 75,9 ans en moyenne), on note une augmentation de cette espérance de vie de 1,5 an</w:t>
      </w:r>
      <w:r w:rsidR="00164199" w:rsidRPr="006A4785">
        <w:rPr>
          <w:rStyle w:val="FootnoteReference"/>
        </w:rPr>
        <w:footnoteReference w:customMarkFollows="1" w:id="5"/>
        <w:t>5</w:t>
      </w:r>
      <w:r w:rsidR="00164199">
        <w:t>.</w:t>
      </w:r>
    </w:p>
    <w:p w:rsidR="00164199" w:rsidRDefault="00CE0D20" w:rsidP="00164199">
      <w:pPr>
        <w:pStyle w:val="SingleTxt"/>
      </w:pPr>
      <w:r>
        <w:tab/>
      </w:r>
      <w:r w:rsidR="00164199">
        <w:t>En ce qui concerne le taux de mortalité, les chiffres disponibles indiquent qu</w:t>
      </w:r>
      <w:r>
        <w:t>’</w:t>
      </w:r>
      <w:r w:rsidR="00164199">
        <w:t>il n</w:t>
      </w:r>
      <w:r>
        <w:t>’</w:t>
      </w:r>
      <w:r w:rsidR="00164199">
        <w:t>y pas eu de changement notable entre 2000 et 2004 (18 588 morts en 2000 et 18 523 en 2004). Le taux de mortalité infantile est faible, puisqu</w:t>
      </w:r>
      <w:r>
        <w:t>’</w:t>
      </w:r>
      <w:r w:rsidR="00164199">
        <w:t>il n</w:t>
      </w:r>
      <w:r>
        <w:t>’</w:t>
      </w:r>
      <w:r w:rsidR="00164199">
        <w:t>est que de 3,7 pour 1000 naissances</w:t>
      </w:r>
      <w:r w:rsidR="00164199" w:rsidRPr="006A4785">
        <w:rPr>
          <w:rStyle w:val="FootnoteReference"/>
        </w:rPr>
        <w:footnoteReference w:customMarkFollows="1" w:id="6"/>
        <w:t>6</w:t>
      </w:r>
      <w:r w:rsidR="00164199">
        <w:t>.</w:t>
      </w:r>
    </w:p>
    <w:p w:rsidR="00CE0D20" w:rsidRPr="00CE0D20" w:rsidRDefault="00CE0D20" w:rsidP="00CE0D20">
      <w:pPr>
        <w:pStyle w:val="SingleTxt"/>
        <w:spacing w:after="0" w:line="120" w:lineRule="exact"/>
        <w:rPr>
          <w:sz w:val="10"/>
        </w:rPr>
      </w:pPr>
    </w:p>
    <w:p w:rsidR="00164199" w:rsidRDefault="00CE0D20" w:rsidP="00CE0D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w:t>
      </w:r>
      <w:r>
        <w:t>’</w:t>
      </w:r>
      <w:r w:rsidR="00164199">
        <w:t>éducation</w:t>
      </w:r>
    </w:p>
    <w:p w:rsidR="00CE0D20" w:rsidRPr="00CE0D20" w:rsidRDefault="00CE0D20" w:rsidP="00CE0D20">
      <w:pPr>
        <w:pStyle w:val="SingleTxt"/>
        <w:spacing w:after="0" w:line="120" w:lineRule="exact"/>
        <w:rPr>
          <w:sz w:val="10"/>
        </w:rPr>
      </w:pPr>
    </w:p>
    <w:p w:rsidR="00164199" w:rsidRDefault="00CE0D20" w:rsidP="00CE0D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Enseignement primaire et secondaire</w:t>
      </w:r>
    </w:p>
    <w:p w:rsidR="00CE0D20" w:rsidRPr="00CE0D20" w:rsidRDefault="00CE0D20" w:rsidP="00CE0D20">
      <w:pPr>
        <w:pStyle w:val="SingleTxt"/>
        <w:spacing w:after="0" w:line="120" w:lineRule="exact"/>
        <w:rPr>
          <w:sz w:val="10"/>
        </w:rPr>
      </w:pPr>
    </w:p>
    <w:p w:rsidR="00164199" w:rsidRDefault="00CE0D20" w:rsidP="00164199">
      <w:pPr>
        <w:pStyle w:val="SingleTxt"/>
      </w:pPr>
      <w:r>
        <w:tab/>
      </w:r>
      <w:r w:rsidR="00164199">
        <w:t>En Slovénie, l</w:t>
      </w:r>
      <w:r>
        <w:t>’</w:t>
      </w:r>
      <w:r w:rsidR="00164199">
        <w:t>enseignement primaire est obligatoire. En ce qui concerne l</w:t>
      </w:r>
      <w:r>
        <w:t>’</w:t>
      </w:r>
      <w:r w:rsidR="00164199">
        <w:t>année scolaire 2003/2004, on a compté 177 535 enfants dans les établissements primaires – dont 86 310 filles (soit 48,6%). Toujours pour cette même année 2003/2004, on comptait 100 132 élèves dans l</w:t>
      </w:r>
      <w:r>
        <w:t>’</w:t>
      </w:r>
      <w:r w:rsidR="00164199">
        <w:t>enseignement secondaire – dont 50 238 filles (soit 50,2%). Ces chiffres indiquent clairement que le nombre de filles poursuivant leurs études au niveau secondaire est légèrement plus important que celui des garçons.</w:t>
      </w:r>
    </w:p>
    <w:p w:rsidR="00CE0D20" w:rsidRPr="00CE0D20" w:rsidRDefault="00CE0D20" w:rsidP="00CE0D20">
      <w:pPr>
        <w:pStyle w:val="SingleTxt"/>
        <w:spacing w:after="0" w:line="120" w:lineRule="exact"/>
        <w:rPr>
          <w:sz w:val="10"/>
        </w:rPr>
      </w:pPr>
    </w:p>
    <w:p w:rsidR="00164199" w:rsidRDefault="00CE0D20" w:rsidP="00CE0D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Les collèges d</w:t>
      </w:r>
      <w:r>
        <w:t>’</w:t>
      </w:r>
      <w:r w:rsidR="00164199">
        <w:t>enseignement supérieur et les universités</w:t>
      </w:r>
    </w:p>
    <w:p w:rsidR="00CE0D20" w:rsidRPr="00CE0D20" w:rsidRDefault="00CE0D20" w:rsidP="00CE0D20">
      <w:pPr>
        <w:pStyle w:val="SingleTxt"/>
        <w:spacing w:after="0" w:line="120" w:lineRule="exact"/>
        <w:rPr>
          <w:sz w:val="10"/>
        </w:rPr>
      </w:pPr>
    </w:p>
    <w:p w:rsidR="00164199" w:rsidRDefault="00CE0D20" w:rsidP="00164199">
      <w:pPr>
        <w:pStyle w:val="SingleTxt"/>
      </w:pPr>
      <w:r>
        <w:tab/>
      </w:r>
      <w:r w:rsidR="00164199">
        <w:t>Dans les collèges et les universités, le nombre d</w:t>
      </w:r>
      <w:r>
        <w:t>’</w:t>
      </w:r>
      <w:r w:rsidR="00164199">
        <w:t xml:space="preserve">étudiants est en constante augmentation. En 2004, près de 50% des jeunes gens âgés de 19 à 23 ans poursuivaient des études au niveau </w:t>
      </w:r>
      <w:r>
        <w:t>« </w:t>
      </w:r>
      <w:r w:rsidR="00164199">
        <w:t>tertiaire</w:t>
      </w:r>
      <w:r>
        <w:t> »</w:t>
      </w:r>
      <w:r w:rsidR="00164199">
        <w:t>.</w:t>
      </w:r>
    </w:p>
    <w:p w:rsidR="00164199" w:rsidRDefault="00CE0D20" w:rsidP="00164199">
      <w:pPr>
        <w:pStyle w:val="SingleTxt"/>
      </w:pPr>
      <w:r>
        <w:tab/>
      </w:r>
      <w:r w:rsidR="00164199">
        <w:t>Pour ce qui est de l</w:t>
      </w:r>
      <w:r>
        <w:t>’</w:t>
      </w:r>
      <w:r w:rsidR="00164199">
        <w:t>année scolaire/universitaire 2000/2001, on comptait 82 812 étudiants dans l</w:t>
      </w:r>
      <w:r>
        <w:t>’</w:t>
      </w:r>
      <w:r w:rsidR="00164199">
        <w:t>enseignement supérieur – dont 57,2% de jeunes filles. Pour cette même année, on a compté 10 232 diplômés de l</w:t>
      </w:r>
      <w:r>
        <w:t>’</w:t>
      </w:r>
      <w:r w:rsidR="00164199">
        <w:t>enseignement supérieur, dont 59,2% de jeunes filles. En ce qui concerne l</w:t>
      </w:r>
      <w:r>
        <w:t>’</w:t>
      </w:r>
      <w:r w:rsidR="00164199">
        <w:t>année 2004/2005, on a compté 91 229 étudiants dans l</w:t>
      </w:r>
      <w:r>
        <w:t>’</w:t>
      </w:r>
      <w:r w:rsidR="00164199">
        <w:t>enseignement supérieur et universitaire – dont 54 163 jeunes filles (soit 59,4%)</w:t>
      </w:r>
      <w:r>
        <w:t>;</w:t>
      </w:r>
      <w:r w:rsidR="00164199">
        <w:t xml:space="preserve"> sur ces 91 229 jeunes gens, 11 608 ont achevé leurs études supérieures (dont 7334 jeunes filles – soit 63,2%). Il y a davantage de jeunes filles qui décident de poursuivre des études supérieures – dans les collèges et les universités -, et le pourcentage de filles qui achèvent leur cycle d</w:t>
      </w:r>
      <w:r>
        <w:t>’</w:t>
      </w:r>
      <w:r w:rsidR="00164199">
        <w:t>études supérieures est également plus important que celui des garçons.</w:t>
      </w:r>
    </w:p>
    <w:p w:rsidR="00CE0D20" w:rsidRPr="00CE0D20" w:rsidRDefault="00CE0D20" w:rsidP="00CE0D20">
      <w:pPr>
        <w:pStyle w:val="SingleTxt"/>
        <w:spacing w:after="0" w:line="120" w:lineRule="exact"/>
        <w:rPr>
          <w:sz w:val="10"/>
        </w:rPr>
      </w:pPr>
    </w:p>
    <w:p w:rsidR="00164199" w:rsidRDefault="00CE0D20" w:rsidP="00CE0D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w:t>
      </w:r>
      <w:r>
        <w:t>’</w:t>
      </w:r>
      <w:r w:rsidR="00164199">
        <w:t>enseignement de troisième cycle universitaire</w:t>
      </w:r>
    </w:p>
    <w:p w:rsidR="00CE0D20" w:rsidRPr="00CE0D20" w:rsidRDefault="00CE0D20" w:rsidP="00CE0D20">
      <w:pPr>
        <w:pStyle w:val="SingleTxt"/>
        <w:spacing w:after="0" w:line="120" w:lineRule="exact"/>
        <w:rPr>
          <w:sz w:val="10"/>
        </w:rPr>
      </w:pPr>
    </w:p>
    <w:p w:rsidR="00164199" w:rsidRDefault="00CE0D20" w:rsidP="00164199">
      <w:pPr>
        <w:pStyle w:val="SingleTxt"/>
      </w:pPr>
      <w:r>
        <w:tab/>
      </w:r>
      <w:r w:rsidR="00164199">
        <w:t>En 2001, sur l</w:t>
      </w:r>
      <w:r>
        <w:t>’</w:t>
      </w:r>
      <w:r w:rsidR="00164199">
        <w:t>ensemble des étudiants ayant obtenu une Maîtrise de Sciences et des personnes ayant opté pour telle ou telle spécialité, 50,2% étaient des jeunes filles</w:t>
      </w:r>
      <w:r>
        <w:t>;</w:t>
      </w:r>
      <w:r w:rsidR="00164199">
        <w:t xml:space="preserve"> et, dans ce même domaine, elles étaient 54,4% en 2004. En 2001, 298 étudiants ont obtenu un Doctorat (dont 49% de jeunes filles). Cependant, en 2003 et 2004, le pourcentage de filles ayant obtenu un Doctorat a baissé (41,4% et 40,6%, respectivement).</w:t>
      </w:r>
    </w:p>
    <w:p w:rsidR="00CE0D20" w:rsidRPr="00CE0D20" w:rsidRDefault="00CE0D20" w:rsidP="00CE0D20">
      <w:pPr>
        <w:pStyle w:val="SingleTxt"/>
        <w:spacing w:after="0" w:line="120" w:lineRule="exact"/>
        <w:rPr>
          <w:sz w:val="10"/>
        </w:rPr>
      </w:pPr>
    </w:p>
    <w:p w:rsidR="00164199" w:rsidRDefault="00CE0D20" w:rsidP="00CE0D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La situation économique</w:t>
      </w:r>
    </w:p>
    <w:p w:rsidR="00CE0D20" w:rsidRPr="00CE0D20" w:rsidRDefault="00CE0D20" w:rsidP="00CE0D20">
      <w:pPr>
        <w:pStyle w:val="SingleTxt"/>
        <w:spacing w:after="0" w:line="120" w:lineRule="exact"/>
        <w:rPr>
          <w:sz w:val="10"/>
        </w:rPr>
      </w:pPr>
    </w:p>
    <w:p w:rsidR="00164199" w:rsidRDefault="00CE0D20" w:rsidP="00CE0D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Le développement économique</w:t>
      </w:r>
    </w:p>
    <w:p w:rsidR="00CE0D20" w:rsidRPr="00CE0D20" w:rsidRDefault="00CE0D20" w:rsidP="00CE0D20">
      <w:pPr>
        <w:pStyle w:val="SingleTxt"/>
        <w:spacing w:after="0" w:line="120" w:lineRule="exact"/>
        <w:rPr>
          <w:sz w:val="10"/>
        </w:rPr>
      </w:pPr>
    </w:p>
    <w:p w:rsidR="00164199" w:rsidRDefault="00CE0D20" w:rsidP="00164199">
      <w:pPr>
        <w:pStyle w:val="SingleTxt"/>
      </w:pPr>
      <w:r>
        <w:tab/>
      </w:r>
      <w:r w:rsidR="00164199">
        <w:t>Le produit intérieur brut (PIB) de la Slovénie connaît une croissance constante</w:t>
      </w:r>
      <w:r>
        <w:t>;</w:t>
      </w:r>
      <w:r w:rsidR="00164199">
        <w:t xml:space="preserve"> en 2003, il était équivalent à 70% du PIB par habitant des 15 pays alors membres de l</w:t>
      </w:r>
      <w:r>
        <w:t>’</w:t>
      </w:r>
      <w:r w:rsidR="00164199">
        <w:t>Union européenne. En 2004, le PIB slovène augmentait de 4,6% en termes réels – ce qui a constitué la plus forte croissance économique depuis 1999. En 2000, le PIB par habitant était l</w:t>
      </w:r>
      <w:r>
        <w:t>’</w:t>
      </w:r>
      <w:r w:rsidR="00164199">
        <w:t>équivalent de 9599 dollars</w:t>
      </w:r>
      <w:r>
        <w:t>;</w:t>
      </w:r>
      <w:r w:rsidR="00164199">
        <w:t xml:space="preserve"> puis, en 2002, il passait à 11 088 dollars</w:t>
      </w:r>
      <w:r>
        <w:t>;</w:t>
      </w:r>
      <w:r w:rsidR="00164199">
        <w:t xml:space="preserve"> enfin, en 2004, il était de 16 112 dollars. A noter également qu</w:t>
      </w:r>
      <w:r>
        <w:t>’</w:t>
      </w:r>
      <w:r w:rsidR="00164199">
        <w:t>en 2004, la Slovénie connaissait une augmentation de 3,2% du taux d</w:t>
      </w:r>
      <w:r>
        <w:t>’</w:t>
      </w:r>
      <w:r w:rsidR="00164199">
        <w:t>inflation annuel.</w:t>
      </w:r>
      <w:r w:rsidR="00BA4F2E">
        <w:t xml:space="preserve"> </w:t>
      </w:r>
    </w:p>
    <w:p w:rsidR="00CE0D20" w:rsidRPr="00CE0D20" w:rsidRDefault="00CE0D20" w:rsidP="00CE0D20">
      <w:pPr>
        <w:pStyle w:val="SingleTxt"/>
        <w:spacing w:after="0" w:line="120" w:lineRule="exact"/>
        <w:rPr>
          <w:sz w:val="10"/>
        </w:rPr>
      </w:pPr>
    </w:p>
    <w:p w:rsidR="00164199" w:rsidRDefault="00CE0D20" w:rsidP="00CE0D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w:t>
      </w:r>
      <w:r>
        <w:t>’</w:t>
      </w:r>
      <w:r w:rsidR="00164199">
        <w:t>emploi et le chômage</w:t>
      </w:r>
    </w:p>
    <w:p w:rsidR="00CE0D20" w:rsidRPr="00CE0D20" w:rsidRDefault="00CE0D20" w:rsidP="00CE0D20">
      <w:pPr>
        <w:pStyle w:val="SingleTxt"/>
        <w:spacing w:after="0" w:line="120" w:lineRule="exact"/>
        <w:rPr>
          <w:sz w:val="10"/>
        </w:rPr>
      </w:pPr>
    </w:p>
    <w:p w:rsidR="00164199" w:rsidRDefault="00CE0D20" w:rsidP="00164199">
      <w:pPr>
        <w:pStyle w:val="SingleTxt"/>
      </w:pPr>
      <w:r>
        <w:tab/>
      </w:r>
      <w:r w:rsidR="00164199">
        <w:t>En 2004, le taux d</w:t>
      </w:r>
      <w:r>
        <w:t>’</w:t>
      </w:r>
      <w:r w:rsidR="00164199">
        <w:t>activité s</w:t>
      </w:r>
      <w:r>
        <w:t>’</w:t>
      </w:r>
      <w:r w:rsidR="00164199">
        <w:t>élevait à 59% (soit, plus précisément, 52,5% pour les femmes et 65,9% pour les hommes), tandis que le ratio emploi/population était de 55,3% (48,9% pour les femmes et 62% pour les hommes). Pour cette même année, le pourcentage de femmes dans la population active était de 65% (par rapport à 74,5% pour les hommes), et le taux d</w:t>
      </w:r>
      <w:r>
        <w:t>’</w:t>
      </w:r>
      <w:r w:rsidR="00164199">
        <w:t>emploi des femmes était de 60,5% (contre 70% pour les hommes). Ces dernières années, les enquêtes relatives à la population active ont indiqué une baisse du taux de chômage – qui est passé de 7,7% en 2000 à 6,1% en 2004. Toutefois, le taux de chômage des femmes a légèrement augmenté pendant cette période, puisqu</w:t>
      </w:r>
      <w:r>
        <w:t>’</w:t>
      </w:r>
      <w:r w:rsidR="00164199">
        <w:t>en 2004, il était supérieur de 0,7% à celui des hommes</w:t>
      </w:r>
      <w:r w:rsidR="00164199" w:rsidRPr="006A4785">
        <w:rPr>
          <w:rStyle w:val="FootnoteReference"/>
        </w:rPr>
        <w:footnoteReference w:customMarkFollows="1" w:id="7"/>
        <w:t>7</w:t>
      </w:r>
      <w:r w:rsidR="00164199">
        <w:t>.</w:t>
      </w:r>
    </w:p>
    <w:p w:rsidR="00627247" w:rsidRPr="00627247" w:rsidRDefault="00627247" w:rsidP="00627247">
      <w:pPr>
        <w:pStyle w:val="SingleTxt"/>
        <w:spacing w:after="0" w:line="120" w:lineRule="exact"/>
        <w:rPr>
          <w:sz w:val="10"/>
        </w:rPr>
      </w:pPr>
    </w:p>
    <w:p w:rsidR="00164199" w:rsidRDefault="00627247" w:rsidP="0062724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Structures du marché du travail</w:t>
      </w:r>
    </w:p>
    <w:p w:rsidR="00627247" w:rsidRPr="00627247" w:rsidRDefault="00627247" w:rsidP="00627247">
      <w:pPr>
        <w:pStyle w:val="SingleTxt"/>
        <w:spacing w:after="0" w:line="120" w:lineRule="exact"/>
        <w:rPr>
          <w:sz w:val="10"/>
        </w:rPr>
      </w:pPr>
    </w:p>
    <w:p w:rsidR="00164199" w:rsidRDefault="00627247" w:rsidP="00164199">
      <w:pPr>
        <w:pStyle w:val="SingleTxt"/>
      </w:pPr>
      <w:r>
        <w:tab/>
      </w:r>
      <w:r w:rsidR="00164199">
        <w:t>En Slovénie, le marché du travail révèle une forte ségrégation – à la fois horizontale et verticale – en termes de sexe. Les femmes sont prioritairement employées dans le secteur des services – et notamment dans les domaines de la santé, de l</w:t>
      </w:r>
      <w:r w:rsidR="00CE0D20">
        <w:t>’</w:t>
      </w:r>
      <w:r w:rsidR="00164199">
        <w:t>assistanat social, de l</w:t>
      </w:r>
      <w:r w:rsidR="00CE0D20">
        <w:t>’</w:t>
      </w:r>
      <w:r w:rsidR="00164199">
        <w:t>éducation, de la médiation financière, de la restauration et du tourisme. Dans le domaine de l</w:t>
      </w:r>
      <w:r w:rsidR="00CE0D20">
        <w:t>’</w:t>
      </w:r>
      <w:r w:rsidR="00164199">
        <w:t>industrie, le pourcentage des femmes employées représente un tiers de l</w:t>
      </w:r>
      <w:r w:rsidR="00CE0D20">
        <w:t>’</w:t>
      </w:r>
      <w:r w:rsidR="00164199">
        <w:t>ensemble des salariés, et c</w:t>
      </w:r>
      <w:r w:rsidR="00CE0D20">
        <w:t>’</w:t>
      </w:r>
      <w:r w:rsidR="00164199">
        <w:t>est le secteur du bâtiment qui emploie le moins de femmes. De même, le pourcentage</w:t>
      </w:r>
      <w:r w:rsidR="00BA4F2E">
        <w:t xml:space="preserve"> </w:t>
      </w:r>
      <w:r w:rsidR="00164199">
        <w:t>de femmes aux postes les plus élevés et les mieux rémunérés (cadres supérieurs, directeurs et législateurs) ne représente qu</w:t>
      </w:r>
      <w:r w:rsidR="00CE0D20">
        <w:t>’</w:t>
      </w:r>
      <w:r w:rsidR="00164199">
        <w:t>un tiers de l</w:t>
      </w:r>
      <w:r w:rsidR="00CE0D20">
        <w:t>’</w:t>
      </w:r>
      <w:r w:rsidR="00164199">
        <w:t>ensemble des salariés – bien qu</w:t>
      </w:r>
      <w:r w:rsidR="00CE0D20">
        <w:t>’</w:t>
      </w:r>
      <w:r w:rsidR="00164199">
        <w:t>en moyenne, les femmes aient un niveau d</w:t>
      </w:r>
      <w:r w:rsidR="00CE0D20">
        <w:t>’</w:t>
      </w:r>
      <w:r w:rsidR="00164199">
        <w:t>instruction et de qualification plus élevé que les hommes.</w:t>
      </w:r>
    </w:p>
    <w:p w:rsidR="00627247" w:rsidRPr="00627247" w:rsidRDefault="00627247" w:rsidP="00627247">
      <w:pPr>
        <w:pStyle w:val="SingleTxt"/>
        <w:spacing w:after="0" w:line="120" w:lineRule="exact"/>
        <w:rPr>
          <w:sz w:val="10"/>
        </w:rPr>
      </w:pPr>
    </w:p>
    <w:p w:rsidR="00164199" w:rsidRDefault="00627247" w:rsidP="0062724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La situation en matière salariale</w:t>
      </w:r>
    </w:p>
    <w:p w:rsidR="00627247" w:rsidRPr="00627247" w:rsidRDefault="00627247" w:rsidP="00627247">
      <w:pPr>
        <w:pStyle w:val="SingleTxt"/>
        <w:spacing w:after="0" w:line="120" w:lineRule="exact"/>
        <w:rPr>
          <w:sz w:val="10"/>
        </w:rPr>
      </w:pPr>
    </w:p>
    <w:p w:rsidR="00164199" w:rsidRDefault="00627247" w:rsidP="00164199">
      <w:pPr>
        <w:pStyle w:val="SingleTxt"/>
      </w:pPr>
      <w:r>
        <w:tab/>
      </w:r>
      <w:r w:rsidR="00164199">
        <w:t>Le revenu moyen des hommes est plus élevé que celui des femmes dans presque tous les secteurs d</w:t>
      </w:r>
      <w:r w:rsidR="00CE0D20">
        <w:t>’</w:t>
      </w:r>
      <w:r w:rsidR="00164199">
        <w:t xml:space="preserve">activité – même si la </w:t>
      </w:r>
      <w:r w:rsidR="00164199">
        <w:rPr>
          <w:i/>
          <w:iCs/>
        </w:rPr>
        <w:t>Loi sur les relations professionnelles</w:t>
      </w:r>
      <w:r w:rsidR="00164199">
        <w:t xml:space="preserve"> stipule que les femmes doivent jouir de l</w:t>
      </w:r>
      <w:r w:rsidR="00CE0D20">
        <w:t>’</w:t>
      </w:r>
      <w:r w:rsidR="00164199">
        <w:t>égalité des chances et de traitement en ce qui concerne les salaires ou tout autre revenu issu d</w:t>
      </w:r>
      <w:r w:rsidR="00CE0D20">
        <w:t>’</w:t>
      </w:r>
      <w:r w:rsidR="00164199">
        <w:t>une activité professionnelle. Les chiffres de 2002 indiquent qu</w:t>
      </w:r>
      <w:r w:rsidR="00CE0D20">
        <w:t>’</w:t>
      </w:r>
      <w:r w:rsidR="00164199">
        <w:t xml:space="preserve">en moyenne, les femmes gagnent 10% de moins que les hommes à qualification égale. </w:t>
      </w:r>
    </w:p>
    <w:p w:rsidR="00627247" w:rsidRPr="00627247" w:rsidRDefault="00627247" w:rsidP="00627247">
      <w:pPr>
        <w:pStyle w:val="SingleTxt"/>
        <w:spacing w:after="0" w:line="120" w:lineRule="exact"/>
        <w:rPr>
          <w:sz w:val="10"/>
        </w:rPr>
      </w:pPr>
    </w:p>
    <w:p w:rsidR="00164199" w:rsidRDefault="00627247" w:rsidP="006272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La vie publique et politique</w:t>
      </w:r>
    </w:p>
    <w:p w:rsidR="00627247" w:rsidRPr="00627247" w:rsidRDefault="00627247" w:rsidP="00627247">
      <w:pPr>
        <w:pStyle w:val="SingleTxt"/>
        <w:spacing w:after="0" w:line="120" w:lineRule="exact"/>
        <w:rPr>
          <w:sz w:val="10"/>
        </w:rPr>
      </w:pPr>
    </w:p>
    <w:p w:rsidR="00164199" w:rsidRDefault="00627247" w:rsidP="00164199">
      <w:pPr>
        <w:pStyle w:val="SingleTxt"/>
      </w:pPr>
      <w:r>
        <w:tab/>
      </w:r>
      <w:r w:rsidR="00164199">
        <w:t>La Constitution slovène garantissant aux hommes et aux femmes l</w:t>
      </w:r>
      <w:r w:rsidR="00CE0D20">
        <w:t>’</w:t>
      </w:r>
      <w:r w:rsidR="00164199">
        <w:t>égalité des chances en matière d</w:t>
      </w:r>
      <w:r w:rsidR="00CE0D20">
        <w:t>’</w:t>
      </w:r>
      <w:r w:rsidR="00164199">
        <w:t>éligibilité aux élections nationales et locales, la Slovénie a décidé d</w:t>
      </w:r>
      <w:r w:rsidR="00CE0D20">
        <w:t>’</w:t>
      </w:r>
      <w:r w:rsidR="00164199">
        <w:t>adopter des lois et d</w:t>
      </w:r>
      <w:r w:rsidR="00CE0D20">
        <w:t>’</w:t>
      </w:r>
      <w:r w:rsidR="00164199">
        <w:t>appliquer des réglementations, ainsi que des mesures spéciales, en vue d</w:t>
      </w:r>
      <w:r w:rsidR="00CE0D20">
        <w:t>’</w:t>
      </w:r>
      <w:r w:rsidR="00164199">
        <w:t>assurer une représentation équilibrée des deux sexes, voire la parité, à tous les niveaux de décision politique. A ce jour, deux lois électorales ont été modifiées afin d</w:t>
      </w:r>
      <w:r w:rsidR="00CE0D20">
        <w:t>’</w:t>
      </w:r>
      <w:r w:rsidR="00164199">
        <w:t>y inclure des dispositions sur le nombre minimum d</w:t>
      </w:r>
      <w:r w:rsidR="00CE0D20">
        <w:t>’</w:t>
      </w:r>
      <w:r w:rsidR="00164199">
        <w:t>hommes et de femmes devant figurer sur les listes de candidats aux élections : il s</w:t>
      </w:r>
      <w:r w:rsidR="00CE0D20">
        <w:t>’</w:t>
      </w:r>
      <w:r w:rsidR="00164199">
        <w:t xml:space="preserve">agit de la </w:t>
      </w:r>
      <w:r w:rsidR="00164199">
        <w:rPr>
          <w:i/>
          <w:iCs/>
        </w:rPr>
        <w:t>Loi sur l</w:t>
      </w:r>
      <w:r w:rsidR="00CE0D20">
        <w:rPr>
          <w:i/>
          <w:iCs/>
        </w:rPr>
        <w:t>’</w:t>
      </w:r>
      <w:r w:rsidR="00164199">
        <w:rPr>
          <w:i/>
          <w:iCs/>
        </w:rPr>
        <w:t>élection de députés slovènes au Parlement européen</w:t>
      </w:r>
      <w:r w:rsidR="00164199">
        <w:t xml:space="preserve"> et de la </w:t>
      </w:r>
      <w:r w:rsidR="00164199">
        <w:rPr>
          <w:i/>
          <w:iCs/>
        </w:rPr>
        <w:t>Loi sur les élections locales</w:t>
      </w:r>
      <w:r w:rsidR="00CE0D20">
        <w:rPr>
          <w:i/>
          <w:iCs/>
        </w:rPr>
        <w:t>;</w:t>
      </w:r>
      <w:r w:rsidR="00164199">
        <w:t xml:space="preserve"> d</w:t>
      </w:r>
      <w:r w:rsidR="00CE0D20">
        <w:t>’</w:t>
      </w:r>
      <w:r w:rsidR="00164199">
        <w:t xml:space="preserve">autre part, une proposition de loi portant modification de la </w:t>
      </w:r>
      <w:r w:rsidR="00164199">
        <w:rPr>
          <w:i/>
          <w:iCs/>
        </w:rPr>
        <w:t>Loi sur les élections législatives nationales</w:t>
      </w:r>
      <w:r w:rsidR="00164199">
        <w:t xml:space="preserve"> est en cours d</w:t>
      </w:r>
      <w:r w:rsidR="00CE0D20">
        <w:t>’</w:t>
      </w:r>
      <w:r w:rsidR="00164199">
        <w:t>élaboration, afin de fixer également un pourcentage minimum d</w:t>
      </w:r>
      <w:r w:rsidR="00CE0D20">
        <w:t>’</w:t>
      </w:r>
      <w:r w:rsidR="00164199">
        <w:t xml:space="preserve">hommes et de femmes sur les listes de candidats. </w:t>
      </w:r>
    </w:p>
    <w:p w:rsidR="00164199" w:rsidRDefault="00627247" w:rsidP="00627247">
      <w:pPr>
        <w:pStyle w:val="SingleTxt"/>
      </w:pPr>
      <w:r>
        <w:tab/>
      </w:r>
      <w:r w:rsidR="00164199">
        <w:t>Lors des dernières élections législatives nationales de la République de Slovénie, en 2004, 11 femmes ont été élues (soit 12,2%), et, après la répartition finale des sièges au sein du Parlement – qui compte 90 membres</w:t>
      </w:r>
      <w:r w:rsidR="00BA4F2E">
        <w:t xml:space="preserve"> </w:t>
      </w:r>
      <w:r>
        <w:t xml:space="preserve">– </w:t>
      </w:r>
      <w:r w:rsidR="00164199">
        <w:t xml:space="preserve">12 femmes ont occupé un siège de parlementaire (soit 13,3%). Les chiffres sont restés stables en comparaison de la précédente législature. </w:t>
      </w:r>
    </w:p>
    <w:p w:rsidR="00164199" w:rsidRDefault="00627247" w:rsidP="00627247">
      <w:pPr>
        <w:pStyle w:val="SingleTxt"/>
      </w:pPr>
      <w:r>
        <w:tab/>
      </w:r>
      <w:r w:rsidR="00164199">
        <w:t>En Slovénie, sur les 15 ministres du gouvernement, on compte une femme (soit 6,7%) : il s</w:t>
      </w:r>
      <w:r w:rsidR="00CE0D20">
        <w:t>’</w:t>
      </w:r>
      <w:r w:rsidR="00164199">
        <w:t>agit de la ministre de l</w:t>
      </w:r>
      <w:r w:rsidR="00CE0D20">
        <w:t>’</w:t>
      </w:r>
      <w:r w:rsidR="00164199">
        <w:t>Agriculture, de la Sylviculture et de l</w:t>
      </w:r>
      <w:r w:rsidR="00CE0D20">
        <w:t>’</w:t>
      </w:r>
      <w:r w:rsidR="00164199">
        <w:t>Alimentation. Les deux ministres sans portefeuille sont des hommes. Le Secrétaire Général du Gouvernement est également un homme</w:t>
      </w:r>
      <w:r w:rsidR="00CE0D20">
        <w:t>;</w:t>
      </w:r>
      <w:r w:rsidR="00164199">
        <w:t xml:space="preserve"> enfin, sur l</w:t>
      </w:r>
      <w:r w:rsidR="00CE0D20">
        <w:t>’</w:t>
      </w:r>
      <w:r w:rsidR="00164199">
        <w:t>ensemble des Secrétaires d</w:t>
      </w:r>
      <w:r w:rsidR="00CE0D20">
        <w:t>’</w:t>
      </w:r>
      <w:r w:rsidR="00221C8A">
        <w:t>État</w:t>
      </w:r>
      <w:r w:rsidR="00164199">
        <w:t xml:space="preserve">, on compte 4 femmes – soit 22,2% du total. </w:t>
      </w:r>
    </w:p>
    <w:p w:rsidR="00164199" w:rsidRDefault="00627247" w:rsidP="00627247">
      <w:pPr>
        <w:pStyle w:val="SingleTxt"/>
      </w:pPr>
      <w:r>
        <w:tab/>
      </w:r>
      <w:r w:rsidR="00164199">
        <w:t>La place des femmes au niveau des postes de responsabilité est également peu importante à l</w:t>
      </w:r>
      <w:r w:rsidR="00CE0D20">
        <w:t>’</w:t>
      </w:r>
      <w:r w:rsidR="00164199">
        <w:t>échelon local. Lors des élections locales de 2002, le pourcentage de femmes sur les listes de candidats était de 21%, et l</w:t>
      </w:r>
      <w:r w:rsidR="00CE0D20">
        <w:t>’</w:t>
      </w:r>
      <w:r w:rsidR="00164199">
        <w:t xml:space="preserve">on a compté 13,5% de femmes élues au sein des conseils des communautés urbaines et des collectivités locales. Lors de ces mêmes élections, 12 femmes ont été élues maires (soit 6,2%). </w:t>
      </w:r>
    </w:p>
    <w:p w:rsidR="00164199" w:rsidRDefault="00A838F9" w:rsidP="00627247">
      <w:pPr>
        <w:pStyle w:val="SingleTxt"/>
      </w:pPr>
      <w:r>
        <w:tab/>
      </w:r>
      <w:r w:rsidR="00164199">
        <w:t>L</w:t>
      </w:r>
      <w:r w:rsidR="00CE0D20">
        <w:t>’</w:t>
      </w:r>
      <w:r w:rsidR="00164199">
        <w:t>instauration d</w:t>
      </w:r>
      <w:r w:rsidR="00CE0D20">
        <w:t>’</w:t>
      </w:r>
      <w:r w:rsidR="00164199">
        <w:t>une règle exigeant au minimum 40% d</w:t>
      </w:r>
      <w:r w:rsidR="00CE0D20">
        <w:t>’</w:t>
      </w:r>
      <w:r w:rsidR="00164199">
        <w:t>hommes et 40% de femmes sur les listes de candidats à un siège de député au Parlement européen a eu un effet positif puisque, finalement, on a compté 43% de femmes parmi les personnalités slovènes ayant obtenu un siège de député européen.</w:t>
      </w:r>
    </w:p>
    <w:p w:rsidR="00164199" w:rsidRDefault="00627247" w:rsidP="00627247">
      <w:pPr>
        <w:pStyle w:val="SingleTxt"/>
        <w:jc w:val="left"/>
        <w:rPr>
          <w:b/>
          <w:bCs/>
        </w:rPr>
      </w:pPr>
      <w:r>
        <w:rPr>
          <w:b/>
          <w:bCs/>
        </w:rPr>
        <w:br w:type="page"/>
      </w:r>
      <w:r w:rsidR="00164199" w:rsidRPr="008F5F3F">
        <w:rPr>
          <w:b/>
          <w:bCs/>
        </w:rPr>
        <w:t>b</w:t>
      </w:r>
      <w:r w:rsidR="00164199">
        <w:rPr>
          <w:b/>
          <w:bCs/>
        </w:rPr>
        <w:t>)</w:t>
      </w:r>
      <w:r w:rsidR="00164199">
        <w:rPr>
          <w:b/>
          <w:bCs/>
        </w:rPr>
        <w:tab/>
        <w:t xml:space="preserve">Les mesures adoptées en vue de la mise en œuvre des dispositions </w:t>
      </w:r>
      <w:r>
        <w:rPr>
          <w:b/>
          <w:bCs/>
        </w:rPr>
        <w:br/>
      </w:r>
      <w:r>
        <w:rPr>
          <w:b/>
          <w:bCs/>
        </w:rPr>
        <w:tab/>
      </w:r>
      <w:r w:rsidR="00164199">
        <w:rPr>
          <w:b/>
          <w:bCs/>
        </w:rPr>
        <w:t xml:space="preserve">de la Convention, et les effets de la ratification de la Convention </w:t>
      </w:r>
      <w:r>
        <w:rPr>
          <w:b/>
          <w:bCs/>
        </w:rPr>
        <w:br/>
      </w:r>
      <w:r>
        <w:rPr>
          <w:b/>
          <w:bCs/>
        </w:rPr>
        <w:tab/>
      </w:r>
      <w:r w:rsidR="00164199">
        <w:rPr>
          <w:b/>
          <w:bCs/>
        </w:rPr>
        <w:t xml:space="preserve">sur la situation générale, sociale, économique, politique et juridique </w:t>
      </w:r>
      <w:r>
        <w:rPr>
          <w:b/>
          <w:bCs/>
        </w:rPr>
        <w:br/>
      </w:r>
      <w:r>
        <w:rPr>
          <w:b/>
          <w:bCs/>
        </w:rPr>
        <w:tab/>
      </w:r>
      <w:r w:rsidR="00164199">
        <w:rPr>
          <w:b/>
          <w:bCs/>
        </w:rPr>
        <w:t>de la Slovénie</w:t>
      </w:r>
    </w:p>
    <w:p w:rsidR="00627247" w:rsidRPr="00627247" w:rsidRDefault="00627247" w:rsidP="00627247">
      <w:pPr>
        <w:pStyle w:val="SingleTxt"/>
        <w:spacing w:after="0" w:line="120" w:lineRule="exact"/>
        <w:jc w:val="left"/>
        <w:rPr>
          <w:b/>
          <w:bCs/>
          <w:sz w:val="10"/>
        </w:rPr>
      </w:pPr>
    </w:p>
    <w:p w:rsidR="00164199" w:rsidRDefault="00627247" w:rsidP="006272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 xml:space="preserve">Effets de la ratification de la Convention </w:t>
      </w:r>
    </w:p>
    <w:p w:rsidR="00627247" w:rsidRPr="00627247" w:rsidRDefault="00627247" w:rsidP="00627247">
      <w:pPr>
        <w:pStyle w:val="SingleTxt"/>
        <w:spacing w:after="0" w:line="120" w:lineRule="exact"/>
        <w:rPr>
          <w:sz w:val="10"/>
        </w:rPr>
      </w:pPr>
    </w:p>
    <w:p w:rsidR="00164199" w:rsidRDefault="00627247" w:rsidP="00627247">
      <w:pPr>
        <w:pStyle w:val="SingleTxt"/>
      </w:pPr>
      <w:r>
        <w:tab/>
      </w:r>
      <w:r w:rsidR="00164199">
        <w:t>La Convention sur l</w:t>
      </w:r>
      <w:r w:rsidR="00CE0D20">
        <w:t>’</w:t>
      </w:r>
      <w:r w:rsidR="00164199">
        <w:t>élimination de toutes les formes de discrimination à l</w:t>
      </w:r>
      <w:r w:rsidR="00CE0D20">
        <w:t>’</w:t>
      </w:r>
      <w:r w:rsidR="00164199">
        <w:t>égard des femmes, et les recommandations du Comité pour l</w:t>
      </w:r>
      <w:r w:rsidR="00CE0D20">
        <w:t>’</w:t>
      </w:r>
      <w:r w:rsidR="00164199">
        <w:t>élimination de la discrimination à l</w:t>
      </w:r>
      <w:r w:rsidR="00CE0D20">
        <w:t>’</w:t>
      </w:r>
      <w:r w:rsidR="00164199">
        <w:t>égard des femmes – contenues dans les conclusions adoptées à l</w:t>
      </w:r>
      <w:r w:rsidR="00CE0D20">
        <w:t>’</w:t>
      </w:r>
      <w:r w:rsidR="00164199">
        <w:t>issue de l</w:t>
      </w:r>
      <w:r w:rsidR="00CE0D20">
        <w:t>’</w:t>
      </w:r>
      <w:r w:rsidR="00164199">
        <w:t>examen du rapport de la Slovénie, conformément à l</w:t>
      </w:r>
      <w:r w:rsidR="00CE0D20">
        <w:t>’</w:t>
      </w:r>
      <w:r w:rsidR="00164199">
        <w:t>article 18 de la Convention – sont le fondement des politiques, programmes et autres mesures visant à garantir concrètement l</w:t>
      </w:r>
      <w:r w:rsidR="00CE0D20">
        <w:t>’</w:t>
      </w:r>
      <w:r w:rsidR="00164199">
        <w:t>égalité entre les hommes et les femmes, en Slovénie</w:t>
      </w:r>
      <w:r w:rsidR="00CE0D20">
        <w:t>;</w:t>
      </w:r>
      <w:r w:rsidR="00164199">
        <w:t xml:space="preserve"> les textes en question sont applicables aussi bien au niveau législatif que dans la sphère exécutive du pouvoir. Les dispositions de la Convention et les recommandations du Comité sont l</w:t>
      </w:r>
      <w:r w:rsidR="00CE0D20">
        <w:t>’</w:t>
      </w:r>
      <w:r w:rsidR="00164199">
        <w:t xml:space="preserve">une des bases majeures des mesures proposées par le Bureau pour </w:t>
      </w:r>
      <w:r w:rsidR="00247191">
        <w:t>L’Égalité</w:t>
      </w:r>
      <w:r w:rsidR="00164199">
        <w:t xml:space="preserve"> des Chances à l</w:t>
      </w:r>
      <w:r w:rsidR="00CE0D20">
        <w:t>’</w:t>
      </w:r>
      <w:r w:rsidR="00164199">
        <w:t>ensemble des ministères concernés. Entre autres institutions, les ONG s</w:t>
      </w:r>
      <w:r w:rsidR="00CE0D20">
        <w:t>’</w:t>
      </w:r>
      <w:r w:rsidR="00164199">
        <w:t xml:space="preserve">inspirent également des dispositions de la Convention et des recommandations du Comité pour leurs activités. </w:t>
      </w:r>
    </w:p>
    <w:p w:rsidR="00164199" w:rsidRDefault="00627247" w:rsidP="00627247">
      <w:pPr>
        <w:pStyle w:val="SingleTxt"/>
      </w:pPr>
      <w:r>
        <w:tab/>
      </w:r>
      <w:r w:rsidR="00164199">
        <w:t>La Convention a été l</w:t>
      </w:r>
      <w:r w:rsidR="00CE0D20">
        <w:t>’</w:t>
      </w:r>
      <w:r w:rsidR="00164199">
        <w:t>un des fondements de l</w:t>
      </w:r>
      <w:r w:rsidR="00CE0D20">
        <w:t>’</w:t>
      </w:r>
      <w:r w:rsidR="00164199">
        <w:t xml:space="preserve">élaboration de la </w:t>
      </w:r>
      <w:r w:rsidR="00164199">
        <w:rPr>
          <w:i/>
          <w:iCs/>
        </w:rPr>
        <w:t>Résolution sur le Programme national d</w:t>
      </w:r>
      <w:r w:rsidR="00CE0D20">
        <w:rPr>
          <w:i/>
          <w:iCs/>
        </w:rPr>
        <w:t>’</w:t>
      </w:r>
      <w:r w:rsidR="00164199">
        <w:rPr>
          <w:i/>
          <w:iCs/>
        </w:rPr>
        <w:t>égalité des chances pour les femmes et les hommes</w:t>
      </w:r>
      <w:r w:rsidR="00164199">
        <w:t>, adoptée par l</w:t>
      </w:r>
      <w:r w:rsidR="00CE0D20">
        <w:t>’</w:t>
      </w:r>
      <w:r w:rsidR="00164199">
        <w:t>Assemblée nationale en octobre 2005.</w:t>
      </w:r>
    </w:p>
    <w:p w:rsidR="00164199" w:rsidRDefault="00627247" w:rsidP="00627247">
      <w:pPr>
        <w:pStyle w:val="SingleTxt"/>
      </w:pPr>
      <w:r>
        <w:tab/>
      </w:r>
      <w:r w:rsidR="00164199">
        <w:t>En 2004, la Slovénie a ratifié le Protocole facultatif à la Convention et a ainsi reconnu la compétence du Comité pour l</w:t>
      </w:r>
      <w:r w:rsidR="00CE0D20">
        <w:t>’</w:t>
      </w:r>
      <w:r w:rsidR="00164199">
        <w:t>élimination de la discrimination à l</w:t>
      </w:r>
      <w:r w:rsidR="00CE0D20">
        <w:t>’</w:t>
      </w:r>
      <w:r w:rsidR="00164199">
        <w:t>égard des femmes en matière d</w:t>
      </w:r>
      <w:r w:rsidR="00CE0D20">
        <w:t>’</w:t>
      </w:r>
      <w:r w:rsidR="00164199">
        <w:t>enregistrement et d</w:t>
      </w:r>
      <w:r w:rsidR="00CE0D20">
        <w:t>’</w:t>
      </w:r>
      <w:r w:rsidR="00164199">
        <w:t>examen des communications de particuliers ou de groupes, dans le cadre de la juridiction d</w:t>
      </w:r>
      <w:r w:rsidR="00CE0D20">
        <w:t>’</w:t>
      </w:r>
      <w:r w:rsidR="00164199">
        <w:t xml:space="preserve">un </w:t>
      </w:r>
      <w:r>
        <w:t>É</w:t>
      </w:r>
      <w:r w:rsidR="00164199">
        <w:t>tat partie – individus ou groupes affirmant être victimes d</w:t>
      </w:r>
      <w:r w:rsidR="00CE0D20">
        <w:t>’</w:t>
      </w:r>
      <w:r w:rsidR="00164199">
        <w:t>une violation, par l</w:t>
      </w:r>
      <w:r w:rsidR="00CE0D20">
        <w:t>’</w:t>
      </w:r>
      <w:r>
        <w:t>É</w:t>
      </w:r>
      <w:r w:rsidR="00164199">
        <w:t>tat partie en question, de l</w:t>
      </w:r>
      <w:r w:rsidR="00CE0D20">
        <w:t>’</w:t>
      </w:r>
      <w:r w:rsidR="00164199">
        <w:t>un des droits garantis par la Convention.</w:t>
      </w:r>
    </w:p>
    <w:p w:rsidR="00164199" w:rsidRDefault="00627247" w:rsidP="00627247">
      <w:pPr>
        <w:pStyle w:val="SingleTxt"/>
      </w:pPr>
      <w:r>
        <w:tab/>
      </w:r>
      <w:r w:rsidR="00164199">
        <w:t>Enfin, en 2006, la modification du premier paragraphe de l</w:t>
      </w:r>
      <w:r w:rsidR="00CE0D20">
        <w:t>’</w:t>
      </w:r>
      <w:r w:rsidR="00164199">
        <w:t>article 20 de la Convention sur l</w:t>
      </w:r>
      <w:r w:rsidR="00CE0D20">
        <w:t>’</w:t>
      </w:r>
      <w:r w:rsidR="00164199">
        <w:t>élimination de toutes les formes de discrimination à l</w:t>
      </w:r>
      <w:r w:rsidR="00CE0D20">
        <w:t>’</w:t>
      </w:r>
      <w:r w:rsidR="00164199">
        <w:t xml:space="preserve">égard des femmes sera ratifiée par un décret gouvernemental. </w:t>
      </w:r>
    </w:p>
    <w:p w:rsidR="00A838F9" w:rsidRPr="00A838F9" w:rsidRDefault="00A838F9" w:rsidP="00A838F9">
      <w:pPr>
        <w:pStyle w:val="SingleTxt"/>
        <w:spacing w:after="0" w:line="120" w:lineRule="exact"/>
        <w:rPr>
          <w:sz w:val="10"/>
        </w:rPr>
      </w:pPr>
    </w:p>
    <w:p w:rsidR="00164199" w:rsidRDefault="00A838F9" w:rsidP="00A83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rsidRPr="00B079C2">
        <w:t>c</w:t>
      </w:r>
      <w:r w:rsidR="00164199">
        <w:t>)</w:t>
      </w:r>
      <w:r w:rsidR="00164199">
        <w:tab/>
        <w:t>Les mécanismes institutionnels assurant la parité</w:t>
      </w:r>
    </w:p>
    <w:p w:rsidR="00A838F9" w:rsidRPr="00A838F9" w:rsidRDefault="00A838F9" w:rsidP="00A838F9">
      <w:pPr>
        <w:pStyle w:val="SingleTxt"/>
        <w:spacing w:after="0" w:line="120" w:lineRule="exact"/>
        <w:rPr>
          <w:sz w:val="10"/>
        </w:rPr>
      </w:pPr>
    </w:p>
    <w:p w:rsidR="00164199" w:rsidRDefault="00627247" w:rsidP="00627247">
      <w:pPr>
        <w:pStyle w:val="SingleTxt"/>
      </w:pPr>
      <w:r>
        <w:tab/>
      </w:r>
      <w:r w:rsidR="00164199">
        <w:t>Commission de l</w:t>
      </w:r>
      <w:r w:rsidR="00CE0D20">
        <w:t>’</w:t>
      </w:r>
      <w:r w:rsidR="00164199">
        <w:t>Assemblée nationale de la République de Slovénie pour les requêtes, les droits de l</w:t>
      </w:r>
      <w:r w:rsidR="00CE0D20">
        <w:t>’</w:t>
      </w:r>
      <w:r w:rsidR="00164199">
        <w:t>homme et l</w:t>
      </w:r>
      <w:r w:rsidR="00CE0D20">
        <w:t>’</w:t>
      </w:r>
      <w:r w:rsidR="00164199">
        <w:t>égalité des chances</w:t>
      </w:r>
    </w:p>
    <w:p w:rsidR="00164199" w:rsidRDefault="00627247" w:rsidP="00627247">
      <w:pPr>
        <w:pStyle w:val="SingleTxt"/>
      </w:pPr>
      <w:r>
        <w:tab/>
      </w:r>
      <w:r w:rsidR="00164199">
        <w:t>Lors de la réorganisation des organes parlementaires à la suite des élections législatives de 2000, la Commission de l</w:t>
      </w:r>
      <w:r w:rsidR="00CE0D20">
        <w:t>’</w:t>
      </w:r>
      <w:r w:rsidR="00164199">
        <w:t xml:space="preserve">Assemblée nationale de la République de Slovénie pour </w:t>
      </w:r>
      <w:r w:rsidR="00247191">
        <w:t>L’Égalité</w:t>
      </w:r>
      <w:r w:rsidR="00164199">
        <w:t xml:space="preserve"> des chances a été dissoute, et son domaine de compétences transféré à la Commission des Affaires intérieures. Puis, après les élections de 2004, on a créé la Commission de l</w:t>
      </w:r>
      <w:r w:rsidR="00CE0D20">
        <w:t>’</w:t>
      </w:r>
      <w:r w:rsidR="00164199">
        <w:t>Assemblée nationale pour les requêtes, les droits de l</w:t>
      </w:r>
      <w:r w:rsidR="00CE0D20">
        <w:t>’</w:t>
      </w:r>
      <w:r w:rsidR="00164199">
        <w:t>homme et l</w:t>
      </w:r>
      <w:r w:rsidR="00CE0D20">
        <w:t>’</w:t>
      </w:r>
      <w:r w:rsidR="00164199">
        <w:t>égalité des chances</w:t>
      </w:r>
      <w:r w:rsidR="00CE0D20">
        <w:t>;</w:t>
      </w:r>
      <w:r w:rsidR="00164199">
        <w:t xml:space="preserve"> les questions d</w:t>
      </w:r>
      <w:r w:rsidR="00CE0D20">
        <w:t>’</w:t>
      </w:r>
      <w:r w:rsidR="00164199">
        <w:t xml:space="preserve">égalité entre les sexes font partie des attributions de cette nouvelle commission. </w:t>
      </w:r>
    </w:p>
    <w:p w:rsidR="00627247" w:rsidRPr="00627247" w:rsidRDefault="00627247" w:rsidP="00627247">
      <w:pPr>
        <w:pStyle w:val="SingleTxt"/>
        <w:spacing w:after="0" w:line="120" w:lineRule="exact"/>
        <w:rPr>
          <w:sz w:val="10"/>
        </w:rPr>
      </w:pPr>
    </w:p>
    <w:p w:rsidR="00164199" w:rsidRDefault="00627247" w:rsidP="006272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 xml:space="preserve">Le Bureau pour </w:t>
      </w:r>
      <w:r w:rsidR="00247191">
        <w:t>L’Égalité</w:t>
      </w:r>
      <w:r w:rsidR="00164199">
        <w:t xml:space="preserve"> des chances</w:t>
      </w:r>
    </w:p>
    <w:p w:rsidR="00627247" w:rsidRPr="00627247" w:rsidRDefault="00627247" w:rsidP="00627247">
      <w:pPr>
        <w:pStyle w:val="SingleTxt"/>
        <w:spacing w:after="0" w:line="120" w:lineRule="exact"/>
        <w:rPr>
          <w:sz w:val="10"/>
        </w:rPr>
      </w:pPr>
    </w:p>
    <w:p w:rsidR="00164199" w:rsidRDefault="00627247" w:rsidP="00627247">
      <w:pPr>
        <w:pStyle w:val="SingleTxt"/>
      </w:pPr>
      <w:r>
        <w:tab/>
      </w:r>
      <w:r w:rsidR="00164199">
        <w:t xml:space="preserve">Après la réorganisation des administrations publiques, le </w:t>
      </w:r>
      <w:r>
        <w:t>« </w:t>
      </w:r>
      <w:r w:rsidR="00164199">
        <w:t xml:space="preserve">Bureau pour </w:t>
      </w:r>
      <w:r w:rsidR="00221C8A">
        <w:t>Égalité</w:t>
      </w:r>
      <w:r w:rsidR="00164199">
        <w:t xml:space="preserve"> des chances</w:t>
      </w:r>
      <w:r w:rsidR="00CE0D20">
        <w:t> »</w:t>
      </w:r>
      <w:r w:rsidR="00164199">
        <w:t xml:space="preserve"> reste un service public autonome. Sa mission essentielle est de garantir l</w:t>
      </w:r>
      <w:r w:rsidR="00CE0D20">
        <w:t>’</w:t>
      </w:r>
      <w:r w:rsidR="00164199">
        <w:t xml:space="preserve">égalité entre les hommes et les femmes sur le plan juridique, et de contribuer à sa concrétisation dans les faits, dans tous les secteurs de la société et de la vie quotidienne. Les compétences du Bureau pour </w:t>
      </w:r>
      <w:r w:rsidR="00B11001">
        <w:t>l’</w:t>
      </w:r>
      <w:r w:rsidR="00221C8A">
        <w:t>Égalité</w:t>
      </w:r>
      <w:r w:rsidR="00164199">
        <w:t xml:space="preserve"> des chances ont été définies dans le cadre de la décision gouvernementale qui a présidé à la création et au fonctionnement de cet organe, ainsi que par la </w:t>
      </w:r>
      <w:r w:rsidR="00164199">
        <w:rPr>
          <w:i/>
          <w:iCs/>
        </w:rPr>
        <w:t>Loi sur l</w:t>
      </w:r>
      <w:r w:rsidR="00CE0D20">
        <w:rPr>
          <w:i/>
          <w:iCs/>
        </w:rPr>
        <w:t>’</w:t>
      </w:r>
      <w:r w:rsidR="00164199">
        <w:rPr>
          <w:i/>
          <w:iCs/>
        </w:rPr>
        <w:t>égalité des chances des femmes et des hommes</w:t>
      </w:r>
      <w:r w:rsidR="00164199">
        <w:t xml:space="preserve"> et dans le cadre de la </w:t>
      </w:r>
      <w:r w:rsidR="00164199">
        <w:rPr>
          <w:i/>
          <w:iCs/>
        </w:rPr>
        <w:t>Mise en œuvre de la Loi sur le principe d</w:t>
      </w:r>
      <w:r w:rsidR="00CE0D20">
        <w:rPr>
          <w:i/>
          <w:iCs/>
        </w:rPr>
        <w:t>’</w:t>
      </w:r>
      <w:r w:rsidR="00164199">
        <w:rPr>
          <w:i/>
          <w:iCs/>
        </w:rPr>
        <w:t xml:space="preserve">égalité de traitement. </w:t>
      </w:r>
      <w:r w:rsidR="00164199">
        <w:t xml:space="preserve">Le </w:t>
      </w:r>
      <w:r w:rsidR="00B11001">
        <w:t>« </w:t>
      </w:r>
      <w:r w:rsidR="00164199">
        <w:t xml:space="preserve">Bureau pour </w:t>
      </w:r>
      <w:r w:rsidR="00B11001">
        <w:t>l’</w:t>
      </w:r>
      <w:r w:rsidR="00221C8A">
        <w:t>Égalité</w:t>
      </w:r>
      <w:r w:rsidR="00164199">
        <w:t xml:space="preserve"> des chances</w:t>
      </w:r>
      <w:r w:rsidR="00CE0D20">
        <w:t> »</w:t>
      </w:r>
      <w:r w:rsidR="00164199">
        <w:t xml:space="preserve"> contribue à l</w:t>
      </w:r>
      <w:r w:rsidR="00CE0D20">
        <w:t>’</w:t>
      </w:r>
      <w:r w:rsidR="00164199">
        <w:t>intégration du principe d</w:t>
      </w:r>
      <w:r w:rsidR="00CE0D20">
        <w:t>’</w:t>
      </w:r>
      <w:r w:rsidR="00164199">
        <w:t>égalité entre les sexes dans toutes les politiques gouvernementales</w:t>
      </w:r>
      <w:r w:rsidR="00CE0D20">
        <w:t>;</w:t>
      </w:r>
      <w:r w:rsidR="00164199">
        <w:t xml:space="preserve"> cet organe élabore également des mesures en vue de l</w:t>
      </w:r>
      <w:r w:rsidR="00CE0D20">
        <w:t>’</w:t>
      </w:r>
      <w:r w:rsidR="00164199">
        <w:t>élimination, dans tous les secteurs, de toute inégalité fondée sur le sexe, et contrôle l</w:t>
      </w:r>
      <w:r w:rsidR="00CE0D20">
        <w:t>’</w:t>
      </w:r>
      <w:r w:rsidR="00164199">
        <w:t xml:space="preserve">application desdites mesures. Le Bureau pour </w:t>
      </w:r>
      <w:r w:rsidR="00B11001">
        <w:t>l’</w:t>
      </w:r>
      <w:r w:rsidR="00247191">
        <w:t>L’Égalité</w:t>
      </w:r>
      <w:r w:rsidR="00164199">
        <w:t xml:space="preserve"> des chances agit en collaboration avec les ministères et autres administrations publiques concernés, ainsi qu</w:t>
      </w:r>
      <w:r w:rsidR="00CE0D20">
        <w:t>’</w:t>
      </w:r>
      <w:r w:rsidR="00164199">
        <w:t>avec des organisations gouvernementales internationales et nationales, des organisations non gouvernementales, d</w:t>
      </w:r>
      <w:r w:rsidR="00CE0D20">
        <w:t>’</w:t>
      </w:r>
      <w:r w:rsidR="00164199">
        <w:t xml:space="preserve">autres institutions encore, et, enfin, avec des experts nationaux et étrangers. </w:t>
      </w:r>
    </w:p>
    <w:p w:rsidR="00164199" w:rsidRDefault="00627247" w:rsidP="00627247">
      <w:pPr>
        <w:pStyle w:val="SingleTxt"/>
      </w:pPr>
      <w:r>
        <w:tab/>
      </w:r>
      <w:r w:rsidR="00164199">
        <w:t xml:space="preserve">En octobre 2005, dix personnes étaient employées à plein temps par le Bureau pour </w:t>
      </w:r>
      <w:r w:rsidR="00B11001">
        <w:t>l’</w:t>
      </w:r>
      <w:r w:rsidR="00221C8A">
        <w:t>Égalité</w:t>
      </w:r>
      <w:r w:rsidR="00164199">
        <w:t xml:space="preserve"> des chances – ce qui représente une augmentation de personnel de 20% par rapport à 2002, c</w:t>
      </w:r>
      <w:r w:rsidR="00CE0D20">
        <w:t>’</w:t>
      </w:r>
      <w:r w:rsidR="00164199">
        <w:t>est-à-dire l</w:t>
      </w:r>
      <w:r w:rsidR="00CE0D20">
        <w:t>’</w:t>
      </w:r>
      <w:r w:rsidR="00164199">
        <w:t>année où la Slovénie présentait son Troisième Rapport au Comité pour l</w:t>
      </w:r>
      <w:r w:rsidR="00CE0D20">
        <w:t>’</w:t>
      </w:r>
      <w:r w:rsidR="00164199">
        <w:t>élimination de la discrimination à l</w:t>
      </w:r>
      <w:r w:rsidR="00CE0D20">
        <w:t>’</w:t>
      </w:r>
      <w:r w:rsidR="00164199">
        <w:t xml:space="preserve">égard des femmes. </w:t>
      </w:r>
    </w:p>
    <w:p w:rsidR="00627247" w:rsidRPr="00627247" w:rsidRDefault="00627247" w:rsidP="00627247">
      <w:pPr>
        <w:pStyle w:val="SingleTxt"/>
        <w:spacing w:after="0" w:line="120" w:lineRule="exact"/>
        <w:rPr>
          <w:sz w:val="10"/>
        </w:rPr>
      </w:pPr>
    </w:p>
    <w:p w:rsidR="00164199" w:rsidRDefault="00627247" w:rsidP="006272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w:t>
      </w:r>
      <w:r w:rsidR="00CE0D20">
        <w:t>’</w:t>
      </w:r>
      <w:r w:rsidR="00164199">
        <w:t>Avocat de l</w:t>
      </w:r>
      <w:r w:rsidR="00CE0D20">
        <w:t>’</w:t>
      </w:r>
      <w:r>
        <w:t>É</w:t>
      </w:r>
      <w:r w:rsidR="00164199">
        <w:t>galité des chances des femmes et des hommes</w:t>
      </w:r>
    </w:p>
    <w:p w:rsidR="00627247" w:rsidRPr="00627247" w:rsidRDefault="00627247" w:rsidP="00627247">
      <w:pPr>
        <w:pStyle w:val="SingleTxt"/>
        <w:spacing w:after="0" w:line="120" w:lineRule="exact"/>
        <w:rPr>
          <w:sz w:val="10"/>
        </w:rPr>
      </w:pPr>
    </w:p>
    <w:p w:rsidR="00164199" w:rsidRDefault="00627247" w:rsidP="00627247">
      <w:pPr>
        <w:pStyle w:val="SingleTxt"/>
      </w:pPr>
      <w:r>
        <w:tab/>
      </w:r>
      <w:r w:rsidR="00164199">
        <w:t xml:space="preserve">Conformément aux dispositions de la </w:t>
      </w:r>
      <w:r w:rsidR="00164199">
        <w:rPr>
          <w:i/>
          <w:iCs/>
        </w:rPr>
        <w:t>Loi sur l</w:t>
      </w:r>
      <w:r w:rsidR="00CE0D20">
        <w:rPr>
          <w:i/>
          <w:iCs/>
        </w:rPr>
        <w:t>’</w:t>
      </w:r>
      <w:r w:rsidR="00164199">
        <w:rPr>
          <w:i/>
          <w:iCs/>
        </w:rPr>
        <w:t>égalité des chances des femmes et des hommes</w:t>
      </w:r>
      <w:r w:rsidR="00164199">
        <w:t>, un poste d</w:t>
      </w:r>
      <w:r w:rsidR="00CE0D20">
        <w:t>’</w:t>
      </w:r>
      <w:r w:rsidR="00164199">
        <w:t>Avocat chargé de défendre ce principe d</w:t>
      </w:r>
      <w:r w:rsidR="00CE0D20">
        <w:t>’</w:t>
      </w:r>
      <w:r w:rsidR="00164199">
        <w:t xml:space="preserve">égalité a été créé en 2003 au sein du Bureau pour </w:t>
      </w:r>
      <w:r w:rsidR="00247191">
        <w:t>L’Égalité</w:t>
      </w:r>
      <w:r w:rsidR="00164199">
        <w:t xml:space="preserve"> des chances : cet avocat est chargé de traiter les dossiers relatifs à des allégations de traitement inégal.</w:t>
      </w:r>
    </w:p>
    <w:p w:rsidR="00627247" w:rsidRPr="00627247" w:rsidRDefault="00627247" w:rsidP="00627247">
      <w:pPr>
        <w:pStyle w:val="SingleTxt"/>
        <w:spacing w:after="0" w:line="120" w:lineRule="exact"/>
        <w:rPr>
          <w:sz w:val="10"/>
        </w:rPr>
      </w:pPr>
    </w:p>
    <w:p w:rsidR="00164199" w:rsidRDefault="00627247" w:rsidP="006272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199">
        <w:tab/>
        <w:t>Les coordinateurs chargés, au sein des ministères, de veiller au respect du principe d</w:t>
      </w:r>
      <w:r w:rsidR="00CE0D20">
        <w:t>’</w:t>
      </w:r>
      <w:r w:rsidR="00164199">
        <w:t>égalité des chances pour les femmes et les hommes</w:t>
      </w:r>
    </w:p>
    <w:p w:rsidR="00627247" w:rsidRPr="00627247" w:rsidRDefault="00627247" w:rsidP="00627247">
      <w:pPr>
        <w:pStyle w:val="SingleTxt"/>
        <w:spacing w:after="0" w:line="120" w:lineRule="exact"/>
        <w:rPr>
          <w:sz w:val="10"/>
        </w:rPr>
      </w:pPr>
    </w:p>
    <w:p w:rsidR="00164199" w:rsidRDefault="00627247" w:rsidP="00627247">
      <w:pPr>
        <w:pStyle w:val="SingleTxt"/>
      </w:pPr>
      <w:r>
        <w:tab/>
      </w:r>
      <w:r w:rsidR="00164199">
        <w:t xml:space="preserve">La </w:t>
      </w:r>
      <w:r w:rsidR="00164199">
        <w:rPr>
          <w:i/>
          <w:iCs/>
        </w:rPr>
        <w:t>Loi sur l</w:t>
      </w:r>
      <w:r w:rsidR="00CE0D20">
        <w:rPr>
          <w:i/>
          <w:iCs/>
        </w:rPr>
        <w:t>’</w:t>
      </w:r>
      <w:r w:rsidR="00164199">
        <w:rPr>
          <w:i/>
          <w:iCs/>
        </w:rPr>
        <w:t>égalité des chances des femmes et des hommes</w:t>
      </w:r>
      <w:r w:rsidR="00164199">
        <w:t xml:space="preserve"> a instauré un nouveau mécanisme visant à l</w:t>
      </w:r>
      <w:r w:rsidR="00CE0D20">
        <w:t>’</w:t>
      </w:r>
      <w:r w:rsidR="00164199">
        <w:t>intégration du principe d</w:t>
      </w:r>
      <w:r w:rsidR="00CE0D20">
        <w:t>’</w:t>
      </w:r>
      <w:r w:rsidR="00164199">
        <w:t>égalité entre les sexes aux politiques gouvernementales, ainsi qu</w:t>
      </w:r>
      <w:r w:rsidR="00CE0D20">
        <w:t>’</w:t>
      </w:r>
      <w:r w:rsidR="00164199">
        <w:t>à l</w:t>
      </w:r>
      <w:r w:rsidR="00CE0D20">
        <w:t>’</w:t>
      </w:r>
      <w:r w:rsidR="00164199">
        <w:t>application et au contrôle de ce principe. Chaque ministère a nommé un coordinateur de l</w:t>
      </w:r>
      <w:r w:rsidR="00CE0D20">
        <w:t>’</w:t>
      </w:r>
      <w:r w:rsidR="00164199">
        <w:t xml:space="preserve">égalité des chances des femmes et des hommes – coordinateur (ou coordinatrice) qui accomplit son mandat en collaboration avec le Bureau pour </w:t>
      </w:r>
      <w:r w:rsidR="00247191">
        <w:t>L’Égalité</w:t>
      </w:r>
      <w:r w:rsidR="00164199">
        <w:t xml:space="preserve"> des chances. </w:t>
      </w:r>
    </w:p>
    <w:p w:rsidR="00627247" w:rsidRPr="00627247" w:rsidRDefault="00627247" w:rsidP="00627247">
      <w:pPr>
        <w:pStyle w:val="SingleTxt"/>
        <w:spacing w:after="0" w:line="120" w:lineRule="exact"/>
        <w:rPr>
          <w:sz w:val="10"/>
        </w:rPr>
      </w:pPr>
    </w:p>
    <w:p w:rsidR="00164199" w:rsidRDefault="00962950" w:rsidP="00962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Les coordinateurs chargés, au sein des collectivités locales autonomes, de veiller au respect du principe d</w:t>
      </w:r>
      <w:r w:rsidR="00CE0D20">
        <w:t>’</w:t>
      </w:r>
      <w:r w:rsidR="00164199">
        <w:t>égalité des chances des femmes et des hommes</w:t>
      </w:r>
    </w:p>
    <w:p w:rsidR="00962950" w:rsidRPr="00962950" w:rsidRDefault="00962950" w:rsidP="00962950">
      <w:pPr>
        <w:pStyle w:val="SingleTxt"/>
        <w:spacing w:after="0" w:line="120" w:lineRule="exact"/>
        <w:rPr>
          <w:sz w:val="10"/>
        </w:rPr>
      </w:pPr>
    </w:p>
    <w:p w:rsidR="00164199" w:rsidRDefault="00962950" w:rsidP="00627247">
      <w:pPr>
        <w:pStyle w:val="SingleTxt"/>
      </w:pPr>
      <w:r>
        <w:tab/>
      </w:r>
      <w:r w:rsidR="00164199">
        <w:t xml:space="preserve">Cette même </w:t>
      </w:r>
      <w:r w:rsidR="00164199">
        <w:rPr>
          <w:i/>
          <w:iCs/>
        </w:rPr>
        <w:t>Loi sur l</w:t>
      </w:r>
      <w:r w:rsidR="00CE0D20">
        <w:rPr>
          <w:i/>
          <w:iCs/>
        </w:rPr>
        <w:t>’</w:t>
      </w:r>
      <w:r w:rsidR="00164199">
        <w:rPr>
          <w:i/>
          <w:iCs/>
        </w:rPr>
        <w:t>égalité des chances des femmes et des hommes</w:t>
      </w:r>
      <w:r w:rsidR="00164199">
        <w:t xml:space="preserve"> autorise les collectivités locales autonomes à nommer un coordinateur, dans ce domaine : ce dernier participe à l</w:t>
      </w:r>
      <w:r w:rsidR="00CE0D20">
        <w:t>’</w:t>
      </w:r>
      <w:r w:rsidR="00164199">
        <w:t>élaboration et à la mise en œuvre de la politique d</w:t>
      </w:r>
      <w:r w:rsidR="00CE0D20">
        <w:t>’</w:t>
      </w:r>
      <w:r w:rsidR="00164199">
        <w:t>égalité entre les sexes à l</w:t>
      </w:r>
      <w:r w:rsidR="00CE0D20">
        <w:t>’</w:t>
      </w:r>
      <w:r w:rsidR="00164199">
        <w:t xml:space="preserve">échelon local, en collaboration avec le Bureau pour </w:t>
      </w:r>
      <w:r w:rsidR="00247191">
        <w:t>L’Égalité</w:t>
      </w:r>
      <w:r w:rsidR="00164199">
        <w:t xml:space="preserve"> des chances. A la fin de l</w:t>
      </w:r>
      <w:r w:rsidR="00CE0D20">
        <w:t>’</w:t>
      </w:r>
      <w:r w:rsidR="00164199">
        <w:t>année 2005, dix municipalités avaient déjà nommé l</w:t>
      </w:r>
      <w:r w:rsidR="00CE0D20">
        <w:t>’</w:t>
      </w:r>
      <w:r w:rsidR="00164199">
        <w:t xml:space="preserve">un de ces coordinateurs. </w:t>
      </w:r>
    </w:p>
    <w:p w:rsidR="00962950" w:rsidRPr="00962950" w:rsidRDefault="00962950" w:rsidP="00962950">
      <w:pPr>
        <w:pStyle w:val="SingleTxt"/>
        <w:spacing w:after="0" w:line="120" w:lineRule="exact"/>
        <w:rPr>
          <w:sz w:val="10"/>
        </w:rPr>
      </w:pPr>
    </w:p>
    <w:p w:rsidR="00164199" w:rsidRDefault="00962950" w:rsidP="00962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La Commission pour la promotion des femmes dans le domaine des Sciences</w:t>
      </w:r>
    </w:p>
    <w:p w:rsidR="00962950" w:rsidRPr="00962950" w:rsidRDefault="00962950" w:rsidP="00962950">
      <w:pPr>
        <w:pStyle w:val="SingleTxt"/>
        <w:spacing w:after="0" w:line="120" w:lineRule="exact"/>
        <w:rPr>
          <w:sz w:val="10"/>
        </w:rPr>
      </w:pPr>
    </w:p>
    <w:p w:rsidR="00164199" w:rsidRDefault="00962950" w:rsidP="00627247">
      <w:pPr>
        <w:pStyle w:val="SingleTxt"/>
      </w:pPr>
      <w:r>
        <w:tab/>
      </w:r>
      <w:r w:rsidR="00164199">
        <w:t xml:space="preserve">La </w:t>
      </w:r>
      <w:r>
        <w:t>« </w:t>
      </w:r>
      <w:r w:rsidR="00164199">
        <w:t>Commission pour la promotion des femmes dans le domaine des Sciences</w:t>
      </w:r>
      <w:r w:rsidR="00CE0D20">
        <w:t> »</w:t>
      </w:r>
      <w:r w:rsidR="00164199">
        <w:t xml:space="preserve"> a été créée en tant qu</w:t>
      </w:r>
      <w:r w:rsidR="00CE0D20">
        <w:t>’</w:t>
      </w:r>
      <w:r w:rsidR="00164199">
        <w:t>organe expert collaborant avec le ministère de l</w:t>
      </w:r>
      <w:r w:rsidR="00CE0D20">
        <w:t>’</w:t>
      </w:r>
      <w:r w:rsidR="00164199">
        <w:t>Enseignement supérieur, des Sciences et des Technologies. Cette commission compte 15 membres, dont un employé du ministère en question, qui fait office de secrétaire de la commission. Celle-ci élabore des programmes de travail annuels, consistant essentiellement dans une action publicitaire et de sensibilisation de l</w:t>
      </w:r>
      <w:r w:rsidR="00CE0D20">
        <w:t>’</w:t>
      </w:r>
      <w:r w:rsidR="00164199">
        <w:t>opinion publique, d</w:t>
      </w:r>
      <w:r w:rsidR="00CE0D20">
        <w:t>’</w:t>
      </w:r>
      <w:r w:rsidR="00164199">
        <w:t>intégration du principe d</w:t>
      </w:r>
      <w:r w:rsidR="00CE0D20">
        <w:t>’</w:t>
      </w:r>
      <w:r w:rsidR="00164199">
        <w:t>égalité entre les hommes et les femmes aux politiques de recherche et développement, ou encore dans la promotion d</w:t>
      </w:r>
      <w:r w:rsidR="00CE0D20">
        <w:t>’</w:t>
      </w:r>
      <w:r w:rsidR="00164199">
        <w:t>un réseau de chercheurs travaillant sur les questions d</w:t>
      </w:r>
      <w:r w:rsidR="00CE0D20">
        <w:t>’</w:t>
      </w:r>
      <w:r w:rsidR="00164199">
        <w:t>égalité entre les sexes, dans divers domaines. A la fin de chaque année, la Commission en question adresse au ministère concerné un rapport sur son action. C</w:t>
      </w:r>
      <w:r w:rsidR="00CE0D20">
        <w:t>’</w:t>
      </w:r>
      <w:r w:rsidR="00164199">
        <w:t>est ce ministère de l</w:t>
      </w:r>
      <w:r w:rsidR="00CE0D20">
        <w:t>’</w:t>
      </w:r>
      <w:r w:rsidR="00164199">
        <w:t>Enseignement supérieur, des Sciences et des Technologies qui finance les activités de la Commission.</w:t>
      </w:r>
    </w:p>
    <w:p w:rsidR="00A838F9" w:rsidRPr="00A838F9" w:rsidRDefault="00A838F9" w:rsidP="00A838F9">
      <w:pPr>
        <w:pStyle w:val="SingleTxt"/>
        <w:spacing w:after="0" w:line="120" w:lineRule="exact"/>
        <w:rPr>
          <w:sz w:val="10"/>
        </w:rPr>
      </w:pPr>
    </w:p>
    <w:p w:rsidR="00164199" w:rsidRDefault="00164199" w:rsidP="00627247">
      <w:pPr>
        <w:pStyle w:val="SingleTxt"/>
        <w:rPr>
          <w:b/>
          <w:bCs/>
        </w:rPr>
      </w:pPr>
      <w:r>
        <w:rPr>
          <w:b/>
          <w:bCs/>
        </w:rPr>
        <w:t>d)</w:t>
      </w:r>
      <w:r>
        <w:rPr>
          <w:b/>
          <w:bCs/>
        </w:rPr>
        <w:tab/>
        <w:t xml:space="preserve">Crédits et méthodes en vue de garantir et de concrétiser les progrès de la condition </w:t>
      </w:r>
      <w:r>
        <w:rPr>
          <w:b/>
          <w:bCs/>
        </w:rPr>
        <w:tab/>
        <w:t>féminine</w:t>
      </w:r>
    </w:p>
    <w:p w:rsidR="00A838F9" w:rsidRPr="00A838F9" w:rsidRDefault="00A838F9" w:rsidP="00A838F9">
      <w:pPr>
        <w:pStyle w:val="SingleTxt"/>
        <w:spacing w:after="0" w:line="120" w:lineRule="exact"/>
        <w:rPr>
          <w:b/>
          <w:bCs/>
          <w:sz w:val="10"/>
        </w:rPr>
      </w:pPr>
    </w:p>
    <w:p w:rsidR="00164199" w:rsidRDefault="00962950" w:rsidP="00962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 xml:space="preserve">Crédits budgétaires destinés au Bureau pour </w:t>
      </w:r>
      <w:r w:rsidR="00B11001">
        <w:t>l’</w:t>
      </w:r>
      <w:r w:rsidR="00221C8A">
        <w:t>Égalité</w:t>
      </w:r>
      <w:r w:rsidR="00164199">
        <w:t xml:space="preserve"> des chances</w:t>
      </w:r>
    </w:p>
    <w:p w:rsidR="00962950" w:rsidRPr="00962950" w:rsidRDefault="00962950" w:rsidP="00962950">
      <w:pPr>
        <w:pStyle w:val="SingleTxt"/>
        <w:spacing w:after="0" w:line="120" w:lineRule="exact"/>
        <w:rPr>
          <w:sz w:val="10"/>
        </w:rPr>
      </w:pPr>
    </w:p>
    <w:p w:rsidR="00164199" w:rsidRDefault="00962950" w:rsidP="00627247">
      <w:pPr>
        <w:pStyle w:val="SingleTxt"/>
      </w:pPr>
      <w:r>
        <w:tab/>
      </w:r>
      <w:r w:rsidR="00164199">
        <w:t xml:space="preserve">En 2005, les crédits budgétaires alloués au Bureau pour </w:t>
      </w:r>
      <w:r w:rsidR="00247191">
        <w:t>L’Égalité</w:t>
      </w:r>
      <w:r w:rsidR="00164199">
        <w:t xml:space="preserve"> des chances s</w:t>
      </w:r>
      <w:r w:rsidR="00CE0D20">
        <w:t>’</w:t>
      </w:r>
      <w:r w:rsidR="00164199">
        <w:t xml:space="preserve">élevaient à 90 800 00 SIT (soit environ 454 000 dollars), hormis les salaires du personnel, qui représentaient 37 400 000 SIT supplémentaires (soit environ 187 000 dollars). Le Bureau pour </w:t>
      </w:r>
      <w:r w:rsidR="00247191">
        <w:t>L’Égalité</w:t>
      </w:r>
      <w:r w:rsidR="00164199">
        <w:t xml:space="preserve"> des chances consacre régulièrement des ressources supplémentaires à la réalisation de projets de recherche, de sensibilisation de certains secteurs de l</w:t>
      </w:r>
      <w:r w:rsidR="00CE0D20">
        <w:t>’</w:t>
      </w:r>
      <w:r w:rsidR="00164199">
        <w:t>opinion publique ou de l</w:t>
      </w:r>
      <w:r w:rsidR="00CE0D20">
        <w:t>’</w:t>
      </w:r>
      <w:r w:rsidR="00164199">
        <w:t>opinion dans son ensemble – et ce, en participant, dans le cadre de divers programmes européens, à des concours de cofinancement de projets de promotion de la parité.</w:t>
      </w:r>
    </w:p>
    <w:p w:rsidR="00164199" w:rsidRDefault="00962950" w:rsidP="00627247">
      <w:pPr>
        <w:pStyle w:val="SingleTxt"/>
      </w:pPr>
      <w:r>
        <w:tab/>
      </w:r>
      <w:r w:rsidR="00164199">
        <w:t xml:space="preserve">Depuis 2003, le Bureau pour </w:t>
      </w:r>
      <w:r w:rsidR="00247191">
        <w:t>L’Égalité</w:t>
      </w:r>
      <w:r w:rsidR="00164199">
        <w:t xml:space="preserve"> des chances effectue des appels d</w:t>
      </w:r>
      <w:r w:rsidR="00CE0D20">
        <w:t>’</w:t>
      </w:r>
      <w:r w:rsidR="00164199">
        <w:t>offres publics en vue du cofinancement de projets d</w:t>
      </w:r>
      <w:r w:rsidR="00CE0D20">
        <w:t>’</w:t>
      </w:r>
      <w:r w:rsidR="00164199">
        <w:t>ONG sur la base de ressources budgétaires autonomes, et conformément au Décret gouvernemental sur les conditions et critères de cofinancement de projets dans le domaine de l</w:t>
      </w:r>
      <w:r w:rsidR="00CE0D20">
        <w:t>’</w:t>
      </w:r>
      <w:r w:rsidR="00164199">
        <w:t xml:space="preserve">égalité des chances des femmes et des hommes. En 2003, 3,3% du budget du Bureau pour </w:t>
      </w:r>
      <w:r w:rsidR="00247191">
        <w:t>L’Égalité</w:t>
      </w:r>
      <w:r w:rsidR="00164199">
        <w:t xml:space="preserve"> des chances étaient consacrés au cofinancement de projets</w:t>
      </w:r>
      <w:r w:rsidR="00CE0D20">
        <w:t>;</w:t>
      </w:r>
      <w:r w:rsidR="00164199">
        <w:t xml:space="preserve"> puis cette part du budget était de 5% en 2004 et de 4,7% en 2005. En 2003, dix projets ont été sélectionnés (dans les domaines de la violence à l</w:t>
      </w:r>
      <w:r w:rsidR="00CE0D20">
        <w:t>’</w:t>
      </w:r>
      <w:r w:rsidR="00164199">
        <w:t>égard des femmes, de la discrimination</w:t>
      </w:r>
      <w:r w:rsidR="00BA4F2E">
        <w:t xml:space="preserve"> </w:t>
      </w:r>
      <w:r w:rsidR="00164199">
        <w:t>sur le lieu de travail, des femmes handicapées, d</w:t>
      </w:r>
      <w:r w:rsidR="00CE0D20">
        <w:t>’</w:t>
      </w:r>
      <w:r w:rsidR="00164199">
        <w:t>ateliers de jeunes traitant de ces questions d</w:t>
      </w:r>
      <w:r w:rsidR="00CE0D20">
        <w:t>’</w:t>
      </w:r>
      <w:r w:rsidR="00164199">
        <w:t>égalité, ou encore dans le domaine de l</w:t>
      </w:r>
      <w:r w:rsidR="00CE0D20">
        <w:t>’</w:t>
      </w:r>
      <w:r w:rsidR="00164199">
        <w:t>égalité hommes/femmes en zone rurale)</w:t>
      </w:r>
      <w:r w:rsidR="00CE0D20">
        <w:t>;</w:t>
      </w:r>
      <w:r w:rsidR="00164199">
        <w:t xml:space="preserve"> puis, en 2004, douze projets étaient sélectionnés (dans les domaines de l</w:t>
      </w:r>
      <w:r w:rsidR="00CE0D20">
        <w:t>’</w:t>
      </w:r>
      <w:r w:rsidR="00164199">
        <w:t>association d</w:t>
      </w:r>
      <w:r w:rsidR="00CE0D20">
        <w:t>’</w:t>
      </w:r>
      <w:r w:rsidR="00164199">
        <w:t>un emploi et d</w:t>
      </w:r>
      <w:r w:rsidR="00CE0D20">
        <w:t>’</w:t>
      </w:r>
      <w:r w:rsidR="00164199">
        <w:t>une vie familiale, des troubles nutritionnels, de la violence à l</w:t>
      </w:r>
      <w:r w:rsidR="00CE0D20">
        <w:t>’</w:t>
      </w:r>
      <w:r w:rsidR="00164199">
        <w:t>égard des femmes, de l</w:t>
      </w:r>
      <w:r w:rsidR="00CE0D20">
        <w:t>’</w:t>
      </w:r>
      <w:r w:rsidR="00164199">
        <w:t>image des femmes véhiculée dans les médias, du harcèlement sexuel sur le lieu de travail, de la violence concernant les femmes handicapées, des femmes handicapées et de l</w:t>
      </w:r>
      <w:r w:rsidR="00CE0D20">
        <w:t>’</w:t>
      </w:r>
      <w:r w:rsidR="00164199">
        <w:t>exclusion sociale, et de l</w:t>
      </w:r>
      <w:r w:rsidR="00CE0D20">
        <w:t>’</w:t>
      </w:r>
      <w:r w:rsidR="00164199">
        <w:t xml:space="preserve">emploi des femmes handicapées). En 2005, le Bureau pour </w:t>
      </w:r>
      <w:r w:rsidR="00247191">
        <w:t>L’Égalité</w:t>
      </w:r>
      <w:r w:rsidR="00164199">
        <w:t xml:space="preserve"> des chances cofinançait également douze projets (la violence et les femmes handicapées, l</w:t>
      </w:r>
      <w:r w:rsidR="00CE0D20">
        <w:t>’</w:t>
      </w:r>
      <w:r w:rsidR="00164199">
        <w:t>action concernant les auteurs de violences, la violence à l</w:t>
      </w:r>
      <w:r w:rsidR="00CE0D20">
        <w:t>’</w:t>
      </w:r>
      <w:r w:rsidR="00164199">
        <w:t>égard des femmes, les ateliers de jeunes traitant des questions d</w:t>
      </w:r>
      <w:r w:rsidR="00CE0D20">
        <w:t>’</w:t>
      </w:r>
      <w:r w:rsidR="00164199">
        <w:t>égalité entre les sexes, le rôle des femmes dans les débats médiatiques, les femmes dans le secteur de l</w:t>
      </w:r>
      <w:r w:rsidR="00CE0D20">
        <w:t>’</w:t>
      </w:r>
      <w:r w:rsidR="00164199">
        <w:t>éducation et sur le marché du travail, les femmes handicapées et le marché du travail, ou encore les femmes et l</w:t>
      </w:r>
      <w:r w:rsidR="00CE0D20">
        <w:t>’</w:t>
      </w:r>
      <w:r w:rsidR="00164199">
        <w:t>esprit d</w:t>
      </w:r>
      <w:r w:rsidR="00CE0D20">
        <w:t>’</w:t>
      </w:r>
      <w:r w:rsidR="00164199">
        <w:t xml:space="preserve">entreprise). </w:t>
      </w:r>
    </w:p>
    <w:p w:rsidR="00164199" w:rsidRDefault="00962950" w:rsidP="00627247">
      <w:pPr>
        <w:pStyle w:val="SingleTxt"/>
      </w:pPr>
      <w:r>
        <w:tab/>
      </w:r>
      <w:r w:rsidR="00164199">
        <w:t xml:space="preserve">Le Bureau pour </w:t>
      </w:r>
      <w:r w:rsidR="00A838F9">
        <w:t>l’</w:t>
      </w:r>
      <w:r w:rsidR="00247191">
        <w:t>L’Égalité</w:t>
      </w:r>
      <w:r w:rsidR="00164199">
        <w:t xml:space="preserve"> des chances consacre également des ressources à la recherche, et cofinance l</w:t>
      </w:r>
      <w:r w:rsidR="00CE0D20">
        <w:t>’</w:t>
      </w:r>
      <w:r w:rsidR="00164199">
        <w:t>édition d</w:t>
      </w:r>
      <w:r w:rsidR="00CE0D20">
        <w:t>’</w:t>
      </w:r>
      <w:r w:rsidR="00164199">
        <w:t>ouvrages sur les questions d</w:t>
      </w:r>
      <w:r w:rsidR="00CE0D20">
        <w:t>’</w:t>
      </w:r>
      <w:r w:rsidR="00164199">
        <w:t>égalité entre les sexes. En 2005, 4,7% du budget du Bureau étaient consacrés à un appel d</w:t>
      </w:r>
      <w:r w:rsidR="00CE0D20">
        <w:t>’</w:t>
      </w:r>
      <w:r w:rsidR="00164199">
        <w:t>offres de cofinancement de recherches, et 1,7% du budget à un appel d</w:t>
      </w:r>
      <w:r w:rsidR="00CE0D20">
        <w:t>’</w:t>
      </w:r>
      <w:r w:rsidR="00164199">
        <w:t>offres de cofinancement d</w:t>
      </w:r>
      <w:r w:rsidR="00CE0D20">
        <w:t>’</w:t>
      </w:r>
      <w:r w:rsidR="00164199">
        <w:t>ouvrages.</w:t>
      </w:r>
    </w:p>
    <w:p w:rsidR="00164199" w:rsidRDefault="00962950" w:rsidP="00962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Crédits budgétaires des ministères et autres services et organes gouvernementaux</w:t>
      </w:r>
    </w:p>
    <w:p w:rsidR="00962950" w:rsidRPr="00962950" w:rsidRDefault="00962950" w:rsidP="00962950">
      <w:pPr>
        <w:pStyle w:val="SingleTxt"/>
        <w:spacing w:after="0" w:line="120" w:lineRule="exact"/>
        <w:rPr>
          <w:sz w:val="10"/>
        </w:rPr>
      </w:pPr>
    </w:p>
    <w:p w:rsidR="00164199" w:rsidRDefault="00962950" w:rsidP="00627247">
      <w:pPr>
        <w:pStyle w:val="SingleTxt"/>
      </w:pPr>
      <w:r>
        <w:tab/>
      </w:r>
      <w:r w:rsidR="00164199">
        <w:t xml:space="preserve">Les crédits destinés à faire progresser la condition féminine font partie intégrante des budgets des ministères et autres services et organes gouvernementaux concernés, dans la mesure où la </w:t>
      </w:r>
      <w:r>
        <w:t>« </w:t>
      </w:r>
      <w:r w:rsidR="00164199">
        <w:t>politique d</w:t>
      </w:r>
      <w:r w:rsidR="00CE0D20">
        <w:t>’</w:t>
      </w:r>
      <w:r w:rsidR="00164199">
        <w:t>égalité entre les sexes</w:t>
      </w:r>
      <w:r w:rsidR="00CE0D20">
        <w:t> »</w:t>
      </w:r>
      <w:r w:rsidR="00BA4F2E">
        <w:t xml:space="preserve"> </w:t>
      </w:r>
      <w:r w:rsidR="00164199">
        <w:t>englobe tout à la fois les mesures générales et spéciales et les mesures d</w:t>
      </w:r>
      <w:r w:rsidR="00CE0D20">
        <w:t>’</w:t>
      </w:r>
      <w:r w:rsidR="00164199">
        <w:t>intégration de cette dimension hommes/femmes à l</w:t>
      </w:r>
      <w:r w:rsidR="00CE0D20">
        <w:t>’</w:t>
      </w:r>
      <w:r w:rsidR="00164199">
        <w:t>ensemble des programmes et politiques relevant des compétences des ministères et administrations en question. Pour faire progresser la parité, il importe tout particulièrement que, dans le cadre de l</w:t>
      </w:r>
      <w:r w:rsidR="00CE0D20">
        <w:t>’</w:t>
      </w:r>
      <w:r w:rsidR="00164199">
        <w:t>élaboration et de la mise en œuvre des budgets respectifs des ministères concernés, des crédits soient alloués en vue d</w:t>
      </w:r>
      <w:r w:rsidR="00CE0D20">
        <w:t>’</w:t>
      </w:r>
      <w:r w:rsidR="00164199">
        <w:t>accélérer et d</w:t>
      </w:r>
      <w:r w:rsidR="00CE0D20">
        <w:t>’</w:t>
      </w:r>
      <w:r w:rsidR="00164199">
        <w:t xml:space="preserve">optimiser les processus en cours dans ce domaine. Ainsi, la Résolution sur le Programme national </w:t>
      </w:r>
      <w:r w:rsidR="00B11001">
        <w:t>l’</w:t>
      </w:r>
      <w:r w:rsidR="00221C8A">
        <w:t>Égalité</w:t>
      </w:r>
      <w:r w:rsidR="00164199">
        <w:t xml:space="preserve"> des chances des femmes et des hommes pour la période 2005-2013 prévoit de consacrer 231,3 millions de </w:t>
      </w:r>
      <w:r>
        <w:t>t</w:t>
      </w:r>
      <w:r w:rsidR="00164199">
        <w:t xml:space="preserve">olars (soit environ 1 156 500 dollars), dans le cadre du budget de </w:t>
      </w:r>
      <w:r w:rsidR="00221C8A">
        <w:t>État</w:t>
      </w:r>
      <w:r w:rsidR="00164199">
        <w:t>, à des mesures destinées à favoriser cette égalité des chances. Les crédits des différents postes budgétaires ventilés par ensembles de mesures et d</w:t>
      </w:r>
      <w:r w:rsidR="00CE0D20">
        <w:t>’</w:t>
      </w:r>
      <w:r w:rsidR="00164199">
        <w:t>activités seront précisés dans le cadre de plans périodiques biennaux.</w:t>
      </w:r>
    </w:p>
    <w:p w:rsidR="00962950" w:rsidRPr="00962950" w:rsidRDefault="00962950" w:rsidP="00962950">
      <w:pPr>
        <w:pStyle w:val="SingleTxt"/>
        <w:spacing w:after="0" w:line="120" w:lineRule="exact"/>
        <w:rPr>
          <w:sz w:val="10"/>
        </w:rPr>
      </w:pPr>
    </w:p>
    <w:p w:rsidR="00164199" w:rsidRDefault="00962950" w:rsidP="00962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Les organisations de la société civile</w:t>
      </w:r>
    </w:p>
    <w:p w:rsidR="00962950" w:rsidRPr="00962950" w:rsidRDefault="00962950" w:rsidP="00962950">
      <w:pPr>
        <w:pStyle w:val="SingleTxt"/>
        <w:spacing w:after="0" w:line="120" w:lineRule="exact"/>
        <w:rPr>
          <w:sz w:val="10"/>
        </w:rPr>
      </w:pPr>
    </w:p>
    <w:p w:rsidR="00164199" w:rsidRDefault="00962950" w:rsidP="00627247">
      <w:pPr>
        <w:pStyle w:val="SingleTxt"/>
      </w:pPr>
      <w:r>
        <w:tab/>
      </w:r>
      <w:r w:rsidR="00164199">
        <w:t>Les organisations de la société civile sont des partenaires importants pour la mise en œuvre de divers projets, et participent activement à l</w:t>
      </w:r>
      <w:r w:rsidR="00CE0D20">
        <w:t>’</w:t>
      </w:r>
      <w:r w:rsidR="00164199">
        <w:t>instauration de l</w:t>
      </w:r>
      <w:r w:rsidR="00CE0D20">
        <w:t>’</w:t>
      </w:r>
      <w:r w:rsidR="00164199">
        <w:t>égalité entre les sexes, par diverses initiatives, en réagissant aux propositions et mesures législatives, en contrôlant les diverses réalités sur le terrain, en rendant compte de la condition des femmes en Slovénie, en mettant en lumière les difficultés que les femmes peuvent rencontrer pour faire respecter leurs droits, etc. La coopération des ONG en matière d</w:t>
      </w:r>
      <w:r w:rsidR="00CE0D20">
        <w:t>’</w:t>
      </w:r>
      <w:r w:rsidR="00164199">
        <w:t>application des dispositions de la Convention sur l</w:t>
      </w:r>
      <w:r w:rsidR="00CE0D20">
        <w:t>’</w:t>
      </w:r>
      <w:r w:rsidR="00164199">
        <w:t>élimination de toutes les formes de discrimination à l</w:t>
      </w:r>
      <w:r w:rsidR="00CE0D20">
        <w:t>’</w:t>
      </w:r>
      <w:r w:rsidR="00164199">
        <w:t>égard des femmes est présentée de manière plus approfondie dans la partie du présent rapport concernant l</w:t>
      </w:r>
      <w:r w:rsidR="00CE0D20">
        <w:t>’</w:t>
      </w:r>
      <w:r w:rsidR="00164199">
        <w:t xml:space="preserve">application de chaque article de la Convention. </w:t>
      </w:r>
    </w:p>
    <w:p w:rsidR="00164199" w:rsidRDefault="00962950" w:rsidP="00627247">
      <w:pPr>
        <w:pStyle w:val="SingleTxt"/>
      </w:pPr>
      <w:r>
        <w:tab/>
      </w:r>
      <w:r w:rsidR="00164199">
        <w:t>Les ONG et autres organisations de la société civile ont participé à l</w:t>
      </w:r>
      <w:r w:rsidR="00CE0D20">
        <w:t>’</w:t>
      </w:r>
      <w:r w:rsidR="00164199">
        <w:t>ensemble du processus d</w:t>
      </w:r>
      <w:r w:rsidR="00CE0D20">
        <w:t>’</w:t>
      </w:r>
      <w:r w:rsidR="00164199">
        <w:t xml:space="preserve">élaboration de la </w:t>
      </w:r>
      <w:r w:rsidR="00164199">
        <w:rPr>
          <w:i/>
          <w:iCs/>
        </w:rPr>
        <w:t>Résolution sur le Programme national d</w:t>
      </w:r>
      <w:r w:rsidR="00CE0D20">
        <w:rPr>
          <w:i/>
          <w:iCs/>
        </w:rPr>
        <w:t>’</w:t>
      </w:r>
      <w:r w:rsidR="00164199">
        <w:rPr>
          <w:i/>
          <w:iCs/>
        </w:rPr>
        <w:t>égalité des chances des femmes et des hommes pour la période 2005-2013,</w:t>
      </w:r>
      <w:r w:rsidR="00164199">
        <w:t xml:space="preserve"> ainsi qu</w:t>
      </w:r>
      <w:r w:rsidR="00CE0D20">
        <w:t>’</w:t>
      </w:r>
      <w:r w:rsidR="00164199">
        <w:t>à la rédaction du présent rapport sur l</w:t>
      </w:r>
      <w:r w:rsidR="00CE0D20">
        <w:t>’</w:t>
      </w:r>
      <w:r w:rsidR="00164199">
        <w:t>application des dispositions de la Convention. Le concours de ces organisations a été essentiel, car leur action permet de définir et de traiter de manière appropriée les différents problèmes liés à la vie quotidienne des hommes et des femmes.</w:t>
      </w:r>
    </w:p>
    <w:p w:rsidR="00164199" w:rsidRDefault="00164199" w:rsidP="00627247">
      <w:pPr>
        <w:pStyle w:val="SingleTxt"/>
      </w:pPr>
    </w:p>
    <w:p w:rsidR="00164199" w:rsidRDefault="00962950" w:rsidP="00962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B11001">
        <w:t xml:space="preserve">Mise en œuvre </w:t>
      </w:r>
      <w:r w:rsidR="00164199">
        <w:t xml:space="preserve">des dispositions contenues dans </w:t>
      </w:r>
      <w:r w:rsidR="00B11001">
        <w:t xml:space="preserve">chaque article </w:t>
      </w:r>
      <w:r w:rsidR="00164199">
        <w:t>de la Convention</w:t>
      </w:r>
    </w:p>
    <w:p w:rsidR="00962950" w:rsidRPr="00962950" w:rsidRDefault="00962950" w:rsidP="00962950">
      <w:pPr>
        <w:pStyle w:val="SingleTxt"/>
        <w:spacing w:after="0" w:line="120" w:lineRule="exact"/>
        <w:rPr>
          <w:sz w:val="10"/>
        </w:rPr>
      </w:pPr>
    </w:p>
    <w:p w:rsidR="00962950" w:rsidRPr="00962950" w:rsidRDefault="00962950" w:rsidP="00962950">
      <w:pPr>
        <w:pStyle w:val="SingleTxt"/>
        <w:spacing w:after="0" w:line="120" w:lineRule="exact"/>
        <w:rPr>
          <w:sz w:val="10"/>
        </w:rPr>
      </w:pPr>
    </w:p>
    <w:p w:rsidR="00164199" w:rsidRDefault="00962950" w:rsidP="00962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Article premier</w:t>
      </w:r>
    </w:p>
    <w:p w:rsidR="00962950" w:rsidRPr="00962950" w:rsidRDefault="00962950" w:rsidP="00962950">
      <w:pPr>
        <w:pStyle w:val="SingleTxt"/>
        <w:spacing w:after="0" w:line="120" w:lineRule="exact"/>
        <w:rPr>
          <w:sz w:val="10"/>
        </w:rPr>
      </w:pPr>
    </w:p>
    <w:p w:rsidR="00962950" w:rsidRPr="00962950" w:rsidRDefault="00962950" w:rsidP="00962950">
      <w:pPr>
        <w:pStyle w:val="SingleTxt"/>
        <w:spacing w:after="0" w:line="120" w:lineRule="exact"/>
        <w:rPr>
          <w:sz w:val="10"/>
        </w:rPr>
      </w:pPr>
    </w:p>
    <w:p w:rsidR="00164199" w:rsidRDefault="00962950" w:rsidP="00962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La discrimination à l</w:t>
      </w:r>
      <w:r w:rsidR="00CE0D20">
        <w:t>’</w:t>
      </w:r>
      <w:r w:rsidR="00164199">
        <w:t>égard des femmes</w:t>
      </w:r>
    </w:p>
    <w:p w:rsidR="00962950" w:rsidRPr="00962950" w:rsidRDefault="00962950" w:rsidP="00962950">
      <w:pPr>
        <w:pStyle w:val="SingleTxt"/>
        <w:spacing w:after="0" w:line="120" w:lineRule="exact"/>
        <w:rPr>
          <w:sz w:val="10"/>
        </w:rPr>
      </w:pPr>
    </w:p>
    <w:p w:rsidR="00164199" w:rsidRDefault="00164199" w:rsidP="00627247">
      <w:pPr>
        <w:pStyle w:val="SingleTxt"/>
      </w:pPr>
      <w:r w:rsidRPr="00053CBF">
        <w:t>1.</w:t>
      </w:r>
      <w:r>
        <w:tab/>
        <w:t xml:space="preserve">Outre la </w:t>
      </w:r>
      <w:r w:rsidRPr="00B70615">
        <w:rPr>
          <w:i/>
          <w:iCs/>
        </w:rPr>
        <w:t>Loi sur l</w:t>
      </w:r>
      <w:r w:rsidR="00CE0D20">
        <w:rPr>
          <w:i/>
          <w:iCs/>
        </w:rPr>
        <w:t>’</w:t>
      </w:r>
      <w:r w:rsidRPr="00B70615">
        <w:rPr>
          <w:i/>
          <w:iCs/>
        </w:rPr>
        <w:t xml:space="preserve">égalité des chances </w:t>
      </w:r>
      <w:r>
        <w:rPr>
          <w:i/>
          <w:iCs/>
        </w:rPr>
        <w:t>des</w:t>
      </w:r>
      <w:r w:rsidRPr="00B70615">
        <w:rPr>
          <w:i/>
          <w:iCs/>
        </w:rPr>
        <w:t xml:space="preserve"> femmes et </w:t>
      </w:r>
      <w:r>
        <w:rPr>
          <w:i/>
          <w:iCs/>
        </w:rPr>
        <w:t>d</w:t>
      </w:r>
      <w:r w:rsidRPr="00B70615">
        <w:rPr>
          <w:i/>
          <w:iCs/>
        </w:rPr>
        <w:t>es hommes</w:t>
      </w:r>
      <w:r>
        <w:t>, adoptée en 2002, et définissant le principe d</w:t>
      </w:r>
      <w:r w:rsidR="00CE0D20">
        <w:t>’</w:t>
      </w:r>
      <w:r>
        <w:t>égalité entre les sexes, ainsi que la discrimination directe et indirecte fondée sur le sexe – et dont nous avons déjà rendu compte dans le Troisième Rapport -, l</w:t>
      </w:r>
      <w:r w:rsidR="00CE0D20">
        <w:t>’</w:t>
      </w:r>
      <w:r>
        <w:t xml:space="preserve">interdiction de toute discrimination, pour quelque motif que ce soit, est également inscrite dans la </w:t>
      </w:r>
      <w:r>
        <w:rPr>
          <w:i/>
          <w:iCs/>
        </w:rPr>
        <w:t>Loi sur le principe d</w:t>
      </w:r>
      <w:r w:rsidR="00CE0D20">
        <w:rPr>
          <w:i/>
          <w:iCs/>
        </w:rPr>
        <w:t>’</w:t>
      </w:r>
      <w:r>
        <w:rPr>
          <w:i/>
          <w:iCs/>
        </w:rPr>
        <w:t>égalité de traitement</w:t>
      </w:r>
      <w:r>
        <w:t>, adoptée en 2004, et qui est un texte de loi antidiscriminatoire fondamental et général – autrement dit, incluant également l</w:t>
      </w:r>
      <w:r w:rsidR="00CE0D20">
        <w:t>’</w:t>
      </w:r>
      <w:r>
        <w:t>interdiction de toute discrimination fondée sur le sexe. En son article 4, cette loi définit la discrimination directe et indirecte, et, en son article 5, le harcèlement. Cette loi établit qu</w:t>
      </w:r>
      <w:r w:rsidR="00CE0D20">
        <w:t>’</w:t>
      </w:r>
      <w:r>
        <w:t>il y a discrimination directe fondée sur les conditions personnelles de tel ou tel individu lorsque celui-ci a été, est ou pourrait être traité de manière moins favorable qu</w:t>
      </w:r>
      <w:r w:rsidR="00CE0D20">
        <w:t>’</w:t>
      </w:r>
      <w:r>
        <w:t>un autre, précisément en raison des conditions personnelles qui le caractérisent. D</w:t>
      </w:r>
      <w:r w:rsidR="00CE0D20">
        <w:t>’</w:t>
      </w:r>
      <w:r>
        <w:t xml:space="preserve">autre part, on parle de </w:t>
      </w:r>
      <w:r w:rsidR="00962950">
        <w:t>« </w:t>
      </w:r>
      <w:r>
        <w:t>discrimination indirecte</w:t>
      </w:r>
      <w:r w:rsidR="00CE0D20">
        <w:t> »</w:t>
      </w:r>
      <w:r>
        <w:t xml:space="preserve"> lorsqu</w:t>
      </w:r>
      <w:r w:rsidR="00CE0D20">
        <w:t>’</w:t>
      </w:r>
      <w:r>
        <w:t>une disposition, un critère ou une pratique apparemment neutres sont susceptibles de désavantager tel individu, en raison de certains attributs personnels, dans des situations égales ou comparables avec celle d</w:t>
      </w:r>
      <w:r w:rsidR="00CE0D20">
        <w:t>’</w:t>
      </w:r>
      <w:r>
        <w:t xml:space="preserve">autres personnes – excepté dans les cas où la différence de traitement est objectivement justifiée par un but légitime et les moyens nécessaires à la réalisation de cet objectif. Toute mesure déjà prévue, dans ce domaine, dans le cadre de dispositions précédentes pourra être également considérée comme un acte de discrimination directe ou indirecte. Par ailleurs, la loi de 2004 définit le </w:t>
      </w:r>
      <w:r w:rsidR="00962950">
        <w:t>« </w:t>
      </w:r>
      <w:r>
        <w:t>harcèlement</w:t>
      </w:r>
      <w:r w:rsidR="00CE0D20">
        <w:t> »</w:t>
      </w:r>
      <w:r>
        <w:t xml:space="preserve"> comme une conduite répréhensible, fondée sur des motifs liés à la condition personnelle de la victime, et créant un environnement menaçant, hostile, humiliant ou agressif pour la personne en question, ou, également, susceptible de porter atteinte à sa dignité. Ce type de conduite est considéré comme une forme de discrimination.</w:t>
      </w:r>
    </w:p>
    <w:p w:rsidR="00962950" w:rsidRPr="00962950" w:rsidRDefault="00962950" w:rsidP="00962950">
      <w:pPr>
        <w:pStyle w:val="SingleTxt"/>
        <w:spacing w:after="0" w:line="120" w:lineRule="exact"/>
        <w:rPr>
          <w:sz w:val="10"/>
        </w:rPr>
      </w:pPr>
    </w:p>
    <w:p w:rsidR="00962950" w:rsidRPr="00962950" w:rsidRDefault="00962950" w:rsidP="00962950">
      <w:pPr>
        <w:pStyle w:val="SingleTxt"/>
        <w:spacing w:after="0" w:line="120" w:lineRule="exact"/>
        <w:rPr>
          <w:sz w:val="10"/>
        </w:rPr>
      </w:pPr>
    </w:p>
    <w:p w:rsidR="00164199" w:rsidRDefault="00962950" w:rsidP="00962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Articles 2 et 3</w:t>
      </w:r>
    </w:p>
    <w:p w:rsidR="00962950" w:rsidRPr="00962950" w:rsidRDefault="00962950" w:rsidP="00962950">
      <w:pPr>
        <w:pStyle w:val="SingleTxt"/>
        <w:spacing w:after="0" w:line="120" w:lineRule="exact"/>
        <w:rPr>
          <w:sz w:val="10"/>
        </w:rPr>
      </w:pPr>
    </w:p>
    <w:p w:rsidR="00962950" w:rsidRPr="00962950" w:rsidRDefault="00962950" w:rsidP="00962950">
      <w:pPr>
        <w:pStyle w:val="SingleTxt"/>
        <w:spacing w:after="0" w:line="120" w:lineRule="exact"/>
        <w:rPr>
          <w:sz w:val="10"/>
        </w:rPr>
      </w:pPr>
    </w:p>
    <w:p w:rsidR="00164199" w:rsidRDefault="00962950" w:rsidP="00962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M</w:t>
      </w:r>
      <w:r>
        <w:t>esures visant à garantir l’égalité entre les femmes et les hommes</w:t>
      </w:r>
    </w:p>
    <w:p w:rsidR="00962950" w:rsidRPr="00962950" w:rsidRDefault="00962950" w:rsidP="00962950">
      <w:pPr>
        <w:pStyle w:val="SingleTxt"/>
        <w:spacing w:after="0" w:line="120" w:lineRule="exact"/>
        <w:rPr>
          <w:sz w:val="10"/>
        </w:rPr>
      </w:pPr>
    </w:p>
    <w:p w:rsidR="00164199" w:rsidRDefault="00164199" w:rsidP="00627247">
      <w:pPr>
        <w:pStyle w:val="SingleTxt"/>
      </w:pPr>
      <w:r w:rsidRPr="0041160C">
        <w:t>2.</w:t>
      </w:r>
      <w:r>
        <w:tab/>
        <w:t xml:space="preserve">Conformément aux recommandations du Comité, le gouvernement slovène a intensifié son action visant à prévenir toute discrimination et assurer </w:t>
      </w:r>
      <w:r>
        <w:rPr>
          <w:i/>
          <w:iCs/>
        </w:rPr>
        <w:t>de facto</w:t>
      </w:r>
      <w:r>
        <w:t xml:space="preserve"> l</w:t>
      </w:r>
      <w:r w:rsidR="00CE0D20">
        <w:t>’</w:t>
      </w:r>
      <w:r>
        <w:t>égalité des femmes et des hommes. Au cours de la période qui a suivi la présentation du Troisième Rapport, la Slovénie a adopté une loi constitutionnelle et trois autres lois également importantes en matière de promotion de l</w:t>
      </w:r>
      <w:r w:rsidR="00CE0D20">
        <w:t>’</w:t>
      </w:r>
      <w:r>
        <w:t xml:space="preserve">égalité entre les sexes, à savoir : </w:t>
      </w:r>
      <w:r>
        <w:rPr>
          <w:i/>
          <w:iCs/>
        </w:rPr>
        <w:t>La Loi constitutionnelle portant modification de l</w:t>
      </w:r>
      <w:r w:rsidR="00CE0D20">
        <w:rPr>
          <w:i/>
          <w:iCs/>
        </w:rPr>
        <w:t>’</w:t>
      </w:r>
      <w:r>
        <w:rPr>
          <w:i/>
          <w:iCs/>
        </w:rPr>
        <w:t>article 43 de la Constitution slovène, la Loi sur les élections locales, la Loi sur l</w:t>
      </w:r>
      <w:r w:rsidR="00CE0D20">
        <w:rPr>
          <w:i/>
          <w:iCs/>
        </w:rPr>
        <w:t>’</w:t>
      </w:r>
      <w:r>
        <w:rPr>
          <w:i/>
          <w:iCs/>
        </w:rPr>
        <w:t>élection de députés slovènes au Parlement européen,</w:t>
      </w:r>
      <w:r>
        <w:t xml:space="preserve"> et la </w:t>
      </w:r>
      <w:r>
        <w:rPr>
          <w:i/>
          <w:iCs/>
        </w:rPr>
        <w:t>Loi sur l</w:t>
      </w:r>
      <w:r w:rsidR="00CE0D20">
        <w:rPr>
          <w:i/>
          <w:iCs/>
        </w:rPr>
        <w:t>’</w:t>
      </w:r>
      <w:r>
        <w:rPr>
          <w:i/>
          <w:iCs/>
        </w:rPr>
        <w:t>application du principe d</w:t>
      </w:r>
      <w:r w:rsidR="00CE0D20">
        <w:rPr>
          <w:i/>
          <w:iCs/>
        </w:rPr>
        <w:t>’</w:t>
      </w:r>
      <w:r>
        <w:rPr>
          <w:i/>
          <w:iCs/>
        </w:rPr>
        <w:t>égalité de traitement</w:t>
      </w:r>
      <w:r>
        <w:t>. Afin de garantir une application efficace de certaines dispositions légales, le gouvernement slovène a adopté une réglementation directrice pertinente, définissant les modalités d</w:t>
      </w:r>
      <w:r w:rsidR="00CE0D20">
        <w:t>’</w:t>
      </w:r>
      <w:r>
        <w:t>application des dispositions en question et les moyens efficaces pour en atteindre les objectifs.</w:t>
      </w:r>
    </w:p>
    <w:p w:rsidR="00164199" w:rsidRDefault="00164199" w:rsidP="00627247">
      <w:pPr>
        <w:pStyle w:val="SingleTxt"/>
      </w:pPr>
      <w:r>
        <w:t>3.</w:t>
      </w:r>
      <w:r>
        <w:tab/>
        <w:t xml:space="preserve">Comme il est précisé dans la partie du présent rapport – au chapitre </w:t>
      </w:r>
      <w:r w:rsidR="00962950">
        <w:t>« </w:t>
      </w:r>
      <w:r>
        <w:t>Informations générales</w:t>
      </w:r>
      <w:r w:rsidR="00CE0D20">
        <w:t xml:space="preserve"> » – </w:t>
      </w:r>
      <w:r>
        <w:t xml:space="preserve">exposant les mécanismes institutionnels visant à la parité, le Bureau pour </w:t>
      </w:r>
      <w:r w:rsidR="00247191">
        <w:t>L’Égalité</w:t>
      </w:r>
      <w:r>
        <w:t xml:space="preserve"> des chances a conservé son autonomie malgré la réforme des administrations publiques de 2003</w:t>
      </w:r>
      <w:r w:rsidR="00CE0D20">
        <w:t>;</w:t>
      </w:r>
      <w:r>
        <w:t xml:space="preserve"> ce bureau reste l</w:t>
      </w:r>
      <w:r w:rsidR="00CE0D20">
        <w:t>’</w:t>
      </w:r>
      <w:r>
        <w:t>organe gouvernemental central pour la promotion de l</w:t>
      </w:r>
      <w:r w:rsidR="00CE0D20">
        <w:t>’</w:t>
      </w:r>
      <w:r>
        <w:t>égalité des chances des femmes et des hommes, conformément aux recommandations contenues dans les conclusions du Comité pour l</w:t>
      </w:r>
      <w:r w:rsidR="00CE0D20">
        <w:t>’</w:t>
      </w:r>
      <w:r>
        <w:t>élimination de la discrimination à l</w:t>
      </w:r>
      <w:r w:rsidR="00CE0D20">
        <w:t>’</w:t>
      </w:r>
      <w:r>
        <w:t>égard des femmes.</w:t>
      </w:r>
    </w:p>
    <w:p w:rsidR="00164199" w:rsidRDefault="00164199" w:rsidP="00627247">
      <w:pPr>
        <w:pStyle w:val="SingleTxt"/>
      </w:pPr>
      <w:r>
        <w:t>4.</w:t>
      </w:r>
      <w:r>
        <w:tab/>
        <w:t xml:space="preserve">La Commission pour la promotion des femmes dans le domaine des Sciences, présentée au Chapitre </w:t>
      </w:r>
      <w:r w:rsidR="00962950">
        <w:t>« </w:t>
      </w:r>
      <w:r>
        <w:t>Informations générales</w:t>
      </w:r>
      <w:r w:rsidR="00CE0D20">
        <w:t> »</w:t>
      </w:r>
      <w:r>
        <w:t xml:space="preserve"> (c) sur les mécanismes institutionnels de parité, est chargée, depuis 2003, d</w:t>
      </w:r>
      <w:r w:rsidR="00CE0D20">
        <w:t>’</w:t>
      </w:r>
      <w:r>
        <w:t>examiner les textes de loi régissant les activités de recherche en Slovénie et d</w:t>
      </w:r>
      <w:r w:rsidR="00CE0D20">
        <w:t>’</w:t>
      </w:r>
      <w:r>
        <w:t>élaborer des propositions visant à supprimer toute disposition de tel ou tel organe dont il a été établi qu</w:t>
      </w:r>
      <w:r w:rsidR="00CE0D20">
        <w:t>’</w:t>
      </w:r>
      <w:r>
        <w:t xml:space="preserve">elle pouvait avoir des effets discriminatoires. </w:t>
      </w:r>
    </w:p>
    <w:p w:rsidR="00164199" w:rsidRDefault="00164199" w:rsidP="00627247">
      <w:pPr>
        <w:pStyle w:val="SingleTxt"/>
      </w:pPr>
      <w:r>
        <w:t>5.</w:t>
      </w:r>
      <w:r>
        <w:tab/>
        <w:t>Dans le processus d</w:t>
      </w:r>
      <w:r w:rsidR="00CE0D20">
        <w:t>’</w:t>
      </w:r>
      <w:r>
        <w:t>adoption et de mise en œuvre de mesures juridiques et autres programmes, les ONG et d</w:t>
      </w:r>
      <w:r w:rsidR="00CE0D20">
        <w:t>’</w:t>
      </w:r>
      <w:r>
        <w:t xml:space="preserve">autres groupes de la société civile ont joué un rôle important – comme il est indiqué au chapitre </w:t>
      </w:r>
      <w:r w:rsidR="00962950">
        <w:t>« </w:t>
      </w:r>
      <w:r>
        <w:t>Informations générales</w:t>
      </w:r>
      <w:r w:rsidR="00CE0D20">
        <w:t> »</w:t>
      </w:r>
      <w:r>
        <w:t xml:space="preserve">. Au cours de la période couverte par le présent rapport, les éléments et facteurs particulièrement efficaces ont été un dialogue de grande qualité, et, de ce fait, un partenariat très utile avec des organisations de la société civile, le Bureau pour </w:t>
      </w:r>
      <w:r w:rsidR="00221C8A">
        <w:t>Égalité</w:t>
      </w:r>
      <w:r>
        <w:t xml:space="preserve"> des chances et les députés de l</w:t>
      </w:r>
      <w:r w:rsidR="00CE0D20">
        <w:t>’</w:t>
      </w:r>
      <w:r>
        <w:t>Assemblée nationale, qui ont su faire des propositions de révision de la Constitution slovène, afin d</w:t>
      </w:r>
      <w:r w:rsidR="00CE0D20">
        <w:t>’</w:t>
      </w:r>
      <w:r>
        <w:t>y inclure une disposition contraignante, obligeant les autorités à prendre des mesures spéciales en vue de l</w:t>
      </w:r>
      <w:r w:rsidR="00CE0D20">
        <w:t>’</w:t>
      </w:r>
      <w:r>
        <w:t>amélioration de la participation des femmes aux prises de décisions politiques. Tous ces efforts se sont déployés dans le cadre d</w:t>
      </w:r>
      <w:r w:rsidR="00CE0D20">
        <w:t>’</w:t>
      </w:r>
      <w:r>
        <w:t xml:space="preserve">un mouvement de la société civile </w:t>
      </w:r>
      <w:r w:rsidR="00962950">
        <w:t>Intitulé « </w:t>
      </w:r>
      <w:r>
        <w:t>Coalition pour la mise en œuvre d</w:t>
      </w:r>
      <w:r w:rsidR="00CE0D20">
        <w:t>’</w:t>
      </w:r>
      <w:r>
        <w:t>une représentation équilibrée des hommes et des femmes au niveau décisionnaire, dans la vie publique et politique</w:t>
      </w:r>
      <w:r w:rsidR="00CE0D20">
        <w:t> »</w:t>
      </w:r>
      <w:r>
        <w:t xml:space="preserve">. Cette </w:t>
      </w:r>
      <w:r w:rsidR="00962950">
        <w:t>« </w:t>
      </w:r>
      <w:r>
        <w:t>coalition</w:t>
      </w:r>
      <w:r w:rsidR="00CE0D20">
        <w:t> »</w:t>
      </w:r>
      <w:r>
        <w:t xml:space="preserve"> a été officiellement créée en février 2001</w:t>
      </w:r>
      <w:r w:rsidR="00CE0D20">
        <w:t>;</w:t>
      </w:r>
      <w:r>
        <w:t xml:space="preserve"> elle regroupe des personnes venues de tous les horizons, représentant aussi bien les ONG que des organismes gouvernementaux, les syndicats, les partis politiques et des institutions publiques et privées. La coalition en question a pour unique objectif de remédier à la sous-représentation – flagrante – des femmes au sein des appareils politiques, et ce, en intégrant à la législation électorale le principe d</w:t>
      </w:r>
      <w:r w:rsidR="00CE0D20">
        <w:t>’</w:t>
      </w:r>
      <w:r>
        <w:t>une représentation équilibrée. Cette coalition a d</w:t>
      </w:r>
      <w:r w:rsidR="00CE0D20">
        <w:t>’</w:t>
      </w:r>
      <w:r>
        <w:t>abord formulé la proposition d</w:t>
      </w:r>
      <w:r w:rsidR="00CE0D20">
        <w:t>’</w:t>
      </w:r>
      <w:r>
        <w:t>amendement de la Constitution susmentionnée</w:t>
      </w:r>
      <w:r w:rsidR="00CE0D20">
        <w:t>;</w:t>
      </w:r>
      <w:r>
        <w:t xml:space="preserve"> puis, à un stade ultérieur, elle a soumis des propositions de modification de la loi électorale. La confiance générée par cette initiative stimulante de la société civile, l</w:t>
      </w:r>
      <w:r w:rsidR="00CE0D20">
        <w:t>’</w:t>
      </w:r>
      <w:r>
        <w:t>action du Parlement, du gouvernement et de divers experts de droit constitutionnel et de législation électorale, et, enfin, le soutien des médias, ont permis de faire officiellement reconnaître cette question de la faible représentation des femmes au niveau décisionnaire comme un enjeu politique majeur</w:t>
      </w:r>
      <w:r w:rsidR="00CE0D20">
        <w:t>;</w:t>
      </w:r>
      <w:r>
        <w:t xml:space="preserve"> et, de cette manière, les députés slovènes ont pu en faire un thème de débat à l</w:t>
      </w:r>
      <w:r w:rsidR="00CE0D20">
        <w:t>’</w:t>
      </w:r>
      <w:r>
        <w:t xml:space="preserve">Assemblée nationale et présenter un projet de loi constitutionnelle, visant à modifier la Constitution dans cette direction. </w:t>
      </w:r>
    </w:p>
    <w:p w:rsidR="00164199" w:rsidRDefault="00164199" w:rsidP="00627247">
      <w:pPr>
        <w:pStyle w:val="SingleTxt"/>
      </w:pPr>
      <w:r>
        <w:t>6.</w:t>
      </w:r>
      <w:r>
        <w:tab/>
        <w:t>C</w:t>
      </w:r>
      <w:r w:rsidR="00CE0D20">
        <w:t>’</w:t>
      </w:r>
      <w:r>
        <w:t>est en juin 2004 que l</w:t>
      </w:r>
      <w:r w:rsidR="00CE0D20">
        <w:t>’</w:t>
      </w:r>
      <w:r>
        <w:t xml:space="preserve">Assemblée nationale slovène a adopté la </w:t>
      </w:r>
      <w:r>
        <w:rPr>
          <w:i/>
          <w:iCs/>
        </w:rPr>
        <w:t>Loi constitutionnelle portant modification de l</w:t>
      </w:r>
      <w:r w:rsidR="00CE0D20">
        <w:rPr>
          <w:i/>
          <w:iCs/>
        </w:rPr>
        <w:t>’</w:t>
      </w:r>
      <w:r>
        <w:rPr>
          <w:i/>
          <w:iCs/>
        </w:rPr>
        <w:t>article 43 de la Constitution de la République de Slovénie</w:t>
      </w:r>
      <w:r>
        <w:t>, texte annexant à la disposition relative au droit universel de vote pour les femmes à l</w:t>
      </w:r>
      <w:r w:rsidR="00CE0D20">
        <w:t>’</w:t>
      </w:r>
      <w:r>
        <w:t>égal des hommes un nouveau paragraphe, conférant au législateur le pouvoir d</w:t>
      </w:r>
      <w:r w:rsidR="00CE0D20">
        <w:t>’</w:t>
      </w:r>
      <w:r>
        <w:t>inscrire dans une loi des mesures d</w:t>
      </w:r>
      <w:r w:rsidR="00CE0D20">
        <w:t>’</w:t>
      </w:r>
      <w:r>
        <w:t>encouragement de l</w:t>
      </w:r>
      <w:r w:rsidR="00CE0D20">
        <w:t>’</w:t>
      </w:r>
      <w:r>
        <w:t>égalité des hommes et des femmes en matière de candidature aux élections nationales et locales.</w:t>
      </w:r>
    </w:p>
    <w:p w:rsidR="00164199" w:rsidRDefault="00164199" w:rsidP="00627247">
      <w:pPr>
        <w:pStyle w:val="SingleTxt"/>
      </w:pPr>
      <w:r>
        <w:t>7.</w:t>
      </w:r>
      <w:r>
        <w:tab/>
        <w:t>Le législateur a d</w:t>
      </w:r>
      <w:r w:rsidR="00CE0D20">
        <w:t>’</w:t>
      </w:r>
      <w:r>
        <w:t>ores et déjà commencé à exercer ce pouvoir, puisqu</w:t>
      </w:r>
      <w:r w:rsidR="00CE0D20">
        <w:t>’</w:t>
      </w:r>
      <w:r>
        <w:t xml:space="preserve">en juillet 2005 était adoptée la </w:t>
      </w:r>
      <w:r>
        <w:rPr>
          <w:i/>
          <w:iCs/>
        </w:rPr>
        <w:t>Loi portant modification de la Loi sur les élections locales </w:t>
      </w:r>
      <w:r>
        <w:t>: en son article 70a, cette loi exige d</w:t>
      </w:r>
      <w:r w:rsidR="00CE0D20">
        <w:t>’</w:t>
      </w:r>
      <w:r>
        <w:t>un parti politique ou de tout groupement présentant plus d</w:t>
      </w:r>
      <w:r w:rsidR="00CE0D20">
        <w:t>’</w:t>
      </w:r>
      <w:r>
        <w:t>un candidat dans la circonscription concernée d</w:t>
      </w:r>
      <w:r w:rsidR="00CE0D20">
        <w:t>’</w:t>
      </w:r>
      <w:r>
        <w:t>établir les listes de candidats de manière à garantir un pourcentage minimum de 40% de candidats de l</w:t>
      </w:r>
      <w:r w:rsidR="00CE0D20">
        <w:t>’</w:t>
      </w:r>
      <w:r>
        <w:t>un ou l</w:t>
      </w:r>
      <w:r w:rsidR="00CE0D20">
        <w:t>’</w:t>
      </w:r>
      <w:r>
        <w:t>autre sexe, et d</w:t>
      </w:r>
      <w:r w:rsidR="00CE0D20">
        <w:t>’</w:t>
      </w:r>
      <w:r>
        <w:t>alterner candidats masculins et féminins dans la partie supérieure de la liste. Les commissions électorales municipales ont le pouvoir de réfuter toute liste ne respectant pas cette disposition. La nouvelle loi prévoit une période transitoire jusqu</w:t>
      </w:r>
      <w:r w:rsidR="00CE0D20">
        <w:t>’</w:t>
      </w:r>
      <w:r>
        <w:t>en 2014 – date à laquelle le pourcentage minimum de 40% d</w:t>
      </w:r>
      <w:r w:rsidR="00CE0D20">
        <w:t>’</w:t>
      </w:r>
      <w:r>
        <w:t>hommes et de femmes sur les listes de candidats sera obligatoire</w:t>
      </w:r>
      <w:r w:rsidR="00CE0D20">
        <w:t>;</w:t>
      </w:r>
      <w:r>
        <w:t xml:space="preserve"> dans l</w:t>
      </w:r>
      <w:r w:rsidR="00CE0D20">
        <w:t>’</w:t>
      </w:r>
      <w:r>
        <w:t>intervalle, il est demandé un pourcentage d</w:t>
      </w:r>
      <w:r w:rsidR="00CE0D20">
        <w:t>’</w:t>
      </w:r>
      <w:r>
        <w:t>au moins 20% d</w:t>
      </w:r>
      <w:r w:rsidR="00CE0D20">
        <w:t>’</w:t>
      </w:r>
      <w:r>
        <w:t>hommes et de femmes sur les listes de candidats aux prochaines élections locales (en 2006)</w:t>
      </w:r>
      <w:r w:rsidR="00CE0D20">
        <w:t>;</w:t>
      </w:r>
      <w:r>
        <w:t xml:space="preserve"> et, en ce qui concerne les élections de 2010, le pourcentage passera obligatoirement à 30% d</w:t>
      </w:r>
      <w:r w:rsidR="00CE0D20">
        <w:t>’</w:t>
      </w:r>
      <w:r>
        <w:t>hommes et de femmes. Au cours de cette période transitoire, il y aura également une dérogation partielle en ce qui concerne le principe d</w:t>
      </w:r>
      <w:r w:rsidR="00CE0D20">
        <w:t>’</w:t>
      </w:r>
      <w:r>
        <w:t xml:space="preserve">alternance </w:t>
      </w:r>
      <w:r w:rsidR="003158AC">
        <w:t xml:space="preserve">“ </w:t>
      </w:r>
      <w:r>
        <w:t>un homme – une femme</w:t>
      </w:r>
      <w:r w:rsidR="00CE0D20">
        <w:t> »</w:t>
      </w:r>
      <w:r>
        <w:t xml:space="preserve"> dans la partie supérieure de la liste de candidats : sera considéré comme suffisant le fait que la liste soit conçue de telle manière qu</w:t>
      </w:r>
      <w:r w:rsidR="00CE0D20">
        <w:t>’</w:t>
      </w:r>
      <w:r>
        <w:t>au moins un candidat sur trois soit d</w:t>
      </w:r>
      <w:r w:rsidR="00CE0D20">
        <w:t>’</w:t>
      </w:r>
      <w:r>
        <w:t>un sexe différent par rapport aux deux premiers. C</w:t>
      </w:r>
      <w:r w:rsidR="00CE0D20">
        <w:t>’</w:t>
      </w:r>
      <w:r>
        <w:t>est seulement après les élections locales de 2006 que l</w:t>
      </w:r>
      <w:r w:rsidR="00CE0D20">
        <w:t>’</w:t>
      </w:r>
      <w:r>
        <w:t>on pourra évaluer les effets éventuellement positifs de la nouvelle loi en matière de représentation des femmes dans les conseils municipaux.</w:t>
      </w:r>
    </w:p>
    <w:p w:rsidR="00164199" w:rsidRDefault="00164199" w:rsidP="00627247">
      <w:pPr>
        <w:pStyle w:val="SingleTxt"/>
      </w:pPr>
      <w:r>
        <w:t>8.</w:t>
      </w:r>
      <w:r>
        <w:tab/>
        <w:t>Par ailleurs, l</w:t>
      </w:r>
      <w:r w:rsidR="00CE0D20">
        <w:t>’</w:t>
      </w:r>
      <w:r>
        <w:t>élaboration d</w:t>
      </w:r>
      <w:r w:rsidR="00CE0D20">
        <w:t>’</w:t>
      </w:r>
      <w:r>
        <w:t xml:space="preserve">un projet de loi portant modification de la </w:t>
      </w:r>
      <w:r>
        <w:rPr>
          <w:i/>
          <w:iCs/>
        </w:rPr>
        <w:t>Loi sur les élections législatives nationales</w:t>
      </w:r>
      <w:r>
        <w:t xml:space="preserve"> est en cours</w:t>
      </w:r>
      <w:r w:rsidR="00CE0D20">
        <w:t>;</w:t>
      </w:r>
      <w:r>
        <w:t xml:space="preserve"> ce texte doit prévoir des mesures de promotion de l</w:t>
      </w:r>
      <w:r w:rsidR="00CE0D20">
        <w:t>’</w:t>
      </w:r>
      <w:r>
        <w:t>égalité des femmes et des hommes en matière de candidature à ces élections</w:t>
      </w:r>
      <w:r w:rsidR="00CE0D20">
        <w:t>;</w:t>
      </w:r>
      <w:r>
        <w:t xml:space="preserve"> il sera adopté en 2006, en principe.</w:t>
      </w:r>
    </w:p>
    <w:p w:rsidR="00164199" w:rsidRDefault="00164199" w:rsidP="00627247">
      <w:pPr>
        <w:pStyle w:val="SingleTxt"/>
      </w:pPr>
      <w:r>
        <w:t>9.</w:t>
      </w:r>
      <w:r>
        <w:tab/>
        <w:t>Avant l</w:t>
      </w:r>
      <w:r w:rsidR="00CE0D20">
        <w:t>’</w:t>
      </w:r>
      <w:r>
        <w:t>adoption de l</w:t>
      </w:r>
      <w:r w:rsidR="00CE0D20">
        <w:t>’</w:t>
      </w:r>
      <w:r>
        <w:t xml:space="preserve">amendement à la Constitution précité, un amendement à la </w:t>
      </w:r>
      <w:r>
        <w:rPr>
          <w:i/>
          <w:iCs/>
        </w:rPr>
        <w:t>Loi relative à l</w:t>
      </w:r>
      <w:r w:rsidR="00CE0D20">
        <w:rPr>
          <w:i/>
          <w:iCs/>
        </w:rPr>
        <w:t>’</w:t>
      </w:r>
      <w:r>
        <w:rPr>
          <w:i/>
          <w:iCs/>
        </w:rPr>
        <w:t>élection de députés slovènes au Parlement européen</w:t>
      </w:r>
      <w:r>
        <w:t xml:space="preserve"> avait déjà été adopté, et instaurait ce principe obligatoire d</w:t>
      </w:r>
      <w:r w:rsidR="00CE0D20">
        <w:t>’</w:t>
      </w:r>
      <w:r>
        <w:t>une représentation équilibrée des deux sexes sur les listes de candidats. Désormais, l</w:t>
      </w:r>
      <w:r w:rsidR="00CE0D20">
        <w:t>’</w:t>
      </w:r>
      <w:r>
        <w:t>article 15 de cette loi stipule que toute liste de candidats aux élections européennes doit témoigner d</w:t>
      </w:r>
      <w:r w:rsidR="00CE0D20">
        <w:t>’</w:t>
      </w:r>
      <w:r>
        <w:t>une représentation d</w:t>
      </w:r>
      <w:r w:rsidR="00CE0D20">
        <w:t>’</w:t>
      </w:r>
      <w:r>
        <w:t>au moins 40% de personnes de chaque sexe. Les listes de candidats en question doivent être conçues de manière à présenter obligatoirement, dans la partie supérieure de la liste, un candidat de chaque sexe – au minimum. Les listes ne respectant pas cette disposition sont déclarées invalides. Comme nous l</w:t>
      </w:r>
      <w:r w:rsidR="00CE0D20">
        <w:t>’</w:t>
      </w:r>
      <w:r>
        <w:t xml:space="preserve">avons indiqué au chapitre </w:t>
      </w:r>
      <w:r w:rsidR="00A838F9">
        <w:t>« </w:t>
      </w:r>
      <w:r>
        <w:t>Informations générales</w:t>
      </w:r>
      <w:r w:rsidR="00CE0D20">
        <w:t> »</w:t>
      </w:r>
      <w:r>
        <w:t>, cette obligation d</w:t>
      </w:r>
      <w:r w:rsidR="00CE0D20">
        <w:t>’</w:t>
      </w:r>
      <w:r>
        <w:t>un pourcentage minimum de 40% d</w:t>
      </w:r>
      <w:r w:rsidR="00CE0D20">
        <w:t>’</w:t>
      </w:r>
      <w:r>
        <w:t>hommes et de femmes s</w:t>
      </w:r>
      <w:r w:rsidR="00CE0D20">
        <w:t>’</w:t>
      </w:r>
      <w:r>
        <w:t xml:space="preserve">est révélée efficace puisque, sur les sept députés européens slovènes, on compte trois femmes. </w:t>
      </w:r>
    </w:p>
    <w:p w:rsidR="00164199" w:rsidRDefault="00164199" w:rsidP="00627247">
      <w:pPr>
        <w:pStyle w:val="SingleTxt"/>
      </w:pPr>
      <w:r>
        <w:t>10.</w:t>
      </w:r>
      <w:r>
        <w:tab/>
        <w:t xml:space="preserve">En mai 2004 était adoptée la </w:t>
      </w:r>
      <w:r>
        <w:rPr>
          <w:i/>
          <w:iCs/>
        </w:rPr>
        <w:t xml:space="preserve">Loi relative à la mise en </w:t>
      </w:r>
      <w:r w:rsidR="000460CB">
        <w:rPr>
          <w:i/>
          <w:iCs/>
        </w:rPr>
        <w:t>œuvre</w:t>
      </w:r>
      <w:r>
        <w:rPr>
          <w:i/>
          <w:iCs/>
        </w:rPr>
        <w:t xml:space="preserve"> du principe d</w:t>
      </w:r>
      <w:r w:rsidR="00CE0D20">
        <w:rPr>
          <w:i/>
          <w:iCs/>
        </w:rPr>
        <w:t>’</w:t>
      </w:r>
      <w:r>
        <w:rPr>
          <w:i/>
          <w:iCs/>
        </w:rPr>
        <w:t>égalité de traitement</w:t>
      </w:r>
      <w:r w:rsidR="00CE0D20">
        <w:rPr>
          <w:i/>
          <w:iCs/>
        </w:rPr>
        <w:t>;</w:t>
      </w:r>
      <w:r>
        <w:t xml:space="preserve"> il s</w:t>
      </w:r>
      <w:r w:rsidR="00CE0D20">
        <w:t>’</w:t>
      </w:r>
      <w:r>
        <w:t>agit d</w:t>
      </w:r>
      <w:r w:rsidR="00CE0D20">
        <w:t>’</w:t>
      </w:r>
      <w:r>
        <w:t>une loi fondamentale et générale (</w:t>
      </w:r>
      <w:r>
        <w:rPr>
          <w:i/>
          <w:iCs/>
        </w:rPr>
        <w:t>lex generalis)</w:t>
      </w:r>
      <w:r>
        <w:t xml:space="preserve"> interdisant toute discrimination fondée sur des caractéristiques personnelles des individus concernés – ce qui englobe l</w:t>
      </w:r>
      <w:r w:rsidR="00CE0D20">
        <w:t>’</w:t>
      </w:r>
      <w:r>
        <w:t>interdiction de toute discrimination fondée sur le sexe. En son article premier, cette loi établit les principes fondamentaux de l</w:t>
      </w:r>
      <w:r w:rsidR="00CE0D20">
        <w:t>’</w:t>
      </w:r>
      <w:r>
        <w:t>égalité de traitement de tous en ce qui concerne l</w:t>
      </w:r>
      <w:r w:rsidR="00CE0D20">
        <w:t>’</w:t>
      </w:r>
      <w:r>
        <w:t>exercice des droits, le respect des obligations et des libertés fondamentales dans tous les secteurs de la société – et en particulier dans les domaines de l</w:t>
      </w:r>
      <w:r w:rsidR="00CE0D20">
        <w:t>’</w:t>
      </w:r>
      <w:r>
        <w:t>emploi, des relations professionnelles, de l</w:t>
      </w:r>
      <w:r w:rsidR="00CE0D20">
        <w:t>’</w:t>
      </w:r>
      <w:r>
        <w:t>appartenance à un syndicat ou à tout autre groupement d</w:t>
      </w:r>
      <w:r w:rsidR="00CE0D20">
        <w:t>’</w:t>
      </w:r>
      <w:r>
        <w:t>intérêts, de l</w:t>
      </w:r>
      <w:r w:rsidR="00CE0D20">
        <w:t>’</w:t>
      </w:r>
      <w:r>
        <w:t>éducation, de la sécurité sociale, de l</w:t>
      </w:r>
      <w:r w:rsidR="00CE0D20">
        <w:t>’</w:t>
      </w:r>
      <w:r>
        <w:t>accès aux biens et services et de la jouissance de ces derniers indépendamment de tout élément personnel tel que la nationalité, l</w:t>
      </w:r>
      <w:r w:rsidR="00CE0D20">
        <w:t>’</w:t>
      </w:r>
      <w:r>
        <w:t>origine raciale ou ethnique, le sexe, l</w:t>
      </w:r>
      <w:r w:rsidR="00CE0D20">
        <w:t>’</w:t>
      </w:r>
      <w:r>
        <w:t>état de santé, un éventuel handicap, la langue, les convictions religieuses ou autres, l</w:t>
      </w:r>
      <w:r w:rsidR="00CE0D20">
        <w:t>’</w:t>
      </w:r>
      <w:r>
        <w:t>âge, les préférences sexuelles, le niveau d</w:t>
      </w:r>
      <w:r w:rsidR="00CE0D20">
        <w:t>’</w:t>
      </w:r>
      <w:r>
        <w:t xml:space="preserve">instruction, le niveau financier, le statut social ou toute autre caractéristique personnelle. Aux articles 4 et 5, la loi en question définit les notions de discrimination directe et indirecte, ainsi que le concept de </w:t>
      </w:r>
      <w:r w:rsidR="00A838F9">
        <w:t>« </w:t>
      </w:r>
      <w:r>
        <w:t>harcèlement</w:t>
      </w:r>
      <w:r w:rsidR="00CE0D20">
        <w:t> »</w:t>
      </w:r>
      <w:r>
        <w:t>. A l</w:t>
      </w:r>
      <w:r w:rsidR="00CE0D20">
        <w:t>’</w:t>
      </w:r>
      <w:r>
        <w:t>article 7, cette loi stipule que l</w:t>
      </w:r>
      <w:r w:rsidR="00CE0D20">
        <w:t>’</w:t>
      </w:r>
      <w:r>
        <w:t>Assemblée nationale, le gouvernement, les ministères concernés et autres administrations nationales ou locales doivent garantir les conditions d</w:t>
      </w:r>
      <w:r w:rsidR="00CE0D20">
        <w:t>’</w:t>
      </w:r>
      <w:r>
        <w:t>un traitement égal de tous.</w:t>
      </w:r>
    </w:p>
    <w:p w:rsidR="00164199" w:rsidRDefault="00164199" w:rsidP="00627247">
      <w:pPr>
        <w:pStyle w:val="SingleTxt"/>
      </w:pPr>
      <w:r>
        <w:t>11.</w:t>
      </w:r>
      <w:r>
        <w:tab/>
        <w:t>Il est également prévu que, dans le processus d</w:t>
      </w:r>
      <w:r w:rsidR="00CE0D20">
        <w:t>’</w:t>
      </w:r>
      <w:r>
        <w:t xml:space="preserve">élaboration de solutions et propositions visant à réaliser les objectifs de la </w:t>
      </w:r>
      <w:r>
        <w:rPr>
          <w:i/>
          <w:iCs/>
        </w:rPr>
        <w:t>Loi relative à la mise en œuvre du principe d</w:t>
      </w:r>
      <w:r w:rsidR="00CE0D20">
        <w:rPr>
          <w:i/>
          <w:iCs/>
        </w:rPr>
        <w:t>’</w:t>
      </w:r>
      <w:r>
        <w:rPr>
          <w:i/>
          <w:iCs/>
        </w:rPr>
        <w:t>égalité de traitement</w:t>
      </w:r>
      <w:r>
        <w:t xml:space="preserve">, le gouvernement et les ministères concernés coopèrent étroitement avec les partenaires sociaux et les ONG (cette coopération étant précisément inscrite dans la loi en question). Conformément à cette </w:t>
      </w:r>
      <w:r>
        <w:rPr>
          <w:i/>
          <w:iCs/>
        </w:rPr>
        <w:t>Loi relative à la mise en œuvre du principe d</w:t>
      </w:r>
      <w:r w:rsidR="00CE0D20">
        <w:rPr>
          <w:i/>
          <w:iCs/>
        </w:rPr>
        <w:t>’</w:t>
      </w:r>
      <w:r>
        <w:rPr>
          <w:i/>
          <w:iCs/>
        </w:rPr>
        <w:t xml:space="preserve">égalité de traitement, </w:t>
      </w:r>
      <w:r>
        <w:t xml:space="preserve">un </w:t>
      </w:r>
      <w:r w:rsidR="00962950">
        <w:t>« </w:t>
      </w:r>
      <w:r>
        <w:t>Conseil gouvernemental</w:t>
      </w:r>
      <w:r w:rsidR="00CE0D20">
        <w:t> »</w:t>
      </w:r>
      <w:r>
        <w:t xml:space="preserve"> pour la </w:t>
      </w:r>
      <w:r>
        <w:rPr>
          <w:i/>
          <w:iCs/>
        </w:rPr>
        <w:t xml:space="preserve">mise en </w:t>
      </w:r>
      <w:r w:rsidR="000460CB">
        <w:rPr>
          <w:i/>
          <w:iCs/>
        </w:rPr>
        <w:t>œuvre</w:t>
      </w:r>
      <w:r>
        <w:rPr>
          <w:i/>
          <w:iCs/>
        </w:rPr>
        <w:t xml:space="preserve"> du principe d</w:t>
      </w:r>
      <w:r w:rsidR="00CE0D20">
        <w:rPr>
          <w:i/>
          <w:iCs/>
        </w:rPr>
        <w:t>’</w:t>
      </w:r>
      <w:r>
        <w:rPr>
          <w:i/>
          <w:iCs/>
        </w:rPr>
        <w:t>égalité de traitement</w:t>
      </w:r>
      <w:r w:rsidR="00BA4F2E">
        <w:t xml:space="preserve"> </w:t>
      </w:r>
      <w:r w:rsidRPr="003E3A46">
        <w:t>a été créé en août 2004</w:t>
      </w:r>
      <w:r>
        <w:t xml:space="preserve"> (nous le désignerons ci-après sous la forme abrégée </w:t>
      </w:r>
      <w:r w:rsidR="00962950">
        <w:t>« </w:t>
      </w:r>
      <w:r>
        <w:t>le Conseil</w:t>
      </w:r>
      <w:r w:rsidR="00CE0D20">
        <w:t> »</w:t>
      </w:r>
      <w:r>
        <w:t>). La mission essentielle de cet organisme est de garantir la mise en œuvre des dispositions de la loi en question</w:t>
      </w:r>
      <w:r w:rsidR="00CE0D20">
        <w:t>;</w:t>
      </w:r>
      <w:r>
        <w:t xml:space="preserve"> de suivre, de déterminer et d</w:t>
      </w:r>
      <w:r w:rsidR="00CE0D20">
        <w:t>’</w:t>
      </w:r>
      <w:r>
        <w:t>évaluer la situation des différents groupes sociaux en matière d</w:t>
      </w:r>
      <w:r w:rsidR="00CE0D20">
        <w:t>’</w:t>
      </w:r>
      <w:r>
        <w:t>égalité de traitement</w:t>
      </w:r>
      <w:r w:rsidR="00CE0D20">
        <w:t>;</w:t>
      </w:r>
      <w:r>
        <w:t xml:space="preserve"> de formuler et de soumettre au gouvernement des propositions, des initiatives et des recommandations en vue de l</w:t>
      </w:r>
      <w:r w:rsidR="00CE0D20">
        <w:t>’</w:t>
      </w:r>
      <w:r>
        <w:t>adoption des mesures juridiques et autres nécessaires à la mise en œuvre du principe d</w:t>
      </w:r>
      <w:r w:rsidR="00CE0D20">
        <w:t>’</w:t>
      </w:r>
      <w:r>
        <w:t>égalité de traitement</w:t>
      </w:r>
      <w:r w:rsidR="00CE0D20">
        <w:t>;</w:t>
      </w:r>
      <w:r>
        <w:t xml:space="preserve"> de formuler et de soumettre des propositions visant à la promotion de l</w:t>
      </w:r>
      <w:r w:rsidR="00CE0D20">
        <w:t>’</w:t>
      </w:r>
      <w:r>
        <w:t>éducation, de la sensibilisation et de la recherche en matière d</w:t>
      </w:r>
      <w:r w:rsidR="00CE0D20">
        <w:t>’</w:t>
      </w:r>
      <w:r>
        <w:t>égalité de traitement de tous</w:t>
      </w:r>
      <w:r w:rsidR="00CE0D20">
        <w:t>;</w:t>
      </w:r>
      <w:r>
        <w:t xml:space="preserve"> et, enfin, de fournir des informations sur l</w:t>
      </w:r>
      <w:r w:rsidR="00CE0D20">
        <w:t>’</w:t>
      </w:r>
      <w:r>
        <w:t>action de l</w:t>
      </w:r>
      <w:r w:rsidR="00CE0D20">
        <w:t>’</w:t>
      </w:r>
      <w:r>
        <w:t>Avocat du Principe d</w:t>
      </w:r>
      <w:r w:rsidR="00CE0D20">
        <w:t>’</w:t>
      </w:r>
      <w:r>
        <w:t xml:space="preserve">égalité. Le </w:t>
      </w:r>
      <w:r w:rsidR="00962950">
        <w:t>« </w:t>
      </w:r>
      <w:r>
        <w:t>Conseil</w:t>
      </w:r>
      <w:r w:rsidR="00CE0D20">
        <w:t> »</w:t>
      </w:r>
      <w:r>
        <w:t xml:space="preserve"> est formé de 24 membres – dont 9 représentants de ministères et d</w:t>
      </w:r>
      <w:r w:rsidR="00CE0D20">
        <w:t>’</w:t>
      </w:r>
      <w:r>
        <w:t>organes gouvernementaux, 4 représentants d</w:t>
      </w:r>
      <w:r w:rsidR="00CE0D20">
        <w:t>’</w:t>
      </w:r>
      <w:r>
        <w:t>établissements experts, 2 représentants des minorités nationales italienne et hongroise, 1 représentant de l</w:t>
      </w:r>
      <w:r w:rsidR="00CE0D20">
        <w:t>’</w:t>
      </w:r>
      <w:r>
        <w:t>Association des Roms de Slovénie, et, enfin, 8 représentants d</w:t>
      </w:r>
      <w:r w:rsidR="00CE0D20">
        <w:t>’</w:t>
      </w:r>
      <w:r>
        <w:t>ONG opérant activement dans le domaine de l</w:t>
      </w:r>
      <w:r w:rsidR="00CE0D20">
        <w:t>’</w:t>
      </w:r>
      <w:r>
        <w:t xml:space="preserve">égalité de traitement de tous. </w:t>
      </w:r>
    </w:p>
    <w:p w:rsidR="00164199" w:rsidRDefault="00164199" w:rsidP="00627247">
      <w:pPr>
        <w:pStyle w:val="SingleTxt"/>
      </w:pPr>
      <w:r>
        <w:t>12.</w:t>
      </w:r>
      <w:r>
        <w:tab/>
        <w:t xml:space="preserve">Au Chapitre IV, la </w:t>
      </w:r>
      <w:r>
        <w:rPr>
          <w:i/>
          <w:iCs/>
        </w:rPr>
        <w:t>Loi relative à la mise en œuvre du principe d</w:t>
      </w:r>
      <w:r w:rsidR="00CE0D20">
        <w:rPr>
          <w:i/>
          <w:iCs/>
        </w:rPr>
        <w:t>’</w:t>
      </w:r>
      <w:r>
        <w:rPr>
          <w:i/>
          <w:iCs/>
        </w:rPr>
        <w:t>égalité de traitement</w:t>
      </w:r>
      <w:r>
        <w:t xml:space="preserve"> définit l</w:t>
      </w:r>
      <w:r w:rsidR="00CE0D20">
        <w:t>’</w:t>
      </w:r>
      <w:r>
        <w:t>action qui doit être celle de l</w:t>
      </w:r>
      <w:r w:rsidR="00CE0D20">
        <w:t>’</w:t>
      </w:r>
      <w:r>
        <w:t>Avocat du principe d</w:t>
      </w:r>
      <w:r w:rsidR="00CE0D20">
        <w:t>’</w:t>
      </w:r>
      <w:r>
        <w:t>égalité – lequel entend, dans le cadre d</w:t>
      </w:r>
      <w:r w:rsidR="00CE0D20">
        <w:t>’</w:t>
      </w:r>
      <w:r>
        <w:t>une procédure informelle, les cas d</w:t>
      </w:r>
      <w:r w:rsidR="00CE0D20">
        <w:t>’</w:t>
      </w:r>
      <w:r>
        <w:t>allégations de discrimination. Aux termes de cette loi, l</w:t>
      </w:r>
      <w:r w:rsidR="00CE0D20">
        <w:t>’</w:t>
      </w:r>
      <w:r>
        <w:t>Avocat du principe d</w:t>
      </w:r>
      <w:r w:rsidR="00CE0D20">
        <w:t>’</w:t>
      </w:r>
      <w:r>
        <w:t>égalité a pris ses fonctions le 1</w:t>
      </w:r>
      <w:r w:rsidRPr="005B0B62">
        <w:rPr>
          <w:vertAlign w:val="superscript"/>
        </w:rPr>
        <w:t>er</w:t>
      </w:r>
      <w:r>
        <w:t xml:space="preserve"> janvier 2005. L</w:t>
      </w:r>
      <w:r w:rsidR="00CE0D20">
        <w:t>’</w:t>
      </w:r>
      <w:r>
        <w:t>article 22 de la loi prévoit la charge de la preuve inversée. En d</w:t>
      </w:r>
      <w:r w:rsidR="00CE0D20">
        <w:t>’</w:t>
      </w:r>
      <w:r>
        <w:t>autres termes, lorsqu</w:t>
      </w:r>
      <w:r w:rsidR="00CE0D20">
        <w:t>’</w:t>
      </w:r>
      <w:r>
        <w:t>une personne qui se dit victime d</w:t>
      </w:r>
      <w:r w:rsidR="00CE0D20">
        <w:t>’</w:t>
      </w:r>
      <w:r>
        <w:t>une discrimination présente des faits tendant à prouver que le principe d</w:t>
      </w:r>
      <w:r w:rsidR="00CE0D20">
        <w:t>’</w:t>
      </w:r>
      <w:r>
        <w:t>interdiction de toute discrimination a été effectivement violé, c</w:t>
      </w:r>
      <w:r w:rsidR="00CE0D20">
        <w:t>’</w:t>
      </w:r>
      <w:r>
        <w:t>est à l</w:t>
      </w:r>
      <w:r w:rsidR="00CE0D20">
        <w:t>’</w:t>
      </w:r>
      <w:r>
        <w:t>auteur présumé de la violation en question qu</w:t>
      </w:r>
      <w:r w:rsidR="00CE0D20">
        <w:t>’</w:t>
      </w:r>
      <w:r>
        <w:t>il incombe d</w:t>
      </w:r>
      <w:r w:rsidR="00CE0D20">
        <w:t>’</w:t>
      </w:r>
      <w:r>
        <w:t>apporter la preuve qu</w:t>
      </w:r>
      <w:r w:rsidR="00CE0D20">
        <w:t>’</w:t>
      </w:r>
      <w:r>
        <w:t>il ou elle n</w:t>
      </w:r>
      <w:r w:rsidR="00CE0D20">
        <w:t>’</w:t>
      </w:r>
      <w:r>
        <w:t>a pas violé le principe d</w:t>
      </w:r>
      <w:r w:rsidR="00CE0D20">
        <w:t>’</w:t>
      </w:r>
      <w:r>
        <w:t>égalité de traitement ou l</w:t>
      </w:r>
      <w:r w:rsidR="00CE0D20">
        <w:t>’</w:t>
      </w:r>
      <w:r>
        <w:t>interdiction de toute discrimination. L</w:t>
      </w:r>
      <w:r w:rsidR="00CE0D20">
        <w:t>’</w:t>
      </w:r>
      <w:r>
        <w:t>article 23 de la loi en question autorise les ONG à soutenir la victime de la discrimination lors des procédures judiciaires et administratives.</w:t>
      </w:r>
    </w:p>
    <w:p w:rsidR="00164199" w:rsidRDefault="00164199" w:rsidP="00627247">
      <w:pPr>
        <w:pStyle w:val="SingleTxt"/>
      </w:pPr>
      <w:r>
        <w:t>13.</w:t>
      </w:r>
      <w:r>
        <w:tab/>
        <w:t>Les prérogatives de l</w:t>
      </w:r>
      <w:r w:rsidR="00CE0D20">
        <w:t>’</w:t>
      </w:r>
      <w:r>
        <w:t>Avocat du principe d</w:t>
      </w:r>
      <w:r w:rsidR="00CE0D20">
        <w:t>’</w:t>
      </w:r>
      <w:r>
        <w:t>égalité sont également celles de l</w:t>
      </w:r>
      <w:r w:rsidR="00CE0D20">
        <w:t>’</w:t>
      </w:r>
      <w:r>
        <w:t>Avocat de l</w:t>
      </w:r>
      <w:r w:rsidR="00CE0D20">
        <w:t>’</w:t>
      </w:r>
      <w:r>
        <w:t>égalité des chances des femmes et des hommes – ce dernier étant chargé d</w:t>
      </w:r>
      <w:r w:rsidR="00CE0D20">
        <w:t>’</w:t>
      </w:r>
      <w:r>
        <w:t>entendre les cas d</w:t>
      </w:r>
      <w:r w:rsidR="00CE0D20">
        <w:t>’</w:t>
      </w:r>
      <w:r>
        <w:t>allégations de discrimination fondée sur le sexe. L</w:t>
      </w:r>
      <w:r w:rsidR="00CE0D20">
        <w:t>’</w:t>
      </w:r>
      <w:r>
        <w:t>institution de l</w:t>
      </w:r>
      <w:r w:rsidR="00CE0D20">
        <w:t>’</w:t>
      </w:r>
      <w:r w:rsidR="0018387B">
        <w:t>« </w:t>
      </w:r>
      <w:r>
        <w:t>Avocat de l</w:t>
      </w:r>
      <w:r w:rsidR="00CE0D20">
        <w:t>’</w:t>
      </w:r>
      <w:r>
        <w:t>égalité des chances des femmes et des hommes</w:t>
      </w:r>
      <w:r w:rsidR="00CE0D20">
        <w:t xml:space="preserve"> » – </w:t>
      </w:r>
      <w:r>
        <w:t>créée lors de l</w:t>
      </w:r>
      <w:r w:rsidR="00CE0D20">
        <w:t>’</w:t>
      </w:r>
      <w:r>
        <w:t>adoption de la Loi sur l</w:t>
      </w:r>
      <w:r w:rsidR="00CE0D20">
        <w:t>’</w:t>
      </w:r>
      <w:r>
        <w:t>égalité des chances des femmes et des hommes – a été présentée de manière plus détaillée dans le Troisième Rapport. Depuis son entrée en fonctions, en 2003, et jusqu</w:t>
      </w:r>
      <w:r w:rsidR="00CE0D20">
        <w:t>’</w:t>
      </w:r>
      <w:r>
        <w:t>au 30 juin 2005, l</w:t>
      </w:r>
      <w:r w:rsidR="00CE0D20">
        <w:t>’</w:t>
      </w:r>
      <w:r>
        <w:t>Avocate de l</w:t>
      </w:r>
      <w:r w:rsidR="00CE0D20">
        <w:t>’</w:t>
      </w:r>
      <w:r>
        <w:t>égalité des chances des femmes et des hommes a reçu 28 dossiers d</w:t>
      </w:r>
      <w:r w:rsidR="00CE0D20">
        <w:t>’</w:t>
      </w:r>
      <w:r>
        <w:t>allégations de discrimination fondée sur le sexe.</w:t>
      </w:r>
    </w:p>
    <w:p w:rsidR="00164199" w:rsidRDefault="00164199" w:rsidP="00627247">
      <w:pPr>
        <w:pStyle w:val="SingleTxt"/>
      </w:pPr>
      <w:r>
        <w:t>14.</w:t>
      </w:r>
      <w:r>
        <w:tab/>
        <w:t>Sur ces 28 demandes, 17 émanaient de femmes, 7 étaient soumises par des hommes, 2 autres par une ONG au nom d</w:t>
      </w:r>
      <w:r w:rsidR="00CE0D20">
        <w:t>’</w:t>
      </w:r>
      <w:r>
        <w:t>un homme, et, enfin, 2 autres par un syndicat.</w:t>
      </w:r>
    </w:p>
    <w:p w:rsidR="00164199" w:rsidRDefault="00164199" w:rsidP="00627247">
      <w:pPr>
        <w:pStyle w:val="SingleTxt"/>
      </w:pPr>
      <w:r>
        <w:t>15.</w:t>
      </w:r>
      <w:r>
        <w:tab/>
        <w:t>Au cours de la période indiquée, l</w:t>
      </w:r>
      <w:r w:rsidR="00CE0D20">
        <w:t>’</w:t>
      </w:r>
      <w:r>
        <w:t>Avocate a formulé 13 avis au sujet des initiatives et demandes en question</w:t>
      </w:r>
      <w:r w:rsidR="00CE0D20">
        <w:t>;</w:t>
      </w:r>
      <w:r>
        <w:t xml:space="preserve"> un acte de discrimination fondée sur le sexe a été établi dans 18 affaires, et ce type de discrimination n</w:t>
      </w:r>
      <w:r w:rsidR="00CE0D20">
        <w:t>’</w:t>
      </w:r>
      <w:r>
        <w:t>a pas pu être prouvé en ce qui concerne 5 autres dossiers. Dans 3 affaires, l</w:t>
      </w:r>
      <w:r w:rsidR="00CE0D20">
        <w:t>’</w:t>
      </w:r>
      <w:r>
        <w:t>Avocate a mis un terme aux procédures soit en raison de l</w:t>
      </w:r>
      <w:r w:rsidR="00CE0D20">
        <w:t>’</w:t>
      </w:r>
      <w:r>
        <w:t>expiration de la date limite, soit parce que la discrimination n</w:t>
      </w:r>
      <w:r w:rsidR="00CE0D20">
        <w:t>’</w:t>
      </w:r>
      <w:r>
        <w:t>a pas pu être établie. Les dossiers en question concernaient différents secteurs – depuis les relations professionnelles et l</w:t>
      </w:r>
      <w:r w:rsidR="00CE0D20">
        <w:t>’</w:t>
      </w:r>
      <w:r>
        <w:t>emploi jusqu</w:t>
      </w:r>
      <w:r w:rsidR="00CE0D20">
        <w:t>’</w:t>
      </w:r>
      <w:r>
        <w:t>à la conduite de procédures judiciaires et administratives, en passant par l</w:t>
      </w:r>
      <w:r w:rsidR="00CE0D20">
        <w:t>’</w:t>
      </w:r>
      <w:r>
        <w:t>octroi de récompenses dans des compétitions sportives. Dans les cas où l</w:t>
      </w:r>
      <w:r w:rsidR="00CE0D20">
        <w:t>’</w:t>
      </w:r>
      <w:r>
        <w:t>Avocate de l</w:t>
      </w:r>
      <w:r w:rsidR="00CE0D20">
        <w:t>’</w:t>
      </w:r>
      <w:r>
        <w:t>égalité des chances des femmes et des hommes a effectivement établi un acte de discrimination fondée sur le sexe, elle a notifié l</w:t>
      </w:r>
      <w:r w:rsidR="00CE0D20">
        <w:t>’</w:t>
      </w:r>
      <w:r>
        <w:t>auteur de la discrimination dans le cadre de l</w:t>
      </w:r>
      <w:r w:rsidR="00CE0D20">
        <w:t>’</w:t>
      </w:r>
      <w:r>
        <w:t>avis formulé, en précisant les irrégularités concernées et en recommandant les moyens d</w:t>
      </w:r>
      <w:r w:rsidR="00CE0D20">
        <w:t>’</w:t>
      </w:r>
      <w:r>
        <w:t>y remédier. Ainsi, l</w:t>
      </w:r>
      <w:r w:rsidR="00CE0D20">
        <w:t>’</w:t>
      </w:r>
      <w:r>
        <w:t>Avocate a recommandé aux organisateurs de marathons de revoir leur politique de récompenses et d</w:t>
      </w:r>
      <w:r w:rsidR="00CE0D20">
        <w:t>’</w:t>
      </w:r>
      <w:r>
        <w:t>envisager des prix de même type pour les femmes et les hommes</w:t>
      </w:r>
      <w:r w:rsidR="00CE0D20">
        <w:t>;</w:t>
      </w:r>
      <w:r>
        <w:t xml:space="preserve"> pour prendre un autre exemple, l</w:t>
      </w:r>
      <w:r w:rsidR="00CE0D20">
        <w:t>’</w:t>
      </w:r>
      <w:r>
        <w:t>Avocate a recommandé à un employeur d</w:t>
      </w:r>
      <w:r w:rsidR="00CE0D20">
        <w:t>’</w:t>
      </w:r>
      <w:r>
        <w:t>adopter une déclaration de politique concernant le harcèlement sexuel</w:t>
      </w:r>
      <w:r w:rsidR="00CE0D20">
        <w:t>;</w:t>
      </w:r>
      <w:r>
        <w:t xml:space="preserve"> ou encore, elle a recommandé à des agences pour l</w:t>
      </w:r>
      <w:r w:rsidR="00CE0D20">
        <w:t>’</w:t>
      </w:r>
      <w:r>
        <w:t>emploi d</w:t>
      </w:r>
      <w:r w:rsidR="00CE0D20">
        <w:t>’</w:t>
      </w:r>
      <w:r>
        <w:t>étudiants de présenter leurs offres d</w:t>
      </w:r>
      <w:r w:rsidR="00CE0D20">
        <w:t>’</w:t>
      </w:r>
      <w:r>
        <w:t>emploi sans spécifier tel ou tel sexe</w:t>
      </w:r>
      <w:r w:rsidR="00CE0D20">
        <w:t>;</w:t>
      </w:r>
      <w:r>
        <w:t xml:space="preserve"> enfin, l</w:t>
      </w:r>
      <w:r w:rsidR="00CE0D20">
        <w:t>’</w:t>
      </w:r>
      <w:r>
        <w:t>Avocate recommandait à une entreprise d</w:t>
      </w:r>
      <w:r w:rsidR="00CE0D20">
        <w:t>’</w:t>
      </w:r>
      <w:r>
        <w:t>assurance-santé de modifier les conditions générales de ses contrats, qui ne couvraient pas le remboursement des frais médicaux engagés dans un pays étranger en liaison avec une grossesse, avec des complications dues à une grossesse, un avortement ou un accouchement. Bien que les avis de l</w:t>
      </w:r>
      <w:r w:rsidR="00CE0D20">
        <w:t>’</w:t>
      </w:r>
      <w:r>
        <w:t>Avocate en question n</w:t>
      </w:r>
      <w:r w:rsidR="00CE0D20">
        <w:t>’</w:t>
      </w:r>
      <w:r>
        <w:t>aient pas un caractère contraignant, l</w:t>
      </w:r>
      <w:r w:rsidR="00CE0D20">
        <w:t>’</w:t>
      </w:r>
      <w:r>
        <w:t>expérience montre que les auteurs de discriminations respectent effectivement ses recommandations dans une certaine mesure, et qu</w:t>
      </w:r>
      <w:r w:rsidR="00CE0D20">
        <w:t>’</w:t>
      </w:r>
      <w:r>
        <w:t>ils ne sont pas indifférents au fait que leur comportement ait été jugé discriminatoire. Depuis l</w:t>
      </w:r>
      <w:r w:rsidR="00CE0D20">
        <w:t>’</w:t>
      </w:r>
      <w:r>
        <w:t xml:space="preserve">entrée en vigueur de la </w:t>
      </w:r>
      <w:r>
        <w:rPr>
          <w:i/>
          <w:iCs/>
        </w:rPr>
        <w:t>Loi relative à la mise en œuvre du principe d</w:t>
      </w:r>
      <w:r w:rsidR="00CE0D20">
        <w:rPr>
          <w:i/>
          <w:iCs/>
        </w:rPr>
        <w:t>’</w:t>
      </w:r>
      <w:r>
        <w:rPr>
          <w:i/>
          <w:iCs/>
        </w:rPr>
        <w:t>égalité</w:t>
      </w:r>
      <w:r>
        <w:t>, les avis formulés par l</w:t>
      </w:r>
      <w:r w:rsidR="00CE0D20">
        <w:t>’</w:t>
      </w:r>
      <w:r>
        <w:t>Avocate ont gagné en influence, car, si, en dépit de ces recommandations, les auteurs de discriminations ne remédient pas aux irrégularités établies et n</w:t>
      </w:r>
      <w:r w:rsidR="00CE0D20">
        <w:t>’</w:t>
      </w:r>
      <w:r>
        <w:t>informent pas l</w:t>
      </w:r>
      <w:r w:rsidR="00CE0D20">
        <w:t>’</w:t>
      </w:r>
      <w:r>
        <w:t>Avocate, dans les délais requis, des mesures qu</w:t>
      </w:r>
      <w:r w:rsidR="00CE0D20">
        <w:t>’</w:t>
      </w:r>
      <w:r>
        <w:t>ils ont pu adopter, l</w:t>
      </w:r>
      <w:r w:rsidR="00CE0D20">
        <w:t>’</w:t>
      </w:r>
      <w:r>
        <w:t>Avocate transmet son avis à un organe d</w:t>
      </w:r>
      <w:r w:rsidR="00CE0D20">
        <w:t>’</w:t>
      </w:r>
      <w:r>
        <w:t>inspection compétent en la matière.</w:t>
      </w:r>
    </w:p>
    <w:p w:rsidR="00164199" w:rsidRDefault="00164199" w:rsidP="00627247">
      <w:pPr>
        <w:pStyle w:val="SingleTxt"/>
      </w:pPr>
      <w:r>
        <w:t>16.</w:t>
      </w:r>
      <w:r>
        <w:tab/>
        <w:t>Conformément à l</w:t>
      </w:r>
      <w:r w:rsidR="00CE0D20">
        <w:t>’</w:t>
      </w:r>
      <w:r>
        <w:t xml:space="preserve">article 14 de la </w:t>
      </w:r>
      <w:r>
        <w:rPr>
          <w:i/>
          <w:iCs/>
        </w:rPr>
        <w:t>Loi relative à la mise en œuvre du principe d</w:t>
      </w:r>
      <w:r w:rsidR="00CE0D20">
        <w:rPr>
          <w:i/>
          <w:iCs/>
        </w:rPr>
        <w:t>’</w:t>
      </w:r>
      <w:r>
        <w:rPr>
          <w:i/>
          <w:iCs/>
        </w:rPr>
        <w:t>égalité de traitement</w:t>
      </w:r>
      <w:r>
        <w:t xml:space="preserve">, le gouvernement slovène a, en septembre 2004, adopté un </w:t>
      </w:r>
      <w:r>
        <w:rPr>
          <w:i/>
          <w:iCs/>
        </w:rPr>
        <w:t>Décret régissant les critères d</w:t>
      </w:r>
      <w:r w:rsidR="00CE0D20">
        <w:rPr>
          <w:i/>
          <w:iCs/>
        </w:rPr>
        <w:t>’</w:t>
      </w:r>
      <w:r>
        <w:rPr>
          <w:i/>
          <w:iCs/>
        </w:rPr>
        <w:t>application du principe de représentation équilibrée des femmes et des hommes</w:t>
      </w:r>
      <w:r>
        <w:t>. Ce décret établit la procédure à suivre en vue de garantir une représentation équilibrée des femmes et des hommes au sein des administrations et organismes en exercice, et en matière de nomination de représentants du gouvernement. Le Décret et la Loi en question établissent que le principe d</w:t>
      </w:r>
      <w:r w:rsidR="00CE0D20">
        <w:t>’</w:t>
      </w:r>
      <w:r>
        <w:t>une représentation équilibrée des deux sexes est respecté lorsqu</w:t>
      </w:r>
      <w:r w:rsidR="00CE0D20">
        <w:t>’</w:t>
      </w:r>
      <w:r>
        <w:t>un pourcentage minimum de 40% d</w:t>
      </w:r>
      <w:r w:rsidR="00CE0D20">
        <w:t>’</w:t>
      </w:r>
      <w:r>
        <w:t>hommes et de femmes est assuré. Dans certaines circonstances particulières, le Décret prévoit des dérogations à ce principe sur la base de motifs objectivement légitimes. De telles dérogations sont autorisées dans les cas de missions particulières de certains organes gouvernementaux.</w:t>
      </w:r>
    </w:p>
    <w:p w:rsidR="00164199" w:rsidRDefault="00164199" w:rsidP="00627247">
      <w:pPr>
        <w:pStyle w:val="SingleTxt"/>
      </w:pPr>
      <w:r>
        <w:t>17.</w:t>
      </w:r>
      <w:r>
        <w:tab/>
        <w:t>En octobre 2005, l</w:t>
      </w:r>
      <w:r w:rsidR="00CE0D20">
        <w:t>’</w:t>
      </w:r>
      <w:r>
        <w:t xml:space="preserve">Assemblée nationale slovène adoptait la </w:t>
      </w:r>
      <w:r>
        <w:rPr>
          <w:i/>
          <w:iCs/>
        </w:rPr>
        <w:t>Résolution relative au Programme national d</w:t>
      </w:r>
      <w:r w:rsidR="00CE0D20">
        <w:rPr>
          <w:i/>
          <w:iCs/>
        </w:rPr>
        <w:t>’</w:t>
      </w:r>
      <w:r>
        <w:rPr>
          <w:i/>
          <w:iCs/>
        </w:rPr>
        <w:t xml:space="preserve">égalité des chances des femmes et des hommes pour la période 2005-2013. </w:t>
      </w:r>
      <w:r>
        <w:t xml:space="preserve">La proposition de résolution avait été élaborée par le Bureau pour </w:t>
      </w:r>
      <w:r w:rsidR="00247191">
        <w:t>L’Égalité</w:t>
      </w:r>
      <w:r>
        <w:t xml:space="preserve"> des chances, en collaboration avec les ministères concernés et autres organismes gouvernementaux, ainsi qu</w:t>
      </w:r>
      <w:r w:rsidR="00CE0D20">
        <w:t>’</w:t>
      </w:r>
      <w:r>
        <w:t>avec les collectivités locales autonomes, les partenaires sociaux, les instituts de recherche, les ONG et autres organisations de la société civile, et, enfin, divers experts</w:t>
      </w:r>
      <w:r w:rsidR="00CE0D20">
        <w:t>;</w:t>
      </w:r>
      <w:r>
        <w:t xml:space="preserve"> le projet de résolution était ensuite examiné et adopté par le gouvernement, avant d</w:t>
      </w:r>
      <w:r w:rsidR="00CE0D20">
        <w:t>’</w:t>
      </w:r>
      <w:r>
        <w:t>être présenté à l</w:t>
      </w:r>
      <w:r w:rsidR="00CE0D20">
        <w:t>’</w:t>
      </w:r>
      <w:r>
        <w:t>Assemblée nationale. Cette Résolution reprend les engagements fixés par la Déclaration et le Programme d</w:t>
      </w:r>
      <w:r w:rsidR="00CE0D20">
        <w:t>’</w:t>
      </w:r>
      <w:r>
        <w:t>action de Beijing</w:t>
      </w:r>
      <w:r w:rsidRPr="006A4785">
        <w:rPr>
          <w:rStyle w:val="FootnoteReference"/>
        </w:rPr>
        <w:footnoteReference w:customMarkFollows="1" w:id="8"/>
        <w:t>8</w:t>
      </w:r>
      <w:r>
        <w:t>, ainsi que les conclusions de la 23</w:t>
      </w:r>
      <w:r w:rsidRPr="009A14C9">
        <w:rPr>
          <w:vertAlign w:val="superscript"/>
        </w:rPr>
        <w:t>e</w:t>
      </w:r>
      <w:r>
        <w:t xml:space="preserve"> Session extraordinaire de l</w:t>
      </w:r>
      <w:r w:rsidR="00CE0D20">
        <w:t>’</w:t>
      </w:r>
      <w:r>
        <w:t xml:space="preserve">Assemblée générale des Nations Unies, intitulée </w:t>
      </w:r>
      <w:r w:rsidR="0018387B">
        <w:t>« </w:t>
      </w:r>
      <w:r>
        <w:rPr>
          <w:i/>
          <w:iCs/>
        </w:rPr>
        <w:t>Les femmes en l</w:t>
      </w:r>
      <w:r w:rsidR="00CE0D20">
        <w:rPr>
          <w:i/>
          <w:iCs/>
        </w:rPr>
        <w:t>’</w:t>
      </w:r>
      <w:r>
        <w:rPr>
          <w:i/>
          <w:iCs/>
        </w:rPr>
        <w:t>an 2000 : égalité entre les sexes, développement et paix pour le XXIe siècle</w:t>
      </w:r>
      <w:r w:rsidR="00CE0D20">
        <w:rPr>
          <w:i/>
          <w:iCs/>
        </w:rPr>
        <w:t> »</w:t>
      </w:r>
      <w:r w:rsidRPr="006A4785">
        <w:rPr>
          <w:rStyle w:val="FootnoteReference"/>
          <w:i/>
          <w:iCs/>
        </w:rPr>
        <w:footnoteReference w:customMarkFollows="1" w:id="9"/>
        <w:t>9</w:t>
      </w:r>
      <w:r>
        <w:t>. La résolution slovène est un document de stratégie, qui définit les objectifs à atteindre et les mesures à prendre, mais également les principaux responsables politiques chargés de parachever l</w:t>
      </w:r>
      <w:r w:rsidR="00CE0D20">
        <w:t>’</w:t>
      </w:r>
      <w:r>
        <w:t>égalité entre les sexes dans divers secteurs, et ce, pour la période 2005-2013. L</w:t>
      </w:r>
      <w:r w:rsidR="00CE0D20">
        <w:t>’</w:t>
      </w:r>
      <w:r>
        <w:t>objectif fondamental est l</w:t>
      </w:r>
      <w:r w:rsidR="00CE0D20">
        <w:t>’</w:t>
      </w:r>
      <w:r>
        <w:t>amélioration de la condition féminine et l</w:t>
      </w:r>
      <w:r w:rsidR="00CE0D20">
        <w:t>’</w:t>
      </w:r>
      <w:r>
        <w:t xml:space="preserve">accélération du processus devant établir concrètement la parité. Par ailleurs, la </w:t>
      </w:r>
      <w:r>
        <w:rPr>
          <w:i/>
          <w:iCs/>
        </w:rPr>
        <w:t>Loi sur l</w:t>
      </w:r>
      <w:r w:rsidR="00CE0D20">
        <w:rPr>
          <w:i/>
          <w:iCs/>
        </w:rPr>
        <w:t>’</w:t>
      </w:r>
      <w:r>
        <w:rPr>
          <w:i/>
          <w:iCs/>
        </w:rPr>
        <w:t>égalité des chances des femmes et des hommes</w:t>
      </w:r>
      <w:r>
        <w:t xml:space="preserve"> a établi un système de contrôle et de suivi de la mise en œuvre du Programme national. L</w:t>
      </w:r>
      <w:r w:rsidR="00CE0D20">
        <w:t>’</w:t>
      </w:r>
      <w:r>
        <w:t>article 17 de cette loi demande au gouvernement slovène de présenter régulièrement un rapport biennal à l</w:t>
      </w:r>
      <w:r w:rsidR="00CE0D20">
        <w:t>’</w:t>
      </w:r>
      <w:r>
        <w:t>Assemblée nationale au sujet des mesures prises et de l</w:t>
      </w:r>
      <w:r w:rsidR="00CE0D20">
        <w:t>’</w:t>
      </w:r>
      <w:r>
        <w:t xml:space="preserve">action menée, au cours des deux années écoulées, dans le cadre du Programme national. La rédaction de ces rapports est coordonnée par le Bureau pour </w:t>
      </w:r>
      <w:r w:rsidR="00247191">
        <w:t>L’Égalité</w:t>
      </w:r>
      <w:r>
        <w:t xml:space="preserve"> des chances. </w:t>
      </w:r>
    </w:p>
    <w:p w:rsidR="00164199" w:rsidRDefault="00164199" w:rsidP="00627247">
      <w:pPr>
        <w:pStyle w:val="SingleTxt"/>
      </w:pPr>
      <w:r>
        <w:t>18.</w:t>
      </w:r>
      <w:r>
        <w:tab/>
        <w:t xml:space="preserve">Des missions et activités précises, devant conduire à la réalisation des objectifs et à la mise en œuvre des mesures décidées, doivent être définies dans le cadre de </w:t>
      </w:r>
      <w:r>
        <w:rPr>
          <w:i/>
          <w:iCs/>
        </w:rPr>
        <w:t>plans périodiques</w:t>
      </w:r>
      <w:r>
        <w:t>, élaborés tous les deux ans et fixant dans le détail le calendrier et les modalités d</w:t>
      </w:r>
      <w:r w:rsidR="00CE0D20">
        <w:t>’</w:t>
      </w:r>
      <w:r>
        <w:t>application de ces différentes missions et activités. C</w:t>
      </w:r>
      <w:r w:rsidR="00CE0D20">
        <w:t>’</w:t>
      </w:r>
      <w:r>
        <w:t xml:space="preserve">est le Bureau pour </w:t>
      </w:r>
      <w:r w:rsidR="00247191">
        <w:t>L’Égalité</w:t>
      </w:r>
      <w:r>
        <w:t xml:space="preserve"> des chances qui est chargé d</w:t>
      </w:r>
      <w:r w:rsidR="00CE0D20">
        <w:t>’</w:t>
      </w:r>
      <w:r>
        <w:t>élaborer les projets de plans périodiques et de les soumettre au gouvernement aux fins d</w:t>
      </w:r>
      <w:r w:rsidR="00CE0D20">
        <w:t>’</w:t>
      </w:r>
      <w:r>
        <w:t>examen et d</w:t>
      </w:r>
      <w:r w:rsidR="00CE0D20">
        <w:t>’</w:t>
      </w:r>
      <w:r>
        <w:t>adoption. Le premier plan périodique d</w:t>
      </w:r>
      <w:r w:rsidR="00CE0D20">
        <w:t>’</w:t>
      </w:r>
      <w:r>
        <w:t>application du programme national est en cours d</w:t>
      </w:r>
      <w:r w:rsidR="00CE0D20">
        <w:t>’</w:t>
      </w:r>
      <w:r>
        <w:t>élaboration.</w:t>
      </w:r>
    </w:p>
    <w:p w:rsidR="00164199" w:rsidRDefault="00164199" w:rsidP="00D926D4">
      <w:pPr>
        <w:pStyle w:val="SingleTxt"/>
      </w:pPr>
      <w:r>
        <w:t>19.</w:t>
      </w:r>
      <w:r>
        <w:tab/>
        <w:t>D</w:t>
      </w:r>
      <w:r w:rsidR="00CE0D20">
        <w:t>’</w:t>
      </w:r>
      <w:r>
        <w:t xml:space="preserve">autre part, conformément au document intitulé </w:t>
      </w:r>
      <w:r w:rsidR="00D926D4">
        <w:t>« </w:t>
      </w:r>
      <w:r>
        <w:rPr>
          <w:i/>
          <w:iCs/>
        </w:rPr>
        <w:t>Un monde digne des enfants</w:t>
      </w:r>
      <w:r w:rsidR="00CE0D20">
        <w:rPr>
          <w:i/>
          <w:iCs/>
        </w:rPr>
        <w:t> »</w:t>
      </w:r>
      <w:r>
        <w:t>, et adopté lors de la 27</w:t>
      </w:r>
      <w:r w:rsidRPr="00C00402">
        <w:rPr>
          <w:vertAlign w:val="superscript"/>
        </w:rPr>
        <w:t>e</w:t>
      </w:r>
      <w:r>
        <w:t xml:space="preserve"> Session extraordinaire de l</w:t>
      </w:r>
      <w:r w:rsidR="00CE0D20">
        <w:t>’</w:t>
      </w:r>
      <w:r>
        <w:t>Assemblée générale des Nations Unies, en 2002, un programme national à moyen terme pour l</w:t>
      </w:r>
      <w:r w:rsidR="00CE0D20">
        <w:t>’</w:t>
      </w:r>
      <w:r>
        <w:t>amélioration de la situation des enfants et de la jeunesse est actuellement élaboré par le gouvernement slovène.</w:t>
      </w:r>
    </w:p>
    <w:p w:rsidR="00164199" w:rsidRDefault="00164199" w:rsidP="00D926D4">
      <w:pPr>
        <w:pStyle w:val="SingleTxt"/>
      </w:pPr>
      <w:r>
        <w:t>20.</w:t>
      </w:r>
      <w:r>
        <w:tab/>
        <w:t xml:space="preserve">Conformément aux conclusions de la Deuxième Assemblée mondiale sur le vieillissement, et au </w:t>
      </w:r>
      <w:r>
        <w:rPr>
          <w:i/>
          <w:iCs/>
        </w:rPr>
        <w:t>Plan d</w:t>
      </w:r>
      <w:r w:rsidR="00CE0D20">
        <w:rPr>
          <w:i/>
          <w:iCs/>
        </w:rPr>
        <w:t>’</w:t>
      </w:r>
      <w:r>
        <w:rPr>
          <w:i/>
          <w:iCs/>
        </w:rPr>
        <w:t>action international de Madrid sur le vieillissement</w:t>
      </w:r>
      <w:r>
        <w:t>, adopté en avril 2002, le ministère du Travail, de la Famille et des Affaires sociales a élaboré, au début de l</w:t>
      </w:r>
      <w:r w:rsidR="00CE0D20">
        <w:t>’</w:t>
      </w:r>
      <w:r>
        <w:t xml:space="preserve">année 2003, un document intitulé </w:t>
      </w:r>
      <w:r w:rsidR="00D926D4">
        <w:t>« </w:t>
      </w:r>
      <w:r>
        <w:rPr>
          <w:i/>
          <w:iCs/>
        </w:rPr>
        <w:t>Rapport sur la mise en œuvre, d</w:t>
      </w:r>
      <w:r w:rsidR="00CE0D20">
        <w:rPr>
          <w:i/>
          <w:iCs/>
        </w:rPr>
        <w:t>’</w:t>
      </w:r>
      <w:r>
        <w:rPr>
          <w:i/>
          <w:iCs/>
        </w:rPr>
        <w:t>ici à 2005, du programme de protection des personnes âgées en matière de sécurité sociale</w:t>
      </w:r>
      <w:r w:rsidR="00CE0D20">
        <w:rPr>
          <w:i/>
          <w:iCs/>
        </w:rPr>
        <w:t> »</w:t>
      </w:r>
      <w:r>
        <w:t>. L</w:t>
      </w:r>
      <w:r w:rsidR="00CE0D20">
        <w:t>’</w:t>
      </w:r>
      <w:r>
        <w:t xml:space="preserve">un des points clés de ce rapport consiste à dire que les politiques relatives au vieillissement démographique devraient être examinées dans une perspective de long terme et de développement social durable, et en prenant également en compte les initiatives et principes mondiaux adoptés lors de conférences et réunions internationales, ainsi que dans le cadre de sommets des Nations Unies. En 2005, le ministère du Travail, de la Famille et des Affaires sociales a élaboré un projet de </w:t>
      </w:r>
      <w:r>
        <w:rPr>
          <w:i/>
          <w:iCs/>
        </w:rPr>
        <w:t>Stratégie de protection des personnes âgées d</w:t>
      </w:r>
      <w:r w:rsidR="00CE0D20">
        <w:rPr>
          <w:i/>
          <w:iCs/>
        </w:rPr>
        <w:t>’</w:t>
      </w:r>
      <w:r>
        <w:rPr>
          <w:i/>
          <w:iCs/>
        </w:rPr>
        <w:t>ici à 2010</w:t>
      </w:r>
      <w:r>
        <w:t>, qui, par une politique globale et à long terme, vise à préparer le pays à la mutation démographique et à créer, pour les Slovènes les plus âgés, les conditions d</w:t>
      </w:r>
      <w:r w:rsidR="00CE0D20">
        <w:t>’</w:t>
      </w:r>
      <w:r>
        <w:t>une vie sûre, de bonne qualité et caractérisée par une cohésion sociale pleine et entière. Cette stratégie porte une attention toute particulière aux questions d</w:t>
      </w:r>
      <w:r w:rsidR="00CE0D20">
        <w:t>’</w:t>
      </w:r>
      <w:r>
        <w:t>égalité entre les sexes</w:t>
      </w:r>
      <w:r w:rsidR="00CE0D20">
        <w:t xml:space="preserve"> – </w:t>
      </w:r>
      <w:r>
        <w:t>notamment la participation des femmes âgées, et les décisions relatives à des questions majeures telles que les soins de santé, les possibilités d</w:t>
      </w:r>
      <w:r w:rsidR="00CE0D20">
        <w:t>’</w:t>
      </w:r>
      <w:r>
        <w:t>éducation et la prévention de la violence.</w:t>
      </w:r>
    </w:p>
    <w:p w:rsidR="00164199" w:rsidRDefault="00164199" w:rsidP="00D926D4">
      <w:pPr>
        <w:pStyle w:val="SingleTxt"/>
      </w:pPr>
      <w:r>
        <w:t>21.</w:t>
      </w:r>
      <w:r>
        <w:tab/>
        <w:t>Le texte supplémentaire attaché au Rapport sur l</w:t>
      </w:r>
      <w:r w:rsidR="00CE0D20">
        <w:t>’</w:t>
      </w:r>
      <w:r>
        <w:t>application, en Slovénie, des dispositions contenues dans les articles de la Convention présente la question de l</w:t>
      </w:r>
      <w:r w:rsidR="00CE0D20">
        <w:t>’</w:t>
      </w:r>
      <w:r>
        <w:t>intégration de la dimension égalitaire entre les hommes et les femmes à d</w:t>
      </w:r>
      <w:r w:rsidR="00CE0D20">
        <w:t>’</w:t>
      </w:r>
      <w:r>
        <w:t>autres mesures législatives et programmatiques.</w:t>
      </w:r>
    </w:p>
    <w:p w:rsidR="00D926D4" w:rsidRPr="00D926D4" w:rsidRDefault="00D926D4" w:rsidP="00D926D4">
      <w:pPr>
        <w:pStyle w:val="SingleTxt"/>
        <w:spacing w:after="0" w:line="120" w:lineRule="exact"/>
        <w:rPr>
          <w:sz w:val="10"/>
        </w:rPr>
      </w:pPr>
    </w:p>
    <w:p w:rsidR="00D926D4" w:rsidRPr="00D926D4" w:rsidRDefault="00D926D4" w:rsidP="00D926D4">
      <w:pPr>
        <w:pStyle w:val="SingleTxt"/>
        <w:spacing w:after="0" w:line="120" w:lineRule="exact"/>
        <w:rPr>
          <w:sz w:val="10"/>
        </w:rPr>
      </w:pPr>
    </w:p>
    <w:p w:rsidR="00164199" w:rsidRDefault="00D926D4" w:rsidP="00D926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Article 4</w:t>
      </w:r>
    </w:p>
    <w:p w:rsidR="00D926D4" w:rsidRPr="00D926D4" w:rsidRDefault="00D926D4" w:rsidP="00D926D4">
      <w:pPr>
        <w:pStyle w:val="SingleTxt"/>
        <w:spacing w:after="0" w:line="120" w:lineRule="exact"/>
        <w:rPr>
          <w:sz w:val="10"/>
        </w:rPr>
      </w:pPr>
    </w:p>
    <w:p w:rsidR="00D926D4" w:rsidRPr="00D926D4" w:rsidRDefault="00D926D4" w:rsidP="00D926D4">
      <w:pPr>
        <w:pStyle w:val="SingleTxt"/>
        <w:spacing w:after="0" w:line="120" w:lineRule="exact"/>
        <w:rPr>
          <w:sz w:val="10"/>
        </w:rPr>
      </w:pPr>
    </w:p>
    <w:p w:rsidR="00164199" w:rsidRDefault="00D926D4" w:rsidP="00D926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E</w:t>
      </w:r>
      <w:r>
        <w:t>ncouragement à la concrétisation d’une véritable égalité entre les sexes par des mesures temporaires spéciales</w:t>
      </w:r>
    </w:p>
    <w:p w:rsidR="00D926D4" w:rsidRPr="00D926D4" w:rsidRDefault="00D926D4" w:rsidP="00D926D4">
      <w:pPr>
        <w:pStyle w:val="SingleTxt"/>
        <w:spacing w:after="0" w:line="120" w:lineRule="exact"/>
        <w:rPr>
          <w:sz w:val="10"/>
        </w:rPr>
      </w:pPr>
    </w:p>
    <w:p w:rsidR="00164199" w:rsidRDefault="00164199" w:rsidP="00D926D4">
      <w:pPr>
        <w:pStyle w:val="SingleTxt"/>
      </w:pPr>
      <w:r w:rsidRPr="00576EF7">
        <w:t>22.</w:t>
      </w:r>
      <w:r>
        <w:tab/>
      </w:r>
      <w:r w:rsidRPr="00584584">
        <w:t>Comme nous l</w:t>
      </w:r>
      <w:r w:rsidR="00CE0D20">
        <w:t>’</w:t>
      </w:r>
      <w:r w:rsidRPr="00584584">
        <w:t>avons</w:t>
      </w:r>
      <w:r>
        <w:t xml:space="preserve"> déjà exposé dans le Troisième Rapport, les articles 7 et 8 de la </w:t>
      </w:r>
      <w:r>
        <w:rPr>
          <w:i/>
          <w:iCs/>
        </w:rPr>
        <w:t>Loi sur l</w:t>
      </w:r>
      <w:r w:rsidR="00CE0D20">
        <w:rPr>
          <w:i/>
          <w:iCs/>
        </w:rPr>
        <w:t>’</w:t>
      </w:r>
      <w:r>
        <w:rPr>
          <w:i/>
          <w:iCs/>
        </w:rPr>
        <w:t>égalité des chances des femmes et des hommes</w:t>
      </w:r>
      <w:r>
        <w:t xml:space="preserve"> ont constitué la base juridique de l</w:t>
      </w:r>
      <w:r w:rsidR="00CE0D20">
        <w:t>’</w:t>
      </w:r>
      <w:r>
        <w:t>adoption de mesures spéciales. Cette loi définit trois catégories de mesures spéciales :</w:t>
      </w:r>
    </w:p>
    <w:p w:rsidR="00164199" w:rsidRDefault="00D926D4" w:rsidP="00D926D4">
      <w:pPr>
        <w:pStyle w:val="SingleTxt"/>
      </w:pPr>
      <w:r>
        <w:t>–</w:t>
      </w:r>
      <w:r w:rsidR="00164199">
        <w:tab/>
        <w:t xml:space="preserve">Des mesures </w:t>
      </w:r>
      <w:r>
        <w:t>« </w:t>
      </w:r>
      <w:r w:rsidR="00164199">
        <w:t>positives</w:t>
      </w:r>
      <w:r w:rsidR="00CE0D20">
        <w:t> »</w:t>
      </w:r>
      <w:r w:rsidR="00164199">
        <w:t>, qui, dans le respect des critères fixés pour tous, accordent une priorité aux personnes appartenant au sexe sous-représenté ou subissant un statut inégalitaire en raison de leur sexe, dans certains secteurs de la vie sociale – notamment l</w:t>
      </w:r>
      <w:r w:rsidR="00CE0D20">
        <w:t>’</w:t>
      </w:r>
      <w:r w:rsidR="00164199">
        <w:t>éducation, l</w:t>
      </w:r>
      <w:r w:rsidR="00CE0D20">
        <w:t>’</w:t>
      </w:r>
      <w:r w:rsidR="00164199">
        <w:t>emploi, la vie professionnelle, les activités publiques ou politiques</w:t>
      </w:r>
      <w:r w:rsidR="00CE0D20">
        <w:t>;</w:t>
      </w:r>
      <w:r w:rsidR="00164199">
        <w:t xml:space="preserve"> ces mesures cessent de s</w:t>
      </w:r>
      <w:r w:rsidR="00CE0D20">
        <w:t>’</w:t>
      </w:r>
      <w:r w:rsidR="00164199">
        <w:t>appliquer une fois leur objectif atteint</w:t>
      </w:r>
      <w:r w:rsidR="00CE0D20">
        <w:t>;</w:t>
      </w:r>
      <w:r w:rsidR="00164199">
        <w:t xml:space="preserve"> elles sont mises en place à la suite de la définition de plans d</w:t>
      </w:r>
      <w:r w:rsidR="00CE0D20">
        <w:t>’</w:t>
      </w:r>
      <w:r w:rsidR="00164199">
        <w:t xml:space="preserve">action analysant et justifiant les raisons de telles mesures, leurs objectifs, leur lancement, et, </w:t>
      </w:r>
      <w:r w:rsidR="000460CB">
        <w:t>enfin, le</w:t>
      </w:r>
      <w:r w:rsidR="00164199">
        <w:t xml:space="preserve"> mode de contrôle et de suivi du processus de réalisation des objectifs en question</w:t>
      </w:r>
      <w:r w:rsidR="00CE0D20">
        <w:t>;</w:t>
      </w:r>
    </w:p>
    <w:p w:rsidR="00164199" w:rsidRDefault="00D926D4" w:rsidP="00D926D4">
      <w:pPr>
        <w:pStyle w:val="SingleTxt"/>
      </w:pPr>
      <w:r>
        <w:t>–</w:t>
      </w:r>
      <w:r w:rsidR="00164199">
        <w:tab/>
        <w:t xml:space="preserve">Des </w:t>
      </w:r>
      <w:r>
        <w:t>« </w:t>
      </w:r>
      <w:r w:rsidR="00164199">
        <w:t>mesures d</w:t>
      </w:r>
      <w:r w:rsidR="00CE0D20">
        <w:t>’</w:t>
      </w:r>
      <w:r w:rsidR="00164199">
        <w:t>encouragement</w:t>
      </w:r>
      <w:r w:rsidR="00CE0D20">
        <w:t> »</w:t>
      </w:r>
      <w:r w:rsidR="00164199">
        <w:t xml:space="preserve">, qui visent à apporter des avantages particuliers ou à mettre en place des </w:t>
      </w:r>
      <w:r>
        <w:t>« </w:t>
      </w:r>
      <w:r w:rsidR="00164199">
        <w:t>incitations</w:t>
      </w:r>
      <w:r w:rsidR="00CE0D20">
        <w:t> »</w:t>
      </w:r>
      <w:r w:rsidR="00164199">
        <w:t xml:space="preserve"> spéciales en vue de mettre un terme au système de représentation déséquilibrée des deux sexes, ou à tout statut inégal dû au sexe</w:t>
      </w:r>
      <w:r w:rsidR="00CE0D20">
        <w:t>;</w:t>
      </w:r>
      <w:r w:rsidR="00164199">
        <w:t xml:space="preserve"> ces mesures peuvent être mises en place dans le cadre de plans d</w:t>
      </w:r>
      <w:r w:rsidR="00CE0D20">
        <w:t>’</w:t>
      </w:r>
      <w:r w:rsidR="00164199">
        <w:t>application des programmes nationaux dans des secteurs donnés et de l</w:t>
      </w:r>
      <w:r w:rsidR="00CE0D20">
        <w:t>’</w:t>
      </w:r>
      <w:r w:rsidR="00164199">
        <w:t>action interne des autorités nationales et autres organes du secteur public, d</w:t>
      </w:r>
      <w:r w:rsidR="00CE0D20">
        <w:t>’</w:t>
      </w:r>
      <w:r w:rsidR="00164199">
        <w:t>acteurs économiques, de partis politiques, d</w:t>
      </w:r>
      <w:r w:rsidR="00CE0D20">
        <w:t>’</w:t>
      </w:r>
      <w:r w:rsidR="00164199">
        <w:t>organisations de la société civile et autres – les mesures en question étant alors définies par rapport à leur domaine d</w:t>
      </w:r>
      <w:r w:rsidR="00CE0D20">
        <w:t>’</w:t>
      </w:r>
      <w:r w:rsidR="00164199">
        <w:t>application</w:t>
      </w:r>
      <w:r w:rsidR="00CE0D20">
        <w:t>;</w:t>
      </w:r>
    </w:p>
    <w:p w:rsidR="00164199" w:rsidRDefault="00D926D4" w:rsidP="00D926D4">
      <w:pPr>
        <w:pStyle w:val="SingleTxt"/>
      </w:pPr>
      <w:r>
        <w:t>–</w:t>
      </w:r>
      <w:r w:rsidR="00164199">
        <w:tab/>
        <w:t xml:space="preserve">Des </w:t>
      </w:r>
      <w:r>
        <w:t>« </w:t>
      </w:r>
      <w:r w:rsidR="00164199">
        <w:t>mesures programmatiques</w:t>
      </w:r>
      <w:r w:rsidR="00CE0D20">
        <w:t> »</w:t>
      </w:r>
      <w:r w:rsidR="00164199">
        <w:t>, sous forme d</w:t>
      </w:r>
      <w:r w:rsidR="00CE0D20">
        <w:t>’</w:t>
      </w:r>
      <w:r w:rsidR="00164199">
        <w:t>activités de sensibilisation et de plans d</w:t>
      </w:r>
      <w:r w:rsidR="00CE0D20">
        <w:t>’</w:t>
      </w:r>
      <w:r w:rsidR="00164199">
        <w:t>action dans des secteurs précis de la promotion de l</w:t>
      </w:r>
      <w:r w:rsidR="00CE0D20">
        <w:t>’</w:t>
      </w:r>
      <w:r w:rsidR="00164199">
        <w:t xml:space="preserve">égalité entre les sexes – ces mesures pouvant être mises en place selon le même mode de fonctionnement que les </w:t>
      </w:r>
      <w:r>
        <w:t>« </w:t>
      </w:r>
      <w:r w:rsidR="00164199">
        <w:t>mesures d</w:t>
      </w:r>
      <w:r w:rsidR="00CE0D20">
        <w:t>’</w:t>
      </w:r>
      <w:r w:rsidR="00164199">
        <w:t>encouragement</w:t>
      </w:r>
      <w:r w:rsidR="00CE0D20">
        <w:t> »</w:t>
      </w:r>
      <w:r w:rsidR="00164199">
        <w:t>.</w:t>
      </w:r>
    </w:p>
    <w:p w:rsidR="00164199" w:rsidRDefault="00164199" w:rsidP="00D926D4">
      <w:pPr>
        <w:pStyle w:val="SingleTxt"/>
      </w:pPr>
      <w:r w:rsidRPr="00425427">
        <w:t>23.</w:t>
      </w:r>
      <w:r>
        <w:tab/>
        <w:t>Le fondement juridique de l</w:t>
      </w:r>
      <w:r w:rsidR="00CE0D20">
        <w:t>’</w:t>
      </w:r>
      <w:r>
        <w:t xml:space="preserve">adoption de mesures de </w:t>
      </w:r>
      <w:r w:rsidR="00D926D4">
        <w:t>« </w:t>
      </w:r>
      <w:r>
        <w:t>discrimination positive</w:t>
      </w:r>
      <w:r w:rsidR="00CE0D20">
        <w:t xml:space="preserve"> » – </w:t>
      </w:r>
      <w:r>
        <w:t>fondée sur d</w:t>
      </w:r>
      <w:r w:rsidR="00CE0D20">
        <w:t>’</w:t>
      </w:r>
      <w:r>
        <w:t xml:space="preserve">autres types de caractéristiques personnelles que le sexe – est également défini dans le cadre de la </w:t>
      </w:r>
      <w:r>
        <w:rPr>
          <w:i/>
          <w:iCs/>
        </w:rPr>
        <w:t>Loi sur la mise en œuvre du principe d</w:t>
      </w:r>
      <w:r w:rsidR="00CE0D20">
        <w:rPr>
          <w:i/>
          <w:iCs/>
        </w:rPr>
        <w:t>’</w:t>
      </w:r>
      <w:r>
        <w:rPr>
          <w:i/>
          <w:iCs/>
        </w:rPr>
        <w:t>égalité de traitement</w:t>
      </w:r>
      <w:r>
        <w:t>. Conformément à l</w:t>
      </w:r>
      <w:r w:rsidR="00CE0D20">
        <w:t>’</w:t>
      </w:r>
      <w:r>
        <w:t xml:space="preserve">article 6 de cette loi, les mesures dites </w:t>
      </w:r>
      <w:r w:rsidR="00D926D4">
        <w:t>« </w:t>
      </w:r>
      <w:r>
        <w:t>positives</w:t>
      </w:r>
      <w:r w:rsidR="00CE0D20">
        <w:t> »</w:t>
      </w:r>
      <w:r>
        <w:t xml:space="preserve"> sont des mesures provisoires, inscrites dans un texte législatif, et visant à prévenir toute position défavorisée de certaines personnes en raison de caractéristiques ou d</w:t>
      </w:r>
      <w:r w:rsidR="00CE0D20">
        <w:t>’</w:t>
      </w:r>
      <w:r>
        <w:t>attributs individuels</w:t>
      </w:r>
      <w:r w:rsidR="00CE0D20">
        <w:t>;</w:t>
      </w:r>
      <w:r>
        <w:t xml:space="preserve"> ces mesures peuvent également prendre la forme d</w:t>
      </w:r>
      <w:r w:rsidR="00CE0D20">
        <w:t>’</w:t>
      </w:r>
      <w:r>
        <w:t xml:space="preserve">une indemnisation, en vue de remédier à cette position moins favorable. </w:t>
      </w:r>
    </w:p>
    <w:p w:rsidR="00164199" w:rsidRDefault="00164199" w:rsidP="00D926D4">
      <w:pPr>
        <w:pStyle w:val="SingleTxt"/>
      </w:pPr>
      <w:r>
        <w:t>24.</w:t>
      </w:r>
      <w:r>
        <w:tab/>
        <w:t>Les troisième et quatrième paragraphes de l</w:t>
      </w:r>
      <w:r w:rsidR="00CE0D20">
        <w:t>’</w:t>
      </w:r>
      <w:r>
        <w:t xml:space="preserve">article 15 de la </w:t>
      </w:r>
      <w:r>
        <w:rPr>
          <w:i/>
          <w:iCs/>
        </w:rPr>
        <w:t>Loi sur l</w:t>
      </w:r>
      <w:r w:rsidR="00CE0D20">
        <w:rPr>
          <w:i/>
          <w:iCs/>
        </w:rPr>
        <w:t>’</w:t>
      </w:r>
      <w:r>
        <w:rPr>
          <w:i/>
          <w:iCs/>
        </w:rPr>
        <w:t>élection de députés slovènes au Parlement européen</w:t>
      </w:r>
      <w:r>
        <w:t xml:space="preserve"> stipulent que chacun des deux sexes doit être représenté au moins à hauteur de 40% sur les listes de candidats. On trouvera au paragraphe 9 du présent rapport le détail des dispositions définissant les modalités d</w:t>
      </w:r>
      <w:r w:rsidR="00CE0D20">
        <w:t>’</w:t>
      </w:r>
      <w:r>
        <w:t>application de cette mesure.</w:t>
      </w:r>
    </w:p>
    <w:p w:rsidR="00164199" w:rsidRDefault="00164199" w:rsidP="00D926D4">
      <w:pPr>
        <w:pStyle w:val="SingleTxt"/>
      </w:pPr>
      <w:r>
        <w:t>25.</w:t>
      </w:r>
      <w:r>
        <w:tab/>
        <w:t xml:space="preserve">Des </w:t>
      </w:r>
      <w:r w:rsidR="00D926D4">
        <w:t>« </w:t>
      </w:r>
      <w:r>
        <w:t>mesures spéciales</w:t>
      </w:r>
      <w:r w:rsidR="00CE0D20">
        <w:t> »</w:t>
      </w:r>
      <w:r>
        <w:t xml:space="preserve"> de même type ont également été intégrées au texte de la </w:t>
      </w:r>
      <w:r>
        <w:rPr>
          <w:i/>
          <w:iCs/>
        </w:rPr>
        <w:t>Loi sur les élections locales</w:t>
      </w:r>
      <w:r>
        <w:t xml:space="preserve"> (cf. le paragraphe 7).</w:t>
      </w:r>
    </w:p>
    <w:p w:rsidR="00164199" w:rsidRDefault="00164199" w:rsidP="00D926D4">
      <w:pPr>
        <w:pStyle w:val="SingleTxt"/>
      </w:pPr>
      <w:r>
        <w:t>26.</w:t>
      </w:r>
      <w:r>
        <w:tab/>
        <w:t>La représentation équilibrée en matière de nominations est régie par une mesure spéciale, également inscrite dans le Décret régissant les critères d</w:t>
      </w:r>
      <w:r w:rsidR="00CE0D20">
        <w:t>’</w:t>
      </w:r>
      <w:r>
        <w:t xml:space="preserve">application du principe de représentation équilibrée des hommes et des femmes (cf. le paragraphe 16). </w:t>
      </w:r>
    </w:p>
    <w:p w:rsidR="00164199" w:rsidRDefault="00164199" w:rsidP="00D926D4">
      <w:pPr>
        <w:pStyle w:val="SingleTxt"/>
      </w:pPr>
      <w:r>
        <w:t>27.</w:t>
      </w:r>
      <w:r>
        <w:tab/>
        <w:t>D</w:t>
      </w:r>
      <w:r w:rsidR="00CE0D20">
        <w:t>’</w:t>
      </w:r>
      <w:r>
        <w:t xml:space="preserve">autre part, plusieurs autres mesures, qui, du fait de leur nature ou de leur objectif, entrent dans la catégorie </w:t>
      </w:r>
      <w:r w:rsidR="00D926D4">
        <w:t>« </w:t>
      </w:r>
      <w:r>
        <w:t>mesures spéciales</w:t>
      </w:r>
      <w:r w:rsidR="00CE0D20">
        <w:t> »</w:t>
      </w:r>
      <w:r>
        <w:t>, sont également inscrites dans des textes programmatiques visant à promouvoir l</w:t>
      </w:r>
      <w:r w:rsidR="00CE0D20">
        <w:t>’</w:t>
      </w:r>
      <w:r>
        <w:t>emploi, à éliminer le chômage et à développer l</w:t>
      </w:r>
      <w:r w:rsidR="00CE0D20">
        <w:t>’</w:t>
      </w:r>
      <w:r>
        <w:t xml:space="preserve">insertion sociale. </w:t>
      </w:r>
    </w:p>
    <w:p w:rsidR="00D926D4" w:rsidRPr="00D926D4" w:rsidRDefault="00D926D4" w:rsidP="00D926D4">
      <w:pPr>
        <w:pStyle w:val="SingleTxt"/>
        <w:spacing w:after="0" w:line="120" w:lineRule="exact"/>
        <w:rPr>
          <w:sz w:val="10"/>
        </w:rPr>
      </w:pPr>
    </w:p>
    <w:p w:rsidR="00D926D4" w:rsidRPr="00D926D4" w:rsidRDefault="00D926D4" w:rsidP="00D926D4">
      <w:pPr>
        <w:pStyle w:val="SingleTxt"/>
        <w:spacing w:after="0" w:line="120" w:lineRule="exact"/>
        <w:rPr>
          <w:sz w:val="10"/>
        </w:rPr>
      </w:pPr>
    </w:p>
    <w:p w:rsidR="00164199" w:rsidRDefault="00D926D4" w:rsidP="00D926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rsidRPr="00425427">
        <w:t>Article 5</w:t>
      </w:r>
    </w:p>
    <w:p w:rsidR="00D926D4" w:rsidRPr="00D926D4" w:rsidRDefault="00D926D4" w:rsidP="00D926D4">
      <w:pPr>
        <w:pStyle w:val="SingleTxt"/>
        <w:spacing w:after="0" w:line="120" w:lineRule="exact"/>
        <w:rPr>
          <w:sz w:val="10"/>
        </w:rPr>
      </w:pPr>
    </w:p>
    <w:p w:rsidR="00D926D4" w:rsidRPr="00D926D4" w:rsidRDefault="00D926D4" w:rsidP="00D926D4">
      <w:pPr>
        <w:pStyle w:val="SingleTxt"/>
        <w:spacing w:after="0" w:line="120" w:lineRule="exact"/>
        <w:rPr>
          <w:sz w:val="10"/>
        </w:rPr>
      </w:pPr>
    </w:p>
    <w:p w:rsidR="00164199" w:rsidRDefault="00D926D4" w:rsidP="00D926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Élimination des préjugés et stéréotypes</w:t>
      </w:r>
    </w:p>
    <w:p w:rsidR="003158AC" w:rsidRPr="003158AC" w:rsidRDefault="003158AC" w:rsidP="003158AC">
      <w:pPr>
        <w:pStyle w:val="SingleTxt"/>
        <w:spacing w:after="0" w:line="120" w:lineRule="exact"/>
        <w:rPr>
          <w:sz w:val="10"/>
        </w:rPr>
      </w:pPr>
    </w:p>
    <w:p w:rsidR="00164199" w:rsidRDefault="003158AC" w:rsidP="00433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w:t>
      </w:r>
      <w:r w:rsidR="00CE0D20">
        <w:t>’</w:t>
      </w:r>
      <w:r w:rsidR="00164199">
        <w:t>éducation dans le sens de l</w:t>
      </w:r>
      <w:r w:rsidR="00CE0D20">
        <w:t>’</w:t>
      </w:r>
      <w:r w:rsidR="00164199">
        <w:t>égalité entre les sexes</w:t>
      </w:r>
    </w:p>
    <w:p w:rsidR="003158AC" w:rsidRPr="003158AC" w:rsidRDefault="003158AC" w:rsidP="003158AC">
      <w:pPr>
        <w:pStyle w:val="SingleTxt"/>
        <w:spacing w:after="0" w:line="120" w:lineRule="exact"/>
        <w:rPr>
          <w:sz w:val="10"/>
        </w:rPr>
      </w:pPr>
    </w:p>
    <w:p w:rsidR="00164199" w:rsidRDefault="00164199" w:rsidP="00D926D4">
      <w:pPr>
        <w:pStyle w:val="SingleTxt"/>
      </w:pPr>
      <w:r w:rsidRPr="00CC4975">
        <w:t>28.</w:t>
      </w:r>
      <w:r>
        <w:tab/>
        <w:t>L</w:t>
      </w:r>
      <w:r w:rsidR="00CE0D20">
        <w:t>’</w:t>
      </w:r>
      <w:r>
        <w:t>éducation dans le sens de l</w:t>
      </w:r>
      <w:r w:rsidR="00CE0D20">
        <w:t>’</w:t>
      </w:r>
      <w:r>
        <w:t xml:space="preserve">égalité entre les sexes constitue un objectif spécial du secteur éducatif – objectif défini dans le cadre de la </w:t>
      </w:r>
      <w:r>
        <w:rPr>
          <w:i/>
          <w:iCs/>
        </w:rPr>
        <w:t>Résolution sur le Programme national d</w:t>
      </w:r>
      <w:r w:rsidR="00CE0D20">
        <w:rPr>
          <w:i/>
          <w:iCs/>
        </w:rPr>
        <w:t>’</w:t>
      </w:r>
      <w:r>
        <w:rPr>
          <w:i/>
          <w:iCs/>
        </w:rPr>
        <w:t>égalité des chances des femmes et des hommes pour la période 2005-2013</w:t>
      </w:r>
      <w:r>
        <w:t>. Dans l</w:t>
      </w:r>
      <w:r w:rsidR="00CE0D20">
        <w:t>’</w:t>
      </w:r>
      <w:r>
        <w:t>enseignement primaire, il s</w:t>
      </w:r>
      <w:r w:rsidR="00CE0D20">
        <w:t>’</w:t>
      </w:r>
      <w:r>
        <w:t>agit d</w:t>
      </w:r>
      <w:r w:rsidR="00CE0D20">
        <w:t>’</w:t>
      </w:r>
      <w:r>
        <w:t>une matière facultative, qui fait partie d</w:t>
      </w:r>
      <w:r w:rsidR="00CE0D20">
        <w:t>’</w:t>
      </w:r>
      <w:r>
        <w:t xml:space="preserve">un ensemble intitulé </w:t>
      </w:r>
      <w:r w:rsidR="003158AC">
        <w:t>« </w:t>
      </w:r>
      <w:r>
        <w:t>Instruction civique</w:t>
      </w:r>
      <w:r w:rsidR="00CE0D20">
        <w:t> »;</w:t>
      </w:r>
      <w:r>
        <w:t xml:space="preserve"> mais, dans l</w:t>
      </w:r>
      <w:r w:rsidR="00CE0D20">
        <w:t>’</w:t>
      </w:r>
      <w:r>
        <w:t>enseignement secondaire, ce type d</w:t>
      </w:r>
      <w:r w:rsidR="00CE0D20">
        <w:t>’</w:t>
      </w:r>
      <w:r>
        <w:t>éducation est une matière obligatoire, dans un ensemble qui englobe l</w:t>
      </w:r>
      <w:r w:rsidR="00CE0D20">
        <w:t>’</w:t>
      </w:r>
      <w:r>
        <w:t>instruction civique, l</w:t>
      </w:r>
      <w:r w:rsidR="00CE0D20">
        <w:t>’</w:t>
      </w:r>
      <w:r>
        <w:t>éducation familiale, l</w:t>
      </w:r>
      <w:r w:rsidR="00CE0D20">
        <w:t>’</w:t>
      </w:r>
      <w:r>
        <w:t xml:space="preserve">initiation à la paix et à la non violence, la lutte contre la traite des êtres humains, etc. </w:t>
      </w:r>
    </w:p>
    <w:p w:rsidR="00164199" w:rsidRDefault="00164199" w:rsidP="00D926D4">
      <w:pPr>
        <w:pStyle w:val="SingleTxt"/>
      </w:pPr>
      <w:r>
        <w:t>29.</w:t>
      </w:r>
      <w:r>
        <w:tab/>
        <w:t>Différentes catégories de fonctionnaires sont initiées à ce principe de l</w:t>
      </w:r>
      <w:r w:rsidR="00CE0D20">
        <w:t>’</w:t>
      </w:r>
      <w:r>
        <w:t>égalité entre les sexes : c</w:t>
      </w:r>
      <w:r w:rsidR="00CE0D20">
        <w:t>’</w:t>
      </w:r>
      <w:r>
        <w:t>est le cas, notamment, du personnel judiciaire, qui reçoit cette formation dans le cadre d</w:t>
      </w:r>
      <w:r w:rsidR="00CE0D20">
        <w:t>’</w:t>
      </w:r>
      <w:r>
        <w:t>une formation plus globale aux droits de l</w:t>
      </w:r>
      <w:r w:rsidR="00CE0D20">
        <w:t>’</w:t>
      </w:r>
      <w:r>
        <w:t>homme. Le Centre de formation des Juristes – principal organe de formation des juges, des procureurs publics et généraux – organise fréquemment des cycles de formation et des séminaires portant notamment sur la protection des droits de la femme. Les membres d</w:t>
      </w:r>
      <w:r w:rsidR="00CE0D20">
        <w:t>’</w:t>
      </w:r>
      <w:r>
        <w:t>institutions judiciaires participent à des visites d</w:t>
      </w:r>
      <w:r w:rsidR="00CE0D20">
        <w:t>’</w:t>
      </w:r>
      <w:r>
        <w:t>étude à l</w:t>
      </w:r>
      <w:r w:rsidR="00CE0D20">
        <w:t>’</w:t>
      </w:r>
      <w:r>
        <w:t>étranger, organisées par des établissements d</w:t>
      </w:r>
      <w:r w:rsidR="00CE0D20">
        <w:t>’</w:t>
      </w:r>
      <w:r>
        <w:t>éducation et de formation de pays étrangers, et portant notamment sur les droits de l</w:t>
      </w:r>
      <w:r w:rsidR="00CE0D20">
        <w:t>’</w:t>
      </w:r>
      <w:r>
        <w:t>homme garantis par les instruments juridiques internationaux. Des programmes d</w:t>
      </w:r>
      <w:r w:rsidR="00CE0D20">
        <w:t>’</w:t>
      </w:r>
      <w:r>
        <w:t>éducation et de formation de même type existent également à l</w:t>
      </w:r>
      <w:r w:rsidR="00CE0D20">
        <w:t>’</w:t>
      </w:r>
      <w:r>
        <w:t xml:space="preserve">intention de la police, des personnels de santé et des travailleurs sociaux. </w:t>
      </w:r>
    </w:p>
    <w:p w:rsidR="00164199" w:rsidRDefault="00164199" w:rsidP="00D926D4">
      <w:pPr>
        <w:pStyle w:val="SingleTxt"/>
      </w:pPr>
      <w:r>
        <w:t>30.</w:t>
      </w:r>
      <w:r>
        <w:tab/>
        <w:t>Dans ce domaine de l</w:t>
      </w:r>
      <w:r w:rsidR="00CE0D20">
        <w:t>’</w:t>
      </w:r>
      <w:r>
        <w:t>éducation à l</w:t>
      </w:r>
      <w:r w:rsidR="00CE0D20">
        <w:t>’</w:t>
      </w:r>
      <w:r>
        <w:t>égalité entre les sexes, certaines organisations intergouvernementales sont également actives en Slovénie. Ainsi, le Centre d</w:t>
      </w:r>
      <w:r w:rsidR="00CE0D20">
        <w:t>’</w:t>
      </w:r>
      <w:r>
        <w:t>Information et de Documentation du Conseil de l</w:t>
      </w:r>
      <w:r w:rsidR="00CE0D20">
        <w:t>’</w:t>
      </w:r>
      <w:r>
        <w:t>Europe en Slovénie organise chaque année un concours, destiné à la jeunesse et visant à initier les jeunes Slovènes au domaine des droits de l</w:t>
      </w:r>
      <w:r w:rsidR="00CE0D20">
        <w:t>’</w:t>
      </w:r>
      <w:r>
        <w:t>homme. Au cours de l</w:t>
      </w:r>
      <w:r w:rsidR="00CE0D20">
        <w:t>’</w:t>
      </w:r>
      <w:r>
        <w:t xml:space="preserve">année scolaire 2004/2005, un concours a eu lieu sur le thème </w:t>
      </w:r>
      <w:r w:rsidR="003158AC">
        <w:t>« </w:t>
      </w:r>
      <w:r>
        <w:rPr>
          <w:i/>
          <w:iCs/>
        </w:rPr>
        <w:t>Je suis citoyen d</w:t>
      </w:r>
      <w:r w:rsidR="00CE0D20">
        <w:rPr>
          <w:i/>
          <w:iCs/>
        </w:rPr>
        <w:t>’</w:t>
      </w:r>
      <w:r>
        <w:rPr>
          <w:i/>
          <w:iCs/>
        </w:rPr>
        <w:t>une Europe en mutation</w:t>
      </w:r>
      <w:r w:rsidR="00CE0D20">
        <w:rPr>
          <w:i/>
          <w:iCs/>
        </w:rPr>
        <w:t> »</w:t>
      </w:r>
      <w:r w:rsidR="00CE0D20">
        <w:t xml:space="preserve"> – </w:t>
      </w:r>
      <w:r>
        <w:t>et cela portait notamment sur les questions d</w:t>
      </w:r>
      <w:r w:rsidR="00CE0D20">
        <w:t>’</w:t>
      </w:r>
      <w:r>
        <w:t>égalité entre les sexes.</w:t>
      </w:r>
    </w:p>
    <w:p w:rsidR="00164199" w:rsidRDefault="00164199" w:rsidP="00D926D4">
      <w:pPr>
        <w:pStyle w:val="SingleTxt"/>
      </w:pPr>
      <w:r>
        <w:t>31.</w:t>
      </w:r>
      <w:r>
        <w:tab/>
        <w:t xml:space="preserve">Par ailleurs, le Bureau pour </w:t>
      </w:r>
      <w:r w:rsidR="00B11001">
        <w:t>l’</w:t>
      </w:r>
      <w:r w:rsidR="00221C8A">
        <w:t>Égalité</w:t>
      </w:r>
      <w:r>
        <w:t xml:space="preserve"> des chances contribue à ce type d</w:t>
      </w:r>
      <w:r w:rsidR="00CE0D20">
        <w:t>’</w:t>
      </w:r>
      <w:r>
        <w:t xml:space="preserve">éducation sous différentes formes. Ainsi, il adresse à des </w:t>
      </w:r>
      <w:r w:rsidR="003158AC">
        <w:t>« </w:t>
      </w:r>
      <w:r>
        <w:t>groupes-cibles</w:t>
      </w:r>
      <w:r w:rsidR="00CE0D20">
        <w:t> »</w:t>
      </w:r>
      <w:r>
        <w:t xml:space="preserve"> et à toute personne intéressée divers types de documents rédigés par des organisations internationales, intergouvernementales et régionales</w:t>
      </w:r>
      <w:r w:rsidR="00CE0D20">
        <w:t>;</w:t>
      </w:r>
      <w:r>
        <w:t xml:space="preserve"> le Bureau publie également des traductions de documents internationaux et les envoie aux groupes et personnes intéressés</w:t>
      </w:r>
      <w:r w:rsidR="00CE0D20">
        <w:t>;</w:t>
      </w:r>
      <w:r>
        <w:t xml:space="preserve"> il soutient également le travail des étudiants, qui ont de plus en plus tendance à choisir un thème lié à la question de l</w:t>
      </w:r>
      <w:r w:rsidR="00CE0D20">
        <w:t>’</w:t>
      </w:r>
      <w:r>
        <w:t>égalité entre les sexes en tant que sujet de séminaire ou de thèse diplômante ou post-diplômante : en l</w:t>
      </w:r>
      <w:r w:rsidR="00CE0D20">
        <w:t>’</w:t>
      </w:r>
      <w:r>
        <w:t>occurrence, le Bureau pour l</w:t>
      </w:r>
      <w:r w:rsidR="00CE0D20">
        <w:t>’</w:t>
      </w:r>
      <w:r w:rsidR="003158AC">
        <w:t>É</w:t>
      </w:r>
      <w:r>
        <w:t>galité des chances fournit à ces étudiants tout un ensemble de documents et de littérature pertinents, mais leur transmet également le savoir et l</w:t>
      </w:r>
      <w:r w:rsidR="00CE0D20">
        <w:t>’</w:t>
      </w:r>
      <w:r>
        <w:t>expérience de son personnel.</w:t>
      </w:r>
      <w:r w:rsidR="00BA4F2E">
        <w:t xml:space="preserve"> </w:t>
      </w:r>
      <w:r>
        <w:t>En outre, le Bureau pour l</w:t>
      </w:r>
      <w:r w:rsidR="00CE0D20">
        <w:t>’</w:t>
      </w:r>
      <w:r w:rsidR="003158AC">
        <w:t>É</w:t>
      </w:r>
      <w:r>
        <w:t xml:space="preserve">galité des chances élabore et édite un certain nombre de publications. Ainsi, il a publié un manuel et un dépliant intitulés </w:t>
      </w:r>
      <w:r w:rsidR="003158AC">
        <w:t>« </w:t>
      </w:r>
      <w:r>
        <w:rPr>
          <w:i/>
          <w:iCs/>
        </w:rPr>
        <w:t>L</w:t>
      </w:r>
      <w:r w:rsidR="00CE0D20">
        <w:rPr>
          <w:i/>
          <w:iCs/>
        </w:rPr>
        <w:t>’</w:t>
      </w:r>
      <w:r>
        <w:rPr>
          <w:i/>
          <w:iCs/>
        </w:rPr>
        <w:t>Avocat de l</w:t>
      </w:r>
      <w:r w:rsidR="00CE0D20">
        <w:rPr>
          <w:i/>
          <w:iCs/>
        </w:rPr>
        <w:t>’</w:t>
      </w:r>
      <w:r>
        <w:rPr>
          <w:i/>
          <w:iCs/>
        </w:rPr>
        <w:t>égalité des chances des femmes et des hommes</w:t>
      </w:r>
      <w:r w:rsidR="00CE0D20">
        <w:rPr>
          <w:i/>
          <w:iCs/>
        </w:rPr>
        <w:t> »</w:t>
      </w:r>
      <w:r>
        <w:t xml:space="preserve">, un manuel intitulé </w:t>
      </w:r>
      <w:r w:rsidR="00A838F9">
        <w:t>« </w:t>
      </w:r>
      <w:r>
        <w:rPr>
          <w:i/>
          <w:iCs/>
        </w:rPr>
        <w:t>Mesures spéciales visant à garantir l</w:t>
      </w:r>
      <w:r w:rsidR="00CE0D20">
        <w:rPr>
          <w:i/>
          <w:iCs/>
        </w:rPr>
        <w:t>’</w:t>
      </w:r>
      <w:r>
        <w:rPr>
          <w:i/>
          <w:iCs/>
        </w:rPr>
        <w:t>égalité des chances des femmes et des hommes</w:t>
      </w:r>
      <w:r w:rsidR="00CE0D20">
        <w:rPr>
          <w:i/>
          <w:iCs/>
        </w:rPr>
        <w:t> »</w:t>
      </w:r>
      <w:r>
        <w:t>, des brochures intitulées</w:t>
      </w:r>
      <w:r w:rsidR="00A838F9">
        <w:t> »</w:t>
      </w:r>
      <w:r w:rsidR="003158AC">
        <w:rPr>
          <w:i/>
          <w:iCs/>
        </w:rPr>
        <w:t xml:space="preserve"> </w:t>
      </w:r>
      <w:r w:rsidR="00A838F9">
        <w:rPr>
          <w:i/>
          <w:iCs/>
        </w:rPr>
        <w:t>« </w:t>
      </w:r>
      <w:r>
        <w:rPr>
          <w:i/>
          <w:iCs/>
        </w:rPr>
        <w:t>M</w:t>
      </w:r>
      <w:r w:rsidRPr="00A838F9">
        <w:rPr>
          <w:i/>
          <w:iCs/>
        </w:rPr>
        <w:t>es</w:t>
      </w:r>
      <w:r w:rsidR="00CE0D20">
        <w:rPr>
          <w:i/>
          <w:iCs/>
          <w:vertAlign w:val="superscript"/>
        </w:rPr>
        <w:t> </w:t>
      </w:r>
      <w:r>
        <w:rPr>
          <w:i/>
          <w:iCs/>
        </w:rPr>
        <w:t>droits</w:t>
      </w:r>
      <w:r w:rsidR="00CE0D20">
        <w:rPr>
          <w:i/>
          <w:iCs/>
        </w:rPr>
        <w:t> »</w:t>
      </w:r>
      <w:r>
        <w:t xml:space="preserve"> et </w:t>
      </w:r>
      <w:r w:rsidR="00A838F9">
        <w:t>« </w:t>
      </w:r>
      <w:r>
        <w:rPr>
          <w:i/>
          <w:iCs/>
        </w:rPr>
        <w:t>La non discrimination</w:t>
      </w:r>
      <w:r w:rsidR="00CE0D20">
        <w:rPr>
          <w:i/>
          <w:iCs/>
        </w:rPr>
        <w:t> »</w:t>
      </w:r>
      <w:r>
        <w:t xml:space="preserve">, ou encore un dépliant intitulé </w:t>
      </w:r>
      <w:r w:rsidR="00A838F9">
        <w:t>« </w:t>
      </w:r>
      <w:r>
        <w:rPr>
          <w:i/>
          <w:iCs/>
        </w:rPr>
        <w:t>Le harcèlement sexuel sur le lieu de travail</w:t>
      </w:r>
      <w:r w:rsidR="00CE0D20">
        <w:rPr>
          <w:i/>
          <w:iCs/>
        </w:rPr>
        <w:t> »</w:t>
      </w:r>
      <w:r>
        <w:t>. A l</w:t>
      </w:r>
      <w:r w:rsidR="00CE0D20">
        <w:t>’</w:t>
      </w:r>
      <w:r>
        <w:t>heure actuelle, le Bureau pour l</w:t>
      </w:r>
      <w:r w:rsidR="00CE0D20">
        <w:t>’</w:t>
      </w:r>
      <w:r>
        <w:t>égalité des chances met un point final à la publication d</w:t>
      </w:r>
      <w:r w:rsidR="00CE0D20">
        <w:t>’</w:t>
      </w:r>
      <w:r>
        <w:t>un manuel sur l</w:t>
      </w:r>
      <w:r w:rsidR="00CE0D20">
        <w:t>’</w:t>
      </w:r>
      <w:r>
        <w:t xml:space="preserve">intégration de la dimension </w:t>
      </w:r>
      <w:r w:rsidR="004330E9">
        <w:t>« </w:t>
      </w:r>
      <w:r>
        <w:t>égalité hommes/femmes</w:t>
      </w:r>
      <w:r w:rsidR="00CE0D20">
        <w:t> »</w:t>
      </w:r>
      <w:r>
        <w:t xml:space="preserve"> à tous les secteurs. Enfin, dans le cadre du cofinancement d</w:t>
      </w:r>
      <w:r w:rsidR="00CE0D20">
        <w:t>’</w:t>
      </w:r>
      <w:r>
        <w:t>ouvrages visant à la promotion de l</w:t>
      </w:r>
      <w:r w:rsidR="00CE0D20">
        <w:t>’</w:t>
      </w:r>
      <w:r>
        <w:t xml:space="preserve">égalité entre les sexes, le Bureau pour </w:t>
      </w:r>
      <w:r w:rsidR="00221C8A">
        <w:t>Égalité</w:t>
      </w:r>
      <w:r>
        <w:t xml:space="preserve"> des chances a facilité la publication d</w:t>
      </w:r>
      <w:r w:rsidR="00CE0D20">
        <w:t>’</w:t>
      </w:r>
      <w:r>
        <w:t>un livre sur la discrimination positive, d</w:t>
      </w:r>
      <w:r w:rsidR="00CE0D20">
        <w:t>’</w:t>
      </w:r>
      <w:r>
        <w:t>un manuel destiné aux médias et portant sur l</w:t>
      </w:r>
      <w:r w:rsidR="00CE0D20">
        <w:t>’</w:t>
      </w:r>
      <w:r>
        <w:t>application du principe d</w:t>
      </w:r>
      <w:r w:rsidR="00CE0D20">
        <w:t>’</w:t>
      </w:r>
      <w:r>
        <w:t>égalité des chances des femmes et des hommes, et d</w:t>
      </w:r>
      <w:r w:rsidR="00CE0D20">
        <w:t>’</w:t>
      </w:r>
      <w:r>
        <w:t>un autre manuel, traitant de l</w:t>
      </w:r>
      <w:r w:rsidR="00CE0D20">
        <w:t>’</w:t>
      </w:r>
      <w:r>
        <w:t>aide psychologique et sociale à apporter aux femmes et aux enfants exposés à la violence.</w:t>
      </w:r>
    </w:p>
    <w:p w:rsidR="00164199" w:rsidRDefault="00164199" w:rsidP="00D926D4">
      <w:pPr>
        <w:pStyle w:val="SingleTxt"/>
      </w:pPr>
      <w:r>
        <w:t>32.</w:t>
      </w:r>
      <w:r>
        <w:tab/>
        <w:t xml:space="preserve">En 2004, la Commission pour la promotion des femmes dans le domaine des Sciences (cf. le Chapitre </w:t>
      </w:r>
      <w:r w:rsidR="003158AC">
        <w:t>« </w:t>
      </w:r>
      <w:r>
        <w:t>Informations générales</w:t>
      </w:r>
      <w:r w:rsidR="00CE0D20">
        <w:t> »</w:t>
      </w:r>
      <w:r>
        <w:t xml:space="preserve">, (c), intitulé </w:t>
      </w:r>
      <w:r w:rsidR="003158AC">
        <w:t>« </w:t>
      </w:r>
      <w:r>
        <w:t>Mécanismes institutionnels pour l</w:t>
      </w:r>
      <w:r w:rsidR="00CE0D20">
        <w:t>’</w:t>
      </w:r>
      <w:r>
        <w:t>égalité entre les sexes</w:t>
      </w:r>
      <w:r w:rsidR="00CE0D20">
        <w:t> »</w:t>
      </w:r>
      <w:r>
        <w:t>) a géré deux ateliers d</w:t>
      </w:r>
      <w:r w:rsidR="00CE0D20">
        <w:t>’</w:t>
      </w:r>
      <w:r>
        <w:t xml:space="preserve">information intitulés </w:t>
      </w:r>
      <w:r w:rsidR="003158AC">
        <w:t>« </w:t>
      </w:r>
      <w:r>
        <w:rPr>
          <w:i/>
          <w:iCs/>
        </w:rPr>
        <w:t>L</w:t>
      </w:r>
      <w:r w:rsidR="00CE0D20">
        <w:rPr>
          <w:i/>
          <w:iCs/>
        </w:rPr>
        <w:t>’</w:t>
      </w:r>
      <w:r>
        <w:rPr>
          <w:i/>
          <w:iCs/>
        </w:rPr>
        <w:t>égalité des chances des femmes et des hommes à l</w:t>
      </w:r>
      <w:r w:rsidR="00CE0D20">
        <w:rPr>
          <w:i/>
          <w:iCs/>
        </w:rPr>
        <w:t>’</w:t>
      </w:r>
      <w:r>
        <w:rPr>
          <w:i/>
          <w:iCs/>
        </w:rPr>
        <w:t>université</w:t>
      </w:r>
      <w:r w:rsidR="00CE0D20">
        <w:rPr>
          <w:i/>
          <w:iCs/>
        </w:rPr>
        <w:t> »</w:t>
      </w:r>
      <w:r>
        <w:t>, et organisés dans les trois universités slovènes. Ces ateliers visaient à informer l</w:t>
      </w:r>
      <w:r w:rsidR="00CE0D20">
        <w:t>’</w:t>
      </w:r>
      <w:r>
        <w:t>ensemble du personnel universitaire des problèmes concrets de discrimination fondée sur le sexe dans les secteurs de la science et de la recherche, en Slovénie et en Europe en général</w:t>
      </w:r>
      <w:r w:rsidR="00CE0D20">
        <w:t>;</w:t>
      </w:r>
      <w:r>
        <w:t xml:space="preserve"> les ateliers en question avaient également pour but de faire connaître les activités de la Commission pour la promotion des femmes dans le domaine scientifique. </w:t>
      </w:r>
    </w:p>
    <w:p w:rsidR="00164199" w:rsidRDefault="00164199" w:rsidP="00D926D4">
      <w:pPr>
        <w:pStyle w:val="SingleTxt"/>
      </w:pPr>
      <w:r>
        <w:t>33.</w:t>
      </w:r>
      <w:r>
        <w:tab/>
        <w:t>Les organisations non gouvernementales jouent également un rôle important en matière d</w:t>
      </w:r>
      <w:r w:rsidR="00CE0D20">
        <w:t>’</w:t>
      </w:r>
      <w:r>
        <w:t>éducation dans le sens de l</w:t>
      </w:r>
      <w:r w:rsidR="00CE0D20">
        <w:t>’</w:t>
      </w:r>
      <w:r>
        <w:t>égalité entre les sexes. Outre leur participation à la mise en œuvre de programmes d</w:t>
      </w:r>
      <w:r w:rsidR="00CE0D20">
        <w:t>’</w:t>
      </w:r>
      <w:r>
        <w:t>éducation et de formation destinés à différentes catégories d</w:t>
      </w:r>
      <w:r w:rsidR="00CE0D20">
        <w:t>’</w:t>
      </w:r>
      <w:r>
        <w:t xml:space="preserve">employés du secteur public, ces ONG publient des documents, tels que </w:t>
      </w:r>
      <w:r w:rsidR="003158AC">
        <w:t>« </w:t>
      </w:r>
      <w:r>
        <w:rPr>
          <w:i/>
          <w:iCs/>
        </w:rPr>
        <w:t>COMPAS : Manuel des droits de l</w:t>
      </w:r>
      <w:r w:rsidR="00CE0D20">
        <w:rPr>
          <w:i/>
          <w:iCs/>
        </w:rPr>
        <w:t>’</w:t>
      </w:r>
      <w:r>
        <w:rPr>
          <w:i/>
          <w:iCs/>
        </w:rPr>
        <w:t>homme destiné aux jeunes</w:t>
      </w:r>
      <w:r w:rsidR="00CE0D20">
        <w:rPr>
          <w:i/>
          <w:iCs/>
        </w:rPr>
        <w:t> »</w:t>
      </w:r>
      <w:r>
        <w:t xml:space="preserve">, un manuel intitulé </w:t>
      </w:r>
      <w:r w:rsidR="003158AC">
        <w:t>« </w:t>
      </w:r>
      <w:r>
        <w:rPr>
          <w:i/>
          <w:iCs/>
        </w:rPr>
        <w:t>Les droits de la femme en tant qu</w:t>
      </w:r>
      <w:r w:rsidR="00CE0D20">
        <w:rPr>
          <w:i/>
          <w:iCs/>
        </w:rPr>
        <w:t>’</w:t>
      </w:r>
      <w:r>
        <w:rPr>
          <w:i/>
          <w:iCs/>
        </w:rPr>
        <w:t>être humain : exposés et documents introductifs</w:t>
      </w:r>
      <w:r w:rsidR="00CE0D20">
        <w:rPr>
          <w:i/>
          <w:iCs/>
        </w:rPr>
        <w:t> »</w:t>
      </w:r>
      <w:r>
        <w:t xml:space="preserve">, une publication en langue anglaise intitulée </w:t>
      </w:r>
      <w:r w:rsidR="003158AC">
        <w:rPr>
          <w:i/>
          <w:iCs/>
        </w:rPr>
        <w:t xml:space="preserve">“ </w:t>
      </w:r>
      <w:r>
        <w:rPr>
          <w:i/>
          <w:iCs/>
        </w:rPr>
        <w:t>Women in trafficking, Where in the puzzle : Trafficking in human beings in Slovenia, from Slovenia and through Slovenia</w:t>
      </w:r>
      <w:r w:rsidR="00CE0D20">
        <w:rPr>
          <w:i/>
          <w:iCs/>
        </w:rPr>
        <w:t> »</w:t>
      </w:r>
      <w:r>
        <w:rPr>
          <w:i/>
          <w:iCs/>
        </w:rPr>
        <w:t xml:space="preserve"> (</w:t>
      </w:r>
      <w:r w:rsidR="003158AC">
        <w:rPr>
          <w:i/>
          <w:iCs/>
        </w:rPr>
        <w:t xml:space="preserve">“ </w:t>
      </w:r>
      <w:r>
        <w:rPr>
          <w:i/>
          <w:iCs/>
        </w:rPr>
        <w:t>Les femmes et la traite des êtres humains : où se situent-elles dans ce trafic qui a lieu en Slovénie, à partir de la Slovénie, ou qui transite par la Slovénie</w:t>
      </w:r>
      <w:r w:rsidR="00CE0D20">
        <w:rPr>
          <w:i/>
          <w:iCs/>
        </w:rPr>
        <w:t>? »</w:t>
      </w:r>
      <w:r>
        <w:rPr>
          <w:i/>
          <w:iCs/>
        </w:rPr>
        <w:t>)</w:t>
      </w:r>
      <w:r w:rsidR="00CE0D20">
        <w:t xml:space="preserve"> – </w:t>
      </w:r>
      <w:r>
        <w:t xml:space="preserve">entre autres textes. </w:t>
      </w:r>
    </w:p>
    <w:p w:rsidR="00164199" w:rsidRDefault="00164199" w:rsidP="00D926D4">
      <w:pPr>
        <w:pStyle w:val="SingleTxt"/>
      </w:pPr>
      <w:r>
        <w:t>34.</w:t>
      </w:r>
      <w:r>
        <w:tab/>
        <w:t>Dans le cadre de l</w:t>
      </w:r>
      <w:r w:rsidR="00CE0D20">
        <w:t>’</w:t>
      </w:r>
      <w:r>
        <w:t>Année européenne des personnes handicapées (2003), la Faculté d</w:t>
      </w:r>
      <w:r w:rsidR="00CE0D20">
        <w:t>’</w:t>
      </w:r>
      <w:r>
        <w:t xml:space="preserve">Assistance sociale de Ljubljana a organisé une conférence intitulée </w:t>
      </w:r>
      <w:r w:rsidR="004330E9">
        <w:t>« </w:t>
      </w:r>
      <w:r>
        <w:rPr>
          <w:i/>
          <w:iCs/>
        </w:rPr>
        <w:t>Si belle... et handicapée</w:t>
      </w:r>
      <w:r w:rsidR="00CE0D20">
        <w:rPr>
          <w:i/>
          <w:iCs/>
        </w:rPr>
        <w:t>!</w:t>
      </w:r>
      <w:r>
        <w:rPr>
          <w:i/>
          <w:iCs/>
        </w:rPr>
        <w:t xml:space="preserve"> – Le travail social contre la discrimination à l</w:t>
      </w:r>
      <w:r w:rsidR="00CE0D20">
        <w:rPr>
          <w:i/>
          <w:iCs/>
        </w:rPr>
        <w:t>’</w:t>
      </w:r>
      <w:r>
        <w:rPr>
          <w:i/>
          <w:iCs/>
        </w:rPr>
        <w:t>égard des femmes handicapées</w:t>
      </w:r>
      <w:r w:rsidR="00CE0D20">
        <w:rPr>
          <w:i/>
          <w:iCs/>
        </w:rPr>
        <w:t> »</w:t>
      </w:r>
      <w:r>
        <w:t>, et qui visait à attirer l</w:t>
      </w:r>
      <w:r w:rsidR="00CE0D20">
        <w:t>’</w:t>
      </w:r>
      <w:r>
        <w:t xml:space="preserve">attention sur les obstacles, les préjugés et la discrimination que connaissent les femmes handicapées, dans leur vie quotidienne. </w:t>
      </w:r>
    </w:p>
    <w:p w:rsidR="003158AC" w:rsidRPr="003158AC" w:rsidRDefault="003158AC" w:rsidP="003158AC">
      <w:pPr>
        <w:pStyle w:val="SingleTxt"/>
        <w:spacing w:after="0" w:line="120" w:lineRule="exact"/>
        <w:rPr>
          <w:sz w:val="10"/>
        </w:rPr>
      </w:pPr>
    </w:p>
    <w:p w:rsidR="00164199" w:rsidRDefault="003158AC" w:rsidP="00433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La famille</w:t>
      </w:r>
    </w:p>
    <w:p w:rsidR="003158AC" w:rsidRPr="003158AC" w:rsidRDefault="003158AC" w:rsidP="003158AC">
      <w:pPr>
        <w:pStyle w:val="SingleTxt"/>
        <w:spacing w:after="0" w:line="120" w:lineRule="exact"/>
        <w:rPr>
          <w:sz w:val="10"/>
        </w:rPr>
      </w:pPr>
    </w:p>
    <w:p w:rsidR="00164199" w:rsidRDefault="00164199" w:rsidP="00D926D4">
      <w:pPr>
        <w:pStyle w:val="SingleTxt"/>
      </w:pPr>
      <w:r w:rsidRPr="00C36A34">
        <w:t>35.</w:t>
      </w:r>
      <w:r>
        <w:tab/>
        <w:t>L</w:t>
      </w:r>
      <w:r w:rsidR="00CE0D20">
        <w:t>’</w:t>
      </w:r>
      <w:r>
        <w:t>étude effectuée par Eurostat en 2004</w:t>
      </w:r>
      <w:r w:rsidRPr="006A4785">
        <w:rPr>
          <w:rStyle w:val="FootnoteReference"/>
        </w:rPr>
        <w:footnoteReference w:customMarkFollows="1" w:id="10"/>
        <w:t>10</w:t>
      </w:r>
      <w:r>
        <w:t xml:space="preserve"> a montré que la séparation traditionnelle des rôles respectifs des hommes et des femmes subsistait en Slovénie. Les données concernant le temps que les hommes et les femmes slovènes consacrent à une activité rémunérée ou à l</w:t>
      </w:r>
      <w:r w:rsidR="00CE0D20">
        <w:t>’</w:t>
      </w:r>
      <w:r>
        <w:t>étude, d</w:t>
      </w:r>
      <w:r w:rsidR="00CE0D20">
        <w:t>’</w:t>
      </w:r>
      <w:r>
        <w:t>une part</w:t>
      </w:r>
      <w:r w:rsidRPr="006A4785">
        <w:rPr>
          <w:rStyle w:val="FootnoteReference"/>
        </w:rPr>
        <w:footnoteReference w:customMarkFollows="1" w:id="11"/>
        <w:t>11</w:t>
      </w:r>
      <w:r>
        <w:t xml:space="preserve"> (pour les femmes 4</w:t>
      </w:r>
      <w:r w:rsidR="003158AC">
        <w:t xml:space="preserve"> </w:t>
      </w:r>
      <w:r>
        <w:t>h 23, et pour les hommes, 5</w:t>
      </w:r>
      <w:r w:rsidR="003158AC">
        <w:t xml:space="preserve"> </w:t>
      </w:r>
      <w:r>
        <w:t xml:space="preserve">h 25), et aux </w:t>
      </w:r>
      <w:r w:rsidR="004330E9">
        <w:t>« </w:t>
      </w:r>
      <w:r>
        <w:t>travaux domestiques</w:t>
      </w:r>
      <w:r w:rsidR="00CE0D20">
        <w:t> »</w:t>
      </w:r>
      <w:r>
        <w:t>, d</w:t>
      </w:r>
      <w:r w:rsidR="00CE0D20">
        <w:t>’</w:t>
      </w:r>
      <w:r>
        <w:t>autre part</w:t>
      </w:r>
      <w:r w:rsidRPr="006A4785">
        <w:rPr>
          <w:rStyle w:val="FootnoteReference"/>
        </w:rPr>
        <w:footnoteReference w:customMarkFollows="1" w:id="12"/>
        <w:t>12</w:t>
      </w:r>
      <w:r>
        <w:t xml:space="preserve"> (femmes : 4</w:t>
      </w:r>
      <w:r w:rsidR="003158AC">
        <w:t> </w:t>
      </w:r>
      <w:r>
        <w:t>h</w:t>
      </w:r>
      <w:r w:rsidR="003158AC">
        <w:t> </w:t>
      </w:r>
      <w:r>
        <w:t>24</w:t>
      </w:r>
      <w:r w:rsidR="00CE0D20">
        <w:t>;</w:t>
      </w:r>
      <w:r>
        <w:t xml:space="preserve"> hommes : 2</w:t>
      </w:r>
      <w:r w:rsidR="003158AC">
        <w:t xml:space="preserve"> </w:t>
      </w:r>
      <w:r>
        <w:t>h 09), indiquent qu</w:t>
      </w:r>
      <w:r w:rsidR="00CE0D20">
        <w:t>’</w:t>
      </w:r>
      <w:r>
        <w:t>une inégalité subsiste entre les deux époux ou concubins en termes de répartition des tâches familiales, et que c</w:t>
      </w:r>
      <w:r w:rsidR="00CE0D20">
        <w:t>’</w:t>
      </w:r>
      <w:r>
        <w:t>est principalement la femme qui en est victime. Cette étude montre que ce sont essentiellement les femmes qui font la cuisine, le ménage, la lessive, les courses et qui s</w:t>
      </w:r>
      <w:r w:rsidR="00CE0D20">
        <w:t>’</w:t>
      </w:r>
      <w:r>
        <w:t>occupent des enfants, des personnes âgées et des membres de la famille atteints d</w:t>
      </w:r>
      <w:r w:rsidR="00CE0D20">
        <w:t>’</w:t>
      </w:r>
      <w:r>
        <w:t>une maladie. De leur côté, les hommes effectuent la majeure partie des travaux de bricolage ou de réparation dans la maison</w:t>
      </w:r>
      <w:r w:rsidR="00CE0D20">
        <w:t>;</w:t>
      </w:r>
      <w:r>
        <w:t xml:space="preserve"> en revanche, le jardinage est plus ou moins équitablement partagé par les hommes et les femmes. Par rapport aux pères, les mères consacrent davantage de temps à leurs enfants (dans le cas d</w:t>
      </w:r>
      <w:r w:rsidR="00CE0D20">
        <w:t>’</w:t>
      </w:r>
      <w:r>
        <w:t>enfants de moins de 6 ans, les chiffres sont de 2h 23 pour les femmes et de 0h 56 pour les hommes</w:t>
      </w:r>
      <w:r w:rsidR="00CE0D20">
        <w:t>;</w:t>
      </w:r>
      <w:r>
        <w:t xml:space="preserve"> et, pour les enfants de moins de 9 ans, 6h 09 dans le cas des femmes et 4h 07 pour les hommes). Par ailleurs, les hommes profitent davantage de leurs loisirs que les femmes (respectivement 4h 37 et 3h 51).</w:t>
      </w:r>
    </w:p>
    <w:p w:rsidR="003158AC" w:rsidRPr="003158AC" w:rsidRDefault="003158AC" w:rsidP="003158AC">
      <w:pPr>
        <w:pStyle w:val="SingleTxt"/>
        <w:spacing w:after="0" w:line="120" w:lineRule="exact"/>
        <w:rPr>
          <w:sz w:val="10"/>
        </w:rPr>
      </w:pPr>
    </w:p>
    <w:p w:rsidR="00164199" w:rsidRDefault="003158AC" w:rsidP="00433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Les offres d</w:t>
      </w:r>
      <w:r w:rsidR="00CE0D20">
        <w:t>’</w:t>
      </w:r>
      <w:r w:rsidR="00164199">
        <w:t>emploi</w:t>
      </w:r>
    </w:p>
    <w:p w:rsidR="003158AC" w:rsidRPr="003158AC" w:rsidRDefault="003158AC" w:rsidP="003158AC">
      <w:pPr>
        <w:pStyle w:val="SingleTxt"/>
        <w:spacing w:after="0" w:line="120" w:lineRule="exact"/>
        <w:rPr>
          <w:sz w:val="10"/>
        </w:rPr>
      </w:pPr>
    </w:p>
    <w:p w:rsidR="00164199" w:rsidRDefault="00164199" w:rsidP="00D926D4">
      <w:pPr>
        <w:pStyle w:val="SingleTxt"/>
      </w:pPr>
      <w:r w:rsidRPr="00A907C4">
        <w:t>36.</w:t>
      </w:r>
      <w:r>
        <w:tab/>
        <w:t>La disposition contenue dans l</w:t>
      </w:r>
      <w:r w:rsidR="00CE0D20">
        <w:t>’</w:t>
      </w:r>
      <w:r>
        <w:t xml:space="preserve">article 25 de la </w:t>
      </w:r>
      <w:r>
        <w:rPr>
          <w:i/>
          <w:iCs/>
        </w:rPr>
        <w:t>Loi sur les relations professionnelles</w:t>
      </w:r>
      <w:r>
        <w:t xml:space="preserve"> – et qui stipule qu</w:t>
      </w:r>
      <w:r w:rsidR="00CE0D20">
        <w:t>’</w:t>
      </w:r>
      <w:r>
        <w:t>un employeur n</w:t>
      </w:r>
      <w:r w:rsidR="00CE0D20">
        <w:t>’</w:t>
      </w:r>
      <w:r>
        <w:t>a pas le droit, dans le cadre d</w:t>
      </w:r>
      <w:r w:rsidR="00CE0D20">
        <w:t>’</w:t>
      </w:r>
      <w:r>
        <w:t>une offre d</w:t>
      </w:r>
      <w:r w:rsidR="00CE0D20">
        <w:t>’</w:t>
      </w:r>
      <w:r>
        <w:t>emploi, de demander exclusivement un homme ou une femme, excepté dans les cas où le sexe de la personne est une condition sine qua non pour le type de travail concerné – a déjà été présentée dans le Troisième Rapport. Il n</w:t>
      </w:r>
      <w:r w:rsidR="00CE0D20">
        <w:t>’</w:t>
      </w:r>
      <w:r>
        <w:t>est pas non plus autorisé, dans une offre d</w:t>
      </w:r>
      <w:r w:rsidR="00CE0D20">
        <w:t>’</w:t>
      </w:r>
      <w:r>
        <w:t>emploi, d</w:t>
      </w:r>
      <w:r w:rsidR="00CE0D20">
        <w:t>’</w:t>
      </w:r>
      <w:r>
        <w:t>indiquer une préférence pour tel ou tel sexe. Pour l</w:t>
      </w:r>
      <w:r w:rsidR="00CE0D20">
        <w:t>’</w:t>
      </w:r>
      <w:r>
        <w:t>année 2004, les inspecteurs du travail ont établi au total 38 cas de violation de la réglementation concernant les offres d</w:t>
      </w:r>
      <w:r w:rsidR="00CE0D20">
        <w:t>’</w:t>
      </w:r>
      <w:r>
        <w:t>emplois</w:t>
      </w:r>
      <w:r w:rsidR="00CE0D20">
        <w:t>;</w:t>
      </w:r>
      <w:r>
        <w:t xml:space="preserve"> et, dans six cas, l</w:t>
      </w:r>
      <w:r w:rsidR="00CE0D20">
        <w:t>’</w:t>
      </w:r>
      <w:r>
        <w:t>employeur n</w:t>
      </w:r>
      <w:r w:rsidR="00CE0D20">
        <w:t>’</w:t>
      </w:r>
      <w:r>
        <w:t>avait pas respecté le principe d</w:t>
      </w:r>
      <w:r w:rsidR="00CE0D20">
        <w:t>’</w:t>
      </w:r>
      <w:r>
        <w:t>égalité de traitement des deux sexes dans le cadre d</w:t>
      </w:r>
      <w:r w:rsidR="00CE0D20">
        <w:t>’</w:t>
      </w:r>
      <w:r>
        <w:t>une offre d</w:t>
      </w:r>
      <w:r w:rsidR="00CE0D20">
        <w:t>’</w:t>
      </w:r>
      <w:r>
        <w:t>emploi : en l</w:t>
      </w:r>
      <w:r w:rsidR="00CE0D20">
        <w:t>’</w:t>
      </w:r>
      <w:r>
        <w:t>occurrence, l</w:t>
      </w:r>
      <w:r w:rsidR="00CE0D20">
        <w:t>’</w:t>
      </w:r>
      <w:r>
        <w:t>employeur avait demandé exclusivement un homme ou une femme pour le poste concerné</w:t>
      </w:r>
      <w:r w:rsidRPr="006A4785">
        <w:rPr>
          <w:rStyle w:val="FootnoteReference"/>
        </w:rPr>
        <w:footnoteReference w:customMarkFollows="1" w:id="13"/>
        <w:t>13</w:t>
      </w:r>
      <w:r>
        <w:t xml:space="preserve">. </w:t>
      </w:r>
    </w:p>
    <w:p w:rsidR="00164199" w:rsidRDefault="00164199" w:rsidP="00D926D4">
      <w:pPr>
        <w:pStyle w:val="SingleTxt"/>
      </w:pPr>
      <w:r>
        <w:t>37.</w:t>
      </w:r>
      <w:r>
        <w:tab/>
        <w:t xml:space="preserve">En liaison avec cette disposition légale, le Bureau pour </w:t>
      </w:r>
      <w:r w:rsidR="00247191">
        <w:t>L’Égalité</w:t>
      </w:r>
      <w:r>
        <w:t xml:space="preserve"> des chances a mené, en 2004, une grande campagne de sensibilisation en direction des Agences pour l</w:t>
      </w:r>
      <w:r w:rsidR="00CE0D20">
        <w:t>’</w:t>
      </w:r>
      <w:r>
        <w:t>Emploi, des employeurs, des services d</w:t>
      </w:r>
      <w:r w:rsidR="00CE0D20">
        <w:t>’</w:t>
      </w:r>
      <w:r>
        <w:t>emploi d</w:t>
      </w:r>
      <w:r w:rsidR="00CE0D20">
        <w:t>’</w:t>
      </w:r>
      <w:r>
        <w:t>étudiants et de la presse écrite. Le Bureau avait formulé des propositions en matière d</w:t>
      </w:r>
      <w:r w:rsidR="00CE0D20">
        <w:t>’</w:t>
      </w:r>
      <w:r>
        <w:t>offres d</w:t>
      </w:r>
      <w:r w:rsidR="00CE0D20">
        <w:t>’</w:t>
      </w:r>
      <w:r>
        <w:t>emplois, et les avait adressées à un millier d</w:t>
      </w:r>
      <w:r w:rsidR="00CE0D20">
        <w:t>’</w:t>
      </w:r>
      <w:r>
        <w:t>entreprises importantes ou moyennes, à des établissements publics, aux syndicats, aux services de recrutement d</w:t>
      </w:r>
      <w:r w:rsidR="00CE0D20">
        <w:t>’</w:t>
      </w:r>
      <w:r>
        <w:t>étudiants, aux associations et syndicats patronaux, et à l</w:t>
      </w:r>
      <w:r w:rsidR="00CE0D20">
        <w:t>’</w:t>
      </w:r>
      <w:r>
        <w:t>association des personnels de gestion des ressources humaines. D</w:t>
      </w:r>
      <w:r w:rsidR="00CE0D20">
        <w:t>’</w:t>
      </w:r>
      <w:r>
        <w:t xml:space="preserve">autre part, dans une lettre spécifique, le Bureau pour </w:t>
      </w:r>
      <w:r w:rsidR="004330E9">
        <w:t>l’</w:t>
      </w:r>
      <w:r w:rsidR="00221C8A">
        <w:t>Égalité</w:t>
      </w:r>
      <w:r>
        <w:t xml:space="preserve"> des chances avait également invité les services publicitaires des quotidiens de la presse écrite à responsabiliser leur action. Outre cette campagne de sensibilisation, le Bureau a également procédé à une analyse des textes d</w:t>
      </w:r>
      <w:r w:rsidR="00CE0D20">
        <w:t>’</w:t>
      </w:r>
      <w:r>
        <w:t>offres d</w:t>
      </w:r>
      <w:r w:rsidR="00CE0D20">
        <w:t>’</w:t>
      </w:r>
      <w:r>
        <w:t>emploi des trois ou quatre principaux quotidiens du pays – textes publiés aussi bien avant qu</w:t>
      </w:r>
      <w:r w:rsidR="00CE0D20">
        <w:t>’</w:t>
      </w:r>
      <w:r>
        <w:t>après la campagne. Concernant les textes antérieurs à la campagne de sensibilisation, la disposition réglementaire sur les offres d</w:t>
      </w:r>
      <w:r w:rsidR="00CE0D20">
        <w:t>’</w:t>
      </w:r>
      <w:r>
        <w:t>emploi avait été violée dans 74% des cas</w:t>
      </w:r>
      <w:r w:rsidR="00CE0D20">
        <w:t>;</w:t>
      </w:r>
      <w:r>
        <w:t xml:space="preserve"> tandis qu</w:t>
      </w:r>
      <w:r w:rsidR="00CE0D20">
        <w:t>’</w:t>
      </w:r>
      <w:r>
        <w:t>après la campagne, on constatait une réduction de 27% du nombre de violations.</w:t>
      </w:r>
    </w:p>
    <w:p w:rsidR="003158AC" w:rsidRPr="003158AC" w:rsidRDefault="003158AC" w:rsidP="003158AC">
      <w:pPr>
        <w:pStyle w:val="SingleTxt"/>
        <w:spacing w:after="0" w:line="120" w:lineRule="exact"/>
        <w:rPr>
          <w:sz w:val="10"/>
        </w:rPr>
      </w:pPr>
    </w:p>
    <w:p w:rsidR="00164199" w:rsidRDefault="003158AC" w:rsidP="00433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La violence à l</w:t>
      </w:r>
      <w:r w:rsidR="00CE0D20">
        <w:t>’</w:t>
      </w:r>
      <w:r w:rsidR="00164199">
        <w:t>égard des femmes et au sein de la famille</w:t>
      </w:r>
    </w:p>
    <w:p w:rsidR="003158AC" w:rsidRPr="003158AC" w:rsidRDefault="003158AC" w:rsidP="003158AC">
      <w:pPr>
        <w:pStyle w:val="SingleTxt"/>
        <w:spacing w:after="0" w:line="120" w:lineRule="exact"/>
        <w:rPr>
          <w:sz w:val="10"/>
        </w:rPr>
      </w:pPr>
    </w:p>
    <w:p w:rsidR="00164199" w:rsidRDefault="00164199" w:rsidP="00D926D4">
      <w:pPr>
        <w:pStyle w:val="SingleTxt"/>
      </w:pPr>
      <w:r w:rsidRPr="00B412CA">
        <w:t>38.</w:t>
      </w:r>
      <w:r>
        <w:tab/>
        <w:t>Le Comité pour l</w:t>
      </w:r>
      <w:r w:rsidR="00CE0D20">
        <w:t>’</w:t>
      </w:r>
      <w:r>
        <w:t>élimination de la discrimination à l</w:t>
      </w:r>
      <w:r w:rsidR="00CE0D20">
        <w:t>’</w:t>
      </w:r>
      <w:r>
        <w:t>égard des femmes s</w:t>
      </w:r>
      <w:r w:rsidR="00CE0D20">
        <w:t>’</w:t>
      </w:r>
      <w:r>
        <w:t>était déclaré préoccupé, lors de l</w:t>
      </w:r>
      <w:r w:rsidR="00CE0D20">
        <w:t>’</w:t>
      </w:r>
      <w:r>
        <w:t>examen des Deuxième et Troisième Rapports de la République de Slovénie, par les conséquences que pouvait avoir la violence à l</w:t>
      </w:r>
      <w:r w:rsidR="00CE0D20">
        <w:t>’</w:t>
      </w:r>
      <w:r>
        <w:t xml:space="preserve">égard des femmes – y compris au sein de la cellule familiale -, et par la légèreté des sanctions frappant ces actes de violence. Le </w:t>
      </w:r>
      <w:r>
        <w:rPr>
          <w:i/>
          <w:iCs/>
        </w:rPr>
        <w:t>Code pénal</w:t>
      </w:r>
      <w:r>
        <w:t xml:space="preserve"> slovène n</w:t>
      </w:r>
      <w:r w:rsidR="00CE0D20">
        <w:t>’</w:t>
      </w:r>
      <w:r>
        <w:t>établit pas d</w:t>
      </w:r>
      <w:r w:rsidR="00CE0D20">
        <w:t>’</w:t>
      </w:r>
      <w:r>
        <w:t>infraction pénale en soi pour les cas de violence à l</w:t>
      </w:r>
      <w:r w:rsidR="00CE0D20">
        <w:t>’</w:t>
      </w:r>
      <w:r>
        <w:t>égard de femmes</w:t>
      </w:r>
      <w:r w:rsidR="00CE0D20">
        <w:t>;</w:t>
      </w:r>
      <w:r>
        <w:t xml:space="preserve"> mais ce délit fait partie de l</w:t>
      </w:r>
      <w:r w:rsidR="00CE0D20">
        <w:t>’</w:t>
      </w:r>
      <w:r>
        <w:t xml:space="preserve">ensemble de ceux reconnus au quinzième chapitre du </w:t>
      </w:r>
      <w:r>
        <w:rPr>
          <w:i/>
          <w:iCs/>
        </w:rPr>
        <w:t xml:space="preserve">Code pénal </w:t>
      </w:r>
      <w:r>
        <w:t>(chapitre concernant les atteintes à la vie et au corps d</w:t>
      </w:r>
      <w:r w:rsidR="00CE0D20">
        <w:t>’</w:t>
      </w:r>
      <w:r>
        <w:t>autrui), ainsi qu</w:t>
      </w:r>
      <w:r w:rsidR="00CE0D20">
        <w:t>’</w:t>
      </w:r>
      <w:r>
        <w:t>au seizième chapitre (infraction aux droits et libertés de l</w:t>
      </w:r>
      <w:r w:rsidR="00CE0D20">
        <w:t>’</w:t>
      </w:r>
      <w:r>
        <w:t>être humain), au dix-neuvième chapitre (atteinte à l</w:t>
      </w:r>
      <w:r w:rsidR="00CE0D20">
        <w:t>’</w:t>
      </w:r>
      <w:r>
        <w:t>intégrité sexuelle) et au vingt-cinquième chapitre (infraction à la loi et atteinte à l</w:t>
      </w:r>
      <w:r w:rsidR="00CE0D20">
        <w:t>’</w:t>
      </w:r>
      <w:r>
        <w:t>ordre public).</w:t>
      </w:r>
    </w:p>
    <w:p w:rsidR="00164199" w:rsidRDefault="00164199" w:rsidP="00D926D4">
      <w:pPr>
        <w:pStyle w:val="SingleTxt"/>
      </w:pPr>
      <w:r>
        <w:t>39.</w:t>
      </w:r>
      <w:r>
        <w:tab/>
        <w:t>Le niveau de la condamnation dépend de l</w:t>
      </w:r>
      <w:r w:rsidR="00CE0D20">
        <w:t>’</w:t>
      </w:r>
      <w:r>
        <w:t>infraction. Ainsi, un délit d</w:t>
      </w:r>
      <w:r w:rsidR="00CE0D20">
        <w:t>’</w:t>
      </w:r>
      <w:r>
        <w:t>agression corporelle mineure d</w:t>
      </w:r>
      <w:r w:rsidR="00CE0D20">
        <w:t>’</w:t>
      </w:r>
      <w:r>
        <w:t>autrui (défini à l</w:t>
      </w:r>
      <w:r w:rsidR="00CE0D20">
        <w:t>’</w:t>
      </w:r>
      <w:r>
        <w:t xml:space="preserve">article 133 du </w:t>
      </w:r>
      <w:r>
        <w:rPr>
          <w:i/>
          <w:iCs/>
        </w:rPr>
        <w:t>Code pénal</w:t>
      </w:r>
      <w:r>
        <w:t>) est sanctionné par une amende ou une peine d</w:t>
      </w:r>
      <w:r w:rsidR="00CE0D20">
        <w:t>’</w:t>
      </w:r>
      <w:r>
        <w:t>emprisonnement d</w:t>
      </w:r>
      <w:r w:rsidR="00CE0D20">
        <w:t>’</w:t>
      </w:r>
      <w:r>
        <w:t>un an au plus</w:t>
      </w:r>
      <w:r w:rsidR="00CE0D20">
        <w:t>;</w:t>
      </w:r>
      <w:r>
        <w:t xml:space="preserve"> cependant, on peut également considérer qu</w:t>
      </w:r>
      <w:r w:rsidR="00CE0D20">
        <w:t>’</w:t>
      </w:r>
      <w:r>
        <w:t>il y a aggravation – cela entraînant alors une peine d</w:t>
      </w:r>
      <w:r w:rsidR="00CE0D20">
        <w:t>’</w:t>
      </w:r>
      <w:r>
        <w:t>emprisonnement pouvant aller jusqu</w:t>
      </w:r>
      <w:r w:rsidR="00CE0D20">
        <w:t>’</w:t>
      </w:r>
      <w:r>
        <w:t xml:space="preserve">à trois ans au plus. Aux articles 134 et 135, le </w:t>
      </w:r>
      <w:r>
        <w:rPr>
          <w:i/>
          <w:iCs/>
        </w:rPr>
        <w:t xml:space="preserve">Code pénal </w:t>
      </w:r>
      <w:r>
        <w:t>définit des délits d</w:t>
      </w:r>
      <w:r w:rsidR="00CE0D20">
        <w:t>’</w:t>
      </w:r>
      <w:r>
        <w:t>atteinte corporelle aggravée ou véritablement préjudiciable – lesquels sont passibles d</w:t>
      </w:r>
      <w:r w:rsidR="00CE0D20">
        <w:t>’</w:t>
      </w:r>
      <w:r>
        <w:t>une peine d</w:t>
      </w:r>
      <w:r w:rsidR="00CE0D20">
        <w:t>’</w:t>
      </w:r>
      <w:r>
        <w:t>emprisonnement pouvant aller respectivement jusqu</w:t>
      </w:r>
      <w:r w:rsidR="00CE0D20">
        <w:t>’</w:t>
      </w:r>
      <w:r>
        <w:t>à cinq ans, jusqu</w:t>
      </w:r>
      <w:r w:rsidR="00CE0D20">
        <w:t>’</w:t>
      </w:r>
      <w:r>
        <w:t xml:space="preserve">à dix ans, comprise entre un et dix ans ou de trois ans minimum (ce qui signifie, au total, une peine de quinze ans au plus, conformément aux dispositions de la Partie générale du </w:t>
      </w:r>
      <w:r>
        <w:rPr>
          <w:i/>
          <w:iCs/>
        </w:rPr>
        <w:t>Code pénal</w:t>
      </w:r>
      <w:r>
        <w:t>). L</w:t>
      </w:r>
      <w:r w:rsidR="00CE0D20">
        <w:t>’</w:t>
      </w:r>
      <w:r>
        <w:t xml:space="preserve">infraction intitulée </w:t>
      </w:r>
      <w:r w:rsidR="003158AC">
        <w:t xml:space="preserve">“ </w:t>
      </w:r>
      <w:r>
        <w:t>mauvais traitement infligé à autrui</w:t>
      </w:r>
      <w:r w:rsidR="00CE0D20">
        <w:t xml:space="preserve"> » – </w:t>
      </w:r>
      <w:r>
        <w:t>tel qu</w:t>
      </w:r>
      <w:r w:rsidR="00CE0D20">
        <w:t>’</w:t>
      </w:r>
      <w:r>
        <w:t>elle est définie à l</w:t>
      </w:r>
      <w:r w:rsidR="00CE0D20">
        <w:t>’</w:t>
      </w:r>
      <w:r>
        <w:t xml:space="preserve">article 146 du </w:t>
      </w:r>
      <w:r>
        <w:rPr>
          <w:i/>
          <w:iCs/>
        </w:rPr>
        <w:t>Code pénal</w:t>
      </w:r>
      <w:r>
        <w:t xml:space="preserve"> – est sanctionnée par une amende ou une peine d</w:t>
      </w:r>
      <w:r w:rsidR="00CE0D20">
        <w:t>’</w:t>
      </w:r>
      <w:r>
        <w:t>emprisonnement de six mois au plus</w:t>
      </w:r>
      <w:r w:rsidR="00CE0D20">
        <w:t>;</w:t>
      </w:r>
      <w:r>
        <w:t xml:space="preserve"> il faut noter toutefois que ce type de délit englobe également toutes les blessures moindres qu</w:t>
      </w:r>
      <w:r w:rsidR="00CE0D20">
        <w:t>’</w:t>
      </w:r>
      <w:r>
        <w:t xml:space="preserve">une atteinte corporelle mineure (notamment les griffures et écorchures, ou encore, sur le plan psychologique, les peurs infligées et intimidations). </w:t>
      </w:r>
    </w:p>
    <w:p w:rsidR="00164199" w:rsidRDefault="00164199" w:rsidP="00D926D4">
      <w:pPr>
        <w:pStyle w:val="SingleTxt"/>
      </w:pPr>
      <w:r>
        <w:t>40.</w:t>
      </w:r>
      <w:r>
        <w:tab/>
        <w:t>Dans le cadre d</w:t>
      </w:r>
      <w:r w:rsidR="00CE0D20">
        <w:t>’</w:t>
      </w:r>
      <w:r>
        <w:t xml:space="preserve">une révision du </w:t>
      </w:r>
      <w:r>
        <w:rPr>
          <w:i/>
          <w:iCs/>
        </w:rPr>
        <w:t>Code pénal</w:t>
      </w:r>
      <w:r>
        <w:t>, en 2004, des sanctions plus sévères ont été établies pour les délits d</w:t>
      </w:r>
      <w:r w:rsidR="00CE0D20">
        <w:t>’</w:t>
      </w:r>
      <w:r>
        <w:t>atteinte à l</w:t>
      </w:r>
      <w:r w:rsidR="00CE0D20">
        <w:t>’</w:t>
      </w:r>
      <w:r>
        <w:t>intégrité sexuelle d</w:t>
      </w:r>
      <w:r w:rsidR="00CE0D20">
        <w:t>’</w:t>
      </w:r>
      <w:r>
        <w:t>autrui, et en particulier dans les cas où l</w:t>
      </w:r>
      <w:r w:rsidR="00CE0D20">
        <w:t>’</w:t>
      </w:r>
      <w:r>
        <w:t>auteur profite d</w:t>
      </w:r>
      <w:r w:rsidR="00CE0D20">
        <w:t>’</w:t>
      </w:r>
      <w:r>
        <w:t>une position dominante (article 184), abuse d</w:t>
      </w:r>
      <w:r w:rsidR="00CE0D20">
        <w:t>’</w:t>
      </w:r>
      <w:r>
        <w:t>une personne en état de faiblesse (article 182) ou d</w:t>
      </w:r>
      <w:r w:rsidR="00CE0D20">
        <w:t>’</w:t>
      </w:r>
      <w:r>
        <w:t xml:space="preserve">un mineur de moins de quinze ans (article 183). </w:t>
      </w:r>
    </w:p>
    <w:p w:rsidR="00164199" w:rsidRDefault="00164199" w:rsidP="00D926D4">
      <w:pPr>
        <w:pStyle w:val="SingleTxt"/>
        <w:rPr>
          <w:i/>
          <w:iCs/>
        </w:rPr>
      </w:pPr>
      <w:r>
        <w:t>41.</w:t>
      </w:r>
      <w:r>
        <w:tab/>
        <w:t>En matière de violence à l</w:t>
      </w:r>
      <w:r w:rsidR="00CE0D20">
        <w:t>’</w:t>
      </w:r>
      <w:r>
        <w:t xml:space="preserve">égard des femmes, le délit de </w:t>
      </w:r>
      <w:r w:rsidR="004330E9">
        <w:t>« </w:t>
      </w:r>
      <w:r>
        <w:t>comportement violent</w:t>
      </w:r>
      <w:r w:rsidR="00CE0D20">
        <w:t> »</w:t>
      </w:r>
      <w:r>
        <w:t xml:space="preserve"> – défini à l</w:t>
      </w:r>
      <w:r w:rsidR="00CE0D20">
        <w:t>’</w:t>
      </w:r>
      <w:r>
        <w:t xml:space="preserve">article 299 du </w:t>
      </w:r>
      <w:r>
        <w:rPr>
          <w:i/>
          <w:iCs/>
        </w:rPr>
        <w:t>Code pénal</w:t>
      </w:r>
      <w:r>
        <w:t xml:space="preserve"> – est également visé. Il peut prendre la forme d</w:t>
      </w:r>
      <w:r w:rsidR="00CE0D20">
        <w:t>’</w:t>
      </w:r>
      <w:r>
        <w:t>une offense grave, d</w:t>
      </w:r>
      <w:r w:rsidR="00CE0D20">
        <w:t>’</w:t>
      </w:r>
      <w:r>
        <w:t>un mauvais traitement ou d</w:t>
      </w:r>
      <w:r w:rsidR="00CE0D20">
        <w:t>’</w:t>
      </w:r>
      <w:r>
        <w:t>une menace pour la sécurité d</w:t>
      </w:r>
      <w:r w:rsidR="00CE0D20">
        <w:t>’</w:t>
      </w:r>
      <w:r>
        <w:t>autrui – comportements susceptibles de mettre en danger, d</w:t>
      </w:r>
      <w:r w:rsidR="00CE0D20">
        <w:t>’</w:t>
      </w:r>
      <w:r>
        <w:t>offenser ou de terroriser tout membre de la famille concernée. Ce type de délit est passible d</w:t>
      </w:r>
      <w:r w:rsidR="00CE0D20">
        <w:t>’</w:t>
      </w:r>
      <w:r>
        <w:t>une peine d</w:t>
      </w:r>
      <w:r w:rsidR="00CE0D20">
        <w:t>’</w:t>
      </w:r>
      <w:r>
        <w:t>emprisonnement ne pouvant excéder deux ans</w:t>
      </w:r>
      <w:r w:rsidR="00CE0D20">
        <w:t>;</w:t>
      </w:r>
      <w:r>
        <w:t xml:space="preserve"> mais, en cas de légère atteinte corporelle, la peine peut aller jusqu</w:t>
      </w:r>
      <w:r w:rsidR="00CE0D20">
        <w:t>’</w:t>
      </w:r>
      <w:r>
        <w:t>à trois ans. Par conséquent, ce type de délit regroupe les délits susmentionnés d</w:t>
      </w:r>
      <w:r w:rsidR="00CE0D20">
        <w:t>’</w:t>
      </w:r>
      <w:r>
        <w:t>atteinte corporelle mineure et de mauvais traitement. En revanche, si la victime est grièvement blessée ou assassinée, il y a fusion des cas précités d</w:t>
      </w:r>
      <w:r w:rsidR="00CE0D20">
        <w:t>’</w:t>
      </w:r>
      <w:r>
        <w:t xml:space="preserve">atteinte corporelle grave et préjudiciable et de meurtre (article 127 du </w:t>
      </w:r>
      <w:r>
        <w:rPr>
          <w:i/>
          <w:iCs/>
        </w:rPr>
        <w:t xml:space="preserve">Code pénal). </w:t>
      </w:r>
    </w:p>
    <w:p w:rsidR="00164199" w:rsidRDefault="00164199" w:rsidP="00D926D4">
      <w:pPr>
        <w:pStyle w:val="SingleTxt"/>
      </w:pPr>
      <w:r>
        <w:t>42.</w:t>
      </w:r>
      <w:r>
        <w:tab/>
        <w:t>Il faut également noter une autre mesure importante : celle qui consiste à interdire à un individu l</w:t>
      </w:r>
      <w:r w:rsidR="00CE0D20">
        <w:t>’</w:t>
      </w:r>
      <w:r>
        <w:t>abord d</w:t>
      </w:r>
      <w:r w:rsidR="00CE0D20">
        <w:t>’</w:t>
      </w:r>
      <w:r>
        <w:t>un lieu ou d</w:t>
      </w:r>
      <w:r w:rsidR="00CE0D20">
        <w:t>’</w:t>
      </w:r>
      <w:r>
        <w:t>une personne bien précis – interdiction définie à l</w:t>
      </w:r>
      <w:r w:rsidR="00CE0D20">
        <w:t>’</w:t>
      </w:r>
      <w:r>
        <w:t xml:space="preserve">article 195 du </w:t>
      </w:r>
      <w:r>
        <w:rPr>
          <w:i/>
          <w:iCs/>
        </w:rPr>
        <w:t>Code de procédure pénale</w:t>
      </w:r>
      <w:r>
        <w:t>, et que nous avions déjà mentionnée dans le Troisième Rapport de la République de Slovénie sur la mise en œuvre des dispositions de la Convention.</w:t>
      </w:r>
    </w:p>
    <w:p w:rsidR="00164199" w:rsidRDefault="00164199" w:rsidP="00D926D4">
      <w:pPr>
        <w:pStyle w:val="SingleTxt"/>
      </w:pPr>
      <w:r>
        <w:t>43.</w:t>
      </w:r>
      <w:r>
        <w:tab/>
        <w:t>A</w:t>
      </w:r>
      <w:r w:rsidR="00BA4F2E">
        <w:t xml:space="preserve"> </w:t>
      </w:r>
      <w:r>
        <w:t>partir de la fin du mois d</w:t>
      </w:r>
      <w:r w:rsidR="00CE0D20">
        <w:t>’</w:t>
      </w:r>
      <w:r>
        <w:t xml:space="preserve">août 2003, des amendements à la </w:t>
      </w:r>
      <w:r>
        <w:rPr>
          <w:i/>
          <w:iCs/>
        </w:rPr>
        <w:t>Loi sur la police</w:t>
      </w:r>
      <w:r>
        <w:t xml:space="preserve"> sont entrés en vigueur : ces modifications accordent aux policiers – hommes et femmes – un pouvoir d</w:t>
      </w:r>
      <w:r w:rsidR="00CE0D20">
        <w:t>’</w:t>
      </w:r>
      <w:r>
        <w:t>intervention accru dans les cas de violence familiale. Un policier ou une policière est autorisé à prendre une ordonnance imposant certaines restrictions : il s</w:t>
      </w:r>
      <w:r w:rsidR="00CE0D20">
        <w:t>’</w:t>
      </w:r>
      <w:r>
        <w:t>agit essentiellement d</w:t>
      </w:r>
      <w:r w:rsidR="00CE0D20">
        <w:t>’</w:t>
      </w:r>
      <w:r>
        <w:t>interdire à un individu de se rendre dans un lieu précis ou d</w:t>
      </w:r>
      <w:r w:rsidR="00CE0D20">
        <w:t>’</w:t>
      </w:r>
      <w:r>
        <w:t>aborder une personne spécifique</w:t>
      </w:r>
      <w:r w:rsidR="00CE0D20">
        <w:t>;</w:t>
      </w:r>
      <w:r>
        <w:t xml:space="preserve"> mais cela inclut également le pouvoir d</w:t>
      </w:r>
      <w:r w:rsidR="00CE0D20">
        <w:t>’</w:t>
      </w:r>
      <w:r>
        <w:t>interdire tout harcèlement par la communication. La police a commencé à appliquer ces mesures d</w:t>
      </w:r>
      <w:r w:rsidR="00CE0D20">
        <w:t>’</w:t>
      </w:r>
      <w:r>
        <w:t>interdiction en septembre 2004, c</w:t>
      </w:r>
      <w:r w:rsidR="00CE0D20">
        <w:t>’</w:t>
      </w:r>
      <w:r>
        <w:t>est-à-dire à la date d</w:t>
      </w:r>
      <w:r w:rsidR="00CE0D20">
        <w:t>’</w:t>
      </w:r>
      <w:r>
        <w:t xml:space="preserve">entrée en vigueur des instructions détaillées données aux policiers sur la gestion de tels cas – le tout ayant été défini dans le cadre des </w:t>
      </w:r>
      <w:r>
        <w:rPr>
          <w:i/>
          <w:iCs/>
        </w:rPr>
        <w:t>Règles concernant les ordonnances restrictives sur l</w:t>
      </w:r>
      <w:r w:rsidR="00CE0D20">
        <w:rPr>
          <w:i/>
          <w:iCs/>
        </w:rPr>
        <w:t>’</w:t>
      </w:r>
      <w:r>
        <w:rPr>
          <w:i/>
          <w:iCs/>
        </w:rPr>
        <w:t>abord d</w:t>
      </w:r>
      <w:r w:rsidR="00CE0D20">
        <w:rPr>
          <w:i/>
          <w:iCs/>
        </w:rPr>
        <w:t>’</w:t>
      </w:r>
      <w:r>
        <w:rPr>
          <w:i/>
          <w:iCs/>
        </w:rPr>
        <w:t>un lieu ou d</w:t>
      </w:r>
      <w:r w:rsidR="00CE0D20">
        <w:rPr>
          <w:i/>
          <w:iCs/>
        </w:rPr>
        <w:t>’</w:t>
      </w:r>
      <w:r>
        <w:rPr>
          <w:i/>
          <w:iCs/>
        </w:rPr>
        <w:t>une personne donnés</w:t>
      </w:r>
      <w:r>
        <w:t>. La police prend ce type de mesure lorsque l</w:t>
      </w:r>
      <w:r w:rsidR="00CE0D20">
        <w:t>’</w:t>
      </w:r>
      <w:r>
        <w:t>on soupçonne, de manière tout à fait fondée, la personne visée d</w:t>
      </w:r>
      <w:r w:rsidR="00CE0D20">
        <w:t>’</w:t>
      </w:r>
      <w:r>
        <w:t>avoir déjà perpétré un acte de violence criminel, ou que cette personne a été prise en flagrant délit de violence. Dans l</w:t>
      </w:r>
      <w:r w:rsidR="00CE0D20">
        <w:t>’</w:t>
      </w:r>
      <w:r>
        <w:t>un ou l</w:t>
      </w:r>
      <w:r w:rsidR="00CE0D20">
        <w:t>’</w:t>
      </w:r>
      <w:r>
        <w:t>autre cas, on ne peut prendre ce type de mesure que si l</w:t>
      </w:r>
      <w:r w:rsidR="00CE0D20">
        <w:t>’</w:t>
      </w:r>
      <w:r>
        <w:t>on a prouvé au préalable que l</w:t>
      </w:r>
      <w:r w:rsidR="00CE0D20">
        <w:t>’</w:t>
      </w:r>
      <w:r>
        <w:t>auteur des violences était susceptible de mettre en danger la vie, la sécurité ou la liberté de la personne avec laquelle il entretient – ou a entretenu – des relations étroites, ou que l</w:t>
      </w:r>
      <w:r w:rsidR="00CE0D20">
        <w:t>’</w:t>
      </w:r>
      <w:r>
        <w:t>on est à même d</w:t>
      </w:r>
      <w:r w:rsidR="00CE0D20">
        <w:t>’</w:t>
      </w:r>
      <w:r>
        <w:t>étayer les soupçons dans cette direction. Les policiers peuvent établir ce type de circonstances lors de leur intervention directe</w:t>
      </w:r>
      <w:r w:rsidR="00CE0D20">
        <w:t>;</w:t>
      </w:r>
      <w:r>
        <w:t xml:space="preserve"> mais ils peuvent également les établir sur la base de rapports ou d</w:t>
      </w:r>
      <w:r w:rsidR="00CE0D20">
        <w:t>’</w:t>
      </w:r>
      <w:r>
        <w:t>informations fournis par des centres d</w:t>
      </w:r>
      <w:r w:rsidR="00CE0D20">
        <w:t>’</w:t>
      </w:r>
      <w:r>
        <w:t>assistance sociale ou autres. Cependant, une telle mesure d</w:t>
      </w:r>
      <w:r w:rsidR="00CE0D20">
        <w:t>’</w:t>
      </w:r>
      <w:r>
        <w:t>interdiction ne peut être prise si, au cours de la procédure d</w:t>
      </w:r>
      <w:r w:rsidR="00CE0D20">
        <w:t>’</w:t>
      </w:r>
      <w:r>
        <w:t>intervention, les policiers constatent que l</w:t>
      </w:r>
      <w:r w:rsidR="00CE0D20">
        <w:t>’</w:t>
      </w:r>
      <w:r>
        <w:t>auteur présumé des violences fait déjà l</w:t>
      </w:r>
      <w:r w:rsidR="00CE0D20">
        <w:t>’</w:t>
      </w:r>
      <w:r>
        <w:t>objet de poursuites judiciaires ou d</w:t>
      </w:r>
      <w:r w:rsidR="00CE0D20">
        <w:t>’</w:t>
      </w:r>
      <w:r>
        <w:t>une plainte de la victime. Depuis l</w:t>
      </w:r>
      <w:r w:rsidR="00CE0D20">
        <w:t>’</w:t>
      </w:r>
      <w:r>
        <w:t>adoption des Règles régissant ce type de dossiers, la police a pris 14 ordonnances restrictives en 2004, et 49 autres au cours du premier semestre 2005</w:t>
      </w:r>
      <w:r w:rsidRPr="006A4785">
        <w:rPr>
          <w:rStyle w:val="FootnoteReference"/>
        </w:rPr>
        <w:footnoteReference w:customMarkFollows="1" w:id="14"/>
        <w:t>14</w:t>
      </w:r>
      <w:r>
        <w:t xml:space="preserve">. </w:t>
      </w:r>
    </w:p>
    <w:p w:rsidR="00164199" w:rsidRDefault="00164199" w:rsidP="00D926D4">
      <w:pPr>
        <w:pStyle w:val="SingleTxt"/>
      </w:pPr>
      <w:r>
        <w:t>44.</w:t>
      </w:r>
      <w:r>
        <w:tab/>
        <w:t xml:space="preserve">Les délits ou infractions liés à des actes de violence familiale sont également définis dans le cadre de la </w:t>
      </w:r>
      <w:r>
        <w:rPr>
          <w:i/>
          <w:iCs/>
        </w:rPr>
        <w:t>Loi relative aux délits troublant la paix et l</w:t>
      </w:r>
      <w:r w:rsidR="00CE0D20">
        <w:rPr>
          <w:i/>
          <w:iCs/>
        </w:rPr>
        <w:t>’</w:t>
      </w:r>
      <w:r>
        <w:rPr>
          <w:i/>
          <w:iCs/>
        </w:rPr>
        <w:t>ordre publics</w:t>
      </w:r>
      <w:r>
        <w:t>. Cette loi stipule que toute personne troublant l</w:t>
      </w:r>
      <w:r w:rsidR="00CE0D20">
        <w:t>’</w:t>
      </w:r>
      <w:r>
        <w:t>ordre public ou mettant en danger, de manière illicite, la sécurité d</w:t>
      </w:r>
      <w:r w:rsidR="00CE0D20">
        <w:t>’</w:t>
      </w:r>
      <w:r>
        <w:t>autrui dans un cadre privé est considérée comme l</w:t>
      </w:r>
      <w:r w:rsidR="00CE0D20">
        <w:t>’</w:t>
      </w:r>
      <w:r>
        <w:t>auteur d</w:t>
      </w:r>
      <w:r w:rsidR="00CE0D20">
        <w:t>’</w:t>
      </w:r>
      <w:r>
        <w:t xml:space="preserve">un délit. En décembre 2005, le gouvernement slovène a adopté un projet de révision de la </w:t>
      </w:r>
      <w:r>
        <w:rPr>
          <w:i/>
          <w:iCs/>
        </w:rPr>
        <w:t>Loi relative aux délits troublant la paix et l</w:t>
      </w:r>
      <w:r w:rsidR="00CE0D20">
        <w:rPr>
          <w:i/>
          <w:iCs/>
        </w:rPr>
        <w:t>’</w:t>
      </w:r>
      <w:r>
        <w:rPr>
          <w:i/>
          <w:iCs/>
        </w:rPr>
        <w:t>ordre publics </w:t>
      </w:r>
      <w:r>
        <w:t>: dans le cadre du nouveau texte, il s</w:t>
      </w:r>
      <w:r w:rsidR="00CE0D20">
        <w:t>’</w:t>
      </w:r>
      <w:r>
        <w:t>agit de définir séparément les infractions liées à des actes de violence familiale et de les sanctionner plus sévèrement que par le passé. Avec l</w:t>
      </w:r>
      <w:r w:rsidR="00CE0D20">
        <w:t>’</w:t>
      </w:r>
      <w:r>
        <w:t xml:space="preserve">entrée en vigueur de la nouvelle </w:t>
      </w:r>
      <w:r>
        <w:rPr>
          <w:i/>
          <w:iCs/>
        </w:rPr>
        <w:t>Loi relative aux délits troublant la paix et l</w:t>
      </w:r>
      <w:r w:rsidR="00CE0D20">
        <w:rPr>
          <w:i/>
          <w:iCs/>
        </w:rPr>
        <w:t>’</w:t>
      </w:r>
      <w:r>
        <w:rPr>
          <w:i/>
          <w:iCs/>
        </w:rPr>
        <w:t>ordre publics</w:t>
      </w:r>
      <w:r>
        <w:t>, on pourra collecter de manière plus systématique les données concernant les violences familiales.</w:t>
      </w:r>
    </w:p>
    <w:p w:rsidR="00164199" w:rsidRDefault="00164199" w:rsidP="00D926D4">
      <w:pPr>
        <w:pStyle w:val="SingleTxt"/>
      </w:pPr>
      <w:r>
        <w:t>45.</w:t>
      </w:r>
      <w:r>
        <w:tab/>
        <w:t>D</w:t>
      </w:r>
      <w:r w:rsidR="00CE0D20">
        <w:t>’</w:t>
      </w:r>
      <w:r>
        <w:t>autre part, la République de Slovénie a également adopté d</w:t>
      </w:r>
      <w:r w:rsidR="00CE0D20">
        <w:t>’</w:t>
      </w:r>
      <w:r>
        <w:t>importants amendements législatifs visant à éliminer et à prévenir la violence familiale à l</w:t>
      </w:r>
      <w:r w:rsidR="00CE0D20">
        <w:t>’</w:t>
      </w:r>
      <w:r>
        <w:t>égard des femmes. Dans ce contexte, sont en cours d</w:t>
      </w:r>
      <w:r w:rsidR="00CE0D20">
        <w:t>’</w:t>
      </w:r>
      <w:r>
        <w:t xml:space="preserve">élaboration un plan de prévention des violences familiales et un projet de recherche intitulé </w:t>
      </w:r>
      <w:r w:rsidR="003158AC">
        <w:rPr>
          <w:i/>
          <w:iCs/>
        </w:rPr>
        <w:t xml:space="preserve">“ </w:t>
      </w:r>
      <w:r>
        <w:rPr>
          <w:i/>
          <w:iCs/>
        </w:rPr>
        <w:t>Principes directeurs avancés en matière de droit pénal fondamental</w:t>
      </w:r>
      <w:r w:rsidR="00CE0D20">
        <w:rPr>
          <w:i/>
          <w:iCs/>
        </w:rPr>
        <w:t> »</w:t>
      </w:r>
      <w:r>
        <w:t xml:space="preserve"> (il s</w:t>
      </w:r>
      <w:r w:rsidR="00CE0D20">
        <w:t>’</w:t>
      </w:r>
      <w:r>
        <w:t>agit de principes de réforme de ce droit)</w:t>
      </w:r>
      <w:r w:rsidR="00CE0D20">
        <w:t>;</w:t>
      </w:r>
      <w:r>
        <w:t xml:space="preserve"> il s</w:t>
      </w:r>
      <w:r w:rsidR="00CE0D20">
        <w:t>’</w:t>
      </w:r>
      <w:r>
        <w:t>agira de présenter les fondements théoriques de l</w:t>
      </w:r>
      <w:r w:rsidR="00CE0D20">
        <w:t>’</w:t>
      </w:r>
      <w:r>
        <w:t xml:space="preserve">intégration éventuelle au </w:t>
      </w:r>
      <w:r>
        <w:rPr>
          <w:i/>
          <w:iCs/>
        </w:rPr>
        <w:t>Code pénal</w:t>
      </w:r>
      <w:r>
        <w:t xml:space="preserve"> slovène d</w:t>
      </w:r>
      <w:r w:rsidR="00CE0D20">
        <w:t>’</w:t>
      </w:r>
      <w:r>
        <w:t xml:space="preserve">une disposition établissant le délit de </w:t>
      </w:r>
      <w:r w:rsidR="003158AC">
        <w:t xml:space="preserve">“ </w:t>
      </w:r>
      <w:r>
        <w:t>violence familiale</w:t>
      </w:r>
      <w:r w:rsidR="00CE0D20">
        <w:t> »</w:t>
      </w:r>
      <w:r>
        <w:t xml:space="preserve"> comme une catégorie de délit autonome. Des progrès ont également été réalisés en matière de création d</w:t>
      </w:r>
      <w:r w:rsidR="00CE0D20">
        <w:t>’</w:t>
      </w:r>
      <w:r>
        <w:t>un mécanisme de collecte systématique de données concernant la violence à l</w:t>
      </w:r>
      <w:r w:rsidR="00CE0D20">
        <w:t>’</w:t>
      </w:r>
      <w:r>
        <w:t>égard des femmes</w:t>
      </w:r>
      <w:r w:rsidR="00CE0D20">
        <w:t>;</w:t>
      </w:r>
      <w:r>
        <w:t xml:space="preserve"> mais il y a, dans ce contexte, des difficultés du fait que les services des procureurs et le personnel judiciaire ne considèrent pas la violence familiale à l</w:t>
      </w:r>
      <w:r w:rsidR="00CE0D20">
        <w:t>’</w:t>
      </w:r>
      <w:r>
        <w:t>égard des femmes comme une forme de violence à part.</w:t>
      </w:r>
    </w:p>
    <w:p w:rsidR="00164199" w:rsidRDefault="00164199" w:rsidP="00D926D4">
      <w:pPr>
        <w:pStyle w:val="SingleTxt"/>
      </w:pPr>
      <w:r>
        <w:t>46.</w:t>
      </w:r>
      <w:r>
        <w:tab/>
        <w:t>La mission de la police en matière de violence familiale est définie dans le cadre du plan d</w:t>
      </w:r>
      <w:r w:rsidR="00CE0D20">
        <w:t>’</w:t>
      </w:r>
      <w:r>
        <w:t>action à moyen terme pour la période 2003- 2007. Cette mission englobe l</w:t>
      </w:r>
      <w:r w:rsidR="00CE0D20">
        <w:t>’</w:t>
      </w:r>
      <w:r>
        <w:t>analyse des mesures proposées, l</w:t>
      </w:r>
      <w:r w:rsidR="00CE0D20">
        <w:t>’</w:t>
      </w:r>
      <w:r>
        <w:t>identification des failles et lacunes dans ce domaine, l</w:t>
      </w:r>
      <w:r w:rsidR="00CE0D20">
        <w:t>’</w:t>
      </w:r>
      <w:r>
        <w:t>éducation et la formation des policiers, et, enfin, leur participation active à l</w:t>
      </w:r>
      <w:r w:rsidR="00CE0D20">
        <w:t>’</w:t>
      </w:r>
      <w:r>
        <w:t>élaboration et à la mise en œuvre de solutions législatives. La police organise régulièrement des cycles de formation et de spécialisation de ses membres en matière de violence familiale, et notamment en matière de violence à l</w:t>
      </w:r>
      <w:r w:rsidR="00CE0D20">
        <w:t>’</w:t>
      </w:r>
      <w:r>
        <w:t>égard des enfants et des femmes. Cette formation est assurée par des experts de la police, par les services des procureurs, par le personnel judiciaire, les travailleurs sociaux et ceux opérant dans le domaine de la santé</w:t>
      </w:r>
      <w:r w:rsidR="00CE0D20">
        <w:t>;</w:t>
      </w:r>
      <w:r>
        <w:t xml:space="preserve"> y participent souvent, également, des experts membres d</w:t>
      </w:r>
      <w:r w:rsidR="00CE0D20">
        <w:t>’</w:t>
      </w:r>
      <w:r>
        <w:t>organisations non gouvernementales nationales et étrangères. Par ailleurs, la Direction Générale de la Police et certaines administrations policières organisent</w:t>
      </w:r>
      <w:r w:rsidR="00BA4F2E">
        <w:t xml:space="preserve"> </w:t>
      </w:r>
      <w:r>
        <w:t>tous les ans des tables rondes et réunions de consultation sur des thèmes tels que la délinquance juvénile, la violence à l</w:t>
      </w:r>
      <w:r w:rsidR="00CE0D20">
        <w:t>’</w:t>
      </w:r>
      <w:r>
        <w:t xml:space="preserve">égard des enfants et la violence familiale. Les policiers et les officiers de la police criminelle informent également les enseignants, les parents et les enfants de ces mêmes sujets. Enfin, la police conçoit des affiches et des dépliants sur les possibilités de prévention de la violence et les solutions appropriées. </w:t>
      </w:r>
    </w:p>
    <w:p w:rsidR="00164199" w:rsidRDefault="00164199" w:rsidP="00D926D4">
      <w:pPr>
        <w:pStyle w:val="SingleTxt"/>
      </w:pPr>
      <w:r>
        <w:t>47.</w:t>
      </w:r>
      <w:r>
        <w:tab/>
        <w:t>La loi sur le logement de 2003 a introduit un élément nouveau très important : elle autorise les municipalités, les fonds publics et privés destinés au logement, ou encore les organisations à but non lucratif opérant dans ce domaine, à louer des logements dans le cadre de plans provisoires d</w:t>
      </w:r>
      <w:r w:rsidR="00CE0D20">
        <w:t>’</w:t>
      </w:r>
      <w:r>
        <w:t>allocation d</w:t>
      </w:r>
      <w:r w:rsidR="00CE0D20">
        <w:t>’</w:t>
      </w:r>
      <w:r>
        <w:t>ensembles immobiliers en réponse aux besoins de logement des plus démunis, et sur la base de listes de personnes pouvant prétendre à l</w:t>
      </w:r>
      <w:r w:rsidR="00CE0D20">
        <w:t>’</w:t>
      </w:r>
      <w:r>
        <w:t>allocation de ces ensembles (autrement dit, dans le cadre d</w:t>
      </w:r>
      <w:r w:rsidR="00CE0D20">
        <w:t>’</w:t>
      </w:r>
      <w:r>
        <w:t xml:space="preserve">une offre publique). Les catégories visées sont notamment les femmes et les mères victimes de violences familiales. Les </w:t>
      </w:r>
      <w:r>
        <w:rPr>
          <w:i/>
          <w:iCs/>
        </w:rPr>
        <w:t>Règles de location d</w:t>
      </w:r>
      <w:r w:rsidR="00CE0D20">
        <w:rPr>
          <w:i/>
          <w:iCs/>
        </w:rPr>
        <w:t>’</w:t>
      </w:r>
      <w:r>
        <w:rPr>
          <w:i/>
          <w:iCs/>
        </w:rPr>
        <w:t>ensembles immobiliers à but non lucratif</w:t>
      </w:r>
      <w:r>
        <w:t xml:space="preserve"> permettent aux femmes et aux mères victimes de violences familiales (et résidant provisoirement dans des maternités ou des centres d</w:t>
      </w:r>
      <w:r w:rsidR="00CE0D20">
        <w:t>’</w:t>
      </w:r>
      <w:r>
        <w:t>hébergement – logements de sécurité, refuges, centres d</w:t>
      </w:r>
      <w:r w:rsidR="00CE0D20">
        <w:t>’</w:t>
      </w:r>
      <w:r>
        <w:t>aide aux victimes de délits) de participer à des offres publiques de location d</w:t>
      </w:r>
      <w:r w:rsidR="00CE0D20">
        <w:t>’</w:t>
      </w:r>
      <w:r>
        <w:t xml:space="preserve">ensembles de logements à but non lucratif, y compris les résidences temporaires concernées. </w:t>
      </w:r>
    </w:p>
    <w:p w:rsidR="00164199" w:rsidRDefault="00164199" w:rsidP="00D926D4">
      <w:pPr>
        <w:pStyle w:val="SingleTxt"/>
      </w:pPr>
      <w:r>
        <w:t>48.</w:t>
      </w:r>
      <w:r>
        <w:tab/>
        <w:t>Le ministère de l</w:t>
      </w:r>
      <w:r w:rsidR="00CE0D20">
        <w:t>’</w:t>
      </w:r>
      <w:r>
        <w:t>Intérieur est l</w:t>
      </w:r>
      <w:r w:rsidR="00CE0D20">
        <w:t>’</w:t>
      </w:r>
      <w:r>
        <w:t>une des principales sources de données concernant l</w:t>
      </w:r>
      <w:r w:rsidR="00CE0D20">
        <w:t>’</w:t>
      </w:r>
      <w:r>
        <w:t>importance de la violence à l</w:t>
      </w:r>
      <w:r w:rsidR="00CE0D20">
        <w:t>’</w:t>
      </w:r>
      <w:r>
        <w:t>égard des femmes. D</w:t>
      </w:r>
      <w:r w:rsidR="00CE0D20">
        <w:t>’</w:t>
      </w:r>
      <w:r>
        <w:t>après les chiffres du ministère, environ 20% des victimes d</w:t>
      </w:r>
      <w:r w:rsidR="00CE0D20">
        <w:t>’</w:t>
      </w:r>
      <w:r>
        <w:t>agressions corporelles et pouvant porter atteinte à leur vie sont des femmes. En 2004, on a compté 26,3% de femmes parmi les victimes de meurtres. Dans quelque 14,7% des cas d</w:t>
      </w:r>
      <w:r w:rsidR="00CE0D20">
        <w:t>’</w:t>
      </w:r>
      <w:r>
        <w:t>atteinte corporelle grave et dans 24% des cas d</w:t>
      </w:r>
      <w:r w:rsidR="00CE0D20">
        <w:t>’</w:t>
      </w:r>
      <w:r>
        <w:t>atteinte corporelle mineure, les victimes étaient des femmes, et les pourcentages étaient sensiblement les mêmes dans les cas de personnes menacées par un instrument dangereux</w:t>
      </w:r>
      <w:r w:rsidRPr="006A4785">
        <w:rPr>
          <w:rStyle w:val="FootnoteReference"/>
        </w:rPr>
        <w:footnoteReference w:customMarkFollows="1" w:id="15"/>
        <w:t>15</w:t>
      </w:r>
      <w:r>
        <w:t>.</w:t>
      </w:r>
    </w:p>
    <w:p w:rsidR="00164199" w:rsidRDefault="00164199" w:rsidP="00D926D4">
      <w:pPr>
        <w:pStyle w:val="SingleTxt"/>
      </w:pPr>
      <w:r>
        <w:t>49.</w:t>
      </w:r>
      <w:r>
        <w:tab/>
        <w:t>Au cours de la période 2001- 2004, le pourcentage de femmes victimes de délits troublant l</w:t>
      </w:r>
      <w:r w:rsidR="00CE0D20">
        <w:t>’</w:t>
      </w:r>
      <w:r>
        <w:t>ordre public a légèrement baissé : en 2001, il était de 42,3%, et, en 2004, de 38,8%. En revanche – toujours pour cette même période -, le pourcentage d</w:t>
      </w:r>
      <w:r w:rsidR="00CE0D20">
        <w:t>’</w:t>
      </w:r>
      <w:r>
        <w:t>actes de violence familiale par rapport au total de délits troublant l</w:t>
      </w:r>
      <w:r w:rsidR="00CE0D20">
        <w:t>’</w:t>
      </w:r>
      <w:r>
        <w:t>ordre public a considérablement augmenté : on en comptait 2566 en 2001 (soit 15,5% du total), et le chiffre est passé à 4443 en 2004 (soit 26,7% de l</w:t>
      </w:r>
      <w:r w:rsidR="00CE0D20">
        <w:t>’</w:t>
      </w:r>
      <w:r>
        <w:t>ensemble de ce type de délits). La grande majorité des délits liés à des actes de violence familiale a eu lieu dans le contexte domestique, puisque cela représente près de 90% des cas</w:t>
      </w:r>
      <w:r w:rsidRPr="006A4785">
        <w:rPr>
          <w:rStyle w:val="FootnoteReference"/>
        </w:rPr>
        <w:footnoteReference w:customMarkFollows="1" w:id="16"/>
        <w:t>16</w:t>
      </w:r>
      <w:r>
        <w:t>.</w:t>
      </w:r>
    </w:p>
    <w:p w:rsidR="00164199" w:rsidRDefault="00164199" w:rsidP="00D926D4">
      <w:pPr>
        <w:pStyle w:val="SingleTxt"/>
      </w:pPr>
      <w:r>
        <w:t>50.</w:t>
      </w:r>
      <w:r>
        <w:tab/>
        <w:t>En novembre 2003, le médiateur chargé de la défense des droits de l</w:t>
      </w:r>
      <w:r w:rsidR="00CE0D20">
        <w:t>’</w:t>
      </w:r>
      <w:r>
        <w:t>homme a organisé une réunion d</w:t>
      </w:r>
      <w:r w:rsidR="00CE0D20">
        <w:t>’</w:t>
      </w:r>
      <w:r>
        <w:t xml:space="preserve">experts intitulée </w:t>
      </w:r>
      <w:r w:rsidR="003158AC">
        <w:rPr>
          <w:i/>
          <w:iCs/>
        </w:rPr>
        <w:t xml:space="preserve">“ </w:t>
      </w:r>
      <w:r>
        <w:rPr>
          <w:i/>
          <w:iCs/>
        </w:rPr>
        <w:t>La violence familiale : vers des solutions</w:t>
      </w:r>
      <w:r w:rsidR="00CE0D20">
        <w:rPr>
          <w:i/>
          <w:iCs/>
        </w:rPr>
        <w:t> »</w:t>
      </w:r>
      <w:r>
        <w:t>, afin d</w:t>
      </w:r>
      <w:r w:rsidR="00CE0D20">
        <w:t>’</w:t>
      </w:r>
      <w:r>
        <w:t>aider les victimes et de protéger à la fois les victimes et l</w:t>
      </w:r>
      <w:r w:rsidR="00CE0D20">
        <w:t>’</w:t>
      </w:r>
      <w:r>
        <w:t>ensemble de la société des dommages causés par la violence familiale. Le médiateur y avait invité des experts de différents ministères, d</w:t>
      </w:r>
      <w:r w:rsidR="00CE0D20">
        <w:t>’</w:t>
      </w:r>
      <w:r>
        <w:t>administrations gouvernementales et d</w:t>
      </w:r>
      <w:r w:rsidR="00CE0D20">
        <w:t>’</w:t>
      </w:r>
      <w:r>
        <w:t>organisations non gouvernementales opérant dans ce domaine de la lutte contre les violences familiales. Sur la base des conclusions de cette réunion, le médiateur publiait – en juin 2004 – un rapport spécial, exposant des expériences concrètes, ainsi que les besoins dans ce domaine et les propositions des experts en question</w:t>
      </w:r>
      <w:r w:rsidR="00CE0D20">
        <w:t>;</w:t>
      </w:r>
      <w:r>
        <w:t xml:space="preserve"> ce document traitait de la violence familiale dans le contexte de l</w:t>
      </w:r>
      <w:r w:rsidR="00CE0D20">
        <w:t>’</w:t>
      </w:r>
      <w:r>
        <w:t xml:space="preserve">action quotidienne de ces personnes et organisations. </w:t>
      </w:r>
    </w:p>
    <w:p w:rsidR="00164199" w:rsidRDefault="00164199" w:rsidP="00D926D4">
      <w:pPr>
        <w:pStyle w:val="SingleTxt"/>
      </w:pPr>
      <w:r>
        <w:t>51.</w:t>
      </w:r>
      <w:r>
        <w:tab/>
        <w:t>Par ailleurs, le Conseil d</w:t>
      </w:r>
      <w:r w:rsidR="00CE0D20">
        <w:t>’</w:t>
      </w:r>
      <w:r>
        <w:t>Experts traitant de la question de la violence à l</w:t>
      </w:r>
      <w:r w:rsidR="00CE0D20">
        <w:t>’</w:t>
      </w:r>
      <w:r>
        <w:t>égard des femmes, et opérant depuis 2001 au sein du ministère du Travail, de la Famille et des Affaires sociales, a procédé à une analyse de la situation en matière de violence familiale à l</w:t>
      </w:r>
      <w:r w:rsidR="00CE0D20">
        <w:t>’</w:t>
      </w:r>
      <w:r>
        <w:t>égard des femmes</w:t>
      </w:r>
      <w:r w:rsidRPr="006A4785">
        <w:rPr>
          <w:rStyle w:val="FootnoteReference"/>
        </w:rPr>
        <w:footnoteReference w:customMarkFollows="1" w:id="17"/>
        <w:t>17</w:t>
      </w:r>
      <w:r>
        <w:t>. Il s</w:t>
      </w:r>
      <w:r w:rsidR="00CE0D20">
        <w:t>’</w:t>
      </w:r>
      <w:r>
        <w:t>agissait d</w:t>
      </w:r>
      <w:r w:rsidR="00CE0D20">
        <w:t>’</w:t>
      </w:r>
      <w:r>
        <w:t>analyser les méthodes de traitement institutionnel (par les services de santé, la justice, la police, les centres d</w:t>
      </w:r>
      <w:r w:rsidR="00CE0D20">
        <w:t>’</w:t>
      </w:r>
      <w:r>
        <w:t>assistance sociale et les organisations non gouvernementales) des femmes exposées à la violence familiale, ainsi que les bases juridiques de la lutte contre ce type de violence. L</w:t>
      </w:r>
      <w:r w:rsidR="00CE0D20">
        <w:t>’</w:t>
      </w:r>
      <w:r>
        <w:t>analyse en question, fondée sur un questionnaire adressé aux administrations policières, a indiqué que la majorité des suspects et des victimes de ce type de violence se situait dans le cadre de relations conjugales et extraconjugales (soit 34%)</w:t>
      </w:r>
      <w:r w:rsidR="00CE0D20">
        <w:t>;</w:t>
      </w:r>
      <w:r>
        <w:t xml:space="preserve"> venaient ensuite (25%) les cas se situant dans le cadre de relations amicales ou entre connaissances, les cas concernant des personnes étrangères les unes aux autres (15%) et ceux concernant des ex-épouses ou des partenaires extraconjugales (3%). Une proposition de loi fondamentale sur la prévention de la violence familiale était élaborée sur la base de cette analyse. Le Conseil d</w:t>
      </w:r>
      <w:r w:rsidR="00CE0D20">
        <w:t>’</w:t>
      </w:r>
      <w:r>
        <w:t>Experts a été reconduit en juillet 2005, sur décision du ministre compétent. Ce Conseil est chargé d</w:t>
      </w:r>
      <w:r w:rsidR="00CE0D20">
        <w:t>’</w:t>
      </w:r>
      <w:r>
        <w:t>un travail préparatoire expert et de la formulation de principes directeurs en vue de l</w:t>
      </w:r>
      <w:r w:rsidR="00CE0D20">
        <w:t>’</w:t>
      </w:r>
      <w:r>
        <w:t>adoption d</w:t>
      </w:r>
      <w:r w:rsidR="00CE0D20">
        <w:t>’</w:t>
      </w:r>
      <w:r>
        <w:t xml:space="preserve">une législation pertinente dans le domaine de la lutte contre la violence familiale, et du contrôle de son application. </w:t>
      </w:r>
    </w:p>
    <w:p w:rsidR="00164199" w:rsidRDefault="00164199" w:rsidP="00D926D4">
      <w:pPr>
        <w:pStyle w:val="SingleTxt"/>
      </w:pPr>
      <w:r>
        <w:t>52.</w:t>
      </w:r>
      <w:r>
        <w:tab/>
        <w:t>L</w:t>
      </w:r>
      <w:r w:rsidR="00CE0D20">
        <w:t>’</w:t>
      </w:r>
      <w:r>
        <w:t>action de prévention de la violence à l</w:t>
      </w:r>
      <w:r w:rsidR="00CE0D20">
        <w:t>’</w:t>
      </w:r>
      <w:r>
        <w:t xml:space="preserve">égard des femmes est une partie intégrante du programme de travail du Bureau pour </w:t>
      </w:r>
      <w:r w:rsidR="00247191">
        <w:t>L’Égalité</w:t>
      </w:r>
      <w:r>
        <w:t xml:space="preserve"> des chances. Lors des journées internationales de lutte contre la violence à l</w:t>
      </w:r>
      <w:r w:rsidR="00CE0D20">
        <w:t>’</w:t>
      </w:r>
      <w:r>
        <w:t xml:space="preserve">égard des femmes, en 2004, le Bureau pour </w:t>
      </w:r>
      <w:r w:rsidR="00247191">
        <w:t>L’Égalité</w:t>
      </w:r>
      <w:r>
        <w:t xml:space="preserve"> des chances a organisé une session intitulée </w:t>
      </w:r>
      <w:r w:rsidR="003158AC">
        <w:rPr>
          <w:i/>
          <w:iCs/>
        </w:rPr>
        <w:t xml:space="preserve">“ </w:t>
      </w:r>
      <w:r>
        <w:rPr>
          <w:i/>
          <w:iCs/>
        </w:rPr>
        <w:t>Parler ouvertement de la violence à l</w:t>
      </w:r>
      <w:r w:rsidR="00CE0D20">
        <w:rPr>
          <w:i/>
          <w:iCs/>
        </w:rPr>
        <w:t>’</w:t>
      </w:r>
      <w:r>
        <w:rPr>
          <w:i/>
          <w:iCs/>
        </w:rPr>
        <w:t>égard des femmes âgées</w:t>
      </w:r>
      <w:r w:rsidR="00CE0D20">
        <w:rPr>
          <w:i/>
          <w:iCs/>
        </w:rPr>
        <w:t> »</w:t>
      </w:r>
      <w:r>
        <w:t>, et à laquelle participaient des représentants d</w:t>
      </w:r>
      <w:r w:rsidR="00CE0D20">
        <w:t>’</w:t>
      </w:r>
      <w:r>
        <w:t>organisations non gouvernementales, de centres d</w:t>
      </w:r>
      <w:r w:rsidR="00CE0D20">
        <w:t>’</w:t>
      </w:r>
      <w:r>
        <w:t>assistance sociale, de services de santé et de soins à domicile, d</w:t>
      </w:r>
      <w:r w:rsidR="00CE0D20">
        <w:t>’</w:t>
      </w:r>
      <w:r>
        <w:t>associations de retraités, de la justice, de la police, et diverses personnes intéressées par la question. L</w:t>
      </w:r>
      <w:r w:rsidR="00CE0D20">
        <w:t>’</w:t>
      </w:r>
      <w:r>
        <w:t>analyse présentée lors de cette session a indiqué que les femmes âgées étaient beaucoup plus souvent victimes que les hommes âgés de diverses formes de violence dans le cadre de leur domicile. Les formes les plus fréquentes de violence à l</w:t>
      </w:r>
      <w:r w:rsidR="00CE0D20">
        <w:t>’</w:t>
      </w:r>
      <w:r>
        <w:t>égard des femmes âgées sont d</w:t>
      </w:r>
      <w:r w:rsidR="00CE0D20">
        <w:t>’</w:t>
      </w:r>
      <w:r>
        <w:t xml:space="preserve">ordre psychologique, affectif, mais aussi physique, et les auteurs de ces violences sont le plus souvent les compagnons des femmes en question. </w:t>
      </w:r>
    </w:p>
    <w:p w:rsidR="00164199" w:rsidRDefault="00164199" w:rsidP="00D926D4">
      <w:pPr>
        <w:pStyle w:val="SingleTxt"/>
      </w:pPr>
      <w:r>
        <w:t>53.</w:t>
      </w:r>
      <w:r>
        <w:tab/>
        <w:t>Dans le cadre des services publics, les centres d</w:t>
      </w:r>
      <w:r w:rsidR="00CE0D20">
        <w:t>’</w:t>
      </w:r>
      <w:r>
        <w:t>assistance sociale travaillent dans le sens de l</w:t>
      </w:r>
      <w:r w:rsidR="00CE0D20">
        <w:t>’</w:t>
      </w:r>
      <w:r>
        <w:t>élimination des détresses et problèmes existant dans ce domaine, et de la protection des personnes victimes de violences. Ces centres d</w:t>
      </w:r>
      <w:r w:rsidR="00CE0D20">
        <w:t>’</w:t>
      </w:r>
      <w:r>
        <w:t>assistance sociale jouent également un rôle important en termes d</w:t>
      </w:r>
      <w:r w:rsidR="00CE0D20">
        <w:t>’</w:t>
      </w:r>
      <w:r>
        <w:t>aide aux auteurs de violences : il s</w:t>
      </w:r>
      <w:r w:rsidR="00CE0D20">
        <w:t>’</w:t>
      </w:r>
      <w:r>
        <w:t>agit alors de s</w:t>
      </w:r>
      <w:r w:rsidR="00CE0D20">
        <w:t>’</w:t>
      </w:r>
      <w:r>
        <w:t>efforcer d</w:t>
      </w:r>
      <w:r w:rsidR="00CE0D20">
        <w:t>’</w:t>
      </w:r>
      <w:r>
        <w:t>éliminer les causes des comportements violents de ces personnes et de prévenir ainsi leur répétition. Dans ce contexte, il faut noter un élément nouveau : les coordinateurs régionaux, qui coordonnent l</w:t>
      </w:r>
      <w:r w:rsidR="00CE0D20">
        <w:t>’</w:t>
      </w:r>
      <w:r>
        <w:t>action et fournissent un soutien expert au personnel des centres d</w:t>
      </w:r>
      <w:r w:rsidR="00CE0D20">
        <w:t>’</w:t>
      </w:r>
      <w:r>
        <w:t>assistance sociale, mais aussi aux victimes de violences</w:t>
      </w:r>
      <w:r w:rsidR="00CE0D20">
        <w:t>;</w:t>
      </w:r>
      <w:r>
        <w:t xml:space="preserve"> ces coordinateurs participent également à l</w:t>
      </w:r>
      <w:r w:rsidR="00CE0D20">
        <w:t>’</w:t>
      </w:r>
      <w:r>
        <w:t>action des équipes interinstitutionnelles de prévention de la violence. En 2004/2005, les centres d</w:t>
      </w:r>
      <w:r w:rsidR="00CE0D20">
        <w:t>’</w:t>
      </w:r>
      <w:r>
        <w:t xml:space="preserve">assistance sociale ont eu recours aux services de 12 coordinateurs régionaux. </w:t>
      </w:r>
    </w:p>
    <w:p w:rsidR="00164199" w:rsidRDefault="00164199" w:rsidP="00D926D4">
      <w:pPr>
        <w:pStyle w:val="SingleTxt"/>
      </w:pPr>
      <w:r>
        <w:t>54.</w:t>
      </w:r>
      <w:r>
        <w:tab/>
        <w:t>Le Groupe de travail pour la non violence, opérant au sein de la Chambre des Services d</w:t>
      </w:r>
      <w:r w:rsidR="00CE0D20">
        <w:t>’</w:t>
      </w:r>
      <w:r>
        <w:t>Infirmiers et de Sages-femmes de Slovénie (Association slovène des Organisations d</w:t>
      </w:r>
      <w:r w:rsidR="00CE0D20">
        <w:t>’</w:t>
      </w:r>
      <w:r>
        <w:t>Infirmiers, de Sages-femmes, et de Techniciens médicaux), joue un rôle important en matière d</w:t>
      </w:r>
      <w:r w:rsidR="00CE0D20">
        <w:t>’</w:t>
      </w:r>
      <w:r>
        <w:t>identification de la violence, et ce, par l</w:t>
      </w:r>
      <w:r w:rsidR="00CE0D20">
        <w:t>’</w:t>
      </w:r>
      <w:r>
        <w:t>intermédiaire du personnel soignant et des réponses appropriées que ce dernier peut apporter. Ce Groupe de travail se consacre essentiellement au renforcement du rôle et des responsabilités du personnel des institutions de soins de santé en vue de réduire la tolérance vis-à-vis de la violence en général, et de prévenir et d</w:t>
      </w:r>
      <w:r w:rsidR="00CE0D20">
        <w:t>’</w:t>
      </w:r>
      <w:r>
        <w:t>éliminer la violence sur le lieu de travail. Dans le cadre de ses activités, ce Groupe de travail a élaboré notamment des protocoles spéciaux sur le comportement que doit adopter le personnel soignant lorsqu</w:t>
      </w:r>
      <w:r w:rsidR="00CE0D20">
        <w:t>’</w:t>
      </w:r>
      <w:r>
        <w:t>il est confronté à des femmes victimes de violences familiales</w:t>
      </w:r>
      <w:r w:rsidR="00CE0D20">
        <w:t>;</w:t>
      </w:r>
      <w:r>
        <w:t xml:space="preserve"> ce Groupe de travail a également géré plusieurs sessions de formation experte, à l</w:t>
      </w:r>
      <w:r w:rsidR="00CE0D20">
        <w:t>’</w:t>
      </w:r>
      <w:r>
        <w:t>intention de ces personnels, au sujet de la violence sexuelle sur le lieu de travail</w:t>
      </w:r>
      <w:r w:rsidR="00CE0D20">
        <w:t>;</w:t>
      </w:r>
      <w:r>
        <w:t xml:space="preserve"> il a aussi participé de manière active à diverses campagnes publiques et élaboré divers matériels pédagogiques à l</w:t>
      </w:r>
      <w:r w:rsidR="00CE0D20">
        <w:t>’</w:t>
      </w:r>
      <w:r>
        <w:t>intention des personnels soignants, des usagers des services hospitaliers, des visiteurs d</w:t>
      </w:r>
      <w:r w:rsidR="00CE0D20">
        <w:t>’</w:t>
      </w:r>
      <w:r>
        <w:t>hôpitaux et autres personnes amenées à intégrer des établissements de soins de santé.</w:t>
      </w:r>
    </w:p>
    <w:p w:rsidR="00164199" w:rsidRDefault="00164199" w:rsidP="00D926D4">
      <w:pPr>
        <w:pStyle w:val="SingleTxt"/>
      </w:pPr>
      <w:r>
        <w:t>55.</w:t>
      </w:r>
      <w:r>
        <w:tab/>
        <w:t>En 2004 et 2005, dans le cadre de l</w:t>
      </w:r>
      <w:r w:rsidR="00CE0D20">
        <w:t>’</w:t>
      </w:r>
      <w:r>
        <w:t>offre publique de cofinancement de projets d</w:t>
      </w:r>
      <w:r w:rsidR="00CE0D20">
        <w:t>’</w:t>
      </w:r>
      <w:r>
        <w:t xml:space="preserve">organisations non gouvernementales, le Bureau pour </w:t>
      </w:r>
      <w:r w:rsidR="00247191">
        <w:t>L’Égalité</w:t>
      </w:r>
      <w:r>
        <w:t xml:space="preserve"> des chances a apporté une aide financière à la réalisation de 12 projets de lutte contre la violence à l</w:t>
      </w:r>
      <w:r w:rsidR="00CE0D20">
        <w:t>’</w:t>
      </w:r>
      <w:r>
        <w:t>égard des femmes. Ces projets concernaient notamment l</w:t>
      </w:r>
      <w:r w:rsidR="00CE0D20">
        <w:t>’</w:t>
      </w:r>
      <w:r>
        <w:t>identification et le traitement des questions de violence dans les domaines des soins de santé, du harcèlement sexuel sur le lieu de travail, de la violence à l</w:t>
      </w:r>
      <w:r w:rsidR="00CE0D20">
        <w:t>’</w:t>
      </w:r>
      <w:r>
        <w:t>égard des femmes handicapées, de la défense des femmes exposées à la violence, du conseil et du soutien individuels et collectifs aux victimes, de l</w:t>
      </w:r>
      <w:r w:rsidR="00CE0D20">
        <w:t>’</w:t>
      </w:r>
      <w:r>
        <w:t>initiation sociale des auteurs de violences, de la prévention de la violence et de la sensibilisation du grand public.</w:t>
      </w:r>
    </w:p>
    <w:p w:rsidR="00164199" w:rsidRDefault="00164199" w:rsidP="00D926D4">
      <w:pPr>
        <w:pStyle w:val="SingleTxt"/>
      </w:pPr>
      <w:r>
        <w:t>56.</w:t>
      </w:r>
      <w:r>
        <w:tab/>
        <w:t>Le ministère du Travail, de la Famille et des Affaires sociales cofinance des programmes de prévention de la violence familiale. Dans le cadre d</w:t>
      </w:r>
      <w:r w:rsidR="00CE0D20">
        <w:t>’</w:t>
      </w:r>
      <w:r>
        <w:t>une offre publique, ce ministère a cofinancé, en 2004, vingt-quatre programmes, qui ont été mis en œuvre par des organisations non gouvernementales et des institutions publiques, avec un budget de 9 millions de SIT (environ 40 000 dollars). Puis, en 2005, le ministère du Travail, de la Famille et des Affaires sociales a débloqué 247 millions de SIT (soit environ 1 235 000 dollars) pour la mise en œuvre de programmes de logements sûrs, d</w:t>
      </w:r>
      <w:r w:rsidR="00CE0D20">
        <w:t>’</w:t>
      </w:r>
      <w:r>
        <w:t>un programme lié à un centre de crise et d</w:t>
      </w:r>
      <w:r w:rsidR="00CE0D20">
        <w:t>’</w:t>
      </w:r>
      <w:r>
        <w:t>autres programmes d</w:t>
      </w:r>
      <w:r w:rsidR="00CE0D20">
        <w:t>’</w:t>
      </w:r>
      <w:r>
        <w:t>aide aux victimes de la violence. Le ministère a également consacré 78 862 555 SIT supplémentaires (soit environ 394 000 dollars) à d</w:t>
      </w:r>
      <w:r w:rsidR="00CE0D20">
        <w:t>’</w:t>
      </w:r>
      <w:r>
        <w:t xml:space="preserve">autres programmes directement ou indirectement liés à ces questions. </w:t>
      </w:r>
    </w:p>
    <w:p w:rsidR="00164199" w:rsidRDefault="00164199" w:rsidP="00D926D4">
      <w:pPr>
        <w:pStyle w:val="SingleTxt"/>
      </w:pPr>
      <w:r>
        <w:t>57.</w:t>
      </w:r>
      <w:r>
        <w:tab/>
        <w:t>Parallèlement aux organisations non gouvernementales nationales – qui jouent un rôle très appréciable en matière de prévention et d</w:t>
      </w:r>
      <w:r w:rsidR="00CE0D20">
        <w:t>’</w:t>
      </w:r>
      <w:r>
        <w:t>élimination de la violence à l</w:t>
      </w:r>
      <w:r w:rsidR="00CE0D20">
        <w:t>’</w:t>
      </w:r>
      <w:r>
        <w:t>égard des femmes et de la violence familiale, ainsi qu</w:t>
      </w:r>
      <w:r w:rsidR="00CE0D20">
        <w:t>’</w:t>
      </w:r>
      <w:r>
        <w:t>en matière d</w:t>
      </w:r>
      <w:r w:rsidR="00CE0D20">
        <w:t>’</w:t>
      </w:r>
      <w:r>
        <w:t>assistance et de soutien aux victimes, et en ce qui concerne également l</w:t>
      </w:r>
      <w:r w:rsidR="00CE0D20">
        <w:t>’</w:t>
      </w:r>
      <w:r>
        <w:t>action menée auprès des auteurs de violences -, les établissements d</w:t>
      </w:r>
      <w:r w:rsidR="00CE0D20">
        <w:t>’</w:t>
      </w:r>
      <w:r>
        <w:t xml:space="preserve">enseignement, de recherche et autres, les ONG internationales et les médias sont également très actifs, dans ce domaine, en Slovénie. </w:t>
      </w:r>
    </w:p>
    <w:p w:rsidR="004330E9" w:rsidRPr="004330E9" w:rsidRDefault="004330E9" w:rsidP="004330E9">
      <w:pPr>
        <w:pStyle w:val="SingleTxt"/>
        <w:spacing w:after="0" w:line="120" w:lineRule="exact"/>
        <w:rPr>
          <w:sz w:val="10"/>
        </w:rPr>
      </w:pPr>
    </w:p>
    <w:p w:rsidR="00164199" w:rsidRDefault="004330E9" w:rsidP="00433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Le harcèlement sexuel sur le lieu de travail</w:t>
      </w:r>
    </w:p>
    <w:p w:rsidR="004330E9" w:rsidRPr="004330E9" w:rsidRDefault="004330E9" w:rsidP="004330E9">
      <w:pPr>
        <w:pStyle w:val="SingleTxt"/>
        <w:spacing w:after="0" w:line="120" w:lineRule="exact"/>
        <w:rPr>
          <w:sz w:val="10"/>
        </w:rPr>
      </w:pPr>
    </w:p>
    <w:p w:rsidR="00164199" w:rsidRDefault="00164199" w:rsidP="00D926D4">
      <w:pPr>
        <w:pStyle w:val="SingleTxt"/>
      </w:pPr>
      <w:r w:rsidRPr="0019228B">
        <w:t>58.</w:t>
      </w:r>
      <w:r>
        <w:tab/>
        <w:t>Le Troisième Rapport a déjà présenté l</w:t>
      </w:r>
      <w:r w:rsidR="00CE0D20">
        <w:t>’</w:t>
      </w:r>
      <w:r>
        <w:t xml:space="preserve">article 45 de la </w:t>
      </w:r>
      <w:r>
        <w:rPr>
          <w:i/>
          <w:iCs/>
        </w:rPr>
        <w:t>Loi sur les relations professionnelles</w:t>
      </w:r>
      <w:r>
        <w:t xml:space="preserve">, qui interdit tout harcèlement sexuel sur le lieu de travail. Cette interdiction est également inscrite dans la </w:t>
      </w:r>
      <w:r>
        <w:rPr>
          <w:i/>
          <w:iCs/>
        </w:rPr>
        <w:t>Loi sur la Fonction publique</w:t>
      </w:r>
      <w:r>
        <w:t>, adoptée et modifiée en décembre 2005. L</w:t>
      </w:r>
      <w:r w:rsidR="00CE0D20">
        <w:t>’</w:t>
      </w:r>
      <w:r>
        <w:t>article 15.a, qui a été ajouté à ce texte de loi, interdit tout comportement physique, verbal ou autre, qui soit préjudiciable, de la part d</w:t>
      </w:r>
      <w:r w:rsidR="00CE0D20">
        <w:t>’</w:t>
      </w:r>
      <w:r>
        <w:t>un employé de la fonction publique – comportement ou conduite qui serait fondé(e) sur des caractéristiques personnelles de la personne visée et créerait un climat professionnel menaçant, hostile, dégradant, humiliant, agressif ou insultant pour tout autre employé du service en question, et qui constituerait une atteinte à la dignité de cette personne.</w:t>
      </w:r>
    </w:p>
    <w:p w:rsidR="00164199" w:rsidRDefault="00164199" w:rsidP="00D926D4">
      <w:pPr>
        <w:pStyle w:val="SingleTxt"/>
      </w:pPr>
      <w:r>
        <w:t>59.</w:t>
      </w:r>
      <w:r>
        <w:tab/>
        <w:t>Les dispositions de l</w:t>
      </w:r>
      <w:r w:rsidR="00CE0D20">
        <w:t>’</w:t>
      </w:r>
      <w:r>
        <w:t xml:space="preserve">article 184 du </w:t>
      </w:r>
      <w:r>
        <w:rPr>
          <w:i/>
          <w:iCs/>
        </w:rPr>
        <w:t>Code pénal</w:t>
      </w:r>
      <w:r>
        <w:t xml:space="preserve"> s</w:t>
      </w:r>
      <w:r w:rsidR="00CE0D20">
        <w:t>’</w:t>
      </w:r>
      <w:r>
        <w:t>appliquent à tous les cas de harcèlement sexuel et qualifient d</w:t>
      </w:r>
      <w:r w:rsidR="00CE0D20">
        <w:t>’</w:t>
      </w:r>
      <w:r w:rsidR="003158AC">
        <w:t>« </w:t>
      </w:r>
      <w:r>
        <w:t>infraction pénale</w:t>
      </w:r>
      <w:r w:rsidR="00CE0D20">
        <w:t> »</w:t>
      </w:r>
      <w:r>
        <w:t xml:space="preserve"> toute violation de l</w:t>
      </w:r>
      <w:r w:rsidR="00CE0D20">
        <w:t>’</w:t>
      </w:r>
      <w:r>
        <w:t>intégrité sexuelle d</w:t>
      </w:r>
      <w:r w:rsidR="00CE0D20">
        <w:t>’</w:t>
      </w:r>
      <w:r>
        <w:t>autrui qui serait fondée sur un abus de pouvoir</w:t>
      </w:r>
      <w:r w:rsidR="00CE0D20">
        <w:t>;</w:t>
      </w:r>
      <w:r>
        <w:t xml:space="preserve"> aux termes de cet article, ce type de comportement est passible d</w:t>
      </w:r>
      <w:r w:rsidR="00CE0D20">
        <w:t>’</w:t>
      </w:r>
      <w:r>
        <w:t>une peine d</w:t>
      </w:r>
      <w:r w:rsidR="00CE0D20">
        <w:t>’</w:t>
      </w:r>
      <w:r>
        <w:t>emprisonnement pouvant aller jusqu</w:t>
      </w:r>
      <w:r w:rsidR="00CE0D20">
        <w:t>’</w:t>
      </w:r>
      <w:r>
        <w:t>à cinq ans au plus, et toute forme aggravée de cette conduite est passible d</w:t>
      </w:r>
      <w:r w:rsidR="00CE0D20">
        <w:t>’</w:t>
      </w:r>
      <w:r>
        <w:t>une peine d</w:t>
      </w:r>
      <w:r w:rsidR="00CE0D20">
        <w:t>’</w:t>
      </w:r>
      <w:r>
        <w:t>emprisonnement pouvant aller de un à huit ans. D</w:t>
      </w:r>
      <w:r w:rsidR="00CE0D20">
        <w:t>’</w:t>
      </w:r>
      <w:r>
        <w:t>après les statistiques de la police</w:t>
      </w:r>
      <w:r w:rsidRPr="006A4785">
        <w:rPr>
          <w:rStyle w:val="FootnoteReference"/>
        </w:rPr>
        <w:footnoteReference w:customMarkFollows="1" w:id="18"/>
        <w:t>18</w:t>
      </w:r>
      <w:r>
        <w:t>, le nombre d</w:t>
      </w:r>
      <w:r w:rsidR="00CE0D20">
        <w:t>’</w:t>
      </w:r>
      <w:r>
        <w:t>infractions pénales portant atteinte à l</w:t>
      </w:r>
      <w:r w:rsidR="00CE0D20">
        <w:t>’</w:t>
      </w:r>
      <w:r>
        <w:t>intégrité sexuelle d</w:t>
      </w:r>
      <w:r w:rsidR="00CE0D20">
        <w:t>’</w:t>
      </w:r>
      <w:r>
        <w:t>autrui a varié ces dernières années : ainsi, en 2003, on a compté 12 délits de ce type – dus à un abus de pouvoir -, et 21 en 2004 (les victimes étant essentiellement des femmes).</w:t>
      </w:r>
    </w:p>
    <w:p w:rsidR="00164199" w:rsidRDefault="00164199" w:rsidP="00D926D4">
      <w:pPr>
        <w:pStyle w:val="SingleTxt"/>
      </w:pPr>
      <w:r>
        <w:t>60.</w:t>
      </w:r>
      <w:r>
        <w:tab/>
        <w:t>Depuis le début de l</w:t>
      </w:r>
      <w:r w:rsidR="00CE0D20">
        <w:t>’</w:t>
      </w:r>
      <w:r>
        <w:t xml:space="preserve">année 2003 – date à laquelle la nouvelle </w:t>
      </w:r>
      <w:r>
        <w:rPr>
          <w:i/>
          <w:iCs/>
        </w:rPr>
        <w:t>Loi sur les relations professionnelles</w:t>
      </w:r>
      <w:r>
        <w:t xml:space="preserve"> est entrée en vigueur -, les dispositions de cette loi, déjà exposées dans le Troisième Rapport de la République de Slovénie, s</w:t>
      </w:r>
      <w:r w:rsidR="00CE0D20">
        <w:t>’</w:t>
      </w:r>
      <w:r>
        <w:t xml:space="preserve">appliquent également aux cas de harcèlement sexuel sur le lieu de travail. </w:t>
      </w:r>
    </w:p>
    <w:p w:rsidR="00164199" w:rsidRDefault="00164199" w:rsidP="00D926D4">
      <w:pPr>
        <w:pStyle w:val="SingleTxt"/>
      </w:pPr>
      <w:r>
        <w:t>61.</w:t>
      </w:r>
      <w:r>
        <w:tab/>
        <w:t>Dans le but d</w:t>
      </w:r>
      <w:r w:rsidR="00CE0D20">
        <w:t>’</w:t>
      </w:r>
      <w:r>
        <w:t>informer au sujet de l</w:t>
      </w:r>
      <w:r w:rsidR="00CE0D20">
        <w:t>’</w:t>
      </w:r>
      <w:r>
        <w:t xml:space="preserve">article 45 de la </w:t>
      </w:r>
      <w:r>
        <w:rPr>
          <w:i/>
          <w:iCs/>
        </w:rPr>
        <w:t>Loi sur les relations professionnelles</w:t>
      </w:r>
      <w:r>
        <w:t xml:space="preserve"> – qui oblige tout employeur à garantir un cadre de travail exempt de tout risque de harcèlement sexuel -, le Bureau pour </w:t>
      </w:r>
      <w:r w:rsidR="00247191">
        <w:t>L’Égalité</w:t>
      </w:r>
      <w:r>
        <w:t xml:space="preserve"> des chances a organisé, fin 2003, une conférence sur le harcèlement sexuel, à l</w:t>
      </w:r>
      <w:r w:rsidR="00CE0D20">
        <w:t>’</w:t>
      </w:r>
      <w:r>
        <w:t>intention des employeurs, des syndicats, des avocats, des personnels des services de gestion des ressources humaines, ainsi que du public en général (profane ou professionnel – c</w:t>
      </w:r>
      <w:r w:rsidR="00CE0D20">
        <w:t>’</w:t>
      </w:r>
      <w:r>
        <w:t xml:space="preserve">est-à-dire, dans ce dernier cas, la police, la justice et les organisations non gouvernementales). A la suite de cette conférence, le Bureau pour </w:t>
      </w:r>
      <w:r w:rsidR="00247191">
        <w:t>L’Égalité</w:t>
      </w:r>
      <w:r>
        <w:t xml:space="preserve"> des chances a adressé à toutes les entreprises (grandes et moyennes), aux syndicats, aux organisations non gouvernementales et au secteur public (ministères, collectivités locales, établissements de soins de santé et d</w:t>
      </w:r>
      <w:r w:rsidR="00CE0D20">
        <w:t>’</w:t>
      </w:r>
      <w:r>
        <w:t>aide sociale, justice, établissements d</w:t>
      </w:r>
      <w:r w:rsidR="00CE0D20">
        <w:t>’</w:t>
      </w:r>
      <w:r>
        <w:t xml:space="preserve">enseignement, etc.) les documents liés à cette réunion, et notamment la publication intitulée </w:t>
      </w:r>
      <w:r w:rsidR="00E6532D">
        <w:t>« </w:t>
      </w:r>
      <w:r>
        <w:rPr>
          <w:i/>
          <w:iCs/>
        </w:rPr>
        <w:t>Comment traiter le problème du harcèlement sexuel sur le lieu de travail</w:t>
      </w:r>
      <w:r w:rsidR="00CE0D20">
        <w:rPr>
          <w:i/>
          <w:iCs/>
        </w:rPr>
        <w:t>? »</w:t>
      </w:r>
      <w:r>
        <w:t xml:space="preserve"> et un exemplaire de la </w:t>
      </w:r>
      <w:r w:rsidR="00BA4F2E">
        <w:t>« </w:t>
      </w:r>
      <w:r>
        <w:rPr>
          <w:i/>
          <w:iCs/>
        </w:rPr>
        <w:t>Déclaration relative à la lutte contre le harcèlement sexuel</w:t>
      </w:r>
      <w:r w:rsidR="00CE0D20">
        <w:rPr>
          <w:i/>
          <w:iCs/>
        </w:rPr>
        <w:t> »</w:t>
      </w:r>
      <w:r>
        <w:t xml:space="preserve">. En 2004, le Bureau pour </w:t>
      </w:r>
      <w:r w:rsidR="00BA4F2E">
        <w:t>l’</w:t>
      </w:r>
      <w:r w:rsidR="00221C8A">
        <w:t>Égalité</w:t>
      </w:r>
      <w:r>
        <w:t xml:space="preserve"> des chances publiait une brochure intitulée </w:t>
      </w:r>
      <w:r w:rsidR="00E6532D">
        <w:t>« </w:t>
      </w:r>
      <w:r>
        <w:rPr>
          <w:i/>
          <w:iCs/>
        </w:rPr>
        <w:t>Le harcèlement sexuel sur le lieu de travail</w:t>
      </w:r>
      <w:r w:rsidR="00CE0D20">
        <w:rPr>
          <w:i/>
          <w:iCs/>
        </w:rPr>
        <w:t> »</w:t>
      </w:r>
      <w:r>
        <w:t xml:space="preserve">, et en adressait un exemplaire à tous les groupes et catégories précités. </w:t>
      </w:r>
    </w:p>
    <w:p w:rsidR="00164199" w:rsidRDefault="00164199" w:rsidP="00D926D4">
      <w:pPr>
        <w:pStyle w:val="SingleTxt"/>
      </w:pPr>
      <w:r>
        <w:t>62.</w:t>
      </w:r>
      <w:r>
        <w:tab/>
        <w:t>En 2003, l</w:t>
      </w:r>
      <w:r w:rsidR="00CE0D20">
        <w:t>’</w:t>
      </w:r>
      <w:r>
        <w:t>Avocate de l</w:t>
      </w:r>
      <w:r w:rsidR="00CE0D20">
        <w:t>’</w:t>
      </w:r>
      <w:r>
        <w:t>égalité des chances des femmes et des hommes a traité d</w:t>
      </w:r>
      <w:r w:rsidR="00CE0D20">
        <w:t>’</w:t>
      </w:r>
      <w:r>
        <w:t>une plainte de harcèlement sexuel sur le lieu de travail. L</w:t>
      </w:r>
      <w:r w:rsidR="00CE0D20">
        <w:t>’</w:t>
      </w:r>
      <w:r>
        <w:t>Avocate a pu établir que tous les signataires de cette plainte (c</w:t>
      </w:r>
      <w:r w:rsidR="00CE0D20">
        <w:t>’</w:t>
      </w:r>
      <w:r>
        <w:t>est-à-dire cinq employés) avaient été exposés au harcèlement sexuel de leur supérieur</w:t>
      </w:r>
      <w:r w:rsidR="00CE0D20">
        <w:t>;</w:t>
      </w:r>
      <w:r>
        <w:t xml:space="preserve"> par conséquent, elle a adressé à l</w:t>
      </w:r>
      <w:r w:rsidR="00CE0D20">
        <w:t>’</w:t>
      </w:r>
      <w:r>
        <w:t>employeur en question une recommandation lui demandant d</w:t>
      </w:r>
      <w:r w:rsidR="00CE0D20">
        <w:t>’</w:t>
      </w:r>
      <w:r>
        <w:t>adopter une déclaration de politique de lutte contre le harcèlement sexuel, et l</w:t>
      </w:r>
      <w:r w:rsidR="00CE0D20">
        <w:t>’</w:t>
      </w:r>
      <w:r>
        <w:t>employeur s</w:t>
      </w:r>
      <w:r w:rsidR="00CE0D20">
        <w:t>’</w:t>
      </w:r>
      <w:r>
        <w:t>y est conformé. L</w:t>
      </w:r>
      <w:r w:rsidR="00CE0D20">
        <w:t>’</w:t>
      </w:r>
      <w:r>
        <w:t>Avocate de l</w:t>
      </w:r>
      <w:r w:rsidR="00CE0D20">
        <w:t>’</w:t>
      </w:r>
      <w:r>
        <w:t>égalité des chances a également traité d</w:t>
      </w:r>
      <w:r w:rsidR="00CE0D20">
        <w:t>’</w:t>
      </w:r>
      <w:r>
        <w:t>un autre dossier de harcèlement en 2004.</w:t>
      </w:r>
    </w:p>
    <w:p w:rsidR="00164199" w:rsidRDefault="00164199" w:rsidP="00D926D4">
      <w:pPr>
        <w:pStyle w:val="SingleTxt"/>
      </w:pPr>
      <w:r>
        <w:t>63.</w:t>
      </w:r>
      <w:r>
        <w:tab/>
        <w:t>Toujours en 2004, les inspecteurs du travail sollicités n</w:t>
      </w:r>
      <w:r w:rsidR="00CE0D20">
        <w:t>’</w:t>
      </w:r>
      <w:r>
        <w:t>ont pas établi de cas de harcèlement sexuel sur le lieu de travail. Ils avaient reçu plusieurs appels anonymes de femmes qui leur demandaient une aide sur le plan professionnel</w:t>
      </w:r>
      <w:r w:rsidR="00CE0D20">
        <w:t>;</w:t>
      </w:r>
      <w:r>
        <w:t xml:space="preserve"> cependant, ces femmes ont finalement renoncé à signaler le délit dans la mesure où l</w:t>
      </w:r>
      <w:r w:rsidR="00CE0D20">
        <w:t>’</w:t>
      </w:r>
      <w:r>
        <w:t>auteur présumé du harcèlement était leur supérieur – dans la majorité des cas</w:t>
      </w:r>
      <w:r w:rsidRPr="006A4785">
        <w:rPr>
          <w:rStyle w:val="FootnoteReference"/>
        </w:rPr>
        <w:footnoteReference w:customMarkFollows="1" w:id="19"/>
        <w:t>19</w:t>
      </w:r>
      <w:r>
        <w:t>.</w:t>
      </w:r>
    </w:p>
    <w:p w:rsidR="00164199" w:rsidRDefault="003158AC" w:rsidP="003158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164199">
        <w:t>Article 6</w:t>
      </w:r>
    </w:p>
    <w:p w:rsidR="003158AC" w:rsidRPr="003158AC" w:rsidRDefault="003158AC" w:rsidP="003158AC">
      <w:pPr>
        <w:pStyle w:val="SingleTxt"/>
        <w:spacing w:after="0" w:line="120" w:lineRule="exact"/>
        <w:rPr>
          <w:sz w:val="10"/>
        </w:rPr>
      </w:pPr>
    </w:p>
    <w:p w:rsidR="003158AC" w:rsidRPr="003158AC" w:rsidRDefault="003158AC" w:rsidP="003158AC">
      <w:pPr>
        <w:pStyle w:val="SingleTxt"/>
        <w:spacing w:after="0" w:line="120" w:lineRule="exact"/>
        <w:rPr>
          <w:sz w:val="10"/>
        </w:rPr>
      </w:pPr>
    </w:p>
    <w:p w:rsidR="00164199" w:rsidRDefault="003158AC" w:rsidP="003158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w:t>
      </w:r>
      <w:r>
        <w:t>a traite des femmes et la prostitution</w:t>
      </w:r>
    </w:p>
    <w:p w:rsidR="003158AC" w:rsidRPr="003158AC" w:rsidRDefault="003158AC" w:rsidP="003158AC">
      <w:pPr>
        <w:pStyle w:val="SingleTxt"/>
        <w:spacing w:after="0" w:line="120" w:lineRule="exact"/>
        <w:rPr>
          <w:sz w:val="10"/>
        </w:rPr>
      </w:pPr>
    </w:p>
    <w:p w:rsidR="003158AC" w:rsidRPr="003158AC" w:rsidRDefault="003158AC" w:rsidP="003158AC">
      <w:pPr>
        <w:pStyle w:val="SingleTxt"/>
        <w:spacing w:after="0" w:line="120" w:lineRule="exact"/>
        <w:rPr>
          <w:sz w:val="10"/>
        </w:rPr>
      </w:pPr>
    </w:p>
    <w:p w:rsidR="00164199" w:rsidRDefault="00164199" w:rsidP="00D926D4">
      <w:pPr>
        <w:pStyle w:val="SingleTxt"/>
      </w:pPr>
      <w:r w:rsidRPr="0046140B">
        <w:t>64.</w:t>
      </w:r>
      <w:r>
        <w:tab/>
        <w:t xml:space="preserve">Depuis la présentation de son Troisième Rapport périodique, la République de Slovénie a ratifié la </w:t>
      </w:r>
      <w:r w:rsidRPr="0046140B">
        <w:rPr>
          <w:i/>
          <w:iCs/>
        </w:rPr>
        <w:t>Convention des Nations Unies contre la criminalité transnationale organisée</w:t>
      </w:r>
      <w:r>
        <w:t xml:space="preserve"> et le </w:t>
      </w:r>
      <w:r>
        <w:rPr>
          <w:i/>
          <w:iCs/>
        </w:rPr>
        <w:t>Protocole additionnel à la Convention des Nations Unies contre la criminalité transnationale organisée visant à prévenir, réprimer et punir la traite des personnes, en particulier des femmes et des enfants</w:t>
      </w:r>
      <w:r>
        <w:t xml:space="preserve">. </w:t>
      </w:r>
    </w:p>
    <w:p w:rsidR="00164199" w:rsidRDefault="00164199" w:rsidP="00D926D4">
      <w:pPr>
        <w:pStyle w:val="SingleTxt"/>
      </w:pPr>
      <w:r>
        <w:t>65.</w:t>
      </w:r>
      <w:r>
        <w:tab/>
        <w:t xml:space="preserve">En 2004 ont été adoptés des amendements au Chapitre 19 du </w:t>
      </w:r>
      <w:r w:rsidRPr="00AC7ABB">
        <w:rPr>
          <w:i/>
          <w:iCs/>
        </w:rPr>
        <w:t>Code pénal</w:t>
      </w:r>
      <w:r>
        <w:t xml:space="preserve"> slovène (Délits portant atteinte à l</w:t>
      </w:r>
      <w:r w:rsidR="00CE0D20">
        <w:t>’</w:t>
      </w:r>
      <w:r>
        <w:t>intégrité sexuelle d</w:t>
      </w:r>
      <w:r w:rsidR="00CE0D20">
        <w:t>’</w:t>
      </w:r>
      <w:r>
        <w:t>autrui) et au Chapitre 35 (Crimes contre l</w:t>
      </w:r>
      <w:r w:rsidR="00CE0D20">
        <w:t>’</w:t>
      </w:r>
      <w:r>
        <w:t>humanité et le droit international). En mai 2004, ces amendements entraient en vigueur</w:t>
      </w:r>
      <w:r w:rsidR="00CE0D20">
        <w:t>;</w:t>
      </w:r>
      <w:r>
        <w:t xml:space="preserve"> ils définissaient le concept d</w:t>
      </w:r>
      <w:r w:rsidR="00CE0D20">
        <w:t>’</w:t>
      </w:r>
      <w:r w:rsidR="00E6532D">
        <w:t>« </w:t>
      </w:r>
      <w:r>
        <w:t>exploitation de la prostitution</w:t>
      </w:r>
      <w:r w:rsidR="00CE0D20">
        <w:t> »</w:t>
      </w:r>
      <w:r>
        <w:t xml:space="preserve"> dans le nouvel article 185, en regroupant les anciennes définitions des délits de proxénétisme (article 185) et d</w:t>
      </w:r>
      <w:r w:rsidR="00CE0D20">
        <w:t>’</w:t>
      </w:r>
      <w:r w:rsidR="003158AC">
        <w:t>« </w:t>
      </w:r>
      <w:r>
        <w:t>agent de prostitution</w:t>
      </w:r>
      <w:r w:rsidR="00CE0D20">
        <w:t> »</w:t>
      </w:r>
      <w:r>
        <w:t xml:space="preserve"> (article 186). Désormais, on parle de délit de </w:t>
      </w:r>
      <w:r w:rsidR="00E6532D">
        <w:t>« </w:t>
      </w:r>
      <w:r>
        <w:t>collaboration à une entreprise de prostitution d</w:t>
      </w:r>
      <w:r w:rsidR="00CE0D20">
        <w:t>’</w:t>
      </w:r>
      <w:r>
        <w:t>une autre personne aux fins d</w:t>
      </w:r>
      <w:r w:rsidR="00CE0D20">
        <w:t>’</w:t>
      </w:r>
      <w:r>
        <w:t>exploitation</w:t>
      </w:r>
      <w:r w:rsidR="00CE0D20">
        <w:t> »</w:t>
      </w:r>
      <w:r>
        <w:t>, d</w:t>
      </w:r>
      <w:r w:rsidR="00CE0D20">
        <w:t>’</w:t>
      </w:r>
      <w:r w:rsidR="00E6532D">
        <w:t>« </w:t>
      </w:r>
      <w:r>
        <w:t>utilisation d</w:t>
      </w:r>
      <w:r w:rsidR="00CE0D20">
        <w:t>’</w:t>
      </w:r>
      <w:r>
        <w:t>une autre personne en tant que prostituée ou d</w:t>
      </w:r>
      <w:r w:rsidR="00CE0D20">
        <w:t>’</w:t>
      </w:r>
      <w:r>
        <w:t>incitation à la prostitution</w:t>
      </w:r>
      <w:r w:rsidR="00CE0D20">
        <w:t> »</w:t>
      </w:r>
      <w:r>
        <w:t>, ou encore d</w:t>
      </w:r>
      <w:r w:rsidR="00CE0D20">
        <w:t>’</w:t>
      </w:r>
      <w:r w:rsidR="00E6532D">
        <w:t>« </w:t>
      </w:r>
      <w:r>
        <w:t>obligation à la prostitution par la force</w:t>
      </w:r>
      <w:r w:rsidR="00CE0D20">
        <w:t> »</w:t>
      </w:r>
      <w:r>
        <w:t xml:space="preserve">, de </w:t>
      </w:r>
      <w:r w:rsidR="00E6532D">
        <w:t>« </w:t>
      </w:r>
      <w:r>
        <w:t>menace</w:t>
      </w:r>
      <w:r w:rsidR="00CE0D20">
        <w:t> »</w:t>
      </w:r>
      <w:r>
        <w:t xml:space="preserve"> ou de </w:t>
      </w:r>
      <w:r w:rsidR="00E6532D">
        <w:t>« </w:t>
      </w:r>
      <w:r>
        <w:t>tromperie</w:t>
      </w:r>
      <w:r w:rsidR="00CE0D20">
        <w:t> »</w:t>
      </w:r>
      <w:r>
        <w:t>. Ce type de délit est passible d</w:t>
      </w:r>
      <w:r w:rsidR="00CE0D20">
        <w:t>’</w:t>
      </w:r>
      <w:r>
        <w:t>une peine d</w:t>
      </w:r>
      <w:r w:rsidR="00CE0D20">
        <w:t>’</w:t>
      </w:r>
      <w:r>
        <w:t>emprisonnement pouvant aller de trois mois à cinq ans</w:t>
      </w:r>
      <w:r w:rsidR="00CE0D20">
        <w:t>;</w:t>
      </w:r>
      <w:r>
        <w:t xml:space="preserve"> et, si la victime est un mineur ou un groupe de plusieurs personnes, ou encore si le forfait est commis dans le cadre d</w:t>
      </w:r>
      <w:r w:rsidR="00CE0D20">
        <w:t>’</w:t>
      </w:r>
      <w:r>
        <w:t>une association de malfaiteurs, l</w:t>
      </w:r>
      <w:r w:rsidR="00CE0D20">
        <w:t>’</w:t>
      </w:r>
      <w:r>
        <w:t>auteur pourra être incarcéré pour une durée de un à dix ans.</w:t>
      </w:r>
    </w:p>
    <w:p w:rsidR="00164199" w:rsidRDefault="00164199" w:rsidP="00D926D4">
      <w:pPr>
        <w:pStyle w:val="SingleTxt"/>
      </w:pPr>
      <w:r>
        <w:t>66.</w:t>
      </w:r>
      <w:r>
        <w:tab/>
        <w:t>D</w:t>
      </w:r>
      <w:r w:rsidR="00CE0D20">
        <w:t>’</w:t>
      </w:r>
      <w:r>
        <w:t xml:space="preserve">autre part, le </w:t>
      </w:r>
      <w:r>
        <w:rPr>
          <w:i/>
          <w:iCs/>
        </w:rPr>
        <w:t>Code pénal</w:t>
      </w:r>
      <w:r>
        <w:t xml:space="preserve"> slovène contient désormais un nouvel article 387.a, définissant le crime de traite d</w:t>
      </w:r>
      <w:r w:rsidR="00CE0D20">
        <w:t>’</w:t>
      </w:r>
      <w:r>
        <w:t xml:space="preserve">êtres humains. Outre cette définition, conforme au </w:t>
      </w:r>
      <w:r>
        <w:rPr>
          <w:i/>
          <w:iCs/>
        </w:rPr>
        <w:t>Protocole additionnel à la Convention des Nations Unies contre la criminalité transnationale organisée, visant à prévenir, réprimer et punir la traite des personnes, en particulier des femmes et des enfants,</w:t>
      </w:r>
      <w:r>
        <w:t xml:space="preserve"> le nouvel article 387.a établit une forme aggravée de ce crime lorsqu</w:t>
      </w:r>
      <w:r w:rsidR="00CE0D20">
        <w:t>’</w:t>
      </w:r>
      <w:r>
        <w:t>il touche un mineur, ou qu</w:t>
      </w:r>
      <w:r w:rsidR="00CE0D20">
        <w:t>’</w:t>
      </w:r>
      <w:r>
        <w:t>il repose sur la menace, la tromperie, un enlèvement ou sur l</w:t>
      </w:r>
      <w:r w:rsidR="00CE0D20">
        <w:t>’</w:t>
      </w:r>
      <w:r>
        <w:t>exploitation d</w:t>
      </w:r>
      <w:r w:rsidR="00CE0D20">
        <w:t>’</w:t>
      </w:r>
      <w:r>
        <w:t>un subordonné ou d</w:t>
      </w:r>
      <w:r w:rsidR="00CE0D20">
        <w:t>’</w:t>
      </w:r>
      <w:r>
        <w:t>une personne dépendante, ou encore si l</w:t>
      </w:r>
      <w:r w:rsidR="00CE0D20">
        <w:t>’</w:t>
      </w:r>
      <w:r>
        <w:t>auteur du crime contraint la victime à une grossesse ou à une fécondation in vitro – cela entraînant des peines encore plus sévères. Parmi les formes aggravées de ce type de crime figurent également le fait qu</w:t>
      </w:r>
      <w:r w:rsidR="00CE0D20">
        <w:t>’</w:t>
      </w:r>
      <w:r>
        <w:t>il soit éventuellement perpétré dans le cadre d</w:t>
      </w:r>
      <w:r w:rsidR="00CE0D20">
        <w:t>’</w:t>
      </w:r>
      <w:r>
        <w:t>une association de malfaiteurs, créée à ces fins d</w:t>
      </w:r>
      <w:r w:rsidR="00CE0D20">
        <w:t>’</w:t>
      </w:r>
      <w:r>
        <w:t>exploitation, ou dans le but de réaliser des bénéfices importants. Ce type de crime est passible d</w:t>
      </w:r>
      <w:r w:rsidR="00CE0D20">
        <w:t>’</w:t>
      </w:r>
      <w:r>
        <w:t>une peine d</w:t>
      </w:r>
      <w:r w:rsidR="00CE0D20">
        <w:t>’</w:t>
      </w:r>
      <w:r>
        <w:t>emprisonnement pouvant aller de un à dix ans, et, s</w:t>
      </w:r>
      <w:r w:rsidR="00CE0D20">
        <w:t>’</w:t>
      </w:r>
      <w:r>
        <w:t>il y a aggravation, le criminel est passible d</w:t>
      </w:r>
      <w:r w:rsidR="00CE0D20">
        <w:t>’</w:t>
      </w:r>
      <w:r>
        <w:t>une peine d</w:t>
      </w:r>
      <w:r w:rsidR="00CE0D20">
        <w:t>’</w:t>
      </w:r>
      <w:r>
        <w:t xml:space="preserve">emprisonnement de trois ans minimum. </w:t>
      </w:r>
    </w:p>
    <w:p w:rsidR="00164199" w:rsidRDefault="00164199" w:rsidP="00D926D4">
      <w:pPr>
        <w:pStyle w:val="SingleTxt"/>
      </w:pPr>
      <w:r>
        <w:t>67.</w:t>
      </w:r>
      <w:r>
        <w:tab/>
        <w:t xml:space="preserve">En décembre 2005 était adoptée la </w:t>
      </w:r>
      <w:r>
        <w:rPr>
          <w:i/>
          <w:iCs/>
        </w:rPr>
        <w:t>Loi relative à la protection des témoins</w:t>
      </w:r>
      <w:r>
        <w:t>, qui fixe les conditions et procédures de protection des témoins et autres personnes menacés du fait de leur collaboration à l</w:t>
      </w:r>
      <w:r w:rsidR="00CE0D20">
        <w:t>’</w:t>
      </w:r>
      <w:r>
        <w:t>entreprise criminelle. Cette loi, désormais entrée en vigueur, prévoit également une protection concrète et appropriée des témoins de victimes d</w:t>
      </w:r>
      <w:r w:rsidR="00CE0D20">
        <w:t>’</w:t>
      </w:r>
      <w:r>
        <w:t>une traite d</w:t>
      </w:r>
      <w:r w:rsidR="00CE0D20">
        <w:t>’</w:t>
      </w:r>
      <w:r>
        <w:t>êtres humains</w:t>
      </w:r>
      <w:r w:rsidR="00CE0D20">
        <w:t xml:space="preserve"> – </w:t>
      </w:r>
      <w:r>
        <w:t>et autres personnes menacées – si les critères de protection des personnes menacées définis à l</w:t>
      </w:r>
      <w:r w:rsidR="00CE0D20">
        <w:t>’</w:t>
      </w:r>
      <w:r>
        <w:t>article 10 de cette loi sont réunis.</w:t>
      </w:r>
    </w:p>
    <w:p w:rsidR="00164199" w:rsidRDefault="00164199" w:rsidP="00D926D4">
      <w:pPr>
        <w:pStyle w:val="SingleTxt"/>
      </w:pPr>
      <w:r>
        <w:t>68.</w:t>
      </w:r>
      <w:r>
        <w:tab/>
        <w:t>En 2004, la police slovène a traité de 14 crimes liés à une traite d</w:t>
      </w:r>
      <w:r w:rsidR="00CE0D20">
        <w:t>’</w:t>
      </w:r>
      <w:r>
        <w:t>êtres humains. Au titre du crime d</w:t>
      </w:r>
      <w:r w:rsidR="00CE0D20">
        <w:t>’</w:t>
      </w:r>
      <w:r w:rsidR="00E6532D">
        <w:t>« </w:t>
      </w:r>
      <w:r>
        <w:t>asservissement</w:t>
      </w:r>
      <w:r w:rsidR="00CE0D20">
        <w:t> »</w:t>
      </w:r>
      <w:r>
        <w:t xml:space="preserve"> (article 387 du </w:t>
      </w:r>
      <w:r>
        <w:rPr>
          <w:i/>
          <w:iCs/>
        </w:rPr>
        <w:t>Code pénal</w:t>
      </w:r>
      <w:r>
        <w:t>), une plainte avait été déposée par cinq victimes, qui étaient toutes des femmes majeures. En ce qui concerne le crime de proxénétisme tel qu</w:t>
      </w:r>
      <w:r w:rsidR="00CE0D20">
        <w:t>’</w:t>
      </w:r>
      <w:r>
        <w:t>il est défini à l</w:t>
      </w:r>
      <w:r w:rsidR="00CE0D20">
        <w:t>’</w:t>
      </w:r>
      <w:r>
        <w:t xml:space="preserve">article 185 du </w:t>
      </w:r>
      <w:r>
        <w:rPr>
          <w:i/>
          <w:iCs/>
        </w:rPr>
        <w:t>Code pénal</w:t>
      </w:r>
      <w:r>
        <w:t>, un rapport concernant un soupçon de crime d</w:t>
      </w:r>
      <w:r w:rsidR="00CE0D20">
        <w:t>’</w:t>
      </w:r>
      <w:r>
        <w:t>asservissement, et deux rapports concernant un soupçon de crime de proxénétisme ont été soumis au bureau d</w:t>
      </w:r>
      <w:r w:rsidR="00CE0D20">
        <w:t>’</w:t>
      </w:r>
      <w:r>
        <w:t>un procureur de district. D</w:t>
      </w:r>
      <w:r w:rsidR="00CE0D20">
        <w:t>’</w:t>
      </w:r>
      <w:r>
        <w:t>autre part, cinq plaintes et deux rapports concernant la nouvelle définition du crime d</w:t>
      </w:r>
      <w:r w:rsidR="00CE0D20">
        <w:t>’</w:t>
      </w:r>
      <w:r>
        <w:t>exploitation de la prostitution ont été déposés auprès des services compétents du Procureur de la République. Dans l</w:t>
      </w:r>
      <w:r w:rsidR="00CE0D20">
        <w:t>’</w:t>
      </w:r>
      <w:r>
        <w:t>un des cas – qui concernait l</w:t>
      </w:r>
      <w:r w:rsidR="00CE0D20">
        <w:t>’</w:t>
      </w:r>
      <w:r>
        <w:t>exploitation d</w:t>
      </w:r>
      <w:r w:rsidR="00CE0D20">
        <w:t>’</w:t>
      </w:r>
      <w:r>
        <w:t>une femme aux fins de prostitution -, le Procureur de la République a modifié le chef d</w:t>
      </w:r>
      <w:r w:rsidR="00CE0D20">
        <w:t>’</w:t>
      </w:r>
      <w:r>
        <w:t>inculpation, en transformant le crime d</w:t>
      </w:r>
      <w:r w:rsidR="00CE0D20">
        <w:t>’</w:t>
      </w:r>
      <w:r>
        <w:t>exploitation de la prostitution en crime lié à la traite d</w:t>
      </w:r>
      <w:r w:rsidR="00CE0D20">
        <w:t>’</w:t>
      </w:r>
      <w:r>
        <w:t>êtres humains</w:t>
      </w:r>
      <w:r w:rsidRPr="006A4785">
        <w:rPr>
          <w:rStyle w:val="FootnoteReference"/>
        </w:rPr>
        <w:footnoteReference w:customMarkFollows="1" w:id="20"/>
        <w:t>20</w:t>
      </w:r>
      <w:r>
        <w:t>. Des plaintes furent déposées contre 12 personnes au total</w:t>
      </w:r>
      <w:r w:rsidR="00CE0D20">
        <w:t>;</w:t>
      </w:r>
      <w:r>
        <w:t xml:space="preserve"> les parties plaignantes (25 au total) étaient toutes des femmes, mais 19 d</w:t>
      </w:r>
      <w:r w:rsidR="00CE0D20">
        <w:t>’</w:t>
      </w:r>
      <w:r>
        <w:t xml:space="preserve">entre elles seulement furent reconnues comme </w:t>
      </w:r>
      <w:r w:rsidR="003158AC">
        <w:t xml:space="preserve">“ </w:t>
      </w:r>
      <w:r>
        <w:t>victimes de la traite des êtres humains</w:t>
      </w:r>
      <w:r w:rsidR="00CE0D20">
        <w:t> »</w:t>
      </w:r>
      <w:r>
        <w:t xml:space="preserve">. </w:t>
      </w:r>
    </w:p>
    <w:p w:rsidR="00164199" w:rsidRDefault="00164199" w:rsidP="00D926D4">
      <w:pPr>
        <w:pStyle w:val="SingleTxt"/>
      </w:pPr>
      <w:r>
        <w:t>69.</w:t>
      </w:r>
      <w:r>
        <w:tab/>
        <w:t xml:space="preserve">En 2003, 16 crimes ont été établis conformément aux termes des articles alors pertinents du </w:t>
      </w:r>
      <w:r>
        <w:rPr>
          <w:i/>
          <w:iCs/>
        </w:rPr>
        <w:t>Code pénal</w:t>
      </w:r>
      <w:r>
        <w:t xml:space="preserve"> (proxénétisme, utilisation de personnes aux fins de prostitution et d</w:t>
      </w:r>
      <w:r w:rsidR="00CE0D20">
        <w:t>’</w:t>
      </w:r>
      <w:r>
        <w:t>asservissement), 34 personnes ont été soupçonnées d</w:t>
      </w:r>
      <w:r w:rsidR="00CE0D20">
        <w:t>’</w:t>
      </w:r>
      <w:r>
        <w:t xml:space="preserve">en être les auteurs, et le nombre de victimes répertoriées était de 22. En 2004, on a dénombré 9 crimes, 12 suspects et 29 victimes conformément aux dispositions des articles précités du </w:t>
      </w:r>
      <w:r>
        <w:rPr>
          <w:i/>
          <w:iCs/>
        </w:rPr>
        <w:t>Code pénal</w:t>
      </w:r>
      <w:r>
        <w:t xml:space="preserve"> et de leurs amendements (exploitation aux fins de prostitution et traite d</w:t>
      </w:r>
      <w:r w:rsidR="00CE0D20">
        <w:t>’</w:t>
      </w:r>
      <w:r>
        <w:t>êtres humains), entrés en vigueur en mai 2004.</w:t>
      </w:r>
    </w:p>
    <w:p w:rsidR="00164199" w:rsidRDefault="00164199" w:rsidP="00D926D4">
      <w:pPr>
        <w:pStyle w:val="SingleTxt"/>
      </w:pPr>
      <w:r>
        <w:t>70.</w:t>
      </w:r>
      <w:r>
        <w:tab/>
        <w:t>La police a établi qu</w:t>
      </w:r>
      <w:r w:rsidR="00CE0D20">
        <w:t>’</w:t>
      </w:r>
      <w:r>
        <w:t>en Slovénie, la traite des êtres humains – et notamment des femmes – était exclusivement liée à l</w:t>
      </w:r>
      <w:r w:rsidR="00CE0D20">
        <w:t>’</w:t>
      </w:r>
      <w:r>
        <w:t>exploitation sexuelle. Les enquêtes concernant d</w:t>
      </w:r>
      <w:r w:rsidR="00CE0D20">
        <w:t>’</w:t>
      </w:r>
      <w:r>
        <w:t>éventuelles traites de femmes et l</w:t>
      </w:r>
      <w:r w:rsidR="00CE0D20">
        <w:t>’</w:t>
      </w:r>
      <w:r>
        <w:t>exploitation de la prostitution, et l</w:t>
      </w:r>
      <w:r w:rsidR="00CE0D20">
        <w:t>’</w:t>
      </w:r>
      <w:r>
        <w:t>établissement de cas officiels dans ce domaine sont des processus très difficiles – notamment en raison des nouvelles définitions juridiques des formes flagrantes de ces crimes. La réunion et le maintien de preuves à l</w:t>
      </w:r>
      <w:r w:rsidR="00CE0D20">
        <w:t>’</w:t>
      </w:r>
      <w:r>
        <w:t>encontre de suspects ayant exploité la dépénalisation de la prostitution et l</w:t>
      </w:r>
      <w:r w:rsidR="00CE0D20">
        <w:t>’</w:t>
      </w:r>
      <w:r>
        <w:t>association avec des criminels étrangers dépendent en grande partie de la coopération des victimes.</w:t>
      </w:r>
    </w:p>
    <w:p w:rsidR="00164199" w:rsidRDefault="00164199" w:rsidP="00D926D4">
      <w:pPr>
        <w:pStyle w:val="SingleTxt"/>
      </w:pPr>
      <w:r>
        <w:t>71.</w:t>
      </w:r>
      <w:r>
        <w:tab/>
        <w:t>Afin d</w:t>
      </w:r>
      <w:r w:rsidR="00CE0D20">
        <w:t>’</w:t>
      </w:r>
      <w:r>
        <w:t>améliorer les processus d</w:t>
      </w:r>
      <w:r w:rsidR="00CE0D20">
        <w:t>’</w:t>
      </w:r>
      <w:r>
        <w:t>enquête et d</w:t>
      </w:r>
      <w:r w:rsidR="00CE0D20">
        <w:t>’</w:t>
      </w:r>
      <w:r>
        <w:t>établissement de cas de traite d</w:t>
      </w:r>
      <w:r w:rsidR="00CE0D20">
        <w:t>’</w:t>
      </w:r>
      <w:r>
        <w:t>êtres humains, la Direction Générale de la Police organise des sessions intensives de formation des officiers de la police criminelle – auxquelles participent des experts nationaux et étrangers, et des organisations non gouvernementales, comme dans le cas de la formation déjà évoquée au sujet de la prévention de la violence à l</w:t>
      </w:r>
      <w:r w:rsidR="00CE0D20">
        <w:t>’</w:t>
      </w:r>
      <w:r>
        <w:t>égard des femmes, en liaison avec l</w:t>
      </w:r>
      <w:r w:rsidR="00CE0D20">
        <w:t>’</w:t>
      </w:r>
      <w:r>
        <w:t>article 5 de la Convention.</w:t>
      </w:r>
    </w:p>
    <w:p w:rsidR="00164199" w:rsidRDefault="00164199" w:rsidP="00D926D4">
      <w:pPr>
        <w:pStyle w:val="SingleTxt"/>
      </w:pPr>
      <w:r>
        <w:t>72.</w:t>
      </w:r>
      <w:r>
        <w:tab/>
        <w:t>En juillet 2003, le ministère de l</w:t>
      </w:r>
      <w:r w:rsidR="00CE0D20">
        <w:t>’</w:t>
      </w:r>
      <w:r>
        <w:t xml:space="preserve">intérieur a signé une </w:t>
      </w:r>
      <w:r>
        <w:rPr>
          <w:i/>
          <w:iCs/>
        </w:rPr>
        <w:t>Déclaration d</w:t>
      </w:r>
      <w:r w:rsidR="00CE0D20">
        <w:rPr>
          <w:i/>
          <w:iCs/>
        </w:rPr>
        <w:t>’</w:t>
      </w:r>
      <w:r>
        <w:rPr>
          <w:i/>
          <w:iCs/>
        </w:rPr>
        <w:t>engagement aux fins de légalisation du statut de victime d</w:t>
      </w:r>
      <w:r w:rsidR="00CE0D20">
        <w:rPr>
          <w:i/>
          <w:iCs/>
        </w:rPr>
        <w:t>’</w:t>
      </w:r>
      <w:r>
        <w:rPr>
          <w:i/>
          <w:iCs/>
        </w:rPr>
        <w:t>une traite d</w:t>
      </w:r>
      <w:r w:rsidR="00CE0D20">
        <w:rPr>
          <w:i/>
          <w:iCs/>
        </w:rPr>
        <w:t>’</w:t>
      </w:r>
      <w:r>
        <w:rPr>
          <w:i/>
          <w:iCs/>
        </w:rPr>
        <w:t>êtres humains</w:t>
      </w:r>
      <w:r>
        <w:t xml:space="preserve"> – texte par lequel la Slovénie s</w:t>
      </w:r>
      <w:r w:rsidR="00CE0D20">
        <w:t>’</w:t>
      </w:r>
      <w:r>
        <w:t>engage à fournir une aide et une protection appropriées aux victimes des traites d</w:t>
      </w:r>
      <w:r w:rsidR="00CE0D20">
        <w:t>’</w:t>
      </w:r>
      <w:r>
        <w:t>êtres humains, et de reconnaître à ces personnes un véritable statut sur le plan juridique. En septembre 2003, le ministère de l</w:t>
      </w:r>
      <w:r w:rsidR="00CE0D20">
        <w:t>’</w:t>
      </w:r>
      <w:r>
        <w:t xml:space="preserve">Intérieur et le Procureur de la République de Slovénie concluaient un </w:t>
      </w:r>
      <w:r>
        <w:rPr>
          <w:i/>
          <w:iCs/>
        </w:rPr>
        <w:t>Accord de coopération en matière d</w:t>
      </w:r>
      <w:r w:rsidR="00CE0D20">
        <w:rPr>
          <w:i/>
          <w:iCs/>
        </w:rPr>
        <w:t>’</w:t>
      </w:r>
      <w:r>
        <w:rPr>
          <w:i/>
          <w:iCs/>
        </w:rPr>
        <w:t>aide aux victimes de traites d</w:t>
      </w:r>
      <w:r w:rsidR="00CE0D20">
        <w:rPr>
          <w:i/>
          <w:iCs/>
        </w:rPr>
        <w:t>’</w:t>
      </w:r>
      <w:r>
        <w:rPr>
          <w:i/>
          <w:iCs/>
        </w:rPr>
        <w:t>êtres humains en Slovénie</w:t>
      </w:r>
      <w:r>
        <w:t xml:space="preserve"> avec l</w:t>
      </w:r>
      <w:r w:rsidR="00CE0D20">
        <w:t>’</w:t>
      </w:r>
      <w:r>
        <w:t xml:space="preserve">organisation non gouvernementale </w:t>
      </w:r>
      <w:r>
        <w:rPr>
          <w:i/>
          <w:iCs/>
        </w:rPr>
        <w:t>Kljuc</w:t>
      </w:r>
      <w:r>
        <w:t>, chargée de mettre en œuvre le programme d</w:t>
      </w:r>
      <w:r w:rsidR="00CE0D20">
        <w:t>’</w:t>
      </w:r>
      <w:r>
        <w:t>aide aux victimes de ce type de traite. L</w:t>
      </w:r>
      <w:r w:rsidR="00CE0D20">
        <w:t>’</w:t>
      </w:r>
      <w:r>
        <w:t>accord en question définit les procédures opérationnelles et la nature spécifique de la coopération en matière d</w:t>
      </w:r>
      <w:r w:rsidR="00CE0D20">
        <w:t>’</w:t>
      </w:r>
      <w:r>
        <w:t>aide aux victimes – y compris la réglementation du statut officiel de ces dernières, l</w:t>
      </w:r>
      <w:r w:rsidR="00CE0D20">
        <w:t>’</w:t>
      </w:r>
      <w:r>
        <w:t>assistance et l</w:t>
      </w:r>
      <w:r w:rsidR="00CE0D20">
        <w:t>’</w:t>
      </w:r>
      <w:r>
        <w:t>information fournies de manière intégrée à ces victimes lors du processus de réinsertion, et les décisions éventuelles de coopération avec les représentants des forces de l</w:t>
      </w:r>
      <w:r w:rsidR="00CE0D20">
        <w:t>’</w:t>
      </w:r>
      <w:r>
        <w:t>ordre. Cet accord octroie à toute victime résidant de manière illégale en Slovénie un permis de séjour temporaire de trois mois. Ce permis est délivré par les autorités compétentes à condition que la victime fournisse un certificat attestant d</w:t>
      </w:r>
      <w:r w:rsidR="00CE0D20">
        <w:t>’</w:t>
      </w:r>
      <w:r>
        <w:t>un logement décent (qui lui aura été offert par l</w:t>
      </w:r>
      <w:r w:rsidR="00CE0D20">
        <w:t>’</w:t>
      </w:r>
      <w:r>
        <w:t xml:space="preserve">association </w:t>
      </w:r>
      <w:r>
        <w:rPr>
          <w:i/>
          <w:iCs/>
        </w:rPr>
        <w:t>Kljuc</w:t>
      </w:r>
      <w:r>
        <w:t>). La période de trois mois doit permettre à la victime d</w:t>
      </w:r>
      <w:r w:rsidR="00CE0D20">
        <w:t>’</w:t>
      </w:r>
      <w:r>
        <w:t xml:space="preserve">être dûment informée et aidée sur les plans psychologique, social, médical et juridique. Après une période de </w:t>
      </w:r>
      <w:r w:rsidR="003158AC">
        <w:t xml:space="preserve">“ </w:t>
      </w:r>
      <w:r>
        <w:t>réflexion</w:t>
      </w:r>
      <w:r w:rsidR="00CE0D20">
        <w:t> »</w:t>
      </w:r>
      <w:r>
        <w:t>, la victime pourra décider ou non de poursuivre sa coopération dans le cadre des procédures criminelles. Si le témoignage de la victime est jugé important pour ce processus, l</w:t>
      </w:r>
      <w:r w:rsidR="00CE0D20">
        <w:t>’</w:t>
      </w:r>
      <w:r>
        <w:t>autorité administrative concernée pourra, sur la base d</w:t>
      </w:r>
      <w:r w:rsidR="00CE0D20">
        <w:t>’</w:t>
      </w:r>
      <w:r>
        <w:t>une déclaration du Procureur Général suprême de la République de Slovénie, délivrer un permis de séjour temporaire fondé sur d</w:t>
      </w:r>
      <w:r w:rsidR="00CE0D20">
        <w:t>’</w:t>
      </w:r>
      <w:r>
        <w:t>autres motifs justifiés – comme il est prévu à l</w:t>
      </w:r>
      <w:r w:rsidR="00CE0D20">
        <w:t>’</w:t>
      </w:r>
      <w:r>
        <w:t xml:space="preserve">article 40 de la </w:t>
      </w:r>
      <w:r>
        <w:rPr>
          <w:i/>
          <w:iCs/>
        </w:rPr>
        <w:t>Loi sur les ressortissants étrangers</w:t>
      </w:r>
      <w:r>
        <w:t>, avec une période de validité d</w:t>
      </w:r>
      <w:r w:rsidR="00CE0D20">
        <w:t>’</w:t>
      </w:r>
      <w:r>
        <w:t>un an au plus. Si les procédures criminelles auxquelles la victime participe en tant que témoin ne sont pas terminées avant la fin de cette période de validité, le permis de séjour en question peut être prolongé jusqu</w:t>
      </w:r>
      <w:r w:rsidR="00CE0D20">
        <w:t>’</w:t>
      </w:r>
      <w:r>
        <w:t>au terme du processus. Au terme du processus d</w:t>
      </w:r>
      <w:r w:rsidR="00CE0D20">
        <w:t>’</w:t>
      </w:r>
      <w:r>
        <w:t>enquête, le permis de séjour temporaire de la victime peut être encore prolongé sur la base d</w:t>
      </w:r>
      <w:r w:rsidR="00CE0D20">
        <w:t>’</w:t>
      </w:r>
      <w:r>
        <w:t>autres motifs justifiés, conformément à l</w:t>
      </w:r>
      <w:r w:rsidR="00CE0D20">
        <w:t>’</w:t>
      </w:r>
      <w:r>
        <w:t xml:space="preserve">article 40 de la </w:t>
      </w:r>
      <w:r>
        <w:rPr>
          <w:i/>
          <w:iCs/>
        </w:rPr>
        <w:t>Loi sur les ressortissants étrangers</w:t>
      </w:r>
      <w:r>
        <w:t xml:space="preserve"> et sur la base d</w:t>
      </w:r>
      <w:r w:rsidR="00CE0D20">
        <w:t>’</w:t>
      </w:r>
      <w:r>
        <w:t>un certificat délivré par l</w:t>
      </w:r>
      <w:r w:rsidR="00CE0D20">
        <w:t>’</w:t>
      </w:r>
      <w:r>
        <w:t xml:space="preserve">association </w:t>
      </w:r>
      <w:r>
        <w:rPr>
          <w:i/>
          <w:iCs/>
        </w:rPr>
        <w:t>Kljuc</w:t>
      </w:r>
      <w:r>
        <w:t xml:space="preserve"> et confirmant l</w:t>
      </w:r>
      <w:r w:rsidR="00CE0D20">
        <w:t>’</w:t>
      </w:r>
      <w:r>
        <w:t>intégration de la victime au programme de réinsertion.</w:t>
      </w:r>
    </w:p>
    <w:p w:rsidR="00164199" w:rsidRDefault="00164199" w:rsidP="00D926D4">
      <w:pPr>
        <w:pStyle w:val="SingleTxt"/>
      </w:pPr>
      <w:r>
        <w:t>73.</w:t>
      </w:r>
      <w:r>
        <w:tab/>
        <w:t>Dans le cadre de son Troisième Rapport périodique, la Slovénie signalait déjà qu</w:t>
      </w:r>
      <w:r w:rsidR="00CE0D20">
        <w:t>’</w:t>
      </w:r>
      <w:r>
        <w:t>elle avait créé, en 2001, un Groupe de travail interministériel de lutte contre la traite des êtres humains, chargé de coordonner la politique du gouvernement dans ce domaine et en matière d</w:t>
      </w:r>
      <w:r w:rsidR="00CE0D20">
        <w:t>’</w:t>
      </w:r>
      <w:r>
        <w:t>aide aux victimes. Sur la base d</w:t>
      </w:r>
      <w:r w:rsidR="00CE0D20">
        <w:t>’</w:t>
      </w:r>
      <w:r>
        <w:t xml:space="preserve">une proposition élaborée par ce Groupe de travail, le gouvernement slovène adoptait un </w:t>
      </w:r>
      <w:r>
        <w:rPr>
          <w:i/>
          <w:iCs/>
        </w:rPr>
        <w:t>Plan de lutte contre la traite des êtres humains pour l</w:t>
      </w:r>
      <w:r w:rsidR="00CE0D20">
        <w:rPr>
          <w:i/>
          <w:iCs/>
        </w:rPr>
        <w:t>’</w:t>
      </w:r>
      <w:r>
        <w:rPr>
          <w:i/>
          <w:iCs/>
        </w:rPr>
        <w:t>année 2004</w:t>
      </w:r>
      <w:r>
        <w:t>. Ce Plan d</w:t>
      </w:r>
      <w:r w:rsidR="00CE0D20">
        <w:t>’</w:t>
      </w:r>
      <w:r>
        <w:t>action implique l</w:t>
      </w:r>
      <w:r w:rsidR="00CE0D20">
        <w:t>’</w:t>
      </w:r>
      <w:r>
        <w:t>ensemble des ministères et autres services ou organismes gouvernementaux représentés au sein du Groupe de travail (les différents ministères, la police, l</w:t>
      </w:r>
      <w:r w:rsidR="00CE0D20">
        <w:t>’</w:t>
      </w:r>
      <w:r>
        <w:t>Assemblée nationale, le Procureur Général suprême de la République de Slovénie, ainsi que des organisations non gouvernementales et des médias nationaux et internationaux) afin de prévenir la traite des êtres humains et de protéger les victimes. Ce plan d</w:t>
      </w:r>
      <w:r w:rsidR="00CE0D20">
        <w:t>’</w:t>
      </w:r>
      <w:r>
        <w:t>action est également fondé sur une formation et une coopération, à l</w:t>
      </w:r>
      <w:r w:rsidR="00CE0D20">
        <w:t>’</w:t>
      </w:r>
      <w:r>
        <w:t>échelon international, des personnels, responsables officiels et bénévoles, opérant dans ce domaine.</w:t>
      </w:r>
    </w:p>
    <w:p w:rsidR="00164199" w:rsidRDefault="00164199" w:rsidP="00D926D4">
      <w:pPr>
        <w:pStyle w:val="SingleTxt"/>
      </w:pPr>
      <w:r>
        <w:t>74.</w:t>
      </w:r>
      <w:r>
        <w:tab/>
        <w:t>En 2003, l</w:t>
      </w:r>
      <w:r w:rsidR="00CE0D20">
        <w:t>’</w:t>
      </w:r>
      <w:r>
        <w:t xml:space="preserve">Organisation internationale pour les Migrations et le </w:t>
      </w:r>
      <w:r w:rsidR="003158AC">
        <w:t xml:space="preserve">“ </w:t>
      </w:r>
      <w:r>
        <w:t>Peace Institute</w:t>
      </w:r>
      <w:r w:rsidR="00CE0D20">
        <w:t> »</w:t>
      </w:r>
      <w:r>
        <w:t xml:space="preserve"> (organisation non gouvernementale) ont effectué un travail de recherche sur la traite des êtres humains en Slovénie. Cette étude établit au final que la Slovénie est tout à la fois un pays de destination, d</w:t>
      </w:r>
      <w:r w:rsidR="00CE0D20">
        <w:t>’</w:t>
      </w:r>
      <w:r>
        <w:t>origine et de transit, et que la traite des êtres humains y concerne essentiellement les femmes, aux fins d</w:t>
      </w:r>
      <w:r w:rsidR="00CE0D20">
        <w:t>’</w:t>
      </w:r>
      <w:r>
        <w:t>exploitation sexuelle. Ce travail présente également les estimations de l</w:t>
      </w:r>
      <w:r w:rsidR="00CE0D20">
        <w:t>’</w:t>
      </w:r>
      <w:r>
        <w:t xml:space="preserve">association </w:t>
      </w:r>
      <w:r>
        <w:rPr>
          <w:i/>
          <w:iCs/>
        </w:rPr>
        <w:t>Kjluc</w:t>
      </w:r>
      <w:r>
        <w:t xml:space="preserve"> – la seule ONG offrant une aide aux victimes de traites d</w:t>
      </w:r>
      <w:r w:rsidR="00CE0D20">
        <w:t>’</w:t>
      </w:r>
      <w:r>
        <w:t>êtres humains, en Slovénie -, à savoir que 1500 à 2500 femmes qui sont ou pourraient être victimes de la traite des êtres humains transitent tous les ans par la Slovénie en direction des pays d</w:t>
      </w:r>
      <w:r w:rsidR="00CE0D20">
        <w:t>’</w:t>
      </w:r>
      <w:r>
        <w:t xml:space="preserve">Europe occidentale. </w:t>
      </w:r>
    </w:p>
    <w:p w:rsidR="00164199" w:rsidRDefault="00164199" w:rsidP="00D926D4">
      <w:pPr>
        <w:pStyle w:val="SingleTxt"/>
      </w:pPr>
    </w:p>
    <w:p w:rsidR="00164199" w:rsidRDefault="00E6532D" w:rsidP="00E653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164199">
        <w:t>Article 7</w:t>
      </w:r>
    </w:p>
    <w:p w:rsidR="00E6532D" w:rsidRPr="00E6532D" w:rsidRDefault="00E6532D" w:rsidP="00E6532D">
      <w:pPr>
        <w:pStyle w:val="SingleTxt"/>
        <w:spacing w:after="0" w:line="120" w:lineRule="exact"/>
        <w:rPr>
          <w:sz w:val="10"/>
        </w:rPr>
      </w:pPr>
    </w:p>
    <w:p w:rsidR="00E6532D" w:rsidRPr="00E6532D" w:rsidRDefault="00E6532D" w:rsidP="00E6532D">
      <w:pPr>
        <w:pStyle w:val="SingleTxt"/>
        <w:spacing w:after="0" w:line="120" w:lineRule="exact"/>
        <w:rPr>
          <w:sz w:val="10"/>
        </w:rPr>
      </w:pPr>
    </w:p>
    <w:p w:rsidR="00164199" w:rsidRDefault="00E6532D" w:rsidP="00E65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w:t>
      </w:r>
      <w:r>
        <w:t>es femmes dans la vie publique et politique</w:t>
      </w:r>
    </w:p>
    <w:p w:rsidR="00E6532D" w:rsidRPr="00E6532D" w:rsidRDefault="00E6532D" w:rsidP="00E6532D">
      <w:pPr>
        <w:pStyle w:val="SingleTxt"/>
        <w:spacing w:after="0" w:line="120" w:lineRule="exact"/>
        <w:rPr>
          <w:sz w:val="10"/>
        </w:rPr>
      </w:pPr>
    </w:p>
    <w:p w:rsidR="00E6532D" w:rsidRPr="00E6532D" w:rsidRDefault="00E6532D" w:rsidP="00E6532D">
      <w:pPr>
        <w:pStyle w:val="SingleTxt"/>
        <w:spacing w:after="0" w:line="120" w:lineRule="exact"/>
        <w:rPr>
          <w:sz w:val="10"/>
        </w:rPr>
      </w:pPr>
    </w:p>
    <w:p w:rsidR="00164199" w:rsidRDefault="00164199" w:rsidP="00D926D4">
      <w:pPr>
        <w:pStyle w:val="SingleTxt"/>
      </w:pPr>
      <w:r w:rsidRPr="00651F11">
        <w:t>75.</w:t>
      </w:r>
      <w:r>
        <w:tab/>
        <w:t>Comme nous l</w:t>
      </w:r>
      <w:r w:rsidR="00CE0D20">
        <w:t>’</w:t>
      </w:r>
      <w:r>
        <w:t xml:space="preserve">avons déjà indiqué au paragraphe 5 du présent rapport, la République de Slovénie a complété la </w:t>
      </w:r>
      <w:r>
        <w:rPr>
          <w:i/>
          <w:iCs/>
        </w:rPr>
        <w:t>Constitution slovène</w:t>
      </w:r>
      <w:r>
        <w:t xml:space="preserve"> par des mesures législatives spéciales – dont une disposition concernant la promotion de l</w:t>
      </w:r>
      <w:r w:rsidR="00CE0D20">
        <w:t>’</w:t>
      </w:r>
      <w:r>
        <w:t xml:space="preserve">égalité des chances des femmes et des hommes en matière de candidature aux élections nationales et locales. </w:t>
      </w:r>
    </w:p>
    <w:p w:rsidR="00164199" w:rsidRDefault="00164199" w:rsidP="00D926D4">
      <w:pPr>
        <w:pStyle w:val="SingleTxt"/>
      </w:pPr>
      <w:r>
        <w:t>76.</w:t>
      </w:r>
      <w:r>
        <w:tab/>
        <w:t>En fait, avant même l</w:t>
      </w:r>
      <w:r w:rsidR="00CE0D20">
        <w:t>’</w:t>
      </w:r>
      <w:r>
        <w:t>adoption de l</w:t>
      </w:r>
      <w:r w:rsidR="00CE0D20">
        <w:t>’</w:t>
      </w:r>
      <w:r>
        <w:t xml:space="preserve">amendement constitutionnel en question, avait déjà été adoptée la </w:t>
      </w:r>
      <w:r>
        <w:rPr>
          <w:i/>
          <w:iCs/>
        </w:rPr>
        <w:t>Loi sur l</w:t>
      </w:r>
      <w:r w:rsidR="00CE0D20">
        <w:rPr>
          <w:i/>
          <w:iCs/>
        </w:rPr>
        <w:t>’</w:t>
      </w:r>
      <w:r>
        <w:rPr>
          <w:i/>
          <w:iCs/>
        </w:rPr>
        <w:t>élection de députés slovènes au Parlement européen</w:t>
      </w:r>
      <w:r>
        <w:t xml:space="preserve">, et celle-ci était le premier texte de loi à imposer un pourcentage minimum de 40%, pour les femmes comme pour les hommes, sur les listes de candidats aux élections (cf. le paragraphe 9 du présent rapport). Lors des premières élections de députés slovènes au Parlement européen (qui ont eu lieu le 13 juin 2004), on comptait 45,1% de femmes sur 91 candidats au total. Le Bureau pour </w:t>
      </w:r>
      <w:r w:rsidR="00247191">
        <w:t>L’Égalité</w:t>
      </w:r>
      <w:r>
        <w:t xml:space="preserve"> des chances avait organisé une réunion publique avant les élections européennes – réunion au cours de laquelle les femmes candidates s</w:t>
      </w:r>
      <w:r w:rsidR="00CE0D20">
        <w:t>’</w:t>
      </w:r>
      <w:r>
        <w:t>étaient présentées. Les résultats de ces élections européennes ont parfaitement démontré la pertinence des mesures spéciales intégrées à la législation électorale, puisque, sur 7 députés slovènes au Parlement européen, on compte aujourd</w:t>
      </w:r>
      <w:r w:rsidR="00CE0D20">
        <w:t>’</w:t>
      </w:r>
      <w:r>
        <w:t xml:space="preserve">hui 3 femmes – soit 42,9%. </w:t>
      </w:r>
    </w:p>
    <w:p w:rsidR="00164199" w:rsidRDefault="00164199" w:rsidP="00D926D4">
      <w:pPr>
        <w:pStyle w:val="SingleTxt"/>
      </w:pPr>
      <w:r>
        <w:t>77.</w:t>
      </w:r>
      <w:r>
        <w:tab/>
        <w:t>Comme il est indiqué dans la partie du présent rapport exposant les mesures d</w:t>
      </w:r>
      <w:r w:rsidR="00CE0D20">
        <w:t>’</w:t>
      </w:r>
      <w:r>
        <w:t xml:space="preserve">application des dispositions des articles 2 et 3 de la Convention, plusieurs amendements à la </w:t>
      </w:r>
      <w:r>
        <w:rPr>
          <w:i/>
          <w:iCs/>
        </w:rPr>
        <w:t>Loi sur les élections locales</w:t>
      </w:r>
      <w:r>
        <w:t xml:space="preserve"> ont été adoptés en juillet 2005 (cf. le paragraphe 7, ci-dessus). </w:t>
      </w:r>
    </w:p>
    <w:p w:rsidR="00164199" w:rsidRDefault="00164199" w:rsidP="00D926D4">
      <w:pPr>
        <w:pStyle w:val="SingleTxt"/>
      </w:pPr>
      <w:r>
        <w:t>78.</w:t>
      </w:r>
      <w:r>
        <w:tab/>
        <w:t xml:space="preserve">Le gouvernement slovène élabore actuellement un </w:t>
      </w:r>
      <w:r>
        <w:rPr>
          <w:i/>
          <w:iCs/>
        </w:rPr>
        <w:t>Projet de loi portant modification de la Loi relative aux élections législatives nationales</w:t>
      </w:r>
      <w:r>
        <w:t>, qui va définir également les mesures de promotion de l</w:t>
      </w:r>
      <w:r w:rsidR="00CE0D20">
        <w:t>’</w:t>
      </w:r>
      <w:r>
        <w:t>égalité des chances des femmes et des hommes en matière de candidature aux élections législatives.</w:t>
      </w:r>
    </w:p>
    <w:p w:rsidR="00164199" w:rsidRDefault="00164199" w:rsidP="00D926D4">
      <w:pPr>
        <w:pStyle w:val="SingleTxt"/>
      </w:pPr>
      <w:r>
        <w:t>79.</w:t>
      </w:r>
      <w:r>
        <w:tab/>
        <w:t>Comme il est déjà indiqué dans la partie du présent rapport qui expose les mesures d</w:t>
      </w:r>
      <w:r w:rsidR="00CE0D20">
        <w:t>’</w:t>
      </w:r>
      <w:r>
        <w:t>application des dispositions des articles 2 et 3 de la Convention, le gouvernement slovène a – dans le but d</w:t>
      </w:r>
      <w:r w:rsidR="00CE0D20">
        <w:t>’</w:t>
      </w:r>
      <w:r>
        <w:t xml:space="preserve">instaurer une représentation équilibrée des femmes et des hommes dans le cadre des nominations à des postes officiels – adopté un </w:t>
      </w:r>
      <w:r>
        <w:rPr>
          <w:i/>
          <w:iCs/>
        </w:rPr>
        <w:t>Décret régissant les critères d</w:t>
      </w:r>
      <w:r w:rsidR="00CE0D20">
        <w:rPr>
          <w:i/>
          <w:iCs/>
        </w:rPr>
        <w:t>’</w:t>
      </w:r>
      <w:r>
        <w:rPr>
          <w:i/>
          <w:iCs/>
        </w:rPr>
        <w:t>application du principe de représentation équilibrée des femmes et des hommes</w:t>
      </w:r>
      <w:r>
        <w:t xml:space="preserve"> (cf. le paragraphe 16 ci-dessus). Cependant, d</w:t>
      </w:r>
      <w:r w:rsidR="00CE0D20">
        <w:t>’</w:t>
      </w:r>
      <w:r>
        <w:t xml:space="preserve">après les données collectées et contrôlées par le Bureau pour </w:t>
      </w:r>
      <w:r w:rsidR="00BA4F2E">
        <w:t>l’</w:t>
      </w:r>
      <w:r w:rsidR="00221C8A">
        <w:t>Égalité</w:t>
      </w:r>
      <w:r>
        <w:t xml:space="preserve"> des chances, la représentation des femmes au sein des organes gouvernementaux, des délégations, des conseils d</w:t>
      </w:r>
      <w:r w:rsidR="00CE0D20">
        <w:t>’</w:t>
      </w:r>
      <w:r>
        <w:t>experts et autres instances publiques est restée sensiblement au même niveau qu</w:t>
      </w:r>
      <w:r w:rsidR="00CE0D20">
        <w:t>’</w:t>
      </w:r>
      <w:r>
        <w:t>avant l</w:t>
      </w:r>
      <w:r w:rsidR="00CE0D20">
        <w:t>’</w:t>
      </w:r>
      <w:r>
        <w:t>adoption de ce décret. Si l</w:t>
      </w:r>
      <w:r w:rsidR="00CE0D20">
        <w:t>’</w:t>
      </w:r>
      <w:r>
        <w:t xml:space="preserve">on en croit les évaluations du Bureau pour </w:t>
      </w:r>
      <w:r w:rsidR="00BA4F2E">
        <w:t>l’</w:t>
      </w:r>
      <w:r w:rsidR="00221C8A">
        <w:t>Égalité</w:t>
      </w:r>
      <w:r>
        <w:t xml:space="preserve"> des chances, les responsables de la composition des organes gouvernementaux, des délégations, des conseils d</w:t>
      </w:r>
      <w:r w:rsidR="00CE0D20">
        <w:t>’</w:t>
      </w:r>
      <w:r>
        <w:t>experts et autres instances ont souvent recours aux dérogations autorisées en ce qui concerne ce principe de représentation équilibrée des femmes et des hommes tel qu</w:t>
      </w:r>
      <w:r w:rsidR="00CE0D20">
        <w:t>’</w:t>
      </w:r>
      <w:r>
        <w:t>il est défini par le Décret en question. Ces dérogations sont utilisées en faveur d</w:t>
      </w:r>
      <w:r w:rsidR="00CE0D20">
        <w:t>’</w:t>
      </w:r>
      <w:r>
        <w:t>une représentation masculine notamment dans les domaines de l</w:t>
      </w:r>
      <w:r w:rsidR="00CE0D20">
        <w:t>’</w:t>
      </w:r>
      <w:r w:rsidR="00221C8A">
        <w:t>Économie</w:t>
      </w:r>
      <w:r>
        <w:t xml:space="preserve"> et des Finances, des Transports et de la Défense, tandis qu</w:t>
      </w:r>
      <w:r w:rsidR="00CE0D20">
        <w:t>’</w:t>
      </w:r>
      <w:r>
        <w:t>une représentation plutôt féminine est privilégiée dans les secteurs du Travail, de la Famille, des Affaires sociales et de l</w:t>
      </w:r>
      <w:r w:rsidR="00CE0D20">
        <w:t>’</w:t>
      </w:r>
      <w:r w:rsidR="00221C8A">
        <w:t>Éducation</w:t>
      </w:r>
      <w:r>
        <w:t>. C</w:t>
      </w:r>
      <w:r w:rsidR="00CE0D20">
        <w:t>’</w:t>
      </w:r>
      <w:r>
        <w:t>est ainsi que la séparation des tâches – avec des secteurs principalement réservés aux hommes et d</w:t>
      </w:r>
      <w:r w:rsidR="00CE0D20">
        <w:t>’</w:t>
      </w:r>
      <w:r>
        <w:t>autres attribués de préférence aux femmes – est en partie maintenue</w:t>
      </w:r>
      <w:r w:rsidR="00CE0D20">
        <w:t>;</w:t>
      </w:r>
      <w:r>
        <w:t xml:space="preserve"> par conséquent, le Bureau pour </w:t>
      </w:r>
      <w:r w:rsidR="00247191">
        <w:t>L’Égalité</w:t>
      </w:r>
      <w:r>
        <w:t xml:space="preserve"> des chances s</w:t>
      </w:r>
      <w:r w:rsidR="00CE0D20">
        <w:t>’</w:t>
      </w:r>
      <w:r>
        <w:t>efforce – par un contrôle permanent et en exigeant le respect des réglementations en vigueur – d</w:t>
      </w:r>
      <w:r w:rsidR="00CE0D20">
        <w:t>’</w:t>
      </w:r>
      <w:r>
        <w:t>encourager les progrès dans le sens d</w:t>
      </w:r>
      <w:r w:rsidR="00CE0D20">
        <w:t>’</w:t>
      </w:r>
      <w:r>
        <w:t>une composition équilibrée des organes gouvernementaux, des délégations et des conseils d</w:t>
      </w:r>
      <w:r w:rsidR="00CE0D20">
        <w:t>’</w:t>
      </w:r>
      <w:r>
        <w:t>experts.</w:t>
      </w:r>
    </w:p>
    <w:p w:rsidR="00164199" w:rsidRDefault="00164199" w:rsidP="00D926D4">
      <w:pPr>
        <w:pStyle w:val="SingleTxt"/>
      </w:pPr>
      <w:r>
        <w:t>80.</w:t>
      </w:r>
      <w:r>
        <w:tab/>
        <w:t>Dans le Troisième Rapport sur la mise en œuvre des dispositions de la Convention, la Slovénie a déjà informé le Comité de l</w:t>
      </w:r>
      <w:r w:rsidR="00CE0D20">
        <w:t>’</w:t>
      </w:r>
      <w:r>
        <w:t>obligation, pour les partis politiques – en vertu</w:t>
      </w:r>
      <w:r w:rsidR="00BA4F2E">
        <w:t xml:space="preserve"> </w:t>
      </w:r>
      <w:r>
        <w:t xml:space="preserve">de la </w:t>
      </w:r>
      <w:r>
        <w:rPr>
          <w:i/>
          <w:iCs/>
        </w:rPr>
        <w:t>Loi sur l</w:t>
      </w:r>
      <w:r w:rsidR="00CE0D20">
        <w:rPr>
          <w:i/>
          <w:iCs/>
        </w:rPr>
        <w:t>’</w:t>
      </w:r>
      <w:r>
        <w:rPr>
          <w:i/>
          <w:iCs/>
        </w:rPr>
        <w:t xml:space="preserve">égalité des chances des femmes et des </w:t>
      </w:r>
      <w:r w:rsidR="00E6532D">
        <w:rPr>
          <w:i/>
          <w:iCs/>
        </w:rPr>
        <w:br/>
      </w:r>
      <w:r>
        <w:rPr>
          <w:i/>
          <w:iCs/>
        </w:rPr>
        <w:t>hommes</w:t>
      </w:r>
      <w:r>
        <w:t xml:space="preserve"> -</w:t>
      </w:r>
      <w:r w:rsidR="00E6532D">
        <w:t>,</w:t>
      </w:r>
      <w:r>
        <w:t xml:space="preserve"> de présenter un projet, tous les quatre ans, au Bureau pour </w:t>
      </w:r>
      <w:r w:rsidR="00247191">
        <w:t>L’Égalité</w:t>
      </w:r>
      <w:r>
        <w:t xml:space="preserve"> des chances : dans ce projet, les partis politiques doivent prendre position sur la question de la représentation équilibrée des deux sexes, et, sur cette base, définir des méthodes et mesures d</w:t>
      </w:r>
      <w:r w:rsidR="00CE0D20">
        <w:t>’</w:t>
      </w:r>
      <w:r>
        <w:t>encouragement à une représentation plus équilibrée des femmes et des hommes au sein des organes du parti en question, ainsi que sur les listes de candidats aux élections législatives nationales, aux élections locales et à l</w:t>
      </w:r>
      <w:r w:rsidR="00CE0D20">
        <w:t>’</w:t>
      </w:r>
      <w:r>
        <w:t xml:space="preserve">élection du Président de la République. En liaison avec cette disposition, la loi détermine également le montant des amendes que les partis politiques devront verser pour non respect de la loi. </w:t>
      </w:r>
      <w:r w:rsidR="00E6532D">
        <w:t>À</w:t>
      </w:r>
      <w:r>
        <w:t xml:space="preserve"> la date du 1</w:t>
      </w:r>
      <w:r w:rsidRPr="00D7216F">
        <w:rPr>
          <w:vertAlign w:val="superscript"/>
        </w:rPr>
        <w:t>er</w:t>
      </w:r>
      <w:r>
        <w:t xml:space="preserve"> décembre 2005, 6 partis politiques seulement avaient présenté ce type de projet au Bureau pour </w:t>
      </w:r>
      <w:r w:rsidR="00247191">
        <w:t>L’Égalité</w:t>
      </w:r>
      <w:r>
        <w:t xml:space="preserve"> des chances</w:t>
      </w:r>
      <w:r w:rsidR="00CE0D20">
        <w:t>;</w:t>
      </w:r>
      <w:r>
        <w:t xml:space="preserve"> 7 autres partis ont annoncé l</w:t>
      </w:r>
      <w:r w:rsidR="00CE0D20">
        <w:t>’</w:t>
      </w:r>
      <w:r>
        <w:t>adoption et la présentation d</w:t>
      </w:r>
      <w:r w:rsidR="00CE0D20">
        <w:t>’</w:t>
      </w:r>
      <w:r>
        <w:t>un tel plan au cours du premier semestre 2006 au plus tard. Il faut noter aussi, cependant, que 5 autres partis politiques ont informé le Bureau par écrit du fait qu</w:t>
      </w:r>
      <w:r w:rsidR="00CE0D20">
        <w:t>’</w:t>
      </w:r>
      <w:r>
        <w:t>ils n</w:t>
      </w:r>
      <w:r w:rsidR="00CE0D20">
        <w:t>’</w:t>
      </w:r>
      <w:r>
        <w:t>avaient aucune intention d</w:t>
      </w:r>
      <w:r w:rsidR="00CE0D20">
        <w:t>’</w:t>
      </w:r>
      <w:r>
        <w:t>adopter un tel plan d</w:t>
      </w:r>
      <w:r w:rsidR="00CE0D20">
        <w:t>’</w:t>
      </w:r>
      <w:r>
        <w:t>action dans la mesure où leurs statuts les obligent à une représentation équilibrée des deux sexes. Enfin, 19 partis politiques – dont un représenté au Parlement – n</w:t>
      </w:r>
      <w:r w:rsidR="00CE0D20">
        <w:t>’</w:t>
      </w:r>
      <w:r>
        <w:t xml:space="preserve">ont pas répondu aux invitations adressées par écrit par le Bureau pour </w:t>
      </w:r>
      <w:r w:rsidR="00247191">
        <w:t>L’Égalité</w:t>
      </w:r>
      <w:r>
        <w:t xml:space="preserve"> des chances, et 9 autres n</w:t>
      </w:r>
      <w:r w:rsidR="00CE0D20">
        <w:t>’</w:t>
      </w:r>
      <w:r>
        <w:t xml:space="preserve">ont pas même accusé réception de la dernière lettre qui leur avait été adressée par le Bureau en août 2005. A ce jour, le Bureau pour </w:t>
      </w:r>
      <w:r w:rsidR="00247191">
        <w:t>L’Égalité</w:t>
      </w:r>
      <w:r>
        <w:t xml:space="preserve"> des chances n</w:t>
      </w:r>
      <w:r w:rsidR="00CE0D20">
        <w:t>’</w:t>
      </w:r>
      <w:r>
        <w:t>a pas entamé de procédure susceptible de contraindre les partis politiques à payer une amende, car il considère que la coopération avec les partis en vue de les sensibiliser à l</w:t>
      </w:r>
      <w:r w:rsidR="00CE0D20">
        <w:t>’</w:t>
      </w:r>
      <w:r>
        <w:t>importance d</w:t>
      </w:r>
      <w:r w:rsidR="00CE0D20">
        <w:t>’</w:t>
      </w:r>
      <w:r>
        <w:t>une représentation équilibrée des femmes et des hommes est préférable aux sanctions. De plus, il faut noter que plusieurs partis politiques qui n</w:t>
      </w:r>
      <w:r w:rsidR="00CE0D20">
        <w:t>’</w:t>
      </w:r>
      <w:r>
        <w:t xml:space="preserve">ont pas répondu aux récentes initiatives écrites du Bureau pour </w:t>
      </w:r>
      <w:r w:rsidR="00247191">
        <w:t>L’Égalité</w:t>
      </w:r>
      <w:r>
        <w:t xml:space="preserve"> des chances n</w:t>
      </w:r>
      <w:r w:rsidR="00CE0D20">
        <w:t>’</w:t>
      </w:r>
      <w:r>
        <w:t>opèrent qu</w:t>
      </w:r>
      <w:r w:rsidR="00CE0D20">
        <w:t>’</w:t>
      </w:r>
      <w:r>
        <w:t>à un certain niveau local</w:t>
      </w:r>
      <w:r w:rsidR="00CE0D20">
        <w:t>;</w:t>
      </w:r>
      <w:r>
        <w:t xml:space="preserve"> ou, dans certains cas également, le nombre de membres dont ils disposent est très limité, et leurs structures sont assez faibles, si bien que les partis en question n</w:t>
      </w:r>
      <w:r w:rsidR="00CE0D20">
        <w:t>’</w:t>
      </w:r>
      <w:r>
        <w:t xml:space="preserve">ont pas de réunions régulières, et leurs instances décisionnaires ne se réunissent également que très rarement. </w:t>
      </w:r>
    </w:p>
    <w:p w:rsidR="00E6532D" w:rsidRPr="00E6532D" w:rsidRDefault="00E6532D" w:rsidP="00E6532D">
      <w:pPr>
        <w:pStyle w:val="SingleTxt"/>
        <w:spacing w:after="0" w:line="120" w:lineRule="exact"/>
        <w:rPr>
          <w:sz w:val="10"/>
        </w:rPr>
      </w:pPr>
    </w:p>
    <w:p w:rsidR="00164199" w:rsidRDefault="00E6532D" w:rsidP="00BA4F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Les femmes à des postes décisionnaires dans le domaine politique</w:t>
      </w:r>
    </w:p>
    <w:p w:rsidR="00E6532D" w:rsidRPr="00E6532D" w:rsidRDefault="00E6532D" w:rsidP="00E6532D">
      <w:pPr>
        <w:pStyle w:val="SingleTxt"/>
        <w:spacing w:after="0" w:line="120" w:lineRule="exact"/>
        <w:rPr>
          <w:sz w:val="10"/>
        </w:rPr>
      </w:pPr>
    </w:p>
    <w:p w:rsidR="00164199" w:rsidRDefault="00164199" w:rsidP="00D926D4">
      <w:pPr>
        <w:pStyle w:val="SingleTxt"/>
      </w:pPr>
      <w:r w:rsidRPr="002D082E">
        <w:t>81.</w:t>
      </w:r>
      <w:r>
        <w:tab/>
        <w:t>Malgré une lente progression de la présence des femmes sur les listes de candidats aux élections législatives nationales (14,8% de femmes en 1992, puis 18,6% en 1996, 23,4% en 2000, et 24,9% en 2004), le taux de réussite des femmes reste, dans ce domaine, relativement faible. Ainsi, aux dernières élections législatives nationales de 2004, 11 femmes (soit 12,2%) ont été élues députées, et, après la répartition définitive des sièges à l</w:t>
      </w:r>
      <w:r w:rsidR="00CE0D20">
        <w:t>’</w:t>
      </w:r>
      <w:r>
        <w:t>Assemblée nationale, les femmes représentaient 13,3% de l</w:t>
      </w:r>
      <w:r w:rsidR="00CE0D20">
        <w:t>’</w:t>
      </w:r>
      <w:r>
        <w:t>ensemble des députés – c</w:t>
      </w:r>
      <w:r w:rsidR="00CE0D20">
        <w:t>’</w:t>
      </w:r>
      <w:r>
        <w:t>est-à-dire un chiffre égal à celui de la précédente législature. La présence des femmes est encore plus réduite au sein du Conseil national, qui, à l</w:t>
      </w:r>
      <w:r w:rsidR="00CE0D20">
        <w:t>’</w:t>
      </w:r>
      <w:r>
        <w:t>issue des dernières élections, en 2002, comptait seulement 3 femmes (soit 7,5%) sur 40 membres au total – cela représentant même un recul par rapport aux élections précédentes, qui avaient vu 5 femmes élues</w:t>
      </w:r>
      <w:r w:rsidRPr="006A4785">
        <w:rPr>
          <w:rStyle w:val="FootnoteReference"/>
        </w:rPr>
        <w:footnoteReference w:customMarkFollows="1" w:id="21"/>
        <w:t>21</w:t>
      </w:r>
      <w:r>
        <w:t>.</w:t>
      </w:r>
    </w:p>
    <w:p w:rsidR="00164199" w:rsidRDefault="00164199" w:rsidP="00D926D4">
      <w:pPr>
        <w:pStyle w:val="SingleTxt"/>
      </w:pPr>
      <w:r>
        <w:t>82.</w:t>
      </w:r>
      <w:r>
        <w:tab/>
        <w:t xml:space="preserve">En 2004, à la suite des dernières élections législatives nationales, une étude a été effectuée, sous le titre </w:t>
      </w:r>
      <w:r w:rsidR="003158AC">
        <w:rPr>
          <w:i/>
          <w:iCs/>
        </w:rPr>
        <w:t xml:space="preserve">“ </w:t>
      </w:r>
      <w:r>
        <w:rPr>
          <w:i/>
          <w:iCs/>
        </w:rPr>
        <w:t>Les élections de 2004 à l</w:t>
      </w:r>
      <w:r w:rsidR="00CE0D20">
        <w:rPr>
          <w:i/>
          <w:iCs/>
        </w:rPr>
        <w:t>’</w:t>
      </w:r>
      <w:r>
        <w:rPr>
          <w:i/>
          <w:iCs/>
        </w:rPr>
        <w:t>Assemblée nationale sous l</w:t>
      </w:r>
      <w:r w:rsidR="00CE0D20">
        <w:rPr>
          <w:i/>
          <w:iCs/>
        </w:rPr>
        <w:t>’</w:t>
      </w:r>
      <w:r>
        <w:rPr>
          <w:i/>
          <w:iCs/>
        </w:rPr>
        <w:t>angle de la représentation des femmes et des hommes</w:t>
      </w:r>
      <w:r w:rsidR="00CE0D20">
        <w:rPr>
          <w:i/>
          <w:iCs/>
        </w:rPr>
        <w:t> »</w:t>
      </w:r>
      <w:r>
        <w:rPr>
          <w:i/>
          <w:iCs/>
        </w:rPr>
        <w:t>.</w:t>
      </w:r>
      <w:r>
        <w:t xml:space="preserve"> Les auteurs de cette étude analysaient les listes de candidats, les programmes et statuts des partis politiques en matière de garantie de l</w:t>
      </w:r>
      <w:r w:rsidR="00CE0D20">
        <w:t>’</w:t>
      </w:r>
      <w:r>
        <w:t>égalité des chances des deux sexes, la participation des candidats aux émissions des médias avant les élections, les résultats des élections et les mesures proposées en vue d</w:t>
      </w:r>
      <w:r w:rsidR="00CE0D20">
        <w:t>’</w:t>
      </w:r>
      <w:r>
        <w:t xml:space="preserve">accroître la représentation des femmes au Parlement. </w:t>
      </w:r>
    </w:p>
    <w:p w:rsidR="00164199" w:rsidRDefault="00164199" w:rsidP="00D926D4">
      <w:pPr>
        <w:pStyle w:val="SingleTxt"/>
      </w:pPr>
      <w:r>
        <w:t>83.</w:t>
      </w:r>
      <w:r>
        <w:tab/>
        <w:t>De même qu</w:t>
      </w:r>
      <w:r w:rsidR="00CE0D20">
        <w:t>’</w:t>
      </w:r>
      <w:r>
        <w:t>au niveau national, la participation des femmes aux instances décisionnaires locales est également faible. Certes, le pourcentage de femmes sur les listes de candidats aux postes de conseillers municipaux a légèrement augmenté (il était de 21% pour les dernières élections, en 2002)</w:t>
      </w:r>
      <w:r w:rsidR="00CE0D20">
        <w:t>;</w:t>
      </w:r>
      <w:r>
        <w:t xml:space="preserve"> mais, au final, le nombre de femmes élues conseillères municipales reste très inférieur à celui des hommes. Aux élections locales de 2002, le pourcentage de femmes élues à ce niveau était de 13,1% (contre 11,7% en 1998), et celui des femmes élues maires était de 6,2% (contre 4,2% en 1998). </w:t>
      </w:r>
      <w:r w:rsidR="00221C8A">
        <w:t>Étant</w:t>
      </w:r>
      <w:r>
        <w:t xml:space="preserve"> donné l</w:t>
      </w:r>
      <w:r w:rsidR="00CE0D20">
        <w:t>’</w:t>
      </w:r>
      <w:r>
        <w:t xml:space="preserve">évolution due à la </w:t>
      </w:r>
      <w:r>
        <w:rPr>
          <w:i/>
          <w:iCs/>
        </w:rPr>
        <w:t>Loi portant modification de la loi sur les élections locales</w:t>
      </w:r>
      <w:r>
        <w:t>, on peut désormais s</w:t>
      </w:r>
      <w:r w:rsidR="00CE0D20">
        <w:t>’</w:t>
      </w:r>
      <w:r>
        <w:t>attendre à un nombre accru de femmes élues maires ou conseillères municipales, lors de chaque nouvelle élection locale</w:t>
      </w:r>
      <w:r w:rsidRPr="006A4785">
        <w:rPr>
          <w:rStyle w:val="FootnoteReference"/>
        </w:rPr>
        <w:footnoteReference w:customMarkFollows="1" w:id="22"/>
        <w:t>22</w:t>
      </w:r>
      <w:r>
        <w:t>.</w:t>
      </w:r>
    </w:p>
    <w:p w:rsidR="00164199" w:rsidRDefault="00164199" w:rsidP="00D926D4">
      <w:pPr>
        <w:pStyle w:val="SingleTxt"/>
      </w:pPr>
      <w:r>
        <w:t>84.</w:t>
      </w:r>
      <w:r>
        <w:tab/>
        <w:t xml:space="preserve">Sur la base de la </w:t>
      </w:r>
      <w:r>
        <w:rPr>
          <w:i/>
          <w:iCs/>
        </w:rPr>
        <w:t>Loi relative à l</w:t>
      </w:r>
      <w:r w:rsidR="00CE0D20">
        <w:rPr>
          <w:i/>
          <w:iCs/>
        </w:rPr>
        <w:t>’</w:t>
      </w:r>
      <w:r>
        <w:rPr>
          <w:i/>
          <w:iCs/>
        </w:rPr>
        <w:t>autonomie locale</w:t>
      </w:r>
      <w:r>
        <w:t>, les Roms doivent disposer d</w:t>
      </w:r>
      <w:r w:rsidR="00CE0D20">
        <w:t>’</w:t>
      </w:r>
      <w:r>
        <w:t>un représentant au sein du conseil municipal du secteur autochtone de la communauté rom. Sur 19 Roms élus conseillers (aux élections de 2002), on compte une femme (soit 5,2%).</w:t>
      </w:r>
    </w:p>
    <w:p w:rsidR="00164199" w:rsidRDefault="00164199" w:rsidP="00D926D4">
      <w:pPr>
        <w:pStyle w:val="SingleTxt"/>
      </w:pPr>
      <w:r>
        <w:t>85.</w:t>
      </w:r>
      <w:r>
        <w:tab/>
        <w:t>Aux élections de 2004, 3 femmes ont été élues au Parlement européen (le nombre total de députées européennes slovènes étant de 7) – comme il est indiqué au paragraphe 9 du présent rapport. Cette représentation féminine – correspondant à 42,9% en ce qui concerne les Slovènes</w:t>
      </w:r>
      <w:r w:rsidR="00CE0D20">
        <w:t xml:space="preserve"> – </w:t>
      </w:r>
      <w:r>
        <w:t xml:space="preserve">est très largement supérieure au pourcentage moyen de la représentation des femmes au Parlement européen. </w:t>
      </w:r>
    </w:p>
    <w:p w:rsidR="00E6532D" w:rsidRPr="00E6532D" w:rsidRDefault="00E6532D" w:rsidP="00E6532D">
      <w:pPr>
        <w:pStyle w:val="SingleTxt"/>
        <w:spacing w:after="0" w:line="120" w:lineRule="exact"/>
        <w:rPr>
          <w:sz w:val="10"/>
        </w:rPr>
      </w:pPr>
    </w:p>
    <w:p w:rsidR="00164199" w:rsidRDefault="00E6532D" w:rsidP="00BA4F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Les femmes dans les instances gouvernementales</w:t>
      </w:r>
    </w:p>
    <w:p w:rsidR="00E6532D" w:rsidRPr="00E6532D" w:rsidRDefault="00E6532D" w:rsidP="00E6532D">
      <w:pPr>
        <w:pStyle w:val="SingleTxt"/>
        <w:spacing w:after="0" w:line="120" w:lineRule="exact"/>
        <w:rPr>
          <w:sz w:val="10"/>
        </w:rPr>
      </w:pPr>
    </w:p>
    <w:p w:rsidR="00164199" w:rsidRDefault="00164199" w:rsidP="00D926D4">
      <w:pPr>
        <w:pStyle w:val="SingleTxt"/>
      </w:pPr>
      <w:r w:rsidRPr="00BF0E89">
        <w:t>86.</w:t>
      </w:r>
      <w:r>
        <w:tab/>
        <w:t>La représentation des femmes est également faible au sein des organes du gouvernement slovène. Après les élections de 2004, on ne compte qu</w:t>
      </w:r>
      <w:r w:rsidR="00CE0D20">
        <w:t>’</w:t>
      </w:r>
      <w:r>
        <w:t>une seule femme ministre (soit 5,9% de l</w:t>
      </w:r>
      <w:r w:rsidR="00CE0D20">
        <w:t>’</w:t>
      </w:r>
      <w:r>
        <w:t>ensemble des ministres) – ce qui représente un net recul par rapport aux élections de 2000, qui avaient conduit à la nomination de trois femmes ministres (soit 20% du nombre total de ministres). Le Secrétaire général du gouvernement est un homme, et l</w:t>
      </w:r>
      <w:r w:rsidR="00CE0D20">
        <w:t>’</w:t>
      </w:r>
      <w:r>
        <w:t xml:space="preserve">on compte quatre Secrétaires </w:t>
      </w:r>
      <w:r w:rsidR="00221C8A">
        <w:t>État</w:t>
      </w:r>
      <w:r>
        <w:t xml:space="preserve"> de sexe féminin (soit 22,2% de l</w:t>
      </w:r>
      <w:r w:rsidR="00CE0D20">
        <w:t>’</w:t>
      </w:r>
      <w:r>
        <w:t xml:space="preserve">ensemble des Secrétaires </w:t>
      </w:r>
      <w:r w:rsidR="00221C8A">
        <w:t>État</w:t>
      </w:r>
      <w:r>
        <w:t xml:space="preserve">). </w:t>
      </w:r>
    </w:p>
    <w:p w:rsidR="00164199" w:rsidRDefault="00164199" w:rsidP="00D926D4">
      <w:pPr>
        <w:pStyle w:val="SingleTxt"/>
      </w:pPr>
      <w:r>
        <w:t>87.</w:t>
      </w:r>
      <w:r>
        <w:tab/>
        <w:t>En comparaison de la représentation globale des femmes au niveau politique, la représentation des deux sexes est légèrement plus équilibrée au sein des organes gouvernementaux et administrations publiques. En 2004, on comptait 52% de femmes à des postes de cadre supérieur de l</w:t>
      </w:r>
      <w:r w:rsidR="00CE0D20">
        <w:t>’</w:t>
      </w:r>
      <w:r>
        <w:t>administration</w:t>
      </w:r>
      <w:r w:rsidR="00CE0D20">
        <w:t>;</w:t>
      </w:r>
      <w:r>
        <w:t xml:space="preserve"> mais le pourcentage est moindre aux plus hautes fonctions. Le pourcentage de femmes mandatées d</w:t>
      </w:r>
      <w:r w:rsidR="00CE0D20">
        <w:t>’</w:t>
      </w:r>
      <w:r>
        <w:t>une responsabilité officielle est de 25,6%</w:t>
      </w:r>
      <w:r w:rsidR="00CE0D20">
        <w:t>;</w:t>
      </w:r>
      <w:r>
        <w:t xml:space="preserve"> le pourcentage de femmes le plus élevé se trouve parmi les chefs de cabinet (38,5%), et le plus bas concerne les postes de Directeurs Généraux (13,3%)</w:t>
      </w:r>
      <w:r w:rsidRPr="006A4785">
        <w:rPr>
          <w:rStyle w:val="FootnoteReference"/>
        </w:rPr>
        <w:footnoteReference w:customMarkFollows="1" w:id="23"/>
        <w:t>23</w:t>
      </w:r>
      <w:r>
        <w:t>.</w:t>
      </w:r>
    </w:p>
    <w:p w:rsidR="00164199" w:rsidRDefault="00164199" w:rsidP="00D926D4">
      <w:pPr>
        <w:pStyle w:val="SingleTxt"/>
      </w:pPr>
      <w:r>
        <w:t>88.</w:t>
      </w:r>
      <w:r>
        <w:tab/>
        <w:t>En 2004, le pourcentage de femmes au sein d</w:t>
      </w:r>
      <w:r w:rsidR="00CE0D20">
        <w:t>’</w:t>
      </w:r>
      <w:r>
        <w:t>organes gouvernementaux était de 36,2%</w:t>
      </w:r>
      <w:r w:rsidR="00CE0D20">
        <w:t>;</w:t>
      </w:r>
      <w:r>
        <w:t xml:space="preserve"> la représentation féminine la plus faible est celle que l</w:t>
      </w:r>
      <w:r w:rsidR="00CE0D20">
        <w:t>’</w:t>
      </w:r>
      <w:r>
        <w:t>on observe dans les corps de mission (11,3%)</w:t>
      </w:r>
      <w:r w:rsidR="00CE0D20">
        <w:t>;</w:t>
      </w:r>
      <w:r>
        <w:t xml:space="preserve"> elle est légèrement plus importante au sein des conseils gouvernementaux (35,7%) et des groupes de travail gouvernementaux (38,3%). Le pourcentage de femmes parmi les représentants officiels de la Slovénie au sein d</w:t>
      </w:r>
      <w:r w:rsidR="00CE0D20">
        <w:t>’</w:t>
      </w:r>
      <w:r>
        <w:t xml:space="preserve">institutions internationales est de 21,8%. La situation est sensiblement la même en ce qui concerne les représentants de </w:t>
      </w:r>
      <w:r w:rsidR="00221C8A">
        <w:t>État</w:t>
      </w:r>
      <w:r>
        <w:t xml:space="preserve"> ou les délégués en général au sein des entreprises publiques, des sociétés d</w:t>
      </w:r>
      <w:r w:rsidR="00CE0D20">
        <w:t>’</w:t>
      </w:r>
      <w:r>
        <w:t>actionnaires et des sociétés à responsabilité limitée – autant de lieux où le pourcentage de femmes est de 20,2%. Dans les entreprises publiques, les pourcentages respectifs d</w:t>
      </w:r>
      <w:r w:rsidR="00CE0D20">
        <w:t>’</w:t>
      </w:r>
      <w:r>
        <w:t>hommes et de femmes représentant le gouvernement sont assez équilibrés (les femmes occupant 48,9% de ces postes)</w:t>
      </w:r>
      <w:r w:rsidR="00CE0D20">
        <w:t>;</w:t>
      </w:r>
      <w:r>
        <w:t xml:space="preserve"> les femmes sont plus représentées que les hommes au sein des institutions de protection sociale (71,4% de femmes) et des centres d</w:t>
      </w:r>
      <w:r w:rsidR="00CE0D20">
        <w:t>’</w:t>
      </w:r>
      <w:r>
        <w:t>assistance sociale (70,8% de femmes)</w:t>
      </w:r>
      <w:r w:rsidRPr="006A4785">
        <w:rPr>
          <w:rStyle w:val="FootnoteReference"/>
        </w:rPr>
        <w:footnoteReference w:customMarkFollows="1" w:id="24"/>
        <w:t>24</w:t>
      </w:r>
      <w:r>
        <w:t>.</w:t>
      </w:r>
    </w:p>
    <w:p w:rsidR="00E6532D" w:rsidRPr="00E6532D" w:rsidRDefault="00E6532D" w:rsidP="00E6532D">
      <w:pPr>
        <w:pStyle w:val="SingleTxt"/>
        <w:spacing w:after="0" w:line="120" w:lineRule="exact"/>
        <w:rPr>
          <w:sz w:val="10"/>
        </w:rPr>
      </w:pPr>
    </w:p>
    <w:p w:rsidR="00164199" w:rsidRDefault="00E6532D" w:rsidP="00E65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Les femmes dans le secteur judiciaire</w:t>
      </w:r>
    </w:p>
    <w:p w:rsidR="00E6532D" w:rsidRPr="00E6532D" w:rsidRDefault="00E6532D" w:rsidP="00E6532D">
      <w:pPr>
        <w:pStyle w:val="SingleTxt"/>
        <w:spacing w:after="0" w:line="120" w:lineRule="exact"/>
        <w:rPr>
          <w:sz w:val="10"/>
        </w:rPr>
      </w:pPr>
    </w:p>
    <w:p w:rsidR="00164199" w:rsidRDefault="00164199" w:rsidP="00D926D4">
      <w:pPr>
        <w:pStyle w:val="SingleTxt"/>
      </w:pPr>
      <w:r w:rsidRPr="00C633E7">
        <w:t>89.</w:t>
      </w:r>
      <w:r>
        <w:tab/>
        <w:t>En moyenne, la présence des femmes dans la magistrature est plus importante que celle des hommes – et a légèrement augmenté ces dernières années. La Cour Suprême compte 9 membres (juges de la Cour constitutionnelle), dont 4 femmes (soit 44,4%), et c</w:t>
      </w:r>
      <w:r w:rsidR="00CE0D20">
        <w:t>’</w:t>
      </w:r>
      <w:r>
        <w:t>est une femme qui est Vice-présidente de la Cour constitutionnelle. En 2004, on comptait 70,5% de femmes sur l</w:t>
      </w:r>
      <w:r w:rsidR="00CE0D20">
        <w:t>’</w:t>
      </w:r>
      <w:r>
        <w:t>ensemble des magistrats du pays. Le pourcentage de femmes est le plus faible à la Cour suprême (34,2%), et il est le plus élevé dans les prud</w:t>
      </w:r>
      <w:r w:rsidR="00CE0D20">
        <w:t>’</w:t>
      </w:r>
      <w:r>
        <w:t>hommes (83,3%) et les tribunaux locaux (77,2%). Si les femmes sont plus nombreuses au sein de la profession de magistrat – excepté au sein de la Cour Suprême et de la Cour supérieure du Travail et des Questions sociales -, elles ne sont présidentes de tribunaux qu</w:t>
      </w:r>
      <w:r w:rsidR="00CE0D20">
        <w:t>’</w:t>
      </w:r>
      <w:r>
        <w:t>en ce qui concerne 24 tribunaux locaux (sur 44 au total),</w:t>
      </w:r>
      <w:r w:rsidR="00BA4F2E">
        <w:t xml:space="preserve"> </w:t>
      </w:r>
      <w:r>
        <w:t>mais sont de nouveau plus nombreuses à la tête des tribunaux départementaux (dans 6 de ces tribunaux sur 11 au total) et des prud</w:t>
      </w:r>
      <w:r w:rsidR="00CE0D20">
        <w:t>’</w:t>
      </w:r>
      <w:r>
        <w:t>hommes</w:t>
      </w:r>
      <w:r w:rsidR="00BA4F2E">
        <w:t xml:space="preserve"> </w:t>
      </w:r>
      <w:r>
        <w:t>(2 sur 3). On trouve également des femmes aux postes de présidente d</w:t>
      </w:r>
      <w:r w:rsidR="00CE0D20">
        <w:t>’</w:t>
      </w:r>
      <w:r>
        <w:t>un tribunal du travail et des affaires sociales, d</w:t>
      </w:r>
      <w:r w:rsidR="00CE0D20">
        <w:t>’</w:t>
      </w:r>
      <w:r>
        <w:t>un tribunal supérieur du travail et des affaires sociales et de l</w:t>
      </w:r>
      <w:r w:rsidR="00CE0D20">
        <w:t>’</w:t>
      </w:r>
      <w:r>
        <w:t>un des quatre tribunaux d</w:t>
      </w:r>
      <w:r w:rsidR="00CE0D20">
        <w:t>’</w:t>
      </w:r>
      <w:r>
        <w:t>instance supérieure</w:t>
      </w:r>
      <w:r w:rsidRPr="006A4785">
        <w:rPr>
          <w:rStyle w:val="FootnoteReference"/>
        </w:rPr>
        <w:footnoteReference w:customMarkFollows="1" w:id="25"/>
        <w:t>25</w:t>
      </w:r>
      <w:r>
        <w:t>.</w:t>
      </w:r>
    </w:p>
    <w:p w:rsidR="00164199" w:rsidRDefault="00164199" w:rsidP="00D926D4">
      <w:pPr>
        <w:pStyle w:val="SingleTxt"/>
      </w:pPr>
      <w:r>
        <w:t>90.</w:t>
      </w:r>
      <w:r>
        <w:tab/>
        <w:t>Parmi les procureurs généraux, on compte légèrement plus de femmes que d</w:t>
      </w:r>
      <w:r w:rsidR="00CE0D20">
        <w:t>’</w:t>
      </w:r>
      <w:r>
        <w:t>hommes. Toutefois, dans ces services, le pourcentage de femmes est de plus en plus réduit au fur et à mesure que l</w:t>
      </w:r>
      <w:r w:rsidR="00CE0D20">
        <w:t>’</w:t>
      </w:r>
      <w:r>
        <w:t>on monte dans la hiérarchie. Au niveau des districts, dans les services des procureurs généraux, les femmes occupent 58% des postes supérieurs</w:t>
      </w:r>
      <w:r w:rsidR="00CE0D20">
        <w:t>;</w:t>
      </w:r>
      <w:r>
        <w:t xml:space="preserve"> et, à l</w:t>
      </w:r>
      <w:r w:rsidR="00CE0D20">
        <w:t>’</w:t>
      </w:r>
      <w:r>
        <w:t>échelon des services du Procureur de la République – c</w:t>
      </w:r>
      <w:r w:rsidR="00CE0D20">
        <w:t>’</w:t>
      </w:r>
      <w:r>
        <w:t xml:space="preserve">est-à-dire au niveau de </w:t>
      </w:r>
      <w:r w:rsidR="00221C8A">
        <w:t>État</w:t>
      </w:r>
      <w:r>
        <w:t xml:space="preserve"> -, les femmes représentent 45%. Il faut noter également que l</w:t>
      </w:r>
      <w:r w:rsidR="00CE0D20">
        <w:t>’</w:t>
      </w:r>
      <w:r>
        <w:t xml:space="preserve">on compte une femme Procureur de la République. </w:t>
      </w:r>
    </w:p>
    <w:p w:rsidR="00E6532D" w:rsidRDefault="00E6532D" w:rsidP="00D926D4">
      <w:pPr>
        <w:pStyle w:val="SingleTxt"/>
      </w:pPr>
    </w:p>
    <w:p w:rsidR="00164199" w:rsidRDefault="00E6532D" w:rsidP="001A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Les femmes dans l</w:t>
      </w:r>
      <w:r w:rsidR="00CE0D20">
        <w:t>’</w:t>
      </w:r>
      <w:r w:rsidR="00164199">
        <w:t>économie du pays, dans les organisations patronales et les syndicats</w:t>
      </w:r>
    </w:p>
    <w:p w:rsidR="00E6532D" w:rsidRPr="00E6532D" w:rsidRDefault="00E6532D" w:rsidP="00E6532D">
      <w:pPr>
        <w:pStyle w:val="SingleTxt"/>
        <w:spacing w:after="0" w:line="120" w:lineRule="exact"/>
        <w:rPr>
          <w:sz w:val="10"/>
        </w:rPr>
      </w:pPr>
    </w:p>
    <w:p w:rsidR="00164199" w:rsidRDefault="00164199" w:rsidP="00D926D4">
      <w:pPr>
        <w:pStyle w:val="SingleTxt"/>
      </w:pPr>
      <w:r w:rsidRPr="00DA4171">
        <w:t>91.</w:t>
      </w:r>
      <w:r>
        <w:tab/>
        <w:t>Le nombre de femmes à des postes directoriaux – que ce soit dans les entreprises, dans les organisations regroupant les partenaires sociaux et autres associations ou organismes – est encore relativement bas, même si, ces dernières années, le pourcentage de femmes à ce niveau a augmenté. En 2003, on comptait 4% de femmes présidentes-directrices générales au niveau des plus grosses entreprises du pays (en 2000, on n</w:t>
      </w:r>
      <w:r w:rsidR="00CE0D20">
        <w:t>’</w:t>
      </w:r>
      <w:r>
        <w:t>en comptait pas une seule à ce niveau), et 22% étaient membres des conseils d</w:t>
      </w:r>
      <w:r w:rsidR="00CE0D20">
        <w:t>’</w:t>
      </w:r>
      <w:r>
        <w:t>administration des entreprises en question. D</w:t>
      </w:r>
      <w:r w:rsidR="00CE0D20">
        <w:t>’</w:t>
      </w:r>
      <w:r>
        <w:t>autre part, on comptait 34% de femmes à des postes de cadre supérieur</w:t>
      </w:r>
      <w:r w:rsidRPr="006A4785">
        <w:rPr>
          <w:rStyle w:val="FootnoteReference"/>
        </w:rPr>
        <w:footnoteReference w:customMarkFollows="1" w:id="26"/>
        <w:t>26</w:t>
      </w:r>
      <w:r>
        <w:t>. Sur une centaine d</w:t>
      </w:r>
      <w:r w:rsidR="00CE0D20">
        <w:t>’</w:t>
      </w:r>
      <w:r>
        <w:t>entreprises très performantes, 99 avaient un PDG masculin, et 3 seulement un PDG de sexe féminin</w:t>
      </w:r>
      <w:r w:rsidRPr="006A4785">
        <w:rPr>
          <w:rStyle w:val="FootnoteReference"/>
        </w:rPr>
        <w:footnoteReference w:customMarkFollows="1" w:id="27"/>
        <w:t>27</w:t>
      </w:r>
      <w:r>
        <w:t>.</w:t>
      </w:r>
    </w:p>
    <w:p w:rsidR="00164199" w:rsidRDefault="00164199" w:rsidP="00D926D4">
      <w:pPr>
        <w:pStyle w:val="SingleTxt"/>
      </w:pPr>
      <w:r>
        <w:t>92.</w:t>
      </w:r>
      <w:r>
        <w:tab/>
        <w:t>Toutes les confédérations syndicales slovènes ont un homme à leur tête. L</w:t>
      </w:r>
      <w:r w:rsidR="00CE0D20">
        <w:t>’</w:t>
      </w:r>
      <w:r>
        <w:t>organigramme de chaque syndicat membre d</w:t>
      </w:r>
      <w:r w:rsidR="00CE0D20">
        <w:t>’</w:t>
      </w:r>
      <w:r>
        <w:t>une confédération indique que la plupart des présidents sont des hommes – les femmes occupant un peu plus fréquemment un poste de vice-présidente</w:t>
      </w:r>
      <w:r w:rsidR="00CE0D20">
        <w:t>;</w:t>
      </w:r>
      <w:r>
        <w:t xml:space="preserve"> toutefois, la place des femmes reste peu importante à ce niveau.</w:t>
      </w:r>
    </w:p>
    <w:p w:rsidR="00164199" w:rsidRDefault="00164199" w:rsidP="00D926D4">
      <w:pPr>
        <w:pStyle w:val="SingleTxt"/>
      </w:pPr>
      <w:r>
        <w:t>93.</w:t>
      </w:r>
      <w:r>
        <w:tab/>
        <w:t>Même type de situation dans les organisations patronales (telles que l</w:t>
      </w:r>
      <w:r w:rsidR="00CE0D20">
        <w:t>’</w:t>
      </w:r>
      <w:r>
        <w:t>Association des Employeurs de Slovénie, la Chambre de Commerce et d</w:t>
      </w:r>
      <w:r w:rsidR="00CE0D20">
        <w:t>’</w:t>
      </w:r>
      <w:r>
        <w:t>Industrie de Slovénie, ou encore la Chambre des Métiers de Slovénie) : on ne trouve jamais de femme au poste de président. On compte trois femmes (soit 20% des membres) au sein du Conseil de Direction de l</w:t>
      </w:r>
      <w:r w:rsidR="00CE0D20">
        <w:t>’</w:t>
      </w:r>
      <w:r>
        <w:t>Association des Employeurs de Slovénie</w:t>
      </w:r>
      <w:r w:rsidRPr="006A4785">
        <w:rPr>
          <w:rStyle w:val="FootnoteReference"/>
        </w:rPr>
        <w:footnoteReference w:customMarkFollows="1" w:id="28"/>
        <w:t>28</w:t>
      </w:r>
      <w:r>
        <w:t>. Au niveau de la gestion de la Chambre de Commerce et d</w:t>
      </w:r>
      <w:r w:rsidR="00CE0D20">
        <w:t>’</w:t>
      </w:r>
      <w:r>
        <w:t>Industrie, deux postes sur cinq seulement sont occupés par des femmes : il s</w:t>
      </w:r>
      <w:r w:rsidR="00CE0D20">
        <w:t>’</w:t>
      </w:r>
      <w:r>
        <w:t>agit des postes de vice-présidente et de secrétaire générale. Quant aux Chambres de Commerce et d</w:t>
      </w:r>
      <w:r w:rsidR="00CE0D20">
        <w:t>’</w:t>
      </w:r>
      <w:r>
        <w:t>Industrie régionales, le pourcentage de femmes au niveau directorial est de 38,5%</w:t>
      </w:r>
      <w:r w:rsidRPr="006A4785">
        <w:rPr>
          <w:rStyle w:val="FootnoteReference"/>
        </w:rPr>
        <w:footnoteReference w:customMarkFollows="1" w:id="29"/>
        <w:t>29</w:t>
      </w:r>
      <w:r>
        <w:t>. La gestion de la Chambre des Métiers de Slovénie est assurée exclusivement par des hommes, et l</w:t>
      </w:r>
      <w:r w:rsidR="00CE0D20">
        <w:t>’</w:t>
      </w:r>
      <w:r>
        <w:t>on ne compte que 8% de femmes au niveau directorial. En revanche, les femmes sont largement majoritaires aux postes de secrétaire (71%)</w:t>
      </w:r>
      <w:r w:rsidRPr="006A4785">
        <w:rPr>
          <w:rStyle w:val="FootnoteReference"/>
        </w:rPr>
        <w:footnoteReference w:customMarkFollows="1" w:id="30"/>
        <w:t>30</w:t>
      </w:r>
      <w:r>
        <w:t>.</w:t>
      </w:r>
    </w:p>
    <w:p w:rsidR="00E6532D" w:rsidRPr="00E6532D" w:rsidRDefault="00E6532D" w:rsidP="00E6532D">
      <w:pPr>
        <w:pStyle w:val="SingleTxt"/>
        <w:spacing w:after="0" w:line="120" w:lineRule="exact"/>
        <w:rPr>
          <w:sz w:val="10"/>
        </w:rPr>
      </w:pPr>
    </w:p>
    <w:p w:rsidR="00164199" w:rsidRDefault="00E6532D" w:rsidP="001A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Initiatives de la société civile</w:t>
      </w:r>
    </w:p>
    <w:p w:rsidR="00E6532D" w:rsidRPr="00E6532D" w:rsidRDefault="00E6532D" w:rsidP="00E6532D">
      <w:pPr>
        <w:pStyle w:val="SingleTxt"/>
        <w:spacing w:after="0" w:line="120" w:lineRule="exact"/>
        <w:rPr>
          <w:sz w:val="10"/>
        </w:rPr>
      </w:pPr>
    </w:p>
    <w:p w:rsidR="00164199" w:rsidRDefault="00164199" w:rsidP="00D926D4">
      <w:pPr>
        <w:pStyle w:val="SingleTxt"/>
      </w:pPr>
      <w:r w:rsidRPr="005D4C77">
        <w:t>94.</w:t>
      </w:r>
      <w:r>
        <w:tab/>
        <w:t xml:space="preserve">Dès le Troisième Rapport, nous signalions les efforts de la </w:t>
      </w:r>
      <w:r>
        <w:rPr>
          <w:i/>
          <w:iCs/>
        </w:rPr>
        <w:t>Coalition pour l</w:t>
      </w:r>
      <w:r w:rsidR="00CE0D20">
        <w:rPr>
          <w:i/>
          <w:iCs/>
        </w:rPr>
        <w:t>’</w:t>
      </w:r>
      <w:r>
        <w:rPr>
          <w:i/>
          <w:iCs/>
        </w:rPr>
        <w:t>instauration d</w:t>
      </w:r>
      <w:r w:rsidR="00CE0D20">
        <w:rPr>
          <w:i/>
          <w:iCs/>
        </w:rPr>
        <w:t>’</w:t>
      </w:r>
      <w:r>
        <w:rPr>
          <w:i/>
          <w:iCs/>
        </w:rPr>
        <w:t>une représentation équilibrée des femmes et des hommes dans la vie publique</w:t>
      </w:r>
      <w:r>
        <w:t>. En effet, par le passé, cette coalition a déjà influé sur l</w:t>
      </w:r>
      <w:r w:rsidR="00CE0D20">
        <w:t>’</w:t>
      </w:r>
      <w:r>
        <w:t>adoption d</w:t>
      </w:r>
      <w:r w:rsidR="00CE0D20">
        <w:t>’</w:t>
      </w:r>
      <w:r>
        <w:t xml:space="preserve">amendements à la législation électorale, qui visaient à équilibrer la représentation des femmes et des hommes au sein des organes élus (cf. le paragraphe 5). </w:t>
      </w:r>
    </w:p>
    <w:p w:rsidR="00164199" w:rsidRDefault="00164199" w:rsidP="00D926D4">
      <w:pPr>
        <w:pStyle w:val="SingleTxt"/>
      </w:pPr>
      <w:r>
        <w:t>95.</w:t>
      </w:r>
      <w:r>
        <w:tab/>
        <w:t>Dans la période qui s</w:t>
      </w:r>
      <w:r w:rsidR="00CE0D20">
        <w:t>’</w:t>
      </w:r>
      <w:r>
        <w:t>est écoulée depuis le dernier rapport, les capacités des organisations non gouvernementales permettant d</w:t>
      </w:r>
      <w:r w:rsidR="00CE0D20">
        <w:t>’</w:t>
      </w:r>
      <w:r>
        <w:t>encourager une meilleure participation des femmes à la vie politique – et notamment les femmes des groupes sociaux les plus vulnérables – ont été renforcées. Ainsi, en juin 2003, un centre régional d</w:t>
      </w:r>
      <w:r w:rsidR="00CE0D20">
        <w:t>’</w:t>
      </w:r>
      <w:r>
        <w:t xml:space="preserve">égalité entre les sexes, opérant dans le cadre du Pacte de Stabilité, a mis en œuvre un projet régional intitulé </w:t>
      </w:r>
      <w:r w:rsidR="003158AC">
        <w:rPr>
          <w:i/>
          <w:iCs/>
        </w:rPr>
        <w:t xml:space="preserve">“ </w:t>
      </w:r>
      <w:r>
        <w:rPr>
          <w:i/>
          <w:iCs/>
        </w:rPr>
        <w:t>Les femmes roms peuvent y arriver</w:t>
      </w:r>
      <w:r w:rsidR="00CE0D20">
        <w:rPr>
          <w:i/>
          <w:iCs/>
        </w:rPr>
        <w:t> »</w:t>
      </w:r>
      <w:r w:rsidR="00CE0D20">
        <w:t xml:space="preserve"> – </w:t>
      </w:r>
      <w:r>
        <w:t>projet visant à encourager les femmes roms à participer de manière plus active à la vie publique et politique, ainsi qu</w:t>
      </w:r>
      <w:r w:rsidR="00CE0D20">
        <w:t>’</w:t>
      </w:r>
      <w:r>
        <w:t>au réseau d</w:t>
      </w:r>
      <w:r w:rsidR="00CE0D20">
        <w:t>’</w:t>
      </w:r>
      <w:r>
        <w:t xml:space="preserve">organisations non gouvernementales </w:t>
      </w:r>
      <w:r w:rsidR="000460CB">
        <w:t>œuvrant</w:t>
      </w:r>
      <w:r>
        <w:t xml:space="preserve"> dans le sens de la parité.</w:t>
      </w:r>
    </w:p>
    <w:p w:rsidR="00E6532D" w:rsidRPr="00E6532D" w:rsidRDefault="00E6532D" w:rsidP="00E6532D">
      <w:pPr>
        <w:pStyle w:val="SingleTxt"/>
        <w:spacing w:after="0" w:line="120" w:lineRule="exact"/>
        <w:rPr>
          <w:sz w:val="10"/>
        </w:rPr>
      </w:pPr>
    </w:p>
    <w:p w:rsidR="00E6532D" w:rsidRPr="00E6532D" w:rsidRDefault="00E6532D" w:rsidP="00E6532D">
      <w:pPr>
        <w:pStyle w:val="SingleTxt"/>
        <w:spacing w:after="0" w:line="120" w:lineRule="exact"/>
        <w:rPr>
          <w:sz w:val="10"/>
        </w:rPr>
      </w:pPr>
    </w:p>
    <w:p w:rsidR="00164199" w:rsidRDefault="00E6532D" w:rsidP="00E653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Article 8</w:t>
      </w:r>
    </w:p>
    <w:p w:rsidR="001A0A96" w:rsidRPr="001A0A96" w:rsidRDefault="001A0A96" w:rsidP="001A0A96">
      <w:pPr>
        <w:pStyle w:val="SingleTxt"/>
        <w:spacing w:after="0" w:line="120" w:lineRule="exact"/>
        <w:rPr>
          <w:sz w:val="10"/>
        </w:rPr>
      </w:pPr>
    </w:p>
    <w:p w:rsidR="001A0A96" w:rsidRPr="001A0A96" w:rsidRDefault="001A0A96" w:rsidP="001A0A96">
      <w:pPr>
        <w:pStyle w:val="SingleTxt"/>
        <w:spacing w:after="0" w:line="120" w:lineRule="exact"/>
        <w:rPr>
          <w:sz w:val="10"/>
        </w:rPr>
      </w:pPr>
    </w:p>
    <w:p w:rsidR="00164199" w:rsidRDefault="001A0A96" w:rsidP="001A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w:t>
      </w:r>
      <w:r>
        <w:t>es femmes en tant que représentantes de l’État slovène auprès des organisations internationales et dans la carrière diplomatique</w:t>
      </w:r>
    </w:p>
    <w:p w:rsidR="001A0A96" w:rsidRPr="001A0A96" w:rsidRDefault="001A0A96" w:rsidP="001A0A96">
      <w:pPr>
        <w:pStyle w:val="SingleTxt"/>
        <w:spacing w:after="0" w:line="120" w:lineRule="exact"/>
        <w:rPr>
          <w:sz w:val="10"/>
        </w:rPr>
      </w:pPr>
    </w:p>
    <w:p w:rsidR="001A0A96" w:rsidRPr="001A0A96" w:rsidRDefault="001A0A96" w:rsidP="001A0A96">
      <w:pPr>
        <w:pStyle w:val="SingleTxt"/>
        <w:spacing w:after="0" w:line="120" w:lineRule="exact"/>
        <w:rPr>
          <w:sz w:val="10"/>
        </w:rPr>
      </w:pPr>
    </w:p>
    <w:p w:rsidR="00164199" w:rsidRDefault="00164199" w:rsidP="00D926D4">
      <w:pPr>
        <w:pStyle w:val="SingleTxt"/>
      </w:pPr>
      <w:r w:rsidRPr="00B419D5">
        <w:t>96.</w:t>
      </w:r>
      <w:r>
        <w:tab/>
        <w:t>En 2005, les représentations diplomatiques ou consulaires de la République de Slovénie employaient au total 413 diplomates, dont 2O5 femmes (soit 49,6%).</w:t>
      </w:r>
    </w:p>
    <w:p w:rsidR="00164199" w:rsidRDefault="00164199" w:rsidP="00D926D4">
      <w:pPr>
        <w:pStyle w:val="SingleTxt"/>
      </w:pPr>
      <w:r>
        <w:t>97.</w:t>
      </w:r>
      <w:r>
        <w:tab/>
        <w:t>L</w:t>
      </w:r>
      <w:r w:rsidR="00CE0D20">
        <w:t>’</w:t>
      </w:r>
      <w:r>
        <w:t>organigramme des représentations diplomatiques et consulaires vu sous l</w:t>
      </w:r>
      <w:r w:rsidR="00CE0D20">
        <w:t>’</w:t>
      </w:r>
      <w:r>
        <w:t xml:space="preserve">angle des deux sexes indique un déséquilibre au niveau de la hiérarchie et des différents postes. Dans le corps des ambassadeurs, on compte 22,6% de femmes : 38,6% de femmes </w:t>
      </w:r>
      <w:r w:rsidR="00BA4F2E">
        <w:t>« </w:t>
      </w:r>
      <w:r>
        <w:t>Ministres plénipotentiaires</w:t>
      </w:r>
      <w:r w:rsidR="00CE0D20">
        <w:t> »</w:t>
      </w:r>
      <w:r>
        <w:t>, une femme Consul Général (soit 20% de l</w:t>
      </w:r>
      <w:r w:rsidR="00CE0D20">
        <w:t>’</w:t>
      </w:r>
      <w:r>
        <w:t xml:space="preserve">ensemble des Consuls), et 62,1% de femmes </w:t>
      </w:r>
      <w:r w:rsidR="00BA4F2E">
        <w:t>« </w:t>
      </w:r>
      <w:r>
        <w:t>Ministres conseillers</w:t>
      </w:r>
      <w:r w:rsidR="00CE0D20">
        <w:t> »</w:t>
      </w:r>
      <w:r>
        <w:t xml:space="preserve">. En ce qui concerne les postes de </w:t>
      </w:r>
      <w:r w:rsidR="00BA4F2E">
        <w:t>« </w:t>
      </w:r>
      <w:r>
        <w:t>Conseiller</w:t>
      </w:r>
      <w:r w:rsidR="00CE0D20">
        <w:t> »</w:t>
      </w:r>
      <w:r>
        <w:t xml:space="preserve"> et de </w:t>
      </w:r>
      <w:r w:rsidR="003158AC">
        <w:t xml:space="preserve">“ </w:t>
      </w:r>
      <w:r>
        <w:t>Secrétaire</w:t>
      </w:r>
      <w:r w:rsidR="00CE0D20">
        <w:t> »</w:t>
      </w:r>
      <w:r>
        <w:t xml:space="preserve">, les femmes sont prédominantes au niveau du poste de </w:t>
      </w:r>
      <w:r w:rsidR="00BA4F2E">
        <w:t>« </w:t>
      </w:r>
      <w:r>
        <w:t>Premier Conseiller</w:t>
      </w:r>
      <w:r w:rsidR="00CE0D20">
        <w:t> »</w:t>
      </w:r>
      <w:r>
        <w:t xml:space="preserve"> (75%) et de </w:t>
      </w:r>
      <w:r w:rsidR="00BA4F2E">
        <w:t>« </w:t>
      </w:r>
      <w:r>
        <w:t>Deuxième Secrétaire</w:t>
      </w:r>
      <w:r w:rsidR="00CE0D20">
        <w:t> »</w:t>
      </w:r>
      <w:r>
        <w:t xml:space="preserve"> (64%). Aux niveaux administratif et technique, tous les postes de correspondant et d</w:t>
      </w:r>
      <w:r w:rsidR="00CE0D20">
        <w:t>’</w:t>
      </w:r>
      <w:r>
        <w:t>attaché d</w:t>
      </w:r>
      <w:r w:rsidR="00CE0D20">
        <w:t>’</w:t>
      </w:r>
      <w:r>
        <w:t>administration sont occupés par des femmes, tandis que les postes de personnel sécuritaire et d</w:t>
      </w:r>
      <w:r w:rsidR="00CE0D20">
        <w:t>’</w:t>
      </w:r>
      <w:r>
        <w:t>assistant-chauffeur sont occupés par des hommes</w:t>
      </w:r>
      <w:r w:rsidRPr="006A4785">
        <w:rPr>
          <w:rStyle w:val="FootnoteReference"/>
        </w:rPr>
        <w:footnoteReference w:customMarkFollows="1" w:id="31"/>
        <w:t>31</w:t>
      </w:r>
      <w:r>
        <w:t>.</w:t>
      </w:r>
    </w:p>
    <w:p w:rsidR="00164199" w:rsidRDefault="00164199" w:rsidP="00D926D4">
      <w:pPr>
        <w:pStyle w:val="SingleTxt"/>
      </w:pPr>
      <w:r>
        <w:t>98.</w:t>
      </w:r>
      <w:r>
        <w:tab/>
        <w:t>Au sein des Parlements supranationaux – Parlement européen et Assemblée parlementaire du Conseil de l</w:t>
      </w:r>
      <w:r w:rsidR="00CE0D20">
        <w:t>’</w:t>
      </w:r>
      <w:r>
        <w:t>Europe -, la représentation des femmes slovènes est la suivante : au Parlement européen, on compte trois femmes sur les 7 députés slovènes (soit 42,9%)</w:t>
      </w:r>
      <w:r w:rsidR="00CE0D20">
        <w:t>;</w:t>
      </w:r>
      <w:r>
        <w:t xml:space="preserve"> à l</w:t>
      </w:r>
      <w:r w:rsidR="00CE0D20">
        <w:t>’</w:t>
      </w:r>
      <w:r>
        <w:t>Assemblée parlementaire du Conseil de l</w:t>
      </w:r>
      <w:r w:rsidR="00CE0D20">
        <w:t>’</w:t>
      </w:r>
      <w:r>
        <w:t>Europe, la délégation slovène, composée de six personnes au total (trois représentants et trois suppléants) comprend 4 femmes et 2 hommes. Au sein du Comité des Régions de l</w:t>
      </w:r>
      <w:r w:rsidR="00CE0D20">
        <w:t>’</w:t>
      </w:r>
      <w:r>
        <w:t>Union européenne, sur 14 membres slovènes (7 représentants et 7 suppléants), on compte 14,3% de femmes, et, au sein de la Commission économique et sociale de l</w:t>
      </w:r>
      <w:r w:rsidR="00CE0D20">
        <w:t>’</w:t>
      </w:r>
      <w:r>
        <w:t>UE, sur 7 représentants de la Slovénie, on compte 2 femmes (soit 28,6%).</w:t>
      </w:r>
    </w:p>
    <w:p w:rsidR="001A0A96" w:rsidRPr="001A0A96" w:rsidRDefault="001A0A96" w:rsidP="001A0A96">
      <w:pPr>
        <w:pStyle w:val="SingleTxt"/>
        <w:spacing w:after="0" w:line="120" w:lineRule="exact"/>
        <w:rPr>
          <w:sz w:val="10"/>
        </w:rPr>
      </w:pPr>
    </w:p>
    <w:p w:rsidR="001A0A96" w:rsidRPr="001A0A96" w:rsidRDefault="001A0A96" w:rsidP="001A0A96">
      <w:pPr>
        <w:pStyle w:val="SingleTxt"/>
        <w:spacing w:after="0" w:line="120" w:lineRule="exact"/>
        <w:rPr>
          <w:sz w:val="10"/>
        </w:rPr>
      </w:pPr>
    </w:p>
    <w:p w:rsidR="00164199" w:rsidRDefault="001A0A96" w:rsidP="001A0A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Article 9</w:t>
      </w:r>
    </w:p>
    <w:p w:rsidR="001A0A96" w:rsidRPr="001A0A96" w:rsidRDefault="001A0A96" w:rsidP="001A0A96">
      <w:pPr>
        <w:pStyle w:val="SingleTxt"/>
        <w:spacing w:after="0" w:line="120" w:lineRule="exact"/>
        <w:rPr>
          <w:sz w:val="10"/>
        </w:rPr>
      </w:pPr>
    </w:p>
    <w:p w:rsidR="001A0A96" w:rsidRPr="001A0A96" w:rsidRDefault="001A0A96" w:rsidP="001A0A96">
      <w:pPr>
        <w:pStyle w:val="SingleTxt"/>
        <w:spacing w:after="0" w:line="120" w:lineRule="exact"/>
        <w:rPr>
          <w:sz w:val="10"/>
        </w:rPr>
      </w:pPr>
    </w:p>
    <w:p w:rsidR="00164199" w:rsidRDefault="001A0A96" w:rsidP="001A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w:t>
      </w:r>
      <w:r>
        <w:t>a citoyenneté</w:t>
      </w:r>
    </w:p>
    <w:p w:rsidR="001A0A96" w:rsidRPr="001A0A96" w:rsidRDefault="001A0A96" w:rsidP="001A0A96">
      <w:pPr>
        <w:pStyle w:val="SingleTxt"/>
        <w:spacing w:after="0" w:line="120" w:lineRule="exact"/>
        <w:rPr>
          <w:sz w:val="10"/>
        </w:rPr>
      </w:pPr>
    </w:p>
    <w:p w:rsidR="00164199" w:rsidRDefault="00164199" w:rsidP="001A0A96">
      <w:pPr>
        <w:pStyle w:val="SingleTxt"/>
      </w:pPr>
      <w:r w:rsidRPr="003227C5">
        <w:t>99.</w:t>
      </w:r>
      <w:r>
        <w:tab/>
        <w:t xml:space="preserve">On ne note aucun changement depuis le dernier rapport. La </w:t>
      </w:r>
      <w:r>
        <w:rPr>
          <w:i/>
          <w:iCs/>
        </w:rPr>
        <w:t>Loi relative à la citoyenneté slovène</w:t>
      </w:r>
      <w:r>
        <w:t xml:space="preserve"> s</w:t>
      </w:r>
      <w:r w:rsidR="00CE0D20">
        <w:t>’</w:t>
      </w:r>
      <w:r>
        <w:t>applique indifféremment aux deux sexes. Les dispositions sont les mêmes pour les hommes et les femmes.</w:t>
      </w:r>
    </w:p>
    <w:p w:rsidR="001A0A96" w:rsidRPr="001A0A96" w:rsidRDefault="001A0A96" w:rsidP="001A0A96">
      <w:pPr>
        <w:pStyle w:val="SingleTxt"/>
        <w:spacing w:after="0" w:line="120" w:lineRule="exact"/>
        <w:rPr>
          <w:b/>
          <w:bCs/>
          <w:sz w:val="10"/>
        </w:rPr>
      </w:pPr>
    </w:p>
    <w:p w:rsidR="001A0A96" w:rsidRPr="001A0A96" w:rsidRDefault="00BA4F2E" w:rsidP="001A0A96">
      <w:pPr>
        <w:pStyle w:val="SingleTxt"/>
        <w:spacing w:after="0" w:line="120" w:lineRule="exact"/>
        <w:rPr>
          <w:b/>
          <w:bCs/>
          <w:sz w:val="10"/>
        </w:rPr>
      </w:pPr>
      <w:r>
        <w:rPr>
          <w:b/>
          <w:bCs/>
          <w:sz w:val="10"/>
        </w:rPr>
        <w:br w:type="page"/>
      </w:r>
    </w:p>
    <w:p w:rsidR="00164199" w:rsidRDefault="001A0A96" w:rsidP="001A0A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Article 10</w:t>
      </w:r>
    </w:p>
    <w:p w:rsidR="001A0A96" w:rsidRPr="001A0A96" w:rsidRDefault="001A0A96" w:rsidP="001A0A96">
      <w:pPr>
        <w:pStyle w:val="SingleTxt"/>
        <w:spacing w:after="0" w:line="120" w:lineRule="exact"/>
        <w:rPr>
          <w:sz w:val="10"/>
        </w:rPr>
      </w:pPr>
    </w:p>
    <w:p w:rsidR="001A0A96" w:rsidRPr="001A0A96" w:rsidRDefault="001A0A96" w:rsidP="001A0A96">
      <w:pPr>
        <w:pStyle w:val="SingleTxt"/>
        <w:spacing w:after="0" w:line="120" w:lineRule="exact"/>
        <w:rPr>
          <w:sz w:val="10"/>
        </w:rPr>
      </w:pPr>
    </w:p>
    <w:p w:rsidR="00164199" w:rsidRDefault="001A0A96" w:rsidP="001A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w:t>
      </w:r>
      <w:r w:rsidR="00CE0D20">
        <w:t>’</w:t>
      </w:r>
      <w:r>
        <w:t>éducation</w:t>
      </w:r>
    </w:p>
    <w:p w:rsidR="001A0A96" w:rsidRPr="001A0A96" w:rsidRDefault="001A0A96" w:rsidP="001A0A96">
      <w:pPr>
        <w:pStyle w:val="SingleTxt"/>
        <w:spacing w:after="0" w:line="120" w:lineRule="exact"/>
        <w:rPr>
          <w:sz w:val="10"/>
        </w:rPr>
      </w:pPr>
    </w:p>
    <w:p w:rsidR="00164199" w:rsidRDefault="00164199" w:rsidP="001A0A96">
      <w:pPr>
        <w:pStyle w:val="SingleTxt"/>
      </w:pPr>
      <w:r w:rsidRPr="003227C5">
        <w:t>100.</w:t>
      </w:r>
      <w:r>
        <w:tab/>
        <w:t xml:space="preserve">La </w:t>
      </w:r>
      <w:r>
        <w:rPr>
          <w:i/>
          <w:iCs/>
        </w:rPr>
        <w:t>Loi relative à l</w:t>
      </w:r>
      <w:r w:rsidR="00CE0D20">
        <w:rPr>
          <w:i/>
          <w:iCs/>
        </w:rPr>
        <w:t>’</w:t>
      </w:r>
      <w:r>
        <w:rPr>
          <w:i/>
          <w:iCs/>
        </w:rPr>
        <w:t xml:space="preserve">organisation et au financement de </w:t>
      </w:r>
      <w:r w:rsidR="00221C8A">
        <w:rPr>
          <w:i/>
          <w:iCs/>
        </w:rPr>
        <w:t>Éducation</w:t>
      </w:r>
      <w:r>
        <w:t xml:space="preserve"> n</w:t>
      </w:r>
      <w:r w:rsidR="00CE0D20">
        <w:t>’</w:t>
      </w:r>
      <w:r>
        <w:t>a apporté aucune modification à la situation existante, depuis le dernier rapport. Cette loi, adoptée dès 1996, n</w:t>
      </w:r>
      <w:r w:rsidR="00CE0D20">
        <w:t>’</w:t>
      </w:r>
      <w:r>
        <w:t>établit aucune différence entre les sexes. Parmi les objectifs éducatifs fixés à l</w:t>
      </w:r>
      <w:r w:rsidR="00CE0D20">
        <w:t>’</w:t>
      </w:r>
      <w:r>
        <w:t>article 2 de cette loi, on relève notamment l</w:t>
      </w:r>
      <w:r w:rsidR="00CE0D20">
        <w:t>’</w:t>
      </w:r>
      <w:r>
        <w:t>égalité des chances et l</w:t>
      </w:r>
      <w:r w:rsidR="00CE0D20">
        <w:t>’</w:t>
      </w:r>
      <w:r>
        <w:t>égalité entre les sexes :</w:t>
      </w:r>
    </w:p>
    <w:p w:rsidR="00164199" w:rsidRDefault="00164199" w:rsidP="001A0A96">
      <w:pPr>
        <w:pStyle w:val="SingleTxt"/>
        <w:tabs>
          <w:tab w:val="clear" w:pos="1267"/>
        </w:tabs>
        <w:ind w:left="1800" w:hanging="533"/>
      </w:pPr>
      <w:r>
        <w:t>-</w:t>
      </w:r>
      <w:r>
        <w:tab/>
      </w:r>
      <w:r w:rsidR="001A0A96">
        <w:tab/>
      </w:r>
      <w:r>
        <w:t>garantir l</w:t>
      </w:r>
      <w:r w:rsidR="00CE0D20">
        <w:t>’</w:t>
      </w:r>
      <w:r>
        <w:t>épanouissement optimal des personnes, indépendamment de leur sexe, de leur milieu socioculturel, de leur religion, de leur nationalité ou d</w:t>
      </w:r>
      <w:r w:rsidR="00CE0D20">
        <w:t>’</w:t>
      </w:r>
      <w:r>
        <w:t>éventuels handicaps physiques ou mentaux</w:t>
      </w:r>
      <w:r w:rsidR="00CE0D20">
        <w:t>;</w:t>
      </w:r>
    </w:p>
    <w:p w:rsidR="00164199" w:rsidRDefault="00164199" w:rsidP="001A0A96">
      <w:pPr>
        <w:pStyle w:val="SingleTxt"/>
        <w:ind w:left="1800" w:hanging="533"/>
      </w:pPr>
      <w:r>
        <w:t>-</w:t>
      </w:r>
      <w:r>
        <w:tab/>
      </w:r>
      <w:r w:rsidR="001A0A96">
        <w:tab/>
      </w:r>
      <w:r>
        <w:t>éduquer les personnes dans le sens de la tolérance réciproque, les sensibiliser à l</w:t>
      </w:r>
      <w:r w:rsidR="00CE0D20">
        <w:t>’</w:t>
      </w:r>
      <w:r>
        <w:t>égalité entre les sexes, les amener à respecter la diversité des êtres humains et à coopérer les uns avec les autres, leur enseigner également le respect des enfants, des droits de l</w:t>
      </w:r>
      <w:r w:rsidR="00CE0D20">
        <w:t>’</w:t>
      </w:r>
      <w:r>
        <w:t>homme et des libertés fondamentales, et encourager l</w:t>
      </w:r>
      <w:r w:rsidR="00CE0D20">
        <w:t>’</w:t>
      </w:r>
      <w:r>
        <w:t>égalité des chances pour les deux sexes – le tout visant à développer la capacité à vivre en démocratie.</w:t>
      </w:r>
    </w:p>
    <w:p w:rsidR="00164199" w:rsidRDefault="00164199" w:rsidP="001A0A96">
      <w:pPr>
        <w:pStyle w:val="SingleTxt"/>
      </w:pPr>
      <w:r>
        <w:t>101.</w:t>
      </w:r>
      <w:r>
        <w:tab/>
        <w:t>En juin 2004, l</w:t>
      </w:r>
      <w:r w:rsidR="00CE0D20">
        <w:t>’</w:t>
      </w:r>
      <w:r>
        <w:t xml:space="preserve">Assemblée nationale a adopté la </w:t>
      </w:r>
      <w:r>
        <w:rPr>
          <w:i/>
          <w:iCs/>
        </w:rPr>
        <w:t>Résolution relative au Plan-Cadre pour l</w:t>
      </w:r>
      <w:r w:rsidR="00CE0D20">
        <w:rPr>
          <w:i/>
          <w:iCs/>
        </w:rPr>
        <w:t>’</w:t>
      </w:r>
      <w:r>
        <w:rPr>
          <w:i/>
          <w:iCs/>
        </w:rPr>
        <w:t>éducation des adultes en République de Slovénie jusqu</w:t>
      </w:r>
      <w:r w:rsidR="00CE0D20">
        <w:rPr>
          <w:i/>
          <w:iCs/>
        </w:rPr>
        <w:t>’</w:t>
      </w:r>
      <w:r>
        <w:rPr>
          <w:i/>
          <w:iCs/>
        </w:rPr>
        <w:t>en 2010</w:t>
      </w:r>
      <w:r>
        <w:t>. Cette résolution prévoit l</w:t>
      </w:r>
      <w:r w:rsidR="00CE0D20">
        <w:t>’</w:t>
      </w:r>
      <w:r>
        <w:t>accès de tous les groupes d</w:t>
      </w:r>
      <w:r w:rsidR="00CE0D20">
        <w:t>’</w:t>
      </w:r>
      <w:r>
        <w:t>adultes à l</w:t>
      </w:r>
      <w:r w:rsidR="00CE0D20">
        <w:t>’</w:t>
      </w:r>
      <w:r>
        <w:t>information et à des conseils concernant les possibilités éducatives et l</w:t>
      </w:r>
      <w:r w:rsidR="00CE0D20">
        <w:t>’</w:t>
      </w:r>
      <w:r>
        <w:t>application du principe d</w:t>
      </w:r>
      <w:r w:rsidR="00CE0D20">
        <w:t>’</w:t>
      </w:r>
      <w:r>
        <w:t>égalité entre les sexes. Par ailleurs, le texte relatif à la stratégie de développement du pays, adopté par le gouvernement en 2004, porte également une attention particulière au problème de l</w:t>
      </w:r>
      <w:r w:rsidR="00CE0D20">
        <w:t>’</w:t>
      </w:r>
      <w:r>
        <w:t>égalité des chances en matière éducative.</w:t>
      </w:r>
    </w:p>
    <w:p w:rsidR="001A0A96" w:rsidRPr="001A0A96" w:rsidRDefault="001A0A96" w:rsidP="001A0A96">
      <w:pPr>
        <w:pStyle w:val="SingleTxt"/>
        <w:spacing w:after="0" w:line="120" w:lineRule="exact"/>
        <w:rPr>
          <w:sz w:val="10"/>
        </w:rPr>
      </w:pPr>
    </w:p>
    <w:p w:rsidR="00164199" w:rsidRDefault="001A0A96" w:rsidP="001A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21C8A">
        <w:t>Éducation</w:t>
      </w:r>
      <w:r w:rsidR="00164199">
        <w:t xml:space="preserve"> préscolaire et dans les écoles maternelles</w:t>
      </w:r>
    </w:p>
    <w:p w:rsidR="001A0A96" w:rsidRPr="001A0A96" w:rsidRDefault="001A0A96" w:rsidP="001A0A96">
      <w:pPr>
        <w:pStyle w:val="SingleTxt"/>
        <w:spacing w:after="0" w:line="120" w:lineRule="exact"/>
        <w:rPr>
          <w:sz w:val="10"/>
        </w:rPr>
      </w:pPr>
    </w:p>
    <w:p w:rsidR="00164199" w:rsidRDefault="00164199" w:rsidP="001A0A96">
      <w:pPr>
        <w:pStyle w:val="SingleTxt"/>
      </w:pPr>
      <w:r w:rsidRPr="00C5414F">
        <w:t>102.</w:t>
      </w:r>
      <w:r>
        <w:tab/>
        <w:t>Lors de l</w:t>
      </w:r>
      <w:r w:rsidR="00CE0D20">
        <w:t>’</w:t>
      </w:r>
      <w:r>
        <w:t>année scolaire 2004/2005, 54 815 enfants (soit 61,4% de l</w:t>
      </w:r>
      <w:r w:rsidR="00CE0D20">
        <w:t>’</w:t>
      </w:r>
      <w:r>
        <w:t>ensemble des enfants slovènes âgés de 1 à 6 ans) ont été scolarisés dans les écoles maternelles – ce qui représente une augmentation de 4,6% par rapport à l</w:t>
      </w:r>
      <w:r w:rsidR="00CE0D20">
        <w:t>’</w:t>
      </w:r>
      <w:r>
        <w:t>année 2000. Le nombre d</w:t>
      </w:r>
      <w:r w:rsidR="00CE0D20">
        <w:t>’</w:t>
      </w:r>
      <w:r>
        <w:t>enfants scolarisés dans des unités pour enfants ayant des besoins éducatifs particuliers a été de 465, dont 152 filles (soit 32,7%). Ces chiffres concernant les écoles maternelles pour l</w:t>
      </w:r>
      <w:r w:rsidR="00CE0D20">
        <w:t>’</w:t>
      </w:r>
      <w:r>
        <w:t>année scolaire 2004/2005 représentent un plus de 300 enfants par rapport au nombre d</w:t>
      </w:r>
      <w:r w:rsidR="00CE0D20">
        <w:t>’</w:t>
      </w:r>
      <w:r>
        <w:t>enfants scolarisés l</w:t>
      </w:r>
      <w:r w:rsidR="00CE0D20">
        <w:t>’</w:t>
      </w:r>
      <w:r>
        <w:t>année précédente. Le personnel a également augmenté</w:t>
      </w:r>
      <w:r w:rsidR="00CE0D20">
        <w:t>;</w:t>
      </w:r>
      <w:r>
        <w:t xml:space="preserve"> mais le nombre d</w:t>
      </w:r>
      <w:r w:rsidR="00CE0D20">
        <w:t>’</w:t>
      </w:r>
      <w:r>
        <w:t>institutions et de services a baissé. Par rapport à 2001, le pourcentage de filles scolarisées dans les écoles maternelles reste sensiblement le même</w:t>
      </w:r>
      <w:r w:rsidRPr="006A4785">
        <w:rPr>
          <w:rStyle w:val="FootnoteReference"/>
        </w:rPr>
        <w:footnoteReference w:customMarkFollows="1" w:id="32"/>
        <w:t>32</w:t>
      </w:r>
      <w:r>
        <w:t>.</w:t>
      </w:r>
    </w:p>
    <w:p w:rsidR="001A0A96" w:rsidRPr="001A0A96" w:rsidRDefault="001A0A96" w:rsidP="001A0A96">
      <w:pPr>
        <w:pStyle w:val="SingleTxt"/>
        <w:spacing w:after="0" w:line="120" w:lineRule="exact"/>
        <w:rPr>
          <w:sz w:val="10"/>
        </w:rPr>
      </w:pPr>
    </w:p>
    <w:p w:rsidR="00164199" w:rsidRDefault="001A0A96" w:rsidP="001A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w:t>
      </w:r>
      <w:r w:rsidR="00CE0D20">
        <w:t>’</w:t>
      </w:r>
      <w:r w:rsidR="00164199">
        <w:t>enseignement primaire et le deuxième cycle de l</w:t>
      </w:r>
      <w:r w:rsidR="00CE0D20">
        <w:t>’</w:t>
      </w:r>
      <w:r w:rsidR="00164199">
        <w:t>enseignement secondaire</w:t>
      </w:r>
    </w:p>
    <w:p w:rsidR="001A0A96" w:rsidRPr="001A0A96" w:rsidRDefault="001A0A96" w:rsidP="001A0A96">
      <w:pPr>
        <w:pStyle w:val="SingleTxt"/>
        <w:spacing w:after="0" w:line="120" w:lineRule="exact"/>
        <w:rPr>
          <w:sz w:val="10"/>
        </w:rPr>
      </w:pPr>
    </w:p>
    <w:p w:rsidR="00164199" w:rsidRDefault="00164199" w:rsidP="001A0A96">
      <w:pPr>
        <w:pStyle w:val="SingleTxt"/>
      </w:pPr>
      <w:r w:rsidRPr="00546C54">
        <w:t>103.</w:t>
      </w:r>
      <w:r>
        <w:tab/>
        <w:t>En Slovénie, la fréquentation de l</w:t>
      </w:r>
      <w:r w:rsidR="00CE0D20">
        <w:t>’</w:t>
      </w:r>
      <w:r>
        <w:t>enseignement primaire en ce qui concerne les garçons et les filles est en voie d</w:t>
      </w:r>
      <w:r w:rsidR="00CE0D20">
        <w:t>’</w:t>
      </w:r>
      <w:r>
        <w:t>équilibrage. Après le programme s</w:t>
      </w:r>
      <w:r w:rsidR="00CE0D20">
        <w:t>’</w:t>
      </w:r>
      <w:r>
        <w:t>échelonnant sur huit années d</w:t>
      </w:r>
      <w:r w:rsidR="00CE0D20">
        <w:t>’</w:t>
      </w:r>
      <w:r>
        <w:t>enseignement primaire, la mise en œuvre progressive d</w:t>
      </w:r>
      <w:r w:rsidR="00CE0D20">
        <w:t>’</w:t>
      </w:r>
      <w:r>
        <w:t>un programme de neuf ans a commencé en septembre 1999 : désormais, l</w:t>
      </w:r>
      <w:r w:rsidR="00CE0D20">
        <w:t>’</w:t>
      </w:r>
      <w:r>
        <w:t>âge obligatoire de scolarisation a été abaissé à six ans – alors qu</w:t>
      </w:r>
      <w:r w:rsidR="00CE0D20">
        <w:t>’</w:t>
      </w:r>
      <w:r>
        <w:t>il était de sept ans dans le cadre du programme précédent. Lors de la rentrée scolaire 2004/2005, l</w:t>
      </w:r>
      <w:r w:rsidR="00CE0D20">
        <w:t>’</w:t>
      </w:r>
      <w:r>
        <w:t>ensemble des enfants scolarisés pour la première fois dans le primaire a rejoint le programme de neuf ans</w:t>
      </w:r>
      <w:r w:rsidR="00CE0D20">
        <w:t>;</w:t>
      </w:r>
      <w:r>
        <w:t xml:space="preserve"> et, à compter de l</w:t>
      </w:r>
      <w:r w:rsidR="00CE0D20">
        <w:t>’</w:t>
      </w:r>
      <w:r>
        <w:t>année scolaire 2008/2009, tous les enfants scolarisés dans le primaire auront été rattachés à ce programme de neuf ans</w:t>
      </w:r>
      <w:r w:rsidRPr="006A4785">
        <w:rPr>
          <w:rStyle w:val="FootnoteReference"/>
        </w:rPr>
        <w:footnoteReference w:customMarkFollows="1" w:id="33"/>
        <w:t>33</w:t>
      </w:r>
      <w:r>
        <w:t>.</w:t>
      </w:r>
    </w:p>
    <w:p w:rsidR="00164199" w:rsidRDefault="00164199" w:rsidP="001A0A96">
      <w:pPr>
        <w:pStyle w:val="SingleTxt"/>
      </w:pPr>
      <w:r>
        <w:t>104.</w:t>
      </w:r>
      <w:r>
        <w:tab/>
        <w:t>A la rentrée scolaire 2002/2003, on comptait 2178 enfants scolarisés dans le primaire et bénéficiant des grilles et programmes modifiés</w:t>
      </w:r>
      <w:r w:rsidR="00CE0D20">
        <w:t>;</w:t>
      </w:r>
      <w:r>
        <w:t xml:space="preserve"> sur ces 2178 enfants, on comptait 789 filles (soit 36,2%).</w:t>
      </w:r>
    </w:p>
    <w:p w:rsidR="00164199" w:rsidRDefault="00164199" w:rsidP="001A0A96">
      <w:pPr>
        <w:pStyle w:val="SingleTxt"/>
      </w:pPr>
      <w:r>
        <w:t>105.</w:t>
      </w:r>
      <w:r>
        <w:tab/>
        <w:t>Au niveau du second cycle du secondaire, l</w:t>
      </w:r>
      <w:r w:rsidR="00CE0D20">
        <w:t>’</w:t>
      </w:r>
      <w:r>
        <w:t>équilibrage entre garçons et filles – en fonction des types de filières suivis</w:t>
      </w:r>
      <w:r w:rsidR="00CE0D20">
        <w:t xml:space="preserve"> – </w:t>
      </w:r>
      <w:r>
        <w:t>est également en cours. Cependant, l</w:t>
      </w:r>
      <w:r w:rsidR="00CE0D20">
        <w:t>’</w:t>
      </w:r>
      <w:r>
        <w:t>écart entre garçons et filles, encore observable à ce niveau, indique qu</w:t>
      </w:r>
      <w:r w:rsidR="00CE0D20">
        <w:t>’</w:t>
      </w:r>
      <w:r>
        <w:t xml:space="preserve">il subsiste une forme de </w:t>
      </w:r>
      <w:r w:rsidR="003158AC">
        <w:t xml:space="preserve">“ </w:t>
      </w:r>
      <w:r>
        <w:t>ségrégation</w:t>
      </w:r>
      <w:r w:rsidR="00CE0D20">
        <w:t> »</w:t>
      </w:r>
      <w:r>
        <w:t>. Ainsi, les filles suivent essentiellement des filières concernant les textiles, la chimie, la pharmacie et l</w:t>
      </w:r>
      <w:r w:rsidR="00CE0D20">
        <w:t>’</w:t>
      </w:r>
      <w:r>
        <w:t>industrie du caoutchouc, ainsi que l</w:t>
      </w:r>
      <w:r w:rsidR="00CE0D20">
        <w:t>’</w:t>
      </w:r>
      <w:r>
        <w:t>économie, la santé et la formation au métier d</w:t>
      </w:r>
      <w:r w:rsidR="00CE0D20">
        <w:t>’</w:t>
      </w:r>
      <w:r>
        <w:t>enseignant dans des domaines tels que les sciences sociales, la culture et les services à la personne. De leur côté, les garçons suivent principalement des filières concernant la sylviculture, le bois, le secteur de la construction, l</w:t>
      </w:r>
      <w:r w:rsidR="00CE0D20">
        <w:t>’</w:t>
      </w:r>
      <w:r>
        <w:t>industrie des presses et du papier, l</w:t>
      </w:r>
      <w:r w:rsidR="00CE0D20">
        <w:t>’</w:t>
      </w:r>
      <w:r>
        <w:t>ingénierie électrique, l</w:t>
      </w:r>
      <w:r w:rsidR="00CE0D20">
        <w:t>’</w:t>
      </w:r>
      <w:r>
        <w:t>informatique, la métallurgie et l</w:t>
      </w:r>
      <w:r w:rsidR="00CE0D20">
        <w:t>’</w:t>
      </w:r>
      <w:r>
        <w:t>ingénierie mécanique, les transports et les communications, ou encore les mines. Les deux sexes ne sont également représentés que dans trois filières du second cycle du secondaire – à savoir l</w:t>
      </w:r>
      <w:r w:rsidR="00CE0D20">
        <w:t>’</w:t>
      </w:r>
      <w:r>
        <w:t>agroalimentaire, la restauration et le tourisme -, mais aussi dans le cadre des programmes d</w:t>
      </w:r>
      <w:r w:rsidR="00CE0D20">
        <w:t>’</w:t>
      </w:r>
      <w:r>
        <w:t>enseignement général</w:t>
      </w:r>
      <w:r w:rsidRPr="006A4785">
        <w:rPr>
          <w:rStyle w:val="FootnoteReference"/>
        </w:rPr>
        <w:footnoteReference w:customMarkFollows="1" w:id="34"/>
        <w:t>34</w:t>
      </w:r>
      <w:r>
        <w:t>.</w:t>
      </w:r>
    </w:p>
    <w:p w:rsidR="001A0A96" w:rsidRPr="001A0A96" w:rsidRDefault="001A0A96" w:rsidP="001A0A96">
      <w:pPr>
        <w:pStyle w:val="SingleTxt"/>
        <w:spacing w:after="0" w:line="120" w:lineRule="exact"/>
        <w:rPr>
          <w:sz w:val="10"/>
        </w:rPr>
      </w:pPr>
    </w:p>
    <w:p w:rsidR="00164199" w:rsidRDefault="001A0A96" w:rsidP="001A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w:t>
      </w:r>
      <w:r w:rsidR="00CE0D20">
        <w:t>’</w:t>
      </w:r>
      <w:r w:rsidR="00164199">
        <w:t>enseignement supérieur : cycles de deux ans et plus</w:t>
      </w:r>
    </w:p>
    <w:p w:rsidR="001A0A96" w:rsidRPr="001A0A96" w:rsidRDefault="001A0A96" w:rsidP="001A0A96">
      <w:pPr>
        <w:pStyle w:val="SingleTxt"/>
        <w:spacing w:after="0" w:line="120" w:lineRule="exact"/>
        <w:rPr>
          <w:sz w:val="10"/>
        </w:rPr>
      </w:pPr>
    </w:p>
    <w:p w:rsidR="00164199" w:rsidRDefault="00164199" w:rsidP="001A0A96">
      <w:pPr>
        <w:pStyle w:val="SingleTxt"/>
      </w:pPr>
      <w:r w:rsidRPr="00873669">
        <w:t>106.</w:t>
      </w:r>
      <w:r>
        <w:tab/>
        <w:t>Les données concernant la fréquentation des universités et des établissements d</w:t>
      </w:r>
      <w:r w:rsidR="00CE0D20">
        <w:t>’</w:t>
      </w:r>
      <w:r>
        <w:t>enseignement supérieur libres, ces dernières années, indiquent un nombre croissant de jeunes qui souhaitent poursuivre des études au-delà de l</w:t>
      </w:r>
      <w:r w:rsidR="00CE0D20">
        <w:t>’</w:t>
      </w:r>
      <w:r>
        <w:t>enseignement secondaire. En 2004, on a compté 91 229 étudiants inscrits dans l</w:t>
      </w:r>
      <w:r w:rsidR="00CE0D20">
        <w:t>’</w:t>
      </w:r>
      <w:r>
        <w:t>enseignement supérieur long – dont 54 163 jeunes filles (soit 59,4%) -, et 12 621 étudiants dans des cycles d</w:t>
      </w:r>
      <w:r w:rsidR="00CE0D20">
        <w:t>’</w:t>
      </w:r>
      <w:r>
        <w:t>enseignement supérieur de deux ans (dont 6129 jeunes filles, soit 48,6%)</w:t>
      </w:r>
      <w:r w:rsidRPr="006A4785">
        <w:rPr>
          <w:rStyle w:val="FootnoteReference"/>
        </w:rPr>
        <w:footnoteReference w:customMarkFollows="1" w:id="35"/>
        <w:t>35</w:t>
      </w:r>
      <w:r>
        <w:t>.</w:t>
      </w:r>
    </w:p>
    <w:p w:rsidR="00164199" w:rsidRDefault="00164199" w:rsidP="001A0A96">
      <w:pPr>
        <w:pStyle w:val="SingleTxt"/>
      </w:pPr>
      <w:r>
        <w:t>107.</w:t>
      </w:r>
      <w:r>
        <w:tab/>
        <w:t>En 2004, il n</w:t>
      </w:r>
      <w:r w:rsidR="00CE0D20">
        <w:t>’</w:t>
      </w:r>
      <w:r>
        <w:t>y a pas eu de changement notable en ce qui concerne le choix des filières d</w:t>
      </w:r>
      <w:r w:rsidR="00CE0D20">
        <w:t>’</w:t>
      </w:r>
      <w:r>
        <w:t>études. Comme les années précédentes, les filles sont plus nombreuses que les garçons dans l</w:t>
      </w:r>
      <w:r w:rsidR="00CE0D20">
        <w:t>’</w:t>
      </w:r>
      <w:r>
        <w:t>enseignement supérieur, et notamment dans les facultés de soins de santé, d</w:t>
      </w:r>
      <w:r w:rsidR="00CE0D20">
        <w:t>’</w:t>
      </w:r>
      <w:r>
        <w:t>assistance sociale et de pédagogie. On compte également un pourcentage sensiblement plus élevé de jeunes filles dans les filières de sciences sociales, de commerce, de droit, d</w:t>
      </w:r>
      <w:r w:rsidR="00CE0D20">
        <w:t>’</w:t>
      </w:r>
      <w:r>
        <w:t>arts et de lettres. En revanche, les garçons sont beaucoup plus nombreux dans les filières de sciences et techniques, de mathématiques et d</w:t>
      </w:r>
      <w:r w:rsidR="00CE0D20">
        <w:t>’</w:t>
      </w:r>
      <w:r>
        <w:t>informatique. La situation est sensiblement la même en ce qui concerne le pourcentage de jeunes filles diplômées poursuivant des études individuelles de troisième cycle</w:t>
      </w:r>
      <w:r w:rsidRPr="006A4785">
        <w:rPr>
          <w:rStyle w:val="FootnoteReference"/>
        </w:rPr>
        <w:footnoteReference w:customMarkFollows="1" w:id="36"/>
        <w:t>36</w:t>
      </w:r>
      <w:r>
        <w:t>.</w:t>
      </w:r>
    </w:p>
    <w:p w:rsidR="00164199" w:rsidRDefault="00164199" w:rsidP="001A0A96">
      <w:pPr>
        <w:pStyle w:val="SingleTxt"/>
      </w:pPr>
      <w:r>
        <w:t>108.</w:t>
      </w:r>
      <w:r>
        <w:tab/>
        <w:t>En 2004, sur 1056 étudiants diplômés d</w:t>
      </w:r>
      <w:r w:rsidR="00CE0D20">
        <w:t>’</w:t>
      </w:r>
      <w:r>
        <w:t>une spécialité donnée ou d</w:t>
      </w:r>
      <w:r w:rsidR="00CE0D20">
        <w:t>’</w:t>
      </w:r>
      <w:r>
        <w:t>une maîtrise, 596 (soit 56,4%) étaient des filles, et sur 355 docteurs en sciences, on comptait 144 filles (soit 40,6%)</w:t>
      </w:r>
      <w:r w:rsidRPr="006A4785">
        <w:rPr>
          <w:rStyle w:val="FootnoteReference"/>
        </w:rPr>
        <w:footnoteReference w:customMarkFollows="1" w:id="37"/>
        <w:t>37</w:t>
      </w:r>
      <w:r>
        <w:t>.</w:t>
      </w:r>
    </w:p>
    <w:p w:rsidR="001A0A96" w:rsidRPr="001A0A96" w:rsidRDefault="001A0A96" w:rsidP="001A0A96">
      <w:pPr>
        <w:pStyle w:val="SingleTxt"/>
        <w:spacing w:after="0" w:line="120" w:lineRule="exact"/>
        <w:rPr>
          <w:sz w:val="10"/>
        </w:rPr>
      </w:pPr>
    </w:p>
    <w:p w:rsidR="00164199" w:rsidRDefault="001A0A96" w:rsidP="001A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Les bourses d</w:t>
      </w:r>
      <w:r w:rsidR="00CE0D20">
        <w:t>’</w:t>
      </w:r>
      <w:r w:rsidR="00164199">
        <w:t>études</w:t>
      </w:r>
    </w:p>
    <w:p w:rsidR="001A0A96" w:rsidRPr="001A0A96" w:rsidRDefault="001A0A96" w:rsidP="001A0A96">
      <w:pPr>
        <w:pStyle w:val="SingleTxt"/>
        <w:spacing w:after="0" w:line="120" w:lineRule="exact"/>
        <w:rPr>
          <w:sz w:val="10"/>
        </w:rPr>
      </w:pPr>
    </w:p>
    <w:p w:rsidR="00164199" w:rsidRDefault="00164199" w:rsidP="001A0A96">
      <w:pPr>
        <w:pStyle w:val="SingleTxt"/>
      </w:pPr>
      <w:r w:rsidRPr="00DE451A">
        <w:t>109.</w:t>
      </w:r>
      <w:r>
        <w:tab/>
        <w:t>Fin 2004, le montant moyen d</w:t>
      </w:r>
      <w:r w:rsidR="00CE0D20">
        <w:t>’</w:t>
      </w:r>
      <w:r>
        <w:t>une bourse d</w:t>
      </w:r>
      <w:r w:rsidR="00CE0D20">
        <w:t>’</w:t>
      </w:r>
      <w:r>
        <w:t>études était de 30 500 SIT (soit environ 180 dollars)</w:t>
      </w:r>
      <w:r w:rsidR="00CE0D20">
        <w:t>;</w:t>
      </w:r>
      <w:r>
        <w:t xml:space="preserve"> parmi l</w:t>
      </w:r>
      <w:r w:rsidR="00CE0D20">
        <w:t>’</w:t>
      </w:r>
      <w:r>
        <w:t>ensemble des boursiers, on comptait 36 675 élèves (soit 35,9% des élèves normalement scolarisés) et 24 016 étudiants (soit 21,3% de l</w:t>
      </w:r>
      <w:r w:rsidR="00CE0D20">
        <w:t>’</w:t>
      </w:r>
      <w:r>
        <w:t>ensemble des étudiants répertoriés). Sur l</w:t>
      </w:r>
      <w:r w:rsidR="00CE0D20">
        <w:t>’</w:t>
      </w:r>
      <w:r>
        <w:t xml:space="preserve">ensemble des boursiers, on comptait 33 187 filles (soit 54,7%) – dont 18 743 élèves (51,1%) et 14 444 étudiantes (60,1%). </w:t>
      </w:r>
    </w:p>
    <w:p w:rsidR="00164199" w:rsidRDefault="00164199" w:rsidP="001A0A96">
      <w:pPr>
        <w:pStyle w:val="SingleTxt"/>
      </w:pPr>
      <w:r>
        <w:t>110.</w:t>
      </w:r>
      <w:r>
        <w:tab/>
        <w:t>Des bourses accordées par les entreprises l</w:t>
      </w:r>
      <w:r w:rsidR="00CE0D20">
        <w:t>’</w:t>
      </w:r>
      <w:r>
        <w:t>ont été à 7077 jeunes (soit 11,7% de l</w:t>
      </w:r>
      <w:r w:rsidR="00CE0D20">
        <w:t>’</w:t>
      </w:r>
      <w:r>
        <w:t>ensemble des boursiers)</w:t>
      </w:r>
      <w:r w:rsidR="00CE0D20">
        <w:t>;</w:t>
      </w:r>
      <w:r>
        <w:t xml:space="preserve"> d</w:t>
      </w:r>
      <w:r w:rsidR="00CE0D20">
        <w:t>’</w:t>
      </w:r>
      <w:r>
        <w:t xml:space="preserve">autre part, on comptait 40 659 bénéficiaires de bourses </w:t>
      </w:r>
      <w:r w:rsidR="00221C8A">
        <w:t>État</w:t>
      </w:r>
      <w:r>
        <w:t xml:space="preserve"> (soit 67% des boursiers), et, enfin, 12 920 bénéficiaires (soit 21,3% des boursiers) de bourses </w:t>
      </w:r>
      <w:r w:rsidR="00BA4F2E">
        <w:t>« </w:t>
      </w:r>
      <w:r>
        <w:t>Zois</w:t>
      </w:r>
      <w:r w:rsidR="00CE0D20">
        <w:t> »</w:t>
      </w:r>
      <w:r>
        <w:t>, octroyées à des élèves et étudiants particulièrement doués. Globalement, sur l</w:t>
      </w:r>
      <w:r w:rsidR="00CE0D20">
        <w:t>’</w:t>
      </w:r>
      <w:r>
        <w:t>ensemble des élèves-filles et des étudiantes, on comptait 37,7% de boursiers (44,3% d</w:t>
      </w:r>
      <w:r w:rsidR="00CE0D20">
        <w:t>’</w:t>
      </w:r>
      <w:r>
        <w:t>étudiantes et 26,7% d</w:t>
      </w:r>
      <w:r w:rsidR="00CE0D20">
        <w:t>’</w:t>
      </w:r>
      <w:r>
        <w:t>élèves). En ce qui concerne l</w:t>
      </w:r>
      <w:r w:rsidR="00CE0D20">
        <w:t>’</w:t>
      </w:r>
      <w:r>
        <w:t xml:space="preserve">ensemble des bourses </w:t>
      </w:r>
      <w:r w:rsidR="00221C8A">
        <w:t>État</w:t>
      </w:r>
      <w:r>
        <w:t xml:space="preserve"> et des bourses </w:t>
      </w:r>
      <w:r w:rsidR="00BA4F2E">
        <w:t>« </w:t>
      </w:r>
      <w:r>
        <w:t>Zois</w:t>
      </w:r>
      <w:r w:rsidR="00CE0D20">
        <w:t> »</w:t>
      </w:r>
      <w:r>
        <w:t>, le pourcentage de filles bénéficiaires est plus élevé (56,9%), étant donné que les filles sont plus nombreuses aussi bien au niveau des élèves du primaire et du secondaire (54,6%) qu</w:t>
      </w:r>
      <w:r w:rsidR="00CE0D20">
        <w:t>’</w:t>
      </w:r>
      <w:r>
        <w:t>à celui de l</w:t>
      </w:r>
      <w:r w:rsidR="00CE0D20">
        <w:t>’</w:t>
      </w:r>
      <w:r>
        <w:t>enseignement supérieur (63,8% des étudiants sont des filles)</w:t>
      </w:r>
      <w:r w:rsidRPr="006A4785">
        <w:rPr>
          <w:rStyle w:val="FootnoteReference"/>
        </w:rPr>
        <w:footnoteReference w:customMarkFollows="1" w:id="38"/>
        <w:t>38</w:t>
      </w:r>
      <w:r>
        <w:t>.</w:t>
      </w:r>
    </w:p>
    <w:p w:rsidR="001A0A96" w:rsidRPr="001A0A96" w:rsidRDefault="001A0A96" w:rsidP="001A0A96">
      <w:pPr>
        <w:pStyle w:val="SingleTxt"/>
        <w:spacing w:after="0" w:line="120" w:lineRule="exact"/>
        <w:rPr>
          <w:sz w:val="10"/>
        </w:rPr>
      </w:pPr>
    </w:p>
    <w:p w:rsidR="00164199" w:rsidRDefault="001A0A96" w:rsidP="001A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w:t>
      </w:r>
      <w:r w:rsidR="00CE0D20">
        <w:t>’</w:t>
      </w:r>
      <w:r w:rsidR="00164199">
        <w:t>apprentissage tout au long de la vie</w:t>
      </w:r>
    </w:p>
    <w:p w:rsidR="001A0A96" w:rsidRPr="001A0A96" w:rsidRDefault="001A0A96" w:rsidP="001A0A96">
      <w:pPr>
        <w:pStyle w:val="SingleTxt"/>
        <w:spacing w:after="0" w:line="120" w:lineRule="exact"/>
        <w:rPr>
          <w:sz w:val="10"/>
        </w:rPr>
      </w:pPr>
    </w:p>
    <w:p w:rsidR="00164199" w:rsidRDefault="00164199" w:rsidP="001A0A96">
      <w:pPr>
        <w:pStyle w:val="SingleTxt"/>
      </w:pPr>
      <w:r w:rsidRPr="009637F0">
        <w:t>111.</w:t>
      </w:r>
      <w:r>
        <w:tab/>
        <w:t xml:space="preserve">En 2004 était adoptée la </w:t>
      </w:r>
      <w:r>
        <w:rPr>
          <w:i/>
          <w:iCs/>
        </w:rPr>
        <w:t>Résolution relative au Plan-cadre pour l</w:t>
      </w:r>
      <w:r w:rsidR="00CE0D20">
        <w:rPr>
          <w:i/>
          <w:iCs/>
        </w:rPr>
        <w:t>’</w:t>
      </w:r>
      <w:r>
        <w:rPr>
          <w:i/>
          <w:iCs/>
        </w:rPr>
        <w:t>éducation des adultes en République de Slovénie jusqu</w:t>
      </w:r>
      <w:r w:rsidR="00CE0D20">
        <w:rPr>
          <w:i/>
          <w:iCs/>
        </w:rPr>
        <w:t>’</w:t>
      </w:r>
      <w:r>
        <w:rPr>
          <w:i/>
          <w:iCs/>
        </w:rPr>
        <w:t>en 2010</w:t>
      </w:r>
      <w:r>
        <w:t xml:space="preserve"> – fondement de la notion d</w:t>
      </w:r>
      <w:r w:rsidR="00CE0D20">
        <w:t>’</w:t>
      </w:r>
      <w:r>
        <w:t>apprentissage tout au long de la vie. Cette résolution souligne qu</w:t>
      </w:r>
      <w:r w:rsidR="00CE0D20">
        <w:t>’</w:t>
      </w:r>
      <w:r>
        <w:t>il n</w:t>
      </w:r>
      <w:r w:rsidR="00CE0D20">
        <w:t>’</w:t>
      </w:r>
      <w:r>
        <w:t>existe pas suffisamment de programmes éducatifs en direction des adultes peu instruits, des adultes ayant des besoins éducatifs particuliers, des membres de minorités ethniques, etc. Par conséquent, il convient de prendre des mesures spéciales en ce qui concerne l</w:t>
      </w:r>
      <w:r w:rsidR="00CE0D20">
        <w:t>’</w:t>
      </w:r>
      <w:r>
        <w:t>éducation des groupes d</w:t>
      </w:r>
      <w:r w:rsidR="00CE0D20">
        <w:t>’</w:t>
      </w:r>
      <w:r>
        <w:t>adultes les plus vulnérables, des adultes ayant des besoins éducatifs particuliers, des populations des régions les moins développées du pays et ayant tendance à se dépeupler, ou encore l</w:t>
      </w:r>
      <w:r w:rsidR="00CE0D20">
        <w:t>’</w:t>
      </w:r>
      <w:r>
        <w:t>éducation des immigrés. Le plan national en question vise à offrir à tous les groupes d</w:t>
      </w:r>
      <w:r w:rsidR="00CE0D20">
        <w:t>’</w:t>
      </w:r>
      <w:r>
        <w:t>adultes l</w:t>
      </w:r>
      <w:r w:rsidR="00CE0D20">
        <w:t>’</w:t>
      </w:r>
      <w:r>
        <w:t>accès à l</w:t>
      </w:r>
      <w:r w:rsidR="00CE0D20">
        <w:t>’</w:t>
      </w:r>
      <w:r>
        <w:t>information et au conseil en ce qui concerne les possibilités éducatives, ainsi qu</w:t>
      </w:r>
      <w:r w:rsidR="00CE0D20">
        <w:t>’</w:t>
      </w:r>
      <w:r>
        <w:t>à l</w:t>
      </w:r>
      <w:r w:rsidR="00CE0D20">
        <w:t>’</w:t>
      </w:r>
      <w:r>
        <w:t>application du principe d</w:t>
      </w:r>
      <w:r w:rsidR="00CE0D20">
        <w:t>’</w:t>
      </w:r>
      <w:r>
        <w:t>égalité entre les sexes.</w:t>
      </w:r>
    </w:p>
    <w:p w:rsidR="00164199" w:rsidRDefault="00164199" w:rsidP="001A0A96">
      <w:pPr>
        <w:pStyle w:val="SingleTxt"/>
      </w:pPr>
      <w:r>
        <w:t>112.</w:t>
      </w:r>
      <w:r>
        <w:tab/>
        <w:t>Pour l</w:t>
      </w:r>
      <w:r w:rsidR="00CE0D20">
        <w:t>’</w:t>
      </w:r>
      <w:r>
        <w:t>année 2002/2003, les programmes d</w:t>
      </w:r>
      <w:r w:rsidR="00CE0D20">
        <w:t>’</w:t>
      </w:r>
      <w:r>
        <w:t>accès à l</w:t>
      </w:r>
      <w:r w:rsidR="00CE0D20">
        <w:t>’</w:t>
      </w:r>
      <w:r>
        <w:t>éducation ont concerné 17,9% des Slovènes âgés de 15 ans et plus – dont 51,9% de femmes. Quant aux programmes d</w:t>
      </w:r>
      <w:r w:rsidR="00CE0D20">
        <w:t>’</w:t>
      </w:r>
      <w:r>
        <w:t>éducation complémentaire, ils ont concerné 19,3% des Slovènes âgés de 15 ans et plus (dont 53,4% de femmes). Par rapport aux hommes, les femmes participent plus souvent à deux activités éducatives (59% de femmes), à trois activités éducatives (63,4% de femmes), voire à quatre activités éducatives ou plus (69,2% de femmes). 74,7% des Slovènes âgés de 15 ans et plus (dont 51,4% de femmes) ont participé à des sessions d</w:t>
      </w:r>
      <w:r w:rsidR="00CE0D20">
        <w:t>’</w:t>
      </w:r>
      <w:r>
        <w:t>éducation informelle. Il s</w:t>
      </w:r>
      <w:r w:rsidR="00CE0D20">
        <w:t>’</w:t>
      </w:r>
      <w:r>
        <w:t>agit le plus souvent d</w:t>
      </w:r>
      <w:r w:rsidR="00CE0D20">
        <w:t>’</w:t>
      </w:r>
      <w:r>
        <w:t>un apprentissage par l</w:t>
      </w:r>
      <w:r w:rsidR="00CE0D20">
        <w:t>’</w:t>
      </w:r>
      <w:r>
        <w:t>intermédiaire de la télévision, de cassettes audio et vidéo, de l</w:t>
      </w:r>
      <w:r w:rsidR="00CE0D20">
        <w:t>’</w:t>
      </w:r>
      <w:r>
        <w:t>informatique, d</w:t>
      </w:r>
      <w:r w:rsidR="00CE0D20">
        <w:t>’</w:t>
      </w:r>
      <w:r>
        <w:t>une littérature professionnelle, de visites de bibliothèques et de centres d</w:t>
      </w:r>
      <w:r w:rsidR="00CE0D20">
        <w:t>’</w:t>
      </w:r>
      <w:r>
        <w:t>éducation</w:t>
      </w:r>
      <w:r w:rsidRPr="006A4785">
        <w:rPr>
          <w:rStyle w:val="FootnoteReference"/>
        </w:rPr>
        <w:footnoteReference w:customMarkFollows="1" w:id="39"/>
        <w:t>39</w:t>
      </w:r>
      <w:r>
        <w:t>.</w:t>
      </w:r>
    </w:p>
    <w:p w:rsidR="00164199" w:rsidRDefault="00164199" w:rsidP="001A0A96">
      <w:pPr>
        <w:pStyle w:val="SingleTxt"/>
      </w:pPr>
      <w:r>
        <w:t>113.</w:t>
      </w:r>
      <w:r>
        <w:tab/>
        <w:t>Plus de deux tiers des Slovènes âgés de 15 ans et plus n</w:t>
      </w:r>
      <w:r w:rsidR="00CE0D20">
        <w:t>’</w:t>
      </w:r>
      <w:r>
        <w:t>ont pas participé à des programmes d</w:t>
      </w:r>
      <w:r w:rsidR="00CE0D20">
        <w:t>’</w:t>
      </w:r>
      <w:r>
        <w:t>accès à l</w:t>
      </w:r>
      <w:r w:rsidR="00CE0D20">
        <w:t>’</w:t>
      </w:r>
      <w:r>
        <w:t>éducation ou d</w:t>
      </w:r>
      <w:r w:rsidR="00CE0D20">
        <w:t>’</w:t>
      </w:r>
      <w:r>
        <w:t>éducation complémentaire. La raison le plus souvent avancée pour expliquer cette situation est le manque d</w:t>
      </w:r>
      <w:r w:rsidR="00CE0D20">
        <w:t>’</w:t>
      </w:r>
      <w:r>
        <w:t>intérêt pour les études (65,2% de personnes interrogées – dont 52,8% de femmes). Pour expliquer cette non participation à une forme d</w:t>
      </w:r>
      <w:r w:rsidR="00CE0D20">
        <w:t>’</w:t>
      </w:r>
      <w:r>
        <w:t>éducation, quelle qu</w:t>
      </w:r>
      <w:r w:rsidR="00CE0D20">
        <w:t>’</w:t>
      </w:r>
      <w:r>
        <w:t>elle soit, les femmes s</w:t>
      </w:r>
      <w:r w:rsidR="00CE0D20">
        <w:t>’</w:t>
      </w:r>
      <w:r>
        <w:t>appuient plus fréquemment que les hommes sur leurs difficultés linguistiques (83,4%) et leurs responsabilités familiales (79,5%)</w:t>
      </w:r>
      <w:r w:rsidR="00CE0D20">
        <w:t>;</w:t>
      </w:r>
      <w:r>
        <w:t xml:space="preserve"> en revanche, les femmes invoquent moins souvent que les hommes des raisons de surcharge de travail (34%) ou de manque d</w:t>
      </w:r>
      <w:r w:rsidR="00CE0D20">
        <w:t>’</w:t>
      </w:r>
      <w:r>
        <w:t>instruction (41,6%)</w:t>
      </w:r>
      <w:r w:rsidRPr="006A4785">
        <w:rPr>
          <w:rStyle w:val="FootnoteReference"/>
        </w:rPr>
        <w:footnoteReference w:customMarkFollows="1" w:id="40"/>
        <w:t>40</w:t>
      </w:r>
      <w:r>
        <w:t>.</w:t>
      </w:r>
    </w:p>
    <w:p w:rsidR="00164199" w:rsidRDefault="001A0A96" w:rsidP="001A0A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Article 11</w:t>
      </w:r>
    </w:p>
    <w:p w:rsidR="001A0A96" w:rsidRPr="001A0A96" w:rsidRDefault="001A0A96" w:rsidP="001A0A96">
      <w:pPr>
        <w:pStyle w:val="SingleTxt"/>
        <w:spacing w:after="0" w:line="120" w:lineRule="exact"/>
        <w:rPr>
          <w:sz w:val="10"/>
        </w:rPr>
      </w:pPr>
    </w:p>
    <w:p w:rsidR="001A0A96" w:rsidRPr="001A0A96" w:rsidRDefault="001A0A96" w:rsidP="001A0A96">
      <w:pPr>
        <w:pStyle w:val="SingleTxt"/>
        <w:spacing w:after="0" w:line="120" w:lineRule="exact"/>
        <w:rPr>
          <w:sz w:val="10"/>
        </w:rPr>
      </w:pPr>
    </w:p>
    <w:p w:rsidR="00164199" w:rsidRDefault="001A0A96" w:rsidP="001A0A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w:t>
      </w:r>
      <w:r w:rsidR="00CE0D20">
        <w:t>’</w:t>
      </w:r>
      <w:r>
        <w:t>emploi</w:t>
      </w:r>
    </w:p>
    <w:p w:rsidR="001A0A96" w:rsidRPr="001A0A96" w:rsidRDefault="001A0A96" w:rsidP="001A0A96">
      <w:pPr>
        <w:pStyle w:val="SingleTxt"/>
        <w:spacing w:after="0" w:line="120" w:lineRule="exact"/>
        <w:rPr>
          <w:sz w:val="10"/>
        </w:rPr>
      </w:pPr>
    </w:p>
    <w:p w:rsidR="001A0A96" w:rsidRPr="001A0A96" w:rsidRDefault="001A0A96" w:rsidP="001A0A96">
      <w:pPr>
        <w:pStyle w:val="SingleTxt"/>
        <w:spacing w:after="0" w:line="120" w:lineRule="exact"/>
        <w:rPr>
          <w:sz w:val="10"/>
        </w:rPr>
      </w:pPr>
    </w:p>
    <w:p w:rsidR="00164199" w:rsidRDefault="001A0A96" w:rsidP="001A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Les femmes sur le marché du travail</w:t>
      </w:r>
    </w:p>
    <w:p w:rsidR="001A0A96" w:rsidRPr="001A0A96" w:rsidRDefault="001A0A96" w:rsidP="001A0A96">
      <w:pPr>
        <w:pStyle w:val="SingleTxt"/>
        <w:spacing w:after="0" w:line="120" w:lineRule="exact"/>
        <w:rPr>
          <w:sz w:val="10"/>
        </w:rPr>
      </w:pPr>
    </w:p>
    <w:p w:rsidR="00164199" w:rsidRDefault="00164199" w:rsidP="001A0A96">
      <w:pPr>
        <w:pStyle w:val="SingleTxt"/>
      </w:pPr>
      <w:r w:rsidRPr="000426A5">
        <w:t>114.</w:t>
      </w:r>
      <w:r>
        <w:tab/>
        <w:t>Le secteur de l</w:t>
      </w:r>
      <w:r w:rsidR="00CE0D20">
        <w:t>’</w:t>
      </w:r>
      <w:r>
        <w:t xml:space="preserve">emploi est régi par la </w:t>
      </w:r>
      <w:r>
        <w:rPr>
          <w:i/>
          <w:iCs/>
        </w:rPr>
        <w:t>Loi sur les relations professionnelles</w:t>
      </w:r>
      <w:r>
        <w:t xml:space="preserve">, la </w:t>
      </w:r>
      <w:r>
        <w:rPr>
          <w:i/>
          <w:iCs/>
        </w:rPr>
        <w:t>Loi sur l</w:t>
      </w:r>
      <w:r w:rsidR="00CE0D20">
        <w:rPr>
          <w:i/>
          <w:iCs/>
        </w:rPr>
        <w:t>’</w:t>
      </w:r>
      <w:r>
        <w:rPr>
          <w:i/>
          <w:iCs/>
        </w:rPr>
        <w:t>emploi et l</w:t>
      </w:r>
      <w:r w:rsidR="00CE0D20">
        <w:rPr>
          <w:i/>
          <w:iCs/>
        </w:rPr>
        <w:t>’</w:t>
      </w:r>
      <w:r>
        <w:rPr>
          <w:i/>
          <w:iCs/>
        </w:rPr>
        <w:t>assurance-chômage</w:t>
      </w:r>
      <w:r>
        <w:t xml:space="preserve">, la </w:t>
      </w:r>
      <w:r>
        <w:rPr>
          <w:i/>
          <w:iCs/>
        </w:rPr>
        <w:t>Loi sur les pensions et l</w:t>
      </w:r>
      <w:r w:rsidR="00CE0D20">
        <w:rPr>
          <w:i/>
          <w:iCs/>
        </w:rPr>
        <w:t>’</w:t>
      </w:r>
      <w:r>
        <w:rPr>
          <w:i/>
          <w:iCs/>
        </w:rPr>
        <w:t>assurance-invalidité,</w:t>
      </w:r>
      <w:r>
        <w:t xml:space="preserve"> la </w:t>
      </w:r>
      <w:r>
        <w:rPr>
          <w:i/>
          <w:iCs/>
        </w:rPr>
        <w:t>Loi sur les soins de santé et l</w:t>
      </w:r>
      <w:r w:rsidR="00CE0D20">
        <w:rPr>
          <w:i/>
          <w:iCs/>
        </w:rPr>
        <w:t>’</w:t>
      </w:r>
      <w:r>
        <w:rPr>
          <w:i/>
          <w:iCs/>
        </w:rPr>
        <w:t>assurance-maladie,</w:t>
      </w:r>
      <w:r>
        <w:t xml:space="preserve"> la </w:t>
      </w:r>
      <w:r>
        <w:rPr>
          <w:i/>
          <w:iCs/>
        </w:rPr>
        <w:t>Loi sur la santé et la sécurité sur le lieu de travail</w:t>
      </w:r>
      <w:r>
        <w:t xml:space="preserve"> et la </w:t>
      </w:r>
      <w:r>
        <w:rPr>
          <w:i/>
          <w:iCs/>
        </w:rPr>
        <w:t>Loi sur la parentalité et les revenus familiaux</w:t>
      </w:r>
      <w:r>
        <w:t xml:space="preserve"> – autant de textes déjà présentés dans le Troisième Rapport périodique de la Slovénie. En ce qui concerne la période qui s</w:t>
      </w:r>
      <w:r w:rsidR="00CE0D20">
        <w:t>’</w:t>
      </w:r>
      <w:r>
        <w:t>est écoulée depuis lors (jusqu</w:t>
      </w:r>
      <w:r w:rsidR="00CE0D20">
        <w:t>’</w:t>
      </w:r>
      <w:r>
        <w:t>à la présentation du présent rapport), il n</w:t>
      </w:r>
      <w:r w:rsidR="00CE0D20">
        <w:t>’</w:t>
      </w:r>
      <w:r>
        <w:t>y a eu, sur le plan législatif,</w:t>
      </w:r>
      <w:r w:rsidRPr="000426A5">
        <w:t xml:space="preserve"> aucune modification susceptible d</w:t>
      </w:r>
      <w:r w:rsidR="00CE0D20">
        <w:t>’</w:t>
      </w:r>
      <w:r w:rsidRPr="000426A5">
        <w:t xml:space="preserve">influer particulièrement sur la condition de la femme. </w:t>
      </w:r>
    </w:p>
    <w:p w:rsidR="00164199" w:rsidRDefault="00164199" w:rsidP="001A0A96">
      <w:pPr>
        <w:pStyle w:val="SingleTxt"/>
      </w:pPr>
      <w:r>
        <w:t>115.</w:t>
      </w:r>
      <w:r>
        <w:tab/>
        <w:t>En juin 2004 a été adoptée la Loi constitutionnelle portant modification de l</w:t>
      </w:r>
      <w:r w:rsidR="00CE0D20">
        <w:t>’</w:t>
      </w:r>
      <w:r>
        <w:t xml:space="preserve">article 50 de la </w:t>
      </w:r>
      <w:r>
        <w:rPr>
          <w:i/>
          <w:iCs/>
        </w:rPr>
        <w:t>Constitution de la République de Slovénie</w:t>
      </w:r>
      <w:r>
        <w:t>, qui établit le droit à la</w:t>
      </w:r>
      <w:r w:rsidR="00BA4F2E">
        <w:t xml:space="preserve"> </w:t>
      </w:r>
      <w:r>
        <w:t>retraite. Désormais, le premier paragraphe – amendé – de l</w:t>
      </w:r>
      <w:r w:rsidR="00CE0D20">
        <w:t>’</w:t>
      </w:r>
      <w:r>
        <w:t xml:space="preserve">article 50 stipule : </w:t>
      </w:r>
      <w:r w:rsidR="00BA4F2E">
        <w:t>« </w:t>
      </w:r>
      <w:r>
        <w:t>Tout citoyen a le droit à la sécurité sociale – y compris à une retraite – dans les conditions fixées par la loi</w:t>
      </w:r>
      <w:r w:rsidR="00CE0D20">
        <w:t> »</w:t>
      </w:r>
      <w:r>
        <w:t xml:space="preserve">. </w:t>
      </w:r>
    </w:p>
    <w:p w:rsidR="00164199" w:rsidRDefault="00164199" w:rsidP="001A0A96">
      <w:pPr>
        <w:pStyle w:val="SingleTxt"/>
      </w:pPr>
      <w:r>
        <w:t>116.</w:t>
      </w:r>
      <w:r>
        <w:tab/>
        <w:t>Dès le Troisième Rapport périodique, la Slovénie signalait l</w:t>
      </w:r>
      <w:r w:rsidR="00CE0D20">
        <w:t>’</w:t>
      </w:r>
      <w:r>
        <w:t xml:space="preserve">adoption de la </w:t>
      </w:r>
      <w:r>
        <w:rPr>
          <w:i/>
          <w:iCs/>
        </w:rPr>
        <w:t xml:space="preserve">Loi sur les relations professionnelles – </w:t>
      </w:r>
      <w:r>
        <w:t>entrée en vigueur le 1</w:t>
      </w:r>
      <w:r w:rsidRPr="00F4185F">
        <w:rPr>
          <w:vertAlign w:val="superscript"/>
        </w:rPr>
        <w:t>er</w:t>
      </w:r>
      <w:r>
        <w:t xml:space="preserve"> janvier 2003 – et son article 6, qui interdit toute forme de discrimination, directe ou indirecte, dans le secteur de l</w:t>
      </w:r>
      <w:r w:rsidR="00CE0D20">
        <w:t>’</w:t>
      </w:r>
      <w:r>
        <w:t>emploi et dans le cadre des relations professionnelles. Au cours de la période 2003-2004, l</w:t>
      </w:r>
      <w:r w:rsidR="00CE0D20">
        <w:t>’</w:t>
      </w:r>
      <w:r>
        <w:t>Inspection du Travail de la République de Slovénie a constaté quatre cas de violation de cet article 6 (et, au total, huit cas de violation de la loi)</w:t>
      </w:r>
      <w:r w:rsidR="00CE0D20">
        <w:t>;</w:t>
      </w:r>
      <w:r>
        <w:t xml:space="preserve"> il y a eu deux cas de violation de l</w:t>
      </w:r>
      <w:r w:rsidR="00CE0D20">
        <w:t>’</w:t>
      </w:r>
      <w:r>
        <w:t>interdiction de toute discrimination fondée sur le sexe (respectivement en 2003 et 2004)</w:t>
      </w:r>
      <w:r w:rsidRPr="006A4785">
        <w:rPr>
          <w:rStyle w:val="FootnoteReference"/>
        </w:rPr>
        <w:footnoteReference w:customMarkFollows="1" w:id="41"/>
        <w:t>41</w:t>
      </w:r>
      <w:r>
        <w:t>. Dans les deux cas, il s</w:t>
      </w:r>
      <w:r w:rsidR="00CE0D20">
        <w:t>’</w:t>
      </w:r>
      <w:r>
        <w:t>agissait d</w:t>
      </w:r>
      <w:r w:rsidR="00CE0D20">
        <w:t>’</w:t>
      </w:r>
      <w:r>
        <w:t>une violation de l</w:t>
      </w:r>
      <w:r w:rsidR="00CE0D20">
        <w:t>’</w:t>
      </w:r>
      <w:r>
        <w:t xml:space="preserve">article 25 de la </w:t>
      </w:r>
      <w:r>
        <w:rPr>
          <w:i/>
          <w:iCs/>
        </w:rPr>
        <w:t>Loi sur les relations professionnelles</w:t>
      </w:r>
      <w:r>
        <w:t>, qui interdit toute offre d</w:t>
      </w:r>
      <w:r w:rsidR="00CE0D20">
        <w:t>’</w:t>
      </w:r>
      <w:r>
        <w:t>emploi réservée exclusivement à des hommes ou à des femmes. Dans l</w:t>
      </w:r>
      <w:r w:rsidR="00CE0D20">
        <w:t>’</w:t>
      </w:r>
      <w:r>
        <w:t>affaire survenue en 2003, l</w:t>
      </w:r>
      <w:r w:rsidR="00CE0D20">
        <w:t>’</w:t>
      </w:r>
      <w:r>
        <w:t>employeur avait signalé deux emplois vacants, en spécifiant qu</w:t>
      </w:r>
      <w:r w:rsidR="00CE0D20">
        <w:t>’</w:t>
      </w:r>
      <w:r>
        <w:t>ils étaient destinés exclusivement à des hommes et à une certaine tranche d</w:t>
      </w:r>
      <w:r w:rsidR="00CE0D20">
        <w:t>’</w:t>
      </w:r>
      <w:r>
        <w:t>âge. Il y a eu sanction de cet employeur ou, plutôt, du responsable de cette violation – sanction prévue à l</w:t>
      </w:r>
      <w:r w:rsidR="00CE0D20">
        <w:t>’</w:t>
      </w:r>
      <w:r>
        <w:t xml:space="preserve">article 229 de la </w:t>
      </w:r>
      <w:r>
        <w:rPr>
          <w:i/>
          <w:iCs/>
        </w:rPr>
        <w:t>Loi sur les relations professionnelles.</w:t>
      </w:r>
      <w:r>
        <w:t xml:space="preserve"> L</w:t>
      </w:r>
      <w:r w:rsidR="00CE0D20">
        <w:t>’</w:t>
      </w:r>
      <w:r>
        <w:t>autre affaire, survenue en 2004, concernait également une offre d</w:t>
      </w:r>
      <w:r w:rsidR="00CE0D20">
        <w:t>’</w:t>
      </w:r>
      <w:r>
        <w:t>emploi : l</w:t>
      </w:r>
      <w:r w:rsidR="00CE0D20">
        <w:t>’</w:t>
      </w:r>
      <w:r>
        <w:t>employeur y avait spécifié que le poste en question était exclusivement destiné à un homme, et obligatoirement dans la tranche d</w:t>
      </w:r>
      <w:r w:rsidR="00CE0D20">
        <w:t>’</w:t>
      </w:r>
      <w:r>
        <w:t>âge 25-40 ans. Dès lors, une procédure fut engagée contre l</w:t>
      </w:r>
      <w:r w:rsidR="00CE0D20">
        <w:t>’</w:t>
      </w:r>
      <w:r>
        <w:t>employeur en tant que personne juridique, et contre le cadre responsable de la violation.</w:t>
      </w:r>
    </w:p>
    <w:p w:rsidR="00164199" w:rsidRDefault="00164199" w:rsidP="001A0A96">
      <w:pPr>
        <w:pStyle w:val="SingleTxt"/>
      </w:pPr>
      <w:r>
        <w:t>117.</w:t>
      </w:r>
      <w:r>
        <w:tab/>
        <w:t>Par ailleurs, les inspecteurs du travail ont établi des violations de l</w:t>
      </w:r>
      <w:r w:rsidR="00CE0D20">
        <w:t>’</w:t>
      </w:r>
      <w:r>
        <w:t>interdiction de toute discrimination pour cause de maternité : en l</w:t>
      </w:r>
      <w:r w:rsidR="00CE0D20">
        <w:t>’</w:t>
      </w:r>
      <w:r>
        <w:t>occurrence, les employeurs avaient mis fin au contrat d</w:t>
      </w:r>
      <w:r w:rsidR="00CE0D20">
        <w:t>’</w:t>
      </w:r>
      <w:r>
        <w:t>employées qui, après leur congé de maternité, avaient souhaité retrouver leur emploi, ainsi que d</w:t>
      </w:r>
      <w:r w:rsidR="00CE0D20">
        <w:t>’</w:t>
      </w:r>
      <w:r>
        <w:t>autres femmes également protégées par la loi sur la maternité. Dans d</w:t>
      </w:r>
      <w:r w:rsidR="00CE0D20">
        <w:t>’</w:t>
      </w:r>
      <w:r>
        <w:t>autres cas spécifiques, les employeurs en question avaient refusé de recruter l</w:t>
      </w:r>
      <w:r w:rsidR="00CE0D20">
        <w:t>’</w:t>
      </w:r>
      <w:r>
        <w:t>une de ces femmes, ou les avaient contraintes à signer un contrat de travail inapproprié. En 2004, les inspecteurs du travail n</w:t>
      </w:r>
      <w:r w:rsidR="00CE0D20">
        <w:t>’</w:t>
      </w:r>
      <w:r>
        <w:t>ont constaté aucun cas de violation de la loi – c</w:t>
      </w:r>
      <w:r w:rsidR="00CE0D20">
        <w:t>’</w:t>
      </w:r>
      <w:r>
        <w:t>est-à-dire d</w:t>
      </w:r>
      <w:r w:rsidR="00CE0D20">
        <w:t>’</w:t>
      </w:r>
      <w:r>
        <w:t>employeur exigeant de leur salariée de différer leur congé de maternité afin d</w:t>
      </w:r>
      <w:r w:rsidR="00CE0D20">
        <w:t>’</w:t>
      </w:r>
      <w:r>
        <w:t>arriver obligatoirement au terme de leur contrat. Toutefois, on a signalé quelques cas de coups de téléphone anonymes à des inspecteurs du travail, visant à attirer leur attention sur le problème de la légitimité de contrats de travail interdisant à l</w:t>
      </w:r>
      <w:r w:rsidR="00CE0D20">
        <w:t>’</w:t>
      </w:r>
      <w:r>
        <w:t>employée toute grossesse ou maternité. Toujours en 2004, les inspecteurs du travail n</w:t>
      </w:r>
      <w:r w:rsidR="00CE0D20">
        <w:t>’</w:t>
      </w:r>
      <w:r>
        <w:t>ont constaté aucune violation de l</w:t>
      </w:r>
      <w:r w:rsidR="00CE0D20">
        <w:t>’</w:t>
      </w:r>
      <w:r>
        <w:t>interdiction de certaines tâches professionnelles pendant une grossesse ou l</w:t>
      </w:r>
      <w:r w:rsidR="00CE0D20">
        <w:t>’</w:t>
      </w:r>
      <w:r>
        <w:t>allaitement au sein, ou de l</w:t>
      </w:r>
      <w:r w:rsidR="00CE0D20">
        <w:t>’</w:t>
      </w:r>
      <w:r>
        <w:t>obligation d</w:t>
      </w:r>
      <w:r w:rsidR="00CE0D20">
        <w:t>’</w:t>
      </w:r>
      <w:r>
        <w:t>accorder une pause pour l</w:t>
      </w:r>
      <w:r w:rsidR="00CE0D20">
        <w:t>’</w:t>
      </w:r>
      <w:r>
        <w:t>allaitement. Cette même année, les inspecteurs du travail ont constaté 5 cas de violation de l</w:t>
      </w:r>
      <w:r w:rsidR="00CE0D20">
        <w:t>’</w:t>
      </w:r>
      <w:r>
        <w:t xml:space="preserve">article 190 de la </w:t>
      </w:r>
      <w:r>
        <w:rPr>
          <w:i/>
          <w:iCs/>
        </w:rPr>
        <w:t>Loi sur les relations professionnelles </w:t>
      </w:r>
      <w:r>
        <w:t>: il s</w:t>
      </w:r>
      <w:r w:rsidR="00CE0D20">
        <w:t>’</w:t>
      </w:r>
      <w:r>
        <w:t>agissait d</w:t>
      </w:r>
      <w:r w:rsidR="00CE0D20">
        <w:t>’</w:t>
      </w:r>
      <w:r>
        <w:t>employeurs ayant imposé – sans accord écrit préalable</w:t>
      </w:r>
      <w:r w:rsidR="00CE0D20">
        <w:t xml:space="preserve"> – </w:t>
      </w:r>
      <w:r>
        <w:t>des heures supplémentaires ou un travail de nuit à des femmes enceintes ou devant s</w:t>
      </w:r>
      <w:r w:rsidR="00CE0D20">
        <w:t>’</w:t>
      </w:r>
      <w:r>
        <w:t>occuper d</w:t>
      </w:r>
      <w:r w:rsidR="00CE0D20">
        <w:t>’</w:t>
      </w:r>
      <w:r>
        <w:t>enfants de moins de 3 ans</w:t>
      </w:r>
      <w:r w:rsidRPr="006A4785">
        <w:rPr>
          <w:rStyle w:val="FootnoteReference"/>
        </w:rPr>
        <w:footnoteReference w:customMarkFollows="1" w:id="42"/>
        <w:t>42</w:t>
      </w:r>
      <w:r>
        <w:t>.</w:t>
      </w:r>
    </w:p>
    <w:p w:rsidR="00164199" w:rsidRDefault="00164199" w:rsidP="001A0A96">
      <w:pPr>
        <w:pStyle w:val="SingleTxt"/>
      </w:pPr>
      <w:r>
        <w:t>118.</w:t>
      </w:r>
      <w:r>
        <w:tab/>
        <w:t xml:space="preserve">La </w:t>
      </w:r>
      <w:r>
        <w:rPr>
          <w:i/>
          <w:iCs/>
        </w:rPr>
        <w:t>Loi sur la protection parentale et les allocations familiales</w:t>
      </w:r>
      <w:r>
        <w:t>, déjà présentée dans le Troisième Rapport, a établi un droit non transmissible du père à un congé de paternité pouvant aller jusqu</w:t>
      </w:r>
      <w:r w:rsidR="00CE0D20">
        <w:t>’</w:t>
      </w:r>
      <w:r>
        <w:t>à 90 jours – dont 15 jours d</w:t>
      </w:r>
      <w:r w:rsidR="00CE0D20">
        <w:t>’</w:t>
      </w:r>
      <w:r>
        <w:t>absence totale autorisée au cours du congé de maternité de la mère</w:t>
      </w:r>
      <w:r w:rsidR="00CE0D20">
        <w:t>;</w:t>
      </w:r>
      <w:r>
        <w:t xml:space="preserve"> les 75 jours restants peuvent être pris, sous forme d</w:t>
      </w:r>
      <w:r w:rsidR="00CE0D20">
        <w:t>’</w:t>
      </w:r>
      <w:r>
        <w:t>absence totale du poste de travail, à tout moment de la période allant jusqu</w:t>
      </w:r>
      <w:r w:rsidR="00CE0D20">
        <w:t>’</w:t>
      </w:r>
      <w:r>
        <w:t>aux 8 ans de l</w:t>
      </w:r>
      <w:r w:rsidR="00CE0D20">
        <w:t>’</w:t>
      </w:r>
      <w:r>
        <w:t>enfant. Au cours des 15 premiers jours du congé de paternité, le père a droit à une allocation, puis, pendant 75 jours, à des indemnités de sécurité sociale calculées sur la base du salaire minimum.</w:t>
      </w:r>
    </w:p>
    <w:p w:rsidR="00164199" w:rsidRDefault="00164199" w:rsidP="001A0A96">
      <w:pPr>
        <w:pStyle w:val="SingleTxt"/>
      </w:pPr>
      <w:r>
        <w:t>119.</w:t>
      </w:r>
      <w:r>
        <w:tab/>
        <w:t>Ce droit à un congé de paternité n</w:t>
      </w:r>
      <w:r w:rsidR="00CE0D20">
        <w:t>’</w:t>
      </w:r>
      <w:r>
        <w:t>a été instauré que progressivement. En 2003, le père avait droit à 15 jours de congé de paternité dans le cadre du congé de maternité de la mère</w:t>
      </w:r>
      <w:r w:rsidR="00CE0D20">
        <w:t>;</w:t>
      </w:r>
      <w:r>
        <w:t xml:space="preserve"> puis, en 2004, cela a été augmenté de 30 jours – soit 45 jours de congé de paternité au total. Enfin, depuis le 1</w:t>
      </w:r>
      <w:r w:rsidRPr="000A0B12">
        <w:rPr>
          <w:vertAlign w:val="superscript"/>
        </w:rPr>
        <w:t>er</w:t>
      </w:r>
      <w:r>
        <w:t xml:space="preserve"> janvier 2005, le congé est fixé à 90 jours. D</w:t>
      </w:r>
      <w:r w:rsidR="00CE0D20">
        <w:t>’</w:t>
      </w:r>
      <w:r>
        <w:t>après les statistiques du ministère du Travail, de la Famille et des Affaires sociales, ce droit a été exercé par 10 972 pères d</w:t>
      </w:r>
      <w:r w:rsidR="00CE0D20">
        <w:t>’</w:t>
      </w:r>
      <w:r>
        <w:t>enfants nés en 2003 – en moyenne pour une période de congé de 8 jours. En 2004, 12 667 pères ont bénéficié d</w:t>
      </w:r>
      <w:r w:rsidR="00CE0D20">
        <w:t>’</w:t>
      </w:r>
      <w:r>
        <w:t>un congé de paternité assorti d</w:t>
      </w:r>
      <w:r w:rsidR="00CE0D20">
        <w:t>’</w:t>
      </w:r>
      <w:r>
        <w:t>une allocation (d</w:t>
      </w:r>
      <w:r w:rsidR="00CE0D20">
        <w:t>’</w:t>
      </w:r>
      <w:r>
        <w:t>environ 72% du salaire). Le problème majeur des dispositions actuelles, dans ce domaine, est que, pendant la période de 75 jours de congé que le père peut prendre après la fin du congé de maternité de la mère, il n</w:t>
      </w:r>
      <w:r w:rsidR="00CE0D20">
        <w:t>’</w:t>
      </w:r>
      <w:r>
        <w:t>a pas droit à une allocation, et peut percevoir uniquement les indemnités de la sécurité sociale sur la base du salaire minimum. Cette disposition n</w:t>
      </w:r>
      <w:r w:rsidR="00CE0D20">
        <w:t>’</w:t>
      </w:r>
      <w:r>
        <w:t>encourage pas les pères à prendre la totalité du congé de paternité auquel ils ont droit. En 2004, 9% seulement des pères ont pris les jours de congé non assortis d</w:t>
      </w:r>
      <w:r w:rsidR="00CE0D20">
        <w:t>’</w:t>
      </w:r>
      <w:r>
        <w:t>une allocation.</w:t>
      </w:r>
    </w:p>
    <w:p w:rsidR="00164199" w:rsidRDefault="00164199" w:rsidP="001A0A96">
      <w:pPr>
        <w:pStyle w:val="SingleTxt"/>
      </w:pPr>
      <w:r>
        <w:t>120.</w:t>
      </w:r>
      <w:r>
        <w:tab/>
        <w:t>D</w:t>
      </w:r>
      <w:r w:rsidR="00CE0D20">
        <w:t>’</w:t>
      </w:r>
      <w:r>
        <w:t>après les inspecteurs du travail, on n</w:t>
      </w:r>
      <w:r w:rsidR="00CE0D20">
        <w:t>’</w:t>
      </w:r>
      <w:r>
        <w:t xml:space="preserve">a signalé pratiquement aucun cas de violation de la </w:t>
      </w:r>
      <w:r>
        <w:rPr>
          <w:i/>
          <w:iCs/>
        </w:rPr>
        <w:t>Loi sur la protection parentale et les allocations familiales</w:t>
      </w:r>
      <w:r>
        <w:t>. Toutefois, les inspecteurs du travail ont souvent été consultés par des salariés ou des employeurs souhaitant être informés au sujet de la garantie et de l</w:t>
      </w:r>
      <w:r w:rsidR="00CE0D20">
        <w:t>’</w:t>
      </w:r>
      <w:r>
        <w:t>application des droits définis dans le cadre de cette loi.</w:t>
      </w:r>
    </w:p>
    <w:p w:rsidR="00164199" w:rsidRDefault="00164199" w:rsidP="001A0A96">
      <w:pPr>
        <w:pStyle w:val="SingleTxt"/>
      </w:pPr>
      <w:r>
        <w:t>121.</w:t>
      </w:r>
      <w:r>
        <w:tab/>
        <w:t xml:space="preserve">En 2004, le Bureau pour </w:t>
      </w:r>
      <w:r w:rsidR="000D2AA5">
        <w:t>l’</w:t>
      </w:r>
      <w:r w:rsidR="00221C8A">
        <w:t>Égalité</w:t>
      </w:r>
      <w:r>
        <w:t xml:space="preserve"> des chances a financé un travail de recherche intitulé </w:t>
      </w:r>
      <w:r w:rsidR="003158AC">
        <w:rPr>
          <w:i/>
          <w:iCs/>
        </w:rPr>
        <w:t xml:space="preserve">“ </w:t>
      </w:r>
      <w:r>
        <w:rPr>
          <w:i/>
          <w:iCs/>
        </w:rPr>
        <w:t>Les parents entre travail et famille</w:t>
      </w:r>
      <w:r w:rsidR="00CE0D20">
        <w:rPr>
          <w:i/>
          <w:iCs/>
        </w:rPr>
        <w:t> »</w:t>
      </w:r>
      <w:r>
        <w:t>. Il s</w:t>
      </w:r>
      <w:r w:rsidR="00CE0D20">
        <w:t>’</w:t>
      </w:r>
      <w:r>
        <w:t>agissait d</w:t>
      </w:r>
      <w:r w:rsidR="00CE0D20">
        <w:t>’</w:t>
      </w:r>
      <w:r>
        <w:t>une étude sur les effets que pouvait exercer la parentalité sur l</w:t>
      </w:r>
      <w:r w:rsidR="00CE0D20">
        <w:t>’</w:t>
      </w:r>
      <w:r>
        <w:t>emploi et la carrière professionnelle (pour les hommes comme pour les femmes), et d</w:t>
      </w:r>
      <w:r w:rsidR="00CE0D20">
        <w:t>’</w:t>
      </w:r>
      <w:r>
        <w:t>une évaluation des efforts de conciliation des responsabilités familiales et d</w:t>
      </w:r>
      <w:r w:rsidR="00CE0D20">
        <w:t>’</w:t>
      </w:r>
      <w:r>
        <w:t>un métier, en Slovénie. Cette étude visait notamment à proposer des mesures ou des solutions en vue de faciliter l</w:t>
      </w:r>
      <w:r w:rsidR="00CE0D20">
        <w:t>’</w:t>
      </w:r>
      <w:r>
        <w:t>association de ces deux types de responsabilités. Cette analyse a indiqué que l</w:t>
      </w:r>
      <w:r w:rsidR="00CE0D20">
        <w:t>’</w:t>
      </w:r>
      <w:r>
        <w:t>on continuait à répartir les responsabilités entre les deux sexes de manière traditionnelle : ainsi, ce sont essentiellement les mères qui ont recours aux différentes formes de congé parental existantes (à l</w:t>
      </w:r>
      <w:r w:rsidR="00CE0D20">
        <w:t>’</w:t>
      </w:r>
      <w:r>
        <w:t>exception du congé de paternité, bien sûr)</w:t>
      </w:r>
      <w:r w:rsidR="00CE0D20">
        <w:t>;</w:t>
      </w:r>
      <w:r>
        <w:t xml:space="preserve"> et, de la même manière, ce sont principalement les femmes qui élèvent les enfants. Par ailleurs, les parents ont fréquemment recours aux formes institutionnelles de garde des enfants</w:t>
      </w:r>
      <w:r w:rsidR="00CE0D20">
        <w:t>;</w:t>
      </w:r>
      <w:r>
        <w:t xml:space="preserve"> mais, si l</w:t>
      </w:r>
      <w:r w:rsidR="00CE0D20">
        <w:t>’</w:t>
      </w:r>
      <w:r>
        <w:t>on en croit les parents, ces services ne répondent pas suffisamment aux besoins des pères et des mères exerçant un emploi. Il faut noter également que les femmes ont plus souvent des expériences négatives à ce sujet (par exemple lorsqu</w:t>
      </w:r>
      <w:r w:rsidR="00CE0D20">
        <w:t>’</w:t>
      </w:r>
      <w:r>
        <w:t>elles recherchent un emploi, ou encore en matière de promotion professionnelle ou de rapports avec leurs supérieurs – relations qui peuvent avoir tendance à se dégrader).</w:t>
      </w:r>
    </w:p>
    <w:p w:rsidR="00164199" w:rsidRDefault="00164199" w:rsidP="001A0A96">
      <w:pPr>
        <w:pStyle w:val="SingleTxt"/>
      </w:pPr>
      <w:r>
        <w:t>122.</w:t>
      </w:r>
      <w:r>
        <w:tab/>
        <w:t xml:space="preserve">En 2005, le Bureau pour </w:t>
      </w:r>
      <w:r w:rsidR="000D2AA5">
        <w:t>l’</w:t>
      </w:r>
      <w:r w:rsidR="00221C8A">
        <w:t>Égalité</w:t>
      </w:r>
      <w:r>
        <w:t xml:space="preserve"> des chances a pris part à un projet européen dans le cadre de la stratégie communautaire sur l</w:t>
      </w:r>
      <w:r w:rsidR="00CE0D20">
        <w:t>’</w:t>
      </w:r>
      <w:r>
        <w:t xml:space="preserve">égalité entre les sexes – projet baptisé </w:t>
      </w:r>
      <w:r w:rsidR="000D2AA5">
        <w:t>« </w:t>
      </w:r>
      <w:r>
        <w:rPr>
          <w:i/>
          <w:iCs/>
        </w:rPr>
        <w:t>Les hommes et la fonction parentale – Une paternité active</w:t>
      </w:r>
      <w:r w:rsidR="00CE0D20">
        <w:rPr>
          <w:i/>
          <w:iCs/>
        </w:rPr>
        <w:t> »</w:t>
      </w:r>
      <w:r>
        <w:t xml:space="preserve">, et organisé par le Département de </w:t>
      </w:r>
      <w:r w:rsidR="00221C8A">
        <w:t>Égalité</w:t>
      </w:r>
      <w:r>
        <w:t xml:space="preserve"> entre les sexes du Danemark. Une étude concernant plus particulièrement la Slovénie était réalisée dans le cadre de ce projet, sous le titre </w:t>
      </w:r>
      <w:r w:rsidR="000D2AA5">
        <w:t>« </w:t>
      </w:r>
      <w:r>
        <w:rPr>
          <w:i/>
          <w:iCs/>
        </w:rPr>
        <w:t>Les perspectives d</w:t>
      </w:r>
      <w:r w:rsidR="00CE0D20">
        <w:rPr>
          <w:i/>
          <w:iCs/>
        </w:rPr>
        <w:t>’</w:t>
      </w:r>
      <w:r>
        <w:rPr>
          <w:i/>
          <w:iCs/>
        </w:rPr>
        <w:t>une nouvelle forme de paternité en Slovénie : l</w:t>
      </w:r>
      <w:r w:rsidR="00CE0D20">
        <w:rPr>
          <w:i/>
          <w:iCs/>
        </w:rPr>
        <w:t>’</w:t>
      </w:r>
      <w:r>
        <w:rPr>
          <w:i/>
          <w:iCs/>
        </w:rPr>
        <w:t>influence du congé de paternité en termes de paternité et de parentalité actives</w:t>
      </w:r>
      <w:r w:rsidR="00CE0D20">
        <w:rPr>
          <w:i/>
          <w:iCs/>
        </w:rPr>
        <w:t> »</w:t>
      </w:r>
      <w:r>
        <w:t>. Ce projet vise à déterminer les facteurs de paternité active en Slovénie, et les obstacles pouvant s</w:t>
      </w:r>
      <w:r w:rsidR="00CE0D20">
        <w:t>’</w:t>
      </w:r>
      <w:r>
        <w:t>y opposer. Outre l</w:t>
      </w:r>
      <w:r w:rsidR="00CE0D20">
        <w:t>’</w:t>
      </w:r>
      <w:r>
        <w:t>objectif spécifique de l</w:t>
      </w:r>
      <w:r w:rsidR="00CE0D20">
        <w:t>’</w:t>
      </w:r>
      <w:r>
        <w:t>étude, il s</w:t>
      </w:r>
      <w:r w:rsidR="00CE0D20">
        <w:t>’</w:t>
      </w:r>
      <w:r>
        <w:t>agissait aussi de sensibiliser chacun à la question d</w:t>
      </w:r>
      <w:r w:rsidR="00CE0D20">
        <w:t>’</w:t>
      </w:r>
      <w:r>
        <w:t>une participation active des pères à la vie de leurs enfants, et d</w:t>
      </w:r>
      <w:r w:rsidR="00CE0D20">
        <w:t>’</w:t>
      </w:r>
      <w:r>
        <w:t>aller au-delà des stéréotypes séparant les deux sexes dans ce domaine. Cette campagne de sensibilisation a démarré à l</w:t>
      </w:r>
      <w:r w:rsidR="00CE0D20">
        <w:t>’</w:t>
      </w:r>
      <w:r>
        <w:t xml:space="preserve">automne 2005. </w:t>
      </w:r>
    </w:p>
    <w:p w:rsidR="00164199" w:rsidRDefault="00164199" w:rsidP="001A0A96">
      <w:pPr>
        <w:pStyle w:val="SingleTxt"/>
      </w:pPr>
      <w:r>
        <w:t>123.</w:t>
      </w:r>
      <w:r>
        <w:tab/>
        <w:t>Afin d</w:t>
      </w:r>
      <w:r w:rsidR="00CE0D20">
        <w:t>’</w:t>
      </w:r>
      <w:r>
        <w:t>encourager un partage égal des responsabilités parentales, en ce qui concerne le fait d</w:t>
      </w:r>
      <w:r w:rsidR="00CE0D20">
        <w:t>’</w:t>
      </w:r>
      <w:r>
        <w:t>élever les enfants, le congé parental doit prendre toute son importance, avec les droits qui y sont liés – par exemple, le partage, par les deux parents, des 260 jours de congé auxquels ils ont droit pour s</w:t>
      </w:r>
      <w:r w:rsidR="00CE0D20">
        <w:t>’</w:t>
      </w:r>
      <w:r>
        <w:t>occuper de leurs enfants, au terme des 105 jours de congé de maternité dont la mère a déjà bénéficié. En Slovénie, ce sont encore les femmes qui utilisent le plus le congé parental permettant de s</w:t>
      </w:r>
      <w:r w:rsidR="00CE0D20">
        <w:t>’</w:t>
      </w:r>
      <w:r>
        <w:t>occuper des enfants. En effet, en 2003, on n</w:t>
      </w:r>
      <w:r w:rsidR="00CE0D20">
        <w:t>’</w:t>
      </w:r>
      <w:r>
        <w:t xml:space="preserve">a compté que 2,3% de pères qui ont eu recours à ce congé. Il y a toutefois un progrès notable, puisque, les années précédentes, ce pourcentage des pères ne dépassait pas 1%. </w:t>
      </w:r>
    </w:p>
    <w:p w:rsidR="00164199" w:rsidRDefault="00164199" w:rsidP="001A0A96">
      <w:pPr>
        <w:pStyle w:val="SingleTxt"/>
      </w:pPr>
      <w:r>
        <w:t>124.</w:t>
      </w:r>
      <w:r>
        <w:tab/>
        <w:t xml:space="preserve">La </w:t>
      </w:r>
      <w:r>
        <w:rPr>
          <w:i/>
          <w:iCs/>
        </w:rPr>
        <w:t>Loi relative à la protection parentale et aux allocations familiales</w:t>
      </w:r>
      <w:r>
        <w:t xml:space="preserve"> a également instauré un droit des parents à exercer une activité à temps partiel tant que l</w:t>
      </w:r>
      <w:r w:rsidR="00CE0D20">
        <w:t>’</w:t>
      </w:r>
      <w:r>
        <w:t>enfant a moins de 3 ans. Les résultats de l</w:t>
      </w:r>
      <w:r w:rsidR="00CE0D20">
        <w:t>’</w:t>
      </w:r>
      <w:r>
        <w:t xml:space="preserve">étude </w:t>
      </w:r>
      <w:r w:rsidR="000D2AA5">
        <w:t>« </w:t>
      </w:r>
      <w:r>
        <w:rPr>
          <w:i/>
          <w:iCs/>
        </w:rPr>
        <w:t>Les parents entre famille et travail</w:t>
      </w:r>
      <w:r w:rsidR="00CE0D20">
        <w:rPr>
          <w:i/>
          <w:iCs/>
        </w:rPr>
        <w:t> »</w:t>
      </w:r>
      <w:r>
        <w:t xml:space="preserve"> indiquent qu</w:t>
      </w:r>
      <w:r w:rsidR="00CE0D20">
        <w:t>’</w:t>
      </w:r>
      <w:r>
        <w:t>au terme de la période de congé accordée pour s</w:t>
      </w:r>
      <w:r w:rsidR="00CE0D20">
        <w:t>’</w:t>
      </w:r>
      <w:r>
        <w:t>occuper des enfants, 3 à 4% des parents optent pour un travail à temps partiel (il s</w:t>
      </w:r>
      <w:r w:rsidR="00CE0D20">
        <w:t>’</w:t>
      </w:r>
      <w:r>
        <w:t>agit des mères, à 90%). D</w:t>
      </w:r>
      <w:r w:rsidR="00CE0D20">
        <w:t>’</w:t>
      </w:r>
      <w:r>
        <w:t>après les statistiques du ministère du Travail, de la Famille et des Affaires sociales, le droit, pour les parents, à exercer une activité à temps partiel a été utilisé par environ 10% des parents qui peuvent en bénéficier.</w:t>
      </w:r>
    </w:p>
    <w:p w:rsidR="00164199" w:rsidRDefault="00164199" w:rsidP="001A0A96">
      <w:pPr>
        <w:pStyle w:val="SingleTxt"/>
      </w:pPr>
      <w:r>
        <w:t>125.</w:t>
      </w:r>
      <w:r>
        <w:tab/>
        <w:t>Quant aux chiffres relatifs aux congés-maladie que l</w:t>
      </w:r>
      <w:r w:rsidR="00CE0D20">
        <w:t>’</w:t>
      </w:r>
      <w:r>
        <w:t>on prend pour s</w:t>
      </w:r>
      <w:r w:rsidR="00CE0D20">
        <w:t>’</w:t>
      </w:r>
      <w:r>
        <w:t>occuper d</w:t>
      </w:r>
      <w:r w:rsidR="00CE0D20">
        <w:t>’</w:t>
      </w:r>
      <w:r>
        <w:t>un membre de la famille – un enfant, une personne âgée ou toute autre personne ayant besoin de soins -, ils indiquent que cela concerne essentiellement les femmes, puisque, dans ce domaine, l</w:t>
      </w:r>
      <w:r w:rsidR="00CE0D20">
        <w:t>’</w:t>
      </w:r>
      <w:r>
        <w:t>absentéisme des femmes est six fois plus important que celui des hommes</w:t>
      </w:r>
      <w:r w:rsidRPr="006A4785">
        <w:rPr>
          <w:rStyle w:val="FootnoteReference"/>
        </w:rPr>
        <w:footnoteReference w:customMarkFollows="1" w:id="43"/>
        <w:t>43</w:t>
      </w:r>
      <w:r>
        <w:t>. Avec le vieillissement de la population, on peut prévoir qu</w:t>
      </w:r>
      <w:r w:rsidR="00CE0D20">
        <w:t>’</w:t>
      </w:r>
      <w:r>
        <w:t>une grande partie du soin des personnes âgées sera assurée par des membres de la famille en question. Par conséquent, il faudra imaginer de nouvelles stratégies pour prévenir un surcroît de travail pour les femmes, au sein de leur famille.</w:t>
      </w:r>
    </w:p>
    <w:p w:rsidR="00164199" w:rsidRDefault="00164199" w:rsidP="001A0A96">
      <w:pPr>
        <w:pStyle w:val="SingleTxt"/>
      </w:pPr>
      <w:r>
        <w:t>126.</w:t>
      </w:r>
      <w:r>
        <w:tab/>
        <w:t>A la suite de l</w:t>
      </w:r>
      <w:r w:rsidR="00CE0D20">
        <w:t>’</w:t>
      </w:r>
      <w:r>
        <w:t xml:space="preserve">adoption de la </w:t>
      </w:r>
      <w:r>
        <w:rPr>
          <w:i/>
          <w:iCs/>
        </w:rPr>
        <w:t>Loi sur les relations professionnelles</w:t>
      </w:r>
      <w:r>
        <w:t xml:space="preserve">, ont été également adoptées, en 2003, les </w:t>
      </w:r>
      <w:r>
        <w:rPr>
          <w:i/>
          <w:iCs/>
        </w:rPr>
        <w:t>Règles de protection sur le lieu de travail des employées enceintes, ou ayant récemment accouché et susceptibles d</w:t>
      </w:r>
      <w:r w:rsidR="00CE0D20">
        <w:rPr>
          <w:i/>
          <w:iCs/>
        </w:rPr>
        <w:t>’</w:t>
      </w:r>
      <w:r>
        <w:rPr>
          <w:i/>
          <w:iCs/>
        </w:rPr>
        <w:t>allaiter leur enfant au sein </w:t>
      </w:r>
      <w:r>
        <w:t>: ce texte exige de l</w:t>
      </w:r>
      <w:r w:rsidR="00CE0D20">
        <w:t>’</w:t>
      </w:r>
      <w:r>
        <w:t>employeur qu</w:t>
      </w:r>
      <w:r w:rsidR="00CE0D20">
        <w:t>’</w:t>
      </w:r>
      <w:r>
        <w:t>il procède à une évaluation des risques en ce qui concerne la nature, le degré et la durée d</w:t>
      </w:r>
      <w:r w:rsidR="00CE0D20">
        <w:t>’</w:t>
      </w:r>
      <w:r>
        <w:t>exposition des femmes en question, ainsi que les risques de blessure ou de préjudice pour leur santé</w:t>
      </w:r>
      <w:r w:rsidR="00CE0D20">
        <w:t>;</w:t>
      </w:r>
      <w:r>
        <w:t xml:space="preserve"> dans ce contexte, l</w:t>
      </w:r>
      <w:r w:rsidR="00CE0D20">
        <w:t>’</w:t>
      </w:r>
      <w:r>
        <w:t>employeur doit concevoir et mettre en œuvre des mesures de sécurité concernant l</w:t>
      </w:r>
      <w:r w:rsidR="00CE0D20">
        <w:t>’</w:t>
      </w:r>
      <w:r>
        <w:t>ensemble des activités professionnelles pouvant exposer à des risques de santé les salariées enceintes, ou ayant récemment accouché et souhaitant allaiter leur enfant au sein. Conformément à cet ensemble de règles, l</w:t>
      </w:r>
      <w:r w:rsidR="00CE0D20">
        <w:t>’</w:t>
      </w:r>
      <w:r>
        <w:t>employée concernée a droit à des heures de congé payées pour pouvoir passer des visites médicales préventives concernant leur grossesse, ou leur accouchement et l</w:t>
      </w:r>
      <w:r w:rsidR="00CE0D20">
        <w:t>’</w:t>
      </w:r>
      <w:r>
        <w:t>allaitement au sein – si ces examens médicaux ne peuvent pas se faire en dehors du temps de travail.</w:t>
      </w:r>
    </w:p>
    <w:p w:rsidR="009C26B5" w:rsidRPr="009C26B5" w:rsidRDefault="009C26B5" w:rsidP="009C26B5">
      <w:pPr>
        <w:pStyle w:val="SingleTxt"/>
        <w:spacing w:after="0" w:line="120" w:lineRule="exact"/>
        <w:rPr>
          <w:sz w:val="10"/>
        </w:rPr>
      </w:pPr>
    </w:p>
    <w:p w:rsidR="00164199" w:rsidRDefault="009C26B5" w:rsidP="009C2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w:t>
      </w:r>
      <w:r w:rsidR="00CE0D20">
        <w:t>’</w:t>
      </w:r>
      <w:r w:rsidR="00164199">
        <w:t>emploi</w:t>
      </w:r>
    </w:p>
    <w:p w:rsidR="009C26B5" w:rsidRPr="009C26B5" w:rsidRDefault="009C26B5" w:rsidP="009C26B5">
      <w:pPr>
        <w:pStyle w:val="SingleTxt"/>
        <w:spacing w:after="0" w:line="120" w:lineRule="exact"/>
        <w:rPr>
          <w:sz w:val="10"/>
        </w:rPr>
      </w:pPr>
    </w:p>
    <w:p w:rsidR="00164199" w:rsidRDefault="00164199" w:rsidP="001A0A96">
      <w:pPr>
        <w:pStyle w:val="SingleTxt"/>
      </w:pPr>
      <w:r w:rsidRPr="00EE1116">
        <w:t>127.</w:t>
      </w:r>
      <w:r>
        <w:tab/>
        <w:t>Le taux d</w:t>
      </w:r>
      <w:r w:rsidR="00CE0D20">
        <w:t>’</w:t>
      </w:r>
      <w:r>
        <w:t>activité et le taux d</w:t>
      </w:r>
      <w:r w:rsidR="00CE0D20">
        <w:t>’</w:t>
      </w:r>
      <w:r>
        <w:t>emploi des Slovènes ont légèrement augmenté ces dernières années. En 2004, le taux d</w:t>
      </w:r>
      <w:r w:rsidR="00CE0D20">
        <w:t>’</w:t>
      </w:r>
      <w:r>
        <w:t>activité était en moyenne de 59% (52,5% pour les femmes et 65,9% pour les hommes), et le taux d</w:t>
      </w:r>
      <w:r w:rsidR="00CE0D20">
        <w:t>’</w:t>
      </w:r>
      <w:r>
        <w:t>emploi était en moyenne de 55,3% (48,9% pour les femmes et 62% pour les hommes). Chez les hommes comme chez les femmes, le taux d</w:t>
      </w:r>
      <w:r w:rsidR="00CE0D20">
        <w:t>’</w:t>
      </w:r>
      <w:r>
        <w:t>emploi est le plus élevé dans les tranches d</w:t>
      </w:r>
      <w:r w:rsidR="00CE0D20">
        <w:t>’</w:t>
      </w:r>
      <w:r>
        <w:t>âge situées entre 25 et 49 ans (86,3% chez les femmes et 84,3% pour les hommes, en 2004)</w:t>
      </w:r>
      <w:r w:rsidRPr="006A4785">
        <w:rPr>
          <w:rStyle w:val="FootnoteReference"/>
        </w:rPr>
        <w:footnoteReference w:customMarkFollows="1" w:id="44"/>
        <w:t>44</w:t>
      </w:r>
      <w:r>
        <w:t>.</w:t>
      </w:r>
    </w:p>
    <w:p w:rsidR="00164199" w:rsidRDefault="00164199" w:rsidP="001A0A96">
      <w:pPr>
        <w:pStyle w:val="SingleTxt"/>
      </w:pPr>
      <w:r>
        <w:t>128.</w:t>
      </w:r>
      <w:r>
        <w:tab/>
        <w:t>En 2004, les femmes représentaient 45, 9% des personnes exerçant un emploi (47,3% de salariées et 27,9% de travailleuses indépendantes)</w:t>
      </w:r>
      <w:r w:rsidRPr="006A4785">
        <w:rPr>
          <w:rStyle w:val="FootnoteReference"/>
        </w:rPr>
        <w:footnoteReference w:customMarkFollows="1" w:id="45"/>
        <w:t>45</w:t>
      </w:r>
      <w:r w:rsidR="00CE0D20" w:rsidRPr="006A4785">
        <w:rPr>
          <w:rStyle w:val="FootnoteReference"/>
        </w:rPr>
        <w:t>;</w:t>
      </w:r>
      <w:r>
        <w:t xml:space="preserve"> les femmes sont plus nombreuses en ce qui concerne le métier de domestique ou d</w:t>
      </w:r>
      <w:r w:rsidR="00CE0D20">
        <w:t>’</w:t>
      </w:r>
      <w:r>
        <w:t>aide familiale (elles représentent 58% des employés, dans ces métiers).</w:t>
      </w:r>
    </w:p>
    <w:p w:rsidR="00164199" w:rsidRDefault="00164199" w:rsidP="001A0A96">
      <w:pPr>
        <w:pStyle w:val="SingleTxt"/>
      </w:pPr>
      <w:r>
        <w:t>129.</w:t>
      </w:r>
      <w:r>
        <w:tab/>
        <w:t>La majorité des personnes exerçant un emploi le font à plein temps. En 2004, sur l</w:t>
      </w:r>
      <w:r w:rsidR="00CE0D20">
        <w:t>’</w:t>
      </w:r>
      <w:r>
        <w:t>ensemble des employés, on comptait 11% de femmes et 7,9% d</w:t>
      </w:r>
      <w:r w:rsidR="00CE0D20">
        <w:t>’</w:t>
      </w:r>
      <w:r>
        <w:t>hommes travaillant à temps partiel. Environ 22% des employés travaillent régulièrement le samedi, en plus des autres jours de la semaine, et 13% travaillent le dimanche (dont 44% de femmes). Ces dernières années, le taux d</w:t>
      </w:r>
      <w:r w:rsidR="00CE0D20">
        <w:t>’</w:t>
      </w:r>
      <w:r>
        <w:t>emploi temporaire a augmenté</w:t>
      </w:r>
      <w:r w:rsidR="00CE0D20">
        <w:t>;</w:t>
      </w:r>
      <w:r>
        <w:t xml:space="preserve"> il est légèrement supérieur chez les femmes. En 2003, sur l</w:t>
      </w:r>
      <w:r w:rsidR="00CE0D20">
        <w:t>’</w:t>
      </w:r>
      <w:r>
        <w:t>ensemble des employés, on comptait 14,9% de femmes et 12,7% d</w:t>
      </w:r>
      <w:r w:rsidR="00CE0D20">
        <w:t>’</w:t>
      </w:r>
      <w:r>
        <w:t>hommes travaillant en intérim. On note également, de manière fréquente, de nouvelles formes de travail : sur l</w:t>
      </w:r>
      <w:r w:rsidR="00CE0D20">
        <w:t>’</w:t>
      </w:r>
      <w:r>
        <w:t>ensemble des employés, on compte désormais 5,4% de personnes (6,1% de femmes et 4,8% d</w:t>
      </w:r>
      <w:r w:rsidR="00CE0D20">
        <w:t>’</w:t>
      </w:r>
      <w:r>
        <w:t xml:space="preserve">hommes) qui pratiquent le </w:t>
      </w:r>
      <w:r w:rsidR="000D2AA5">
        <w:t>« </w:t>
      </w:r>
      <w:r>
        <w:t>télétravail</w:t>
      </w:r>
      <w:r w:rsidR="00CE0D20">
        <w:t xml:space="preserve"> » – </w:t>
      </w:r>
      <w:r>
        <w:t>autrement dit, qui travaillent chez elles</w:t>
      </w:r>
      <w:r w:rsidRPr="006A4785">
        <w:rPr>
          <w:rStyle w:val="FootnoteReference"/>
        </w:rPr>
        <w:footnoteReference w:customMarkFollows="1" w:id="46"/>
        <w:t>46</w:t>
      </w:r>
      <w:r>
        <w:t>.</w:t>
      </w:r>
    </w:p>
    <w:p w:rsidR="00164199" w:rsidRDefault="00164199" w:rsidP="001A0A96">
      <w:pPr>
        <w:pStyle w:val="SingleTxt"/>
      </w:pPr>
      <w:r>
        <w:t>130.</w:t>
      </w:r>
      <w:r>
        <w:tab/>
        <w:t>Ces dernières années, on a observé une baisse constante du nombre de travailleurs indépendants – hommes comme femmes. En 2004, leur pourcentage par rapport à l</w:t>
      </w:r>
      <w:r w:rsidR="00CE0D20">
        <w:t>’</w:t>
      </w:r>
      <w:r>
        <w:t>ensemble de la population active était de 9,8% (dont 25% de femmes seulement). Sur l</w:t>
      </w:r>
      <w:r w:rsidR="00CE0D20">
        <w:t>’</w:t>
      </w:r>
      <w:r>
        <w:t>ensemble des employés, on comptait 5,7% d</w:t>
      </w:r>
      <w:r w:rsidR="00CE0D20">
        <w:t>’</w:t>
      </w:r>
      <w:r>
        <w:t>aides familiales (dont 60% de femmes)</w:t>
      </w:r>
      <w:r w:rsidRPr="006A4785">
        <w:rPr>
          <w:rStyle w:val="FootnoteReference"/>
        </w:rPr>
        <w:footnoteReference w:customMarkFollows="1" w:id="47"/>
        <w:t>47</w:t>
      </w:r>
      <w:r>
        <w:t xml:space="preserve">. </w:t>
      </w:r>
    </w:p>
    <w:p w:rsidR="00164199" w:rsidRDefault="00164199" w:rsidP="001A0A96">
      <w:pPr>
        <w:pStyle w:val="SingleTxt"/>
      </w:pPr>
      <w:r>
        <w:t>131.</w:t>
      </w:r>
      <w:r>
        <w:tab/>
        <w:t>Les analyses du marché du travail confirment l</w:t>
      </w:r>
      <w:r w:rsidR="00CE0D20">
        <w:t>’</w:t>
      </w:r>
      <w:r>
        <w:t>existence d</w:t>
      </w:r>
      <w:r w:rsidR="00CE0D20">
        <w:t>’</w:t>
      </w:r>
      <w:r>
        <w:t>une ségrégation à la fois horizontale et verticale fondée sur le sexe</w:t>
      </w:r>
      <w:r w:rsidRPr="006A4785">
        <w:rPr>
          <w:rStyle w:val="FootnoteReference"/>
        </w:rPr>
        <w:footnoteReference w:customMarkFollows="1" w:id="48"/>
        <w:t>48</w:t>
      </w:r>
      <w:r>
        <w:t>. Les chiffres de 2004 indiquent que le pourcentage de femmes aux postes supérieurs et les mieux rémunérés (cadres supérieurs, postes de direction et législateurs) n</w:t>
      </w:r>
      <w:r w:rsidR="00CE0D20">
        <w:t>’</w:t>
      </w:r>
      <w:r>
        <w:t>est que de 33,3%, alors qu</w:t>
      </w:r>
      <w:r w:rsidR="00CE0D20">
        <w:t>’</w:t>
      </w:r>
      <w:r>
        <w:t>en réalité, les femmes ont, en moyenne, un niveau d</w:t>
      </w:r>
      <w:r w:rsidR="00CE0D20">
        <w:t>’</w:t>
      </w:r>
      <w:r>
        <w:t>instruction plus élevé que les hommes. En ce qui concerne plus spécifiquement le type de métier, la représentation des femmes dépasse largement les 50% dans la fonction publique (65,3%), les services et la vente (63,8%), ainsi que dans les emplois spécialisés (60,2%)</w:t>
      </w:r>
      <w:r w:rsidR="00CE0D20">
        <w:t>;</w:t>
      </w:r>
      <w:r>
        <w:t xml:space="preserve"> en revanche, c</w:t>
      </w:r>
      <w:r w:rsidR="00CE0D20">
        <w:t>’</w:t>
      </w:r>
      <w:r>
        <w:t>est dans le secteur autre qu</w:t>
      </w:r>
      <w:r w:rsidR="00CE0D20">
        <w:t>’</w:t>
      </w:r>
      <w:r>
        <w:t>industriel que les femmes sont le moins représentées (8,2%)</w:t>
      </w:r>
      <w:r w:rsidRPr="006A4785">
        <w:rPr>
          <w:rStyle w:val="FootnoteReference"/>
        </w:rPr>
        <w:footnoteReference w:customMarkFollows="1" w:id="49"/>
        <w:t>49</w:t>
      </w:r>
      <w:r>
        <w:t>.</w:t>
      </w:r>
    </w:p>
    <w:p w:rsidR="00164199" w:rsidRDefault="00164199" w:rsidP="001A0A96">
      <w:pPr>
        <w:pStyle w:val="SingleTxt"/>
      </w:pPr>
      <w:r>
        <w:t>132.</w:t>
      </w:r>
      <w:r>
        <w:tab/>
        <w:t>Plus précisément encore, les femmes sont plus nombreuses dans le secteur des services (55,3%), et notamment dans les domaines de la santé, de l</w:t>
      </w:r>
      <w:r w:rsidR="00CE0D20">
        <w:t>’</w:t>
      </w:r>
      <w:r>
        <w:t>assistance sociale, de l</w:t>
      </w:r>
      <w:r w:rsidR="00CE0D20">
        <w:t>’</w:t>
      </w:r>
      <w:r>
        <w:t>éducation, de la médiation financière, de la restauration et du tourisme. Dans les métiers autres qu</w:t>
      </w:r>
      <w:r w:rsidR="00CE0D20">
        <w:t>’</w:t>
      </w:r>
      <w:r>
        <w:t>agricoles, les femmes représentent un tiers de la population salariée (le secteur du bâtiment étant celui qui emploie le moins de femmes)</w:t>
      </w:r>
      <w:r w:rsidRPr="006A4785">
        <w:rPr>
          <w:rStyle w:val="FootnoteReference"/>
        </w:rPr>
        <w:footnoteReference w:customMarkFollows="1" w:id="50"/>
        <w:t>50</w:t>
      </w:r>
      <w:r>
        <w:t>.</w:t>
      </w:r>
    </w:p>
    <w:p w:rsidR="00164199" w:rsidRDefault="00164199" w:rsidP="001A0A96">
      <w:pPr>
        <w:pStyle w:val="SingleTxt"/>
      </w:pPr>
      <w:r>
        <w:t>133.</w:t>
      </w:r>
      <w:r>
        <w:tab/>
        <w:t>Les chiffres de 2002 indiquent qu</w:t>
      </w:r>
      <w:r w:rsidR="00CE0D20">
        <w:t>’</w:t>
      </w:r>
      <w:r>
        <w:t>en moyenne, les femmes gagnent 9,5% de moins que les hommes à qualifications égales. En moyenne, et en fonction des différents types de compétences professionnelles, les femmes employées dans les entreprises gagnaient l</w:t>
      </w:r>
      <w:r w:rsidR="00CE0D20">
        <w:t>’</w:t>
      </w:r>
      <w:r>
        <w:t>équivalent de 90,5% du salaire global des hommes. Par rapport à 2000 – date à laquelle le salaire moyen des femmes était de 12,2% inférieur à celui des hommes -, l</w:t>
      </w:r>
      <w:r w:rsidR="00CE0D20">
        <w:t>’</w:t>
      </w:r>
      <w:r>
        <w:t>écart salarial a été réduit de 2,7%. En 2002, l</w:t>
      </w:r>
      <w:r w:rsidR="00CE0D20">
        <w:t>’</w:t>
      </w:r>
      <w:r>
        <w:t>écart salarial le plus important concernait les personnes ayant des qualifications professionnelles (il était de 23,7%) et le moins important concernait les titulaires d</w:t>
      </w:r>
      <w:r w:rsidR="00CE0D20">
        <w:t>’</w:t>
      </w:r>
      <w:r>
        <w:t xml:space="preserve">un </w:t>
      </w:r>
      <w:r w:rsidR="003158AC">
        <w:t xml:space="preserve">“ </w:t>
      </w:r>
      <w:r>
        <w:t>Doctorat</w:t>
      </w:r>
      <w:r w:rsidR="00CE0D20">
        <w:t> »</w:t>
      </w:r>
      <w:r>
        <w:t xml:space="preserve"> (7,8%)</w:t>
      </w:r>
      <w:r w:rsidRPr="006A4785">
        <w:rPr>
          <w:rStyle w:val="FootnoteReference"/>
        </w:rPr>
        <w:footnoteReference w:customMarkFollows="1" w:id="51"/>
        <w:t>51</w:t>
      </w:r>
      <w:r>
        <w:t>.</w:t>
      </w:r>
    </w:p>
    <w:p w:rsidR="009C26B5" w:rsidRPr="009C26B5" w:rsidRDefault="009C26B5" w:rsidP="009C26B5">
      <w:pPr>
        <w:pStyle w:val="SingleTxt"/>
        <w:spacing w:after="0" w:line="120" w:lineRule="exact"/>
        <w:rPr>
          <w:sz w:val="10"/>
        </w:rPr>
      </w:pPr>
    </w:p>
    <w:p w:rsidR="00164199" w:rsidRDefault="000D2AA5" w:rsidP="009C2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C26B5">
        <w:tab/>
      </w:r>
      <w:r w:rsidR="009C26B5">
        <w:tab/>
      </w:r>
      <w:r w:rsidR="00164199">
        <w:t>Le chômage</w:t>
      </w:r>
    </w:p>
    <w:p w:rsidR="009C26B5" w:rsidRPr="009C26B5" w:rsidRDefault="009C26B5" w:rsidP="009C26B5">
      <w:pPr>
        <w:pStyle w:val="SingleTxt"/>
        <w:spacing w:after="0" w:line="120" w:lineRule="exact"/>
        <w:rPr>
          <w:sz w:val="10"/>
        </w:rPr>
      </w:pPr>
    </w:p>
    <w:p w:rsidR="00164199" w:rsidRDefault="00164199" w:rsidP="001A0A96">
      <w:pPr>
        <w:pStyle w:val="SingleTxt"/>
      </w:pPr>
      <w:r w:rsidRPr="00E054B6">
        <w:t>134.</w:t>
      </w:r>
      <w:r>
        <w:tab/>
        <w:t>Depuis 2004, on note un recul assez net du chômage</w:t>
      </w:r>
      <w:r w:rsidR="00CE0D20">
        <w:t>;</w:t>
      </w:r>
      <w:r>
        <w:t xml:space="preserve"> toutefois, le chômage des femmes a augmenté ces dernières années : en 2004, il était de 53,1%. La restructuration de certains secteurs industriels tels que le textile, le cuir et la chaussure a touché essentiellement les femmes, qui y représentent la majorité des salariés.</w:t>
      </w:r>
    </w:p>
    <w:p w:rsidR="00164199" w:rsidRDefault="00164199" w:rsidP="001A0A96">
      <w:pPr>
        <w:pStyle w:val="SingleTxt"/>
      </w:pPr>
      <w:r>
        <w:t>135.</w:t>
      </w:r>
      <w:r>
        <w:tab/>
        <w:t>En 2004, le taux de chômage théorique (d</w:t>
      </w:r>
      <w:r w:rsidR="00CE0D20">
        <w:t>’</w:t>
      </w:r>
      <w:r>
        <w:t>après les études statistiques) était de 6,4% chez les femmes et de 5,7% chez les hommes</w:t>
      </w:r>
      <w:r w:rsidR="00CE0D20">
        <w:t>;</w:t>
      </w:r>
      <w:r>
        <w:t xml:space="preserve"> mais le taux de chômage réel était de 12,4% chez les femmes et de 9,1% chez les hommes. Dans ce domaine, l</w:t>
      </w:r>
      <w:r w:rsidR="00CE0D20">
        <w:t>’</w:t>
      </w:r>
      <w:r>
        <w:t>écart principal entre les deux sexes se situait chez les jeunes gens âgés de 15 à 24 ans : en effet, en 2004, le taux de chômage des jeunes femmes (18%) dépassait de près de 7 points celui des hommes (11,2%)</w:t>
      </w:r>
      <w:r w:rsidR="00CE0D20">
        <w:t>;</w:t>
      </w:r>
      <w:r>
        <w:t xml:space="preserve"> et, parmi les demandeurs d</w:t>
      </w:r>
      <w:r w:rsidR="00CE0D20">
        <w:t>’</w:t>
      </w:r>
      <w:r>
        <w:t>emploi inscrits au chômage et les personnes recherchant un premier emploi et ayant un niveau d</w:t>
      </w:r>
      <w:r w:rsidR="00CE0D20">
        <w:t>’</w:t>
      </w:r>
      <w:r>
        <w:t>études élevé, le pourcentage de femmes était de 75%. Le recul global du chômage était dû également à une baisse du nombre de chômeurs de longue durée. Au cours de la période 2004-2005, le nombre de personnes au chômage depuis plus d</w:t>
      </w:r>
      <w:r w:rsidR="00CE0D20">
        <w:t>’</w:t>
      </w:r>
      <w:r>
        <w:t>un an a baissé de 16,7%. En revanche, le pourcentage de chômeuses de longue durée a augmenté de 2,8% entre 2000 et 2004 (passant de 51,3% à 54,1%)</w:t>
      </w:r>
      <w:r w:rsidRPr="006A4785">
        <w:rPr>
          <w:rStyle w:val="FootnoteReference"/>
        </w:rPr>
        <w:footnoteReference w:customMarkFollows="1" w:id="52"/>
        <w:t>52</w:t>
      </w:r>
      <w:r>
        <w:t>.</w:t>
      </w:r>
    </w:p>
    <w:p w:rsidR="00164199" w:rsidRDefault="00164199" w:rsidP="001A0A96">
      <w:pPr>
        <w:pStyle w:val="SingleTxt"/>
      </w:pPr>
      <w:r>
        <w:t>136.</w:t>
      </w:r>
      <w:r>
        <w:tab/>
        <w:t>Le niveau d</w:t>
      </w:r>
      <w:r w:rsidR="00CE0D20">
        <w:t>’</w:t>
      </w:r>
      <w:r>
        <w:t>instruction est l</w:t>
      </w:r>
      <w:r w:rsidR="00CE0D20">
        <w:t>’</w:t>
      </w:r>
      <w:r>
        <w:t>un des facteurs qui influent sur les possibilités d</w:t>
      </w:r>
      <w:r w:rsidR="00CE0D20">
        <w:t>’</w:t>
      </w:r>
      <w:r>
        <w:t>emploi. Les chômeurs ayant un niveau d</w:t>
      </w:r>
      <w:r w:rsidR="00CE0D20">
        <w:t>’</w:t>
      </w:r>
      <w:r>
        <w:t>instruction élevé ont généralement plus de facilité à trouver un emploi –bien que, ces dernières années, la situation ait évolué du fait de l</w:t>
      </w:r>
      <w:r w:rsidR="00CE0D20">
        <w:t>’</w:t>
      </w:r>
      <w:r>
        <w:t>influx croissant de jeunes diplômés sur le marché du travail. Le type d</w:t>
      </w:r>
      <w:r w:rsidR="00CE0D20">
        <w:t>’</w:t>
      </w:r>
      <w:r>
        <w:t>études suivies prend de plus en plus d</w:t>
      </w:r>
      <w:r w:rsidR="00CE0D20">
        <w:t>’</w:t>
      </w:r>
      <w:r>
        <w:t>importance, et les employeurs exigent fréquemment une expérience professionnelle. Les personnes officiellement inscrites au chômage ont, pour la plupart, un faible niveau d</w:t>
      </w:r>
      <w:r w:rsidR="00CE0D20">
        <w:t>’</w:t>
      </w:r>
      <w:r>
        <w:t>instruction, ou ont été formées dans un domaine où il n</w:t>
      </w:r>
      <w:r w:rsidR="00CE0D20">
        <w:t>’</w:t>
      </w:r>
      <w:r>
        <w:t>y a aucune demande sur le marché. Plus d</w:t>
      </w:r>
      <w:r w:rsidR="00CE0D20">
        <w:t>’</w:t>
      </w:r>
      <w:r>
        <w:t>un tiers des chômeurs n</w:t>
      </w:r>
      <w:r w:rsidR="00CE0D20">
        <w:t>’</w:t>
      </w:r>
      <w:r>
        <w:t>ont pas même achevé leur scolarité primaire (et, en 2004, les femmes représentaient environ 50% de cette catégorie). En ce qui concerne les femmes au chômage, les catégories les plus importantes sont, d</w:t>
      </w:r>
      <w:r w:rsidR="00CE0D20">
        <w:t>’</w:t>
      </w:r>
      <w:r>
        <w:t>une part, les femmes ayant un niveau d</w:t>
      </w:r>
      <w:r w:rsidR="00CE0D20">
        <w:t>’</w:t>
      </w:r>
      <w:r>
        <w:t>études élevé (63,6%), et, de l</w:t>
      </w:r>
      <w:r w:rsidR="00CE0D20">
        <w:t>’</w:t>
      </w:r>
      <w:r>
        <w:t>autre, les femmes très peu instruites (63,3%)</w:t>
      </w:r>
      <w:r w:rsidRPr="006A4785">
        <w:rPr>
          <w:rStyle w:val="FootnoteReference"/>
        </w:rPr>
        <w:footnoteReference w:customMarkFollows="1" w:id="53"/>
        <w:t>53</w:t>
      </w:r>
      <w:r>
        <w:t>.</w:t>
      </w:r>
    </w:p>
    <w:p w:rsidR="00164199" w:rsidRDefault="00164199" w:rsidP="001A0A96">
      <w:pPr>
        <w:pStyle w:val="SingleTxt"/>
      </w:pPr>
      <w:r>
        <w:t>137.</w:t>
      </w:r>
      <w:r>
        <w:tab/>
        <w:t>Les chiffres concernant les tranches d</w:t>
      </w:r>
      <w:r w:rsidR="00CE0D20">
        <w:t>’</w:t>
      </w:r>
      <w:r>
        <w:t>âge touchées par le chômage indiquent un taux de chômage croissant, chaque année, chez les jeunes. Fin 2002, le taux de chômage était le plus élevé pour la tranche d</w:t>
      </w:r>
      <w:r w:rsidR="00CE0D20">
        <w:t>’</w:t>
      </w:r>
      <w:r>
        <w:t>âge 40-50 ans (ce taux était alors de 23,5%)</w:t>
      </w:r>
      <w:r w:rsidR="00CE0D20">
        <w:t>;</w:t>
      </w:r>
      <w:r>
        <w:t xml:space="preserve"> mais, en 2004, la tendance s</w:t>
      </w:r>
      <w:r w:rsidR="00CE0D20">
        <w:t>’</w:t>
      </w:r>
      <w:r>
        <w:t>est inversée, et c</w:t>
      </w:r>
      <w:r w:rsidR="00CE0D20">
        <w:t>’</w:t>
      </w:r>
      <w:r>
        <w:t>est parmi les jeunes gens de 18 à 25 ans que l</w:t>
      </w:r>
      <w:r w:rsidR="00CE0D20">
        <w:t>’</w:t>
      </w:r>
      <w:r>
        <w:t>on a observé le taux de chômage le plus important (22,5%). Parmi les chômeurs, les femmes sont les plus nombreuses dans la catégorie qui suit directement la tranche d</w:t>
      </w:r>
      <w:r w:rsidR="00CE0D20">
        <w:t>’</w:t>
      </w:r>
      <w:r>
        <w:t>âge des 25-30 ans, et, également, au-delà de 35-40 ans</w:t>
      </w:r>
      <w:r w:rsidRPr="006A4785">
        <w:rPr>
          <w:rStyle w:val="FootnoteReference"/>
        </w:rPr>
        <w:footnoteReference w:customMarkFollows="1" w:id="54"/>
        <w:t>54</w:t>
      </w:r>
      <w:r>
        <w:t>.</w:t>
      </w:r>
    </w:p>
    <w:p w:rsidR="009C26B5" w:rsidRPr="009C26B5" w:rsidRDefault="009C26B5" w:rsidP="009C26B5">
      <w:pPr>
        <w:pStyle w:val="SingleTxt"/>
        <w:spacing w:after="0" w:line="120" w:lineRule="exact"/>
        <w:rPr>
          <w:sz w:val="10"/>
        </w:rPr>
      </w:pPr>
    </w:p>
    <w:p w:rsidR="00164199" w:rsidRDefault="009C26B5" w:rsidP="009C2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Mesures visant à instaurer l</w:t>
      </w:r>
      <w:r w:rsidR="00CE0D20">
        <w:t>’</w:t>
      </w:r>
      <w:r w:rsidR="00164199">
        <w:t>égalité entre les sexes sur le marché du travail et dans le secteur de l</w:t>
      </w:r>
      <w:r w:rsidR="00CE0D20">
        <w:t>’</w:t>
      </w:r>
      <w:r w:rsidR="00164199">
        <w:t>emploi en général</w:t>
      </w:r>
    </w:p>
    <w:p w:rsidR="009C26B5" w:rsidRPr="009C26B5" w:rsidRDefault="009C26B5" w:rsidP="009C26B5">
      <w:pPr>
        <w:pStyle w:val="SingleTxt"/>
        <w:spacing w:after="0" w:line="120" w:lineRule="exact"/>
        <w:rPr>
          <w:sz w:val="10"/>
        </w:rPr>
      </w:pPr>
    </w:p>
    <w:p w:rsidR="00164199" w:rsidRDefault="00164199" w:rsidP="001A0A96">
      <w:pPr>
        <w:pStyle w:val="SingleTxt"/>
      </w:pPr>
      <w:r w:rsidRPr="007145A5">
        <w:t>138.</w:t>
      </w:r>
      <w:r>
        <w:tab/>
        <w:t xml:space="preserve">Le Troisième Rapport de la Slovénie avait déjà présenté le </w:t>
      </w:r>
      <w:r>
        <w:rPr>
          <w:i/>
          <w:iCs/>
        </w:rPr>
        <w:t>Programme national relatif au développement du marché du travail et de l</w:t>
      </w:r>
      <w:r w:rsidR="00CE0D20">
        <w:rPr>
          <w:i/>
          <w:iCs/>
        </w:rPr>
        <w:t>’</w:t>
      </w:r>
      <w:r>
        <w:rPr>
          <w:i/>
          <w:iCs/>
        </w:rPr>
        <w:t>emploi jusqu</w:t>
      </w:r>
      <w:r w:rsidR="00CE0D20">
        <w:rPr>
          <w:i/>
          <w:iCs/>
        </w:rPr>
        <w:t>’</w:t>
      </w:r>
      <w:r>
        <w:rPr>
          <w:i/>
          <w:iCs/>
        </w:rPr>
        <w:t>en 2006</w:t>
      </w:r>
      <w:r>
        <w:t>, ainsi que les mesures adoptées dans le cadre de ce programme, et qui visaient à garantir l</w:t>
      </w:r>
      <w:r w:rsidR="00CE0D20">
        <w:t>’</w:t>
      </w:r>
      <w:r>
        <w:t>égalité des chances des femmes et des hommes sur le marché du travail, ainsi qu</w:t>
      </w:r>
      <w:r w:rsidR="00CE0D20">
        <w:t>’</w:t>
      </w:r>
      <w:r>
        <w:t xml:space="preserve">à permettre de concilier vie professionnelle et vie familiale. Les mesures définies dans ce Programme national sont mises en œuvre dans le cadre de </w:t>
      </w:r>
      <w:r w:rsidR="003158AC">
        <w:t xml:space="preserve">“ </w:t>
      </w:r>
      <w:r>
        <w:t>plans d</w:t>
      </w:r>
      <w:r w:rsidR="00CE0D20">
        <w:t>’</w:t>
      </w:r>
      <w:r>
        <w:t>action</w:t>
      </w:r>
      <w:r w:rsidR="00CE0D20">
        <w:t> »</w:t>
      </w:r>
      <w:r>
        <w:t xml:space="preserve"> pour l</w:t>
      </w:r>
      <w:r w:rsidR="00CE0D20">
        <w:t>’</w:t>
      </w:r>
      <w:r>
        <w:t>emploi et de politiques actives de l</w:t>
      </w:r>
      <w:r w:rsidR="00CE0D20">
        <w:t>’</w:t>
      </w:r>
      <w:r>
        <w:t>emploi, élaborés chaque année. Depuis 2004, toutes les politiques actives de l</w:t>
      </w:r>
      <w:r w:rsidR="00CE0D20">
        <w:t>’</w:t>
      </w:r>
      <w:r>
        <w:t>emploi intègrent la dimension égalité hommes/femmes de manière horizontale. En d</w:t>
      </w:r>
      <w:r w:rsidR="00CE0D20">
        <w:t>’</w:t>
      </w:r>
      <w:r>
        <w:t>autres termes, chaque mesure doit prévoir un pourcentage donné de femmes – les femmes étant l</w:t>
      </w:r>
      <w:r w:rsidR="00CE0D20">
        <w:t>’</w:t>
      </w:r>
      <w:r>
        <w:t>un des groupes-cibles fondamentaux permettant d</w:t>
      </w:r>
      <w:r w:rsidR="00CE0D20">
        <w:t>’</w:t>
      </w:r>
      <w:r>
        <w:t>évaluer la réussite et l</w:t>
      </w:r>
      <w:r w:rsidR="00CE0D20">
        <w:t>’</w:t>
      </w:r>
      <w:r>
        <w:t>efficacité des mesures en question. En outre, les femmes sont considérées comme faisant partie des groupes pour lesquels l</w:t>
      </w:r>
      <w:r w:rsidR="00CE0D20">
        <w:t>’</w:t>
      </w:r>
      <w:r>
        <w:t>obtention d</w:t>
      </w:r>
      <w:r w:rsidR="00CE0D20">
        <w:t>’</w:t>
      </w:r>
      <w:r>
        <w:t>un emploi est particulièrement difficile, et auxquels on accorde également une attention toute particulière.</w:t>
      </w:r>
    </w:p>
    <w:p w:rsidR="00164199" w:rsidRDefault="00164199" w:rsidP="001A0A96">
      <w:pPr>
        <w:pStyle w:val="SingleTxt"/>
      </w:pPr>
      <w:r>
        <w:t>139.</w:t>
      </w:r>
      <w:r>
        <w:tab/>
        <w:t>Le rapport sur la mise en œuvre des politiques actives de l</w:t>
      </w:r>
      <w:r w:rsidR="00CE0D20">
        <w:t>’</w:t>
      </w:r>
      <w:r>
        <w:t>emploi pour 2003 indique que 50% de femmes au moins ont été prises en compte dans l</w:t>
      </w:r>
      <w:r w:rsidR="00CE0D20">
        <w:t>’</w:t>
      </w:r>
      <w:r>
        <w:t>ensemble des mesures en question</w:t>
      </w:r>
      <w:r w:rsidR="00CE0D20">
        <w:t>;</w:t>
      </w:r>
      <w:r>
        <w:t xml:space="preserve"> quant au groupe de femmes le plus important (66%), c</w:t>
      </w:r>
      <w:r w:rsidR="00CE0D20">
        <w:t>’</w:t>
      </w:r>
      <w:r>
        <w:t>est celui pris en compte dans le programme de promotion du temps partiel</w:t>
      </w:r>
      <w:r w:rsidRPr="006A4785">
        <w:rPr>
          <w:rStyle w:val="FootnoteReference"/>
        </w:rPr>
        <w:footnoteReference w:customMarkFollows="1" w:id="55"/>
        <w:t>55</w:t>
      </w:r>
      <w:r>
        <w:t>. Puis l</w:t>
      </w:r>
      <w:r w:rsidR="00CE0D20">
        <w:t>’</w:t>
      </w:r>
      <w:r>
        <w:t>évaluation des effets de l</w:t>
      </w:r>
      <w:r w:rsidR="00CE0D20">
        <w:t>’</w:t>
      </w:r>
      <w:r>
        <w:t>application du même type de politiques actives en 2004 a indiqué une baisse du chômage, dans l</w:t>
      </w:r>
      <w:r w:rsidR="00CE0D20">
        <w:t>’</w:t>
      </w:r>
      <w:r>
        <w:t>ensemble – même si le taux de chômage augmentait, au contraire, parmi les femmes (il est passé de 52,4% en 2003 à 52,7% en 2004), et les personnes recherchant un premier emploi (pour cette catégorie, le taux de chômage est passé de 25,5% en 2003 à 26% en 2004)</w:t>
      </w:r>
      <w:r w:rsidRPr="006A4785">
        <w:rPr>
          <w:rStyle w:val="FootnoteReference"/>
        </w:rPr>
        <w:footnoteReference w:customMarkFollows="1" w:id="56"/>
        <w:t>56</w:t>
      </w:r>
      <w:r>
        <w:t>. En 2005, les politiques actives de l</w:t>
      </w:r>
      <w:r w:rsidR="00CE0D20">
        <w:t>’</w:t>
      </w:r>
      <w:r>
        <w:t>emploi ont prioritairement instauré un quota de 50% de femmes en ce qui concerne le contenu de toutes les mesures et activités prévues, et incité les femmes à exercer une activité indépendante.</w:t>
      </w:r>
    </w:p>
    <w:p w:rsidR="00164199" w:rsidRDefault="00164199" w:rsidP="001A0A96">
      <w:pPr>
        <w:pStyle w:val="SingleTxt"/>
      </w:pPr>
      <w:r>
        <w:t>140.</w:t>
      </w:r>
      <w:r>
        <w:tab/>
        <w:t>Pour la période 2004-2006, l</w:t>
      </w:r>
      <w:r w:rsidR="00CE0D20">
        <w:t>’</w:t>
      </w:r>
      <w:r>
        <w:t>adhésion de la Slovénie à l</w:t>
      </w:r>
      <w:r w:rsidR="00CE0D20">
        <w:t>’</w:t>
      </w:r>
      <w:r>
        <w:t>Union européenne en tant que membre à part entière a permis à notre pays de bénéficier des Fonds structurels européens. Le Programme global et unique de la République de Slovénie pour cette période 2004-2006 prévoit des mesures et activités cofinancées par ces fonds structurels européens. Ce programme prévoit notamment l</w:t>
      </w:r>
      <w:r w:rsidR="00CE0D20">
        <w:t>’</w:t>
      </w:r>
      <w:r>
        <w:t xml:space="preserve">égalité des chances en tant que priorité </w:t>
      </w:r>
      <w:r w:rsidR="003158AC">
        <w:t xml:space="preserve">“ </w:t>
      </w:r>
      <w:r>
        <w:t>horizontale</w:t>
      </w:r>
      <w:r w:rsidR="00CE0D20">
        <w:t> »</w:t>
      </w:r>
      <w:r>
        <w:t>. Le principe d</w:t>
      </w:r>
      <w:r w:rsidR="00CE0D20">
        <w:t>’</w:t>
      </w:r>
      <w:r>
        <w:t>égalité entre les femmes et les hommes doit être pris en compte dans le cadre de toutes les mesures et activités du nouveau Programme en question – c</w:t>
      </w:r>
      <w:r w:rsidR="00CE0D20">
        <w:t>’</w:t>
      </w:r>
      <w:r>
        <w:t>est-à-dire aussi bien au niveau de la conception que de l</w:t>
      </w:r>
      <w:r w:rsidR="00CE0D20">
        <w:t>’</w:t>
      </w:r>
      <w:r>
        <w:t>application et du suivi. Conformément à cet engagement de la Slovénie de mettre en œuvre une politique horizontale d</w:t>
      </w:r>
      <w:r w:rsidR="00CE0D20">
        <w:t>’</w:t>
      </w:r>
      <w:r>
        <w:t>égalité des chances – telle qu</w:t>
      </w:r>
      <w:r w:rsidR="00CE0D20">
        <w:t>’</w:t>
      </w:r>
      <w:r>
        <w:t>elle a été définie dans le Programme-cadre -, le ministère du Travail, de la Famille et des Affaires sociales a formulé des principes directeurs visant à l</w:t>
      </w:r>
      <w:r w:rsidR="00CE0D20">
        <w:t>’</w:t>
      </w:r>
      <w:r>
        <w:t>égalité dans le contexte de l</w:t>
      </w:r>
      <w:r w:rsidR="00CE0D20">
        <w:t>’</w:t>
      </w:r>
      <w:r>
        <w:t xml:space="preserve">utilisation des fonds structurels européens. </w:t>
      </w:r>
    </w:p>
    <w:p w:rsidR="00164199" w:rsidRDefault="00164199" w:rsidP="001A0A96">
      <w:pPr>
        <w:pStyle w:val="SingleTxt"/>
      </w:pPr>
      <w:r>
        <w:t>141.</w:t>
      </w:r>
      <w:r>
        <w:tab/>
        <w:t>Par ailleurs, une partie des crédits accordés à la Slovénie dans le cadre du Fonds social européen est consacrée à la mise en œuvre des programmes prévus par l</w:t>
      </w:r>
      <w:r w:rsidR="00CE0D20">
        <w:t>’</w:t>
      </w:r>
      <w:r>
        <w:t>Initiative de l</w:t>
      </w:r>
      <w:r w:rsidR="00CE0D20">
        <w:t>’</w:t>
      </w:r>
      <w:r>
        <w:t xml:space="preserve">Union européenne </w:t>
      </w:r>
      <w:r w:rsidR="003158AC">
        <w:t xml:space="preserve">“ </w:t>
      </w:r>
      <w:r>
        <w:t>EQUAL</w:t>
      </w:r>
      <w:r w:rsidR="00CE0D20">
        <w:t> »</w:t>
      </w:r>
      <w:r>
        <w:t xml:space="preserve"> pour la période 2004-2006 – initiative visant à l</w:t>
      </w:r>
      <w:r w:rsidR="00CE0D20">
        <w:t>’</w:t>
      </w:r>
      <w:r>
        <w:t>élimination de différentes formes de discrimination (y compris la discrimination multiple, qui peut être fondée tout à la fois sur l</w:t>
      </w:r>
      <w:r w:rsidR="00CE0D20">
        <w:t>’</w:t>
      </w:r>
      <w:r>
        <w:t>origine ethnique et le sexe des personnes, entre autres facteurs). La dimension de l</w:t>
      </w:r>
      <w:r w:rsidR="00CE0D20">
        <w:t>’</w:t>
      </w:r>
      <w:r>
        <w:t>égalité entre les femmes et les hommes – inscrite dans le cadre d</w:t>
      </w:r>
      <w:r w:rsidR="00CE0D20">
        <w:t>’</w:t>
      </w:r>
      <w:r>
        <w:t xml:space="preserve">une politique ou stratégie dite </w:t>
      </w:r>
      <w:r w:rsidR="003158AC">
        <w:t xml:space="preserve">“ </w:t>
      </w:r>
      <w:r>
        <w:t>horizontale</w:t>
      </w:r>
      <w:r w:rsidR="00CE0D20">
        <w:t xml:space="preserve"> » – </w:t>
      </w:r>
      <w:r>
        <w:t>doit être intégrée à ce programme, qui s</w:t>
      </w:r>
      <w:r w:rsidR="00CE0D20">
        <w:t>’</w:t>
      </w:r>
      <w:r>
        <w:t>inscrit lui-même dans le cadre de l</w:t>
      </w:r>
      <w:r w:rsidR="00CE0D20">
        <w:t>’</w:t>
      </w:r>
      <w:r>
        <w:t xml:space="preserve">initiative </w:t>
      </w:r>
      <w:r w:rsidR="003158AC">
        <w:t xml:space="preserve">“ </w:t>
      </w:r>
      <w:r>
        <w:t>EGAUX</w:t>
      </w:r>
      <w:r w:rsidR="00CE0D20">
        <w:t> »</w:t>
      </w:r>
      <w:r>
        <w:t xml:space="preserve">. Dans ce cadre, deux </w:t>
      </w:r>
      <w:r w:rsidR="003158AC">
        <w:t xml:space="preserve">“ </w:t>
      </w:r>
      <w:r>
        <w:t>thématiques</w:t>
      </w:r>
      <w:r w:rsidR="00CE0D20">
        <w:t> »</w:t>
      </w:r>
      <w:r>
        <w:t xml:space="preserve"> concernent exclusivement le fait de garantir l</w:t>
      </w:r>
      <w:r w:rsidR="00CE0D20">
        <w:t>’</w:t>
      </w:r>
      <w:r>
        <w:t>égalité des chances hommes/femmes :</w:t>
      </w:r>
    </w:p>
    <w:p w:rsidR="00164199" w:rsidRDefault="009C26B5" w:rsidP="001A0A96">
      <w:pPr>
        <w:pStyle w:val="SingleTxt"/>
      </w:pPr>
      <w:r>
        <w:t>–</w:t>
      </w:r>
      <w:r w:rsidR="00164199">
        <w:tab/>
        <w:t xml:space="preserve">la </w:t>
      </w:r>
      <w:r>
        <w:t>« </w:t>
      </w:r>
      <w:r w:rsidR="00164199">
        <w:t>Thématique N</w:t>
      </w:r>
      <w:r w:rsidR="00164199" w:rsidRPr="00CE0D20">
        <w:rPr>
          <w:vertAlign w:val="superscript"/>
        </w:rPr>
        <w:t>o</w:t>
      </w:r>
      <w:r w:rsidR="00CE0D20">
        <w:rPr>
          <w:vertAlign w:val="superscript"/>
        </w:rPr>
        <w:t> </w:t>
      </w:r>
      <w:r w:rsidR="00164199">
        <w:t>7</w:t>
      </w:r>
      <w:r w:rsidR="00CE0D20">
        <w:t> »</w:t>
      </w:r>
      <w:r w:rsidR="00164199">
        <w:t>, qui concerne la conciliation entre vie familiale et vie professionnelle, ainsi que la réinsertion, sur le marché du travail, des hommes et des femmes qui en étaient sortis – et ce, par la conception de formes plus souples et plus efficaces d</w:t>
      </w:r>
      <w:r w:rsidR="00CE0D20">
        <w:t>’</w:t>
      </w:r>
      <w:r w:rsidR="00164199">
        <w:t xml:space="preserve">organisation du </w:t>
      </w:r>
      <w:r w:rsidR="00164199">
        <w:tab/>
        <w:t>travail et de services de soutien</w:t>
      </w:r>
      <w:r w:rsidR="00CE0D20">
        <w:t>;</w:t>
      </w:r>
    </w:p>
    <w:p w:rsidR="00164199" w:rsidRDefault="009C26B5" w:rsidP="001A0A96">
      <w:pPr>
        <w:pStyle w:val="SingleTxt"/>
      </w:pPr>
      <w:r>
        <w:t>–</w:t>
      </w:r>
      <w:r w:rsidR="00164199">
        <w:tab/>
        <w:t xml:space="preserve">la </w:t>
      </w:r>
      <w:r>
        <w:t>« </w:t>
      </w:r>
      <w:r w:rsidR="00164199">
        <w:t>Thématique</w:t>
      </w:r>
      <w:r w:rsidR="00CE0D20">
        <w:t> »</w:t>
      </w:r>
      <w:r w:rsidR="00164199">
        <w:t xml:space="preserve"> N</w:t>
      </w:r>
      <w:r w:rsidR="00164199" w:rsidRPr="00CE0D20">
        <w:rPr>
          <w:vertAlign w:val="superscript"/>
        </w:rPr>
        <w:t>o</w:t>
      </w:r>
      <w:r w:rsidR="00CE0D20">
        <w:rPr>
          <w:vertAlign w:val="superscript"/>
        </w:rPr>
        <w:t> </w:t>
      </w:r>
      <w:r w:rsidR="00164199">
        <w:t>8</w:t>
      </w:r>
      <w:r w:rsidR="00CE0D20">
        <w:t> »</w:t>
      </w:r>
      <w:r w:rsidR="00164199">
        <w:t>, qui concerne la réduction de l</w:t>
      </w:r>
      <w:r w:rsidR="00CE0D20">
        <w:t>’</w:t>
      </w:r>
      <w:r w:rsidR="00164199">
        <w:t xml:space="preserve">écart entre les hommes et les femmes et le soutien à une politique de </w:t>
      </w:r>
      <w:r>
        <w:t>« </w:t>
      </w:r>
      <w:r w:rsidR="00164199">
        <w:t>non ségrégation</w:t>
      </w:r>
      <w:r w:rsidR="00CE0D20">
        <w:t> »</w:t>
      </w:r>
      <w:r w:rsidR="00164199">
        <w:t xml:space="preserve"> dans le travail. </w:t>
      </w:r>
    </w:p>
    <w:p w:rsidR="00164199" w:rsidRDefault="00164199" w:rsidP="001A0A96">
      <w:pPr>
        <w:pStyle w:val="SingleTxt"/>
      </w:pPr>
      <w:r>
        <w:t xml:space="preserve">En ce qui concerne la période 2004-2008, la Slovénie va se concentrer sur la </w:t>
      </w:r>
      <w:r w:rsidR="000D2AA5">
        <w:t>« </w:t>
      </w:r>
      <w:r>
        <w:t>Thématique N</w:t>
      </w:r>
      <w:r w:rsidRPr="00CE0D20">
        <w:rPr>
          <w:vertAlign w:val="superscript"/>
        </w:rPr>
        <w:t>o</w:t>
      </w:r>
      <w:r w:rsidR="00CE0D20">
        <w:rPr>
          <w:vertAlign w:val="superscript"/>
        </w:rPr>
        <w:t> </w:t>
      </w:r>
      <w:r>
        <w:t>8</w:t>
      </w:r>
      <w:r w:rsidR="00CE0D20">
        <w:t> »</w:t>
      </w:r>
      <w:r>
        <w:t>, c</w:t>
      </w:r>
      <w:r w:rsidR="00CE0D20">
        <w:t>’</w:t>
      </w:r>
      <w:r>
        <w:t>est-à-dire sur des mesures et activités de lutte contre la discrimination dans l</w:t>
      </w:r>
      <w:r w:rsidR="00CE0D20">
        <w:t>’</w:t>
      </w:r>
      <w:r>
        <w:t>emploi, et de promotion de la présence des femmes sur le marché du travail.</w:t>
      </w:r>
    </w:p>
    <w:p w:rsidR="00164199" w:rsidRDefault="00164199" w:rsidP="001A0A96">
      <w:pPr>
        <w:pStyle w:val="SingleTxt"/>
      </w:pPr>
      <w:r w:rsidRPr="007A6F57">
        <w:t>142.</w:t>
      </w:r>
      <w:r>
        <w:tab/>
        <w:t>Dans le cadre de l</w:t>
      </w:r>
      <w:r w:rsidR="00CE0D20">
        <w:t>’</w:t>
      </w:r>
      <w:r>
        <w:rPr>
          <w:i/>
          <w:iCs/>
        </w:rPr>
        <w:t>Accord social pour la période 2003-2005,</w:t>
      </w:r>
      <w:r>
        <w:t xml:space="preserve"> la question de l</w:t>
      </w:r>
      <w:r w:rsidR="00CE0D20">
        <w:t>’</w:t>
      </w:r>
      <w:r>
        <w:t>égalité des chances a été tout particulièrement retenue en ce qui concerne la mission des partenaires sociaux. Cette garantie du principe d</w:t>
      </w:r>
      <w:r w:rsidR="00CE0D20">
        <w:t>’</w:t>
      </w:r>
      <w:r>
        <w:t xml:space="preserve">égalité des chances et le respect des différences font également partie intégrante du projet </w:t>
      </w:r>
      <w:r w:rsidRPr="00DF2488">
        <w:rPr>
          <w:i/>
          <w:iCs/>
        </w:rPr>
        <w:t>d</w:t>
      </w:r>
      <w:r w:rsidR="00CE0D20">
        <w:rPr>
          <w:i/>
          <w:iCs/>
        </w:rPr>
        <w:t>’</w:t>
      </w:r>
      <w:r>
        <w:rPr>
          <w:i/>
          <w:iCs/>
        </w:rPr>
        <w:t>Accord social pour la période 2006-2008</w:t>
      </w:r>
      <w:r>
        <w:t>. En ce qui concerne ce principe d</w:t>
      </w:r>
      <w:r w:rsidR="00CE0D20">
        <w:t>’</w:t>
      </w:r>
      <w:r>
        <w:t>égalité des chances, l</w:t>
      </w:r>
      <w:r w:rsidR="00CE0D20">
        <w:t>’</w:t>
      </w:r>
      <w:r>
        <w:t>Accord social de 2003-2005 et le projet d</w:t>
      </w:r>
      <w:r w:rsidR="00CE0D20">
        <w:t>’</w:t>
      </w:r>
      <w:r>
        <w:t>Accord pour 2006-2008 envisagent la mission du gouvernement de la manière suivante:</w:t>
      </w:r>
    </w:p>
    <w:p w:rsidR="00164199" w:rsidRDefault="009C26B5" w:rsidP="001A0A96">
      <w:pPr>
        <w:pStyle w:val="SingleTxt"/>
      </w:pPr>
      <w:r>
        <w:t>–</w:t>
      </w:r>
      <w:r w:rsidR="00164199">
        <w:tab/>
        <w:t>garantir l</w:t>
      </w:r>
      <w:r w:rsidR="00CE0D20">
        <w:t>’</w:t>
      </w:r>
      <w:r w:rsidR="00164199">
        <w:t>égalité des chances des femmes et des hommes par des mesures de prévention, de traçabilité,</w:t>
      </w:r>
      <w:r>
        <w:t xml:space="preserve"> </w:t>
      </w:r>
      <w:r w:rsidR="00164199">
        <w:t>et d</w:t>
      </w:r>
      <w:r w:rsidR="00CE0D20">
        <w:t>’</w:t>
      </w:r>
      <w:r w:rsidR="00164199">
        <w:t>élimination de toute discrimination directe à l</w:t>
      </w:r>
      <w:r w:rsidR="00CE0D20">
        <w:t>’</w:t>
      </w:r>
      <w:r w:rsidR="00164199">
        <w:t>égard des femmes ou des hommes sur le marché du travail</w:t>
      </w:r>
      <w:r w:rsidR="00CE0D20">
        <w:t>;</w:t>
      </w:r>
    </w:p>
    <w:p w:rsidR="00164199" w:rsidRDefault="009C26B5" w:rsidP="001A0A96">
      <w:pPr>
        <w:pStyle w:val="SingleTxt"/>
      </w:pPr>
      <w:r>
        <w:t>–</w:t>
      </w:r>
      <w:r w:rsidR="00164199">
        <w:tab/>
        <w:t>garantir l</w:t>
      </w:r>
      <w:r w:rsidR="00CE0D20">
        <w:t>’</w:t>
      </w:r>
      <w:r w:rsidR="00164199">
        <w:t>égalité des chances des femmes et des hommes par des mesures spéciales – destinées aux</w:t>
      </w:r>
      <w:r>
        <w:t xml:space="preserve"> </w:t>
      </w:r>
      <w:r w:rsidR="00164199">
        <w:t>femmes</w:t>
      </w:r>
      <w:r w:rsidR="00CE0D20">
        <w:t xml:space="preserve"> – </w:t>
      </w:r>
      <w:r w:rsidR="00164199">
        <w:t>d</w:t>
      </w:r>
      <w:r w:rsidR="00CE0D20">
        <w:t>’</w:t>
      </w:r>
      <w:r w:rsidR="00164199">
        <w:t>aide à la création d</w:t>
      </w:r>
      <w:r w:rsidR="00CE0D20">
        <w:t>’</w:t>
      </w:r>
      <w:r w:rsidR="00164199">
        <w:t>entreprises, de développement de la participation des femmes à des programmes d</w:t>
      </w:r>
      <w:r w:rsidR="00CE0D20">
        <w:t>’</w:t>
      </w:r>
      <w:r w:rsidR="00164199">
        <w:t>éducation et de formation, ainsi que des mesures visant à réduire la séparation des hommes et des femmes en termes d</w:t>
      </w:r>
      <w:r w:rsidR="00CE0D20">
        <w:t>’</w:t>
      </w:r>
      <w:r w:rsidR="00164199">
        <w:t>activités professionnelles, et à réduire également l</w:t>
      </w:r>
      <w:r w:rsidR="00CE0D20">
        <w:t>’</w:t>
      </w:r>
      <w:r w:rsidR="00164199">
        <w:t>écart des salaires</w:t>
      </w:r>
      <w:r w:rsidR="00CE0D20">
        <w:t>;</w:t>
      </w:r>
    </w:p>
    <w:p w:rsidR="00164199" w:rsidRDefault="009C26B5" w:rsidP="001A0A96">
      <w:pPr>
        <w:pStyle w:val="SingleTxt"/>
      </w:pPr>
      <w:r>
        <w:t>–</w:t>
      </w:r>
      <w:r w:rsidR="00164199">
        <w:tab/>
        <w:t>garantir l</w:t>
      </w:r>
      <w:r w:rsidR="00CE0D20">
        <w:t>’</w:t>
      </w:r>
      <w:r w:rsidR="00164199">
        <w:t xml:space="preserve">application de la </w:t>
      </w:r>
      <w:r w:rsidR="00164199">
        <w:rPr>
          <w:i/>
          <w:iCs/>
        </w:rPr>
        <w:t>Loi sur l</w:t>
      </w:r>
      <w:r w:rsidR="00CE0D20">
        <w:rPr>
          <w:i/>
          <w:iCs/>
        </w:rPr>
        <w:t>’</w:t>
      </w:r>
      <w:r w:rsidR="00164199">
        <w:rPr>
          <w:i/>
          <w:iCs/>
        </w:rPr>
        <w:t>égalité des chances des femmes et des hommes</w:t>
      </w:r>
      <w:r w:rsidR="00164199">
        <w:t xml:space="preserve"> et des mesures positives envisagées dans ce cadre, en vue de promouvoir le processus dans le sens d</w:t>
      </w:r>
      <w:r w:rsidR="00CE0D20">
        <w:t>’</w:t>
      </w:r>
      <w:r w:rsidR="00164199">
        <w:t xml:space="preserve">une véritable </w:t>
      </w:r>
      <w:r w:rsidR="00164199">
        <w:tab/>
        <w:t>égalité entre les deux sexes et d</w:t>
      </w:r>
      <w:r w:rsidR="00CE0D20">
        <w:t>’</w:t>
      </w:r>
      <w:r w:rsidR="00164199">
        <w:t xml:space="preserve">éliminer les discriminations </w:t>
      </w:r>
      <w:r w:rsidR="003158AC">
        <w:t xml:space="preserve">“ </w:t>
      </w:r>
      <w:r w:rsidR="00164199">
        <w:t>cachées</w:t>
      </w:r>
      <w:r w:rsidR="00CE0D20">
        <w:t> »;</w:t>
      </w:r>
    </w:p>
    <w:p w:rsidR="00164199" w:rsidRDefault="009C26B5" w:rsidP="001A0A96">
      <w:pPr>
        <w:pStyle w:val="SingleTxt"/>
      </w:pPr>
      <w:r>
        <w:t>–</w:t>
      </w:r>
      <w:r w:rsidR="00164199">
        <w:tab/>
        <w:t>encourager les entreprises à s</w:t>
      </w:r>
      <w:r w:rsidR="00CE0D20">
        <w:t>’</w:t>
      </w:r>
      <w:r w:rsidR="00164199">
        <w:t>intéresser tout particulièrement aux familles ayant des personnes dépendantes (enfants, personnes âgées et autres parents dans le besoin), notamment par l</w:t>
      </w:r>
      <w:r w:rsidR="00CE0D20">
        <w:t>’</w:t>
      </w:r>
      <w:r w:rsidR="00164199">
        <w:t>intermédiaire de l</w:t>
      </w:r>
      <w:r w:rsidR="00CE0D20">
        <w:t>’</w:t>
      </w:r>
      <w:r w:rsidR="00164199">
        <w:t xml:space="preserve">initiative dite </w:t>
      </w:r>
      <w:r w:rsidR="003158AC">
        <w:rPr>
          <w:i/>
          <w:iCs/>
        </w:rPr>
        <w:t xml:space="preserve">“ </w:t>
      </w:r>
      <w:r w:rsidR="00164199">
        <w:rPr>
          <w:i/>
          <w:iCs/>
        </w:rPr>
        <w:t>L</w:t>
      </w:r>
      <w:r w:rsidR="00CE0D20">
        <w:rPr>
          <w:i/>
          <w:iCs/>
        </w:rPr>
        <w:t>’</w:t>
      </w:r>
      <w:r w:rsidR="00164199">
        <w:rPr>
          <w:i/>
          <w:iCs/>
        </w:rPr>
        <w:t>entreprise proche de la famille</w:t>
      </w:r>
      <w:r w:rsidR="00CE0D20">
        <w:rPr>
          <w:i/>
          <w:iCs/>
        </w:rPr>
        <w:t> »;</w:t>
      </w:r>
    </w:p>
    <w:p w:rsidR="00164199" w:rsidRDefault="009C26B5" w:rsidP="001A0A96">
      <w:pPr>
        <w:pStyle w:val="SingleTxt"/>
      </w:pPr>
      <w:r>
        <w:t>–</w:t>
      </w:r>
      <w:r w:rsidR="00164199">
        <w:tab/>
        <w:t>adopter des mesures encourageant les pères à prendre leur congé de paternité et permettant de mieux répartir le congé parental entre les deux parents ainsi que tout congé devant permettre de prendre soin d</w:t>
      </w:r>
      <w:r w:rsidR="00CE0D20">
        <w:t>’</w:t>
      </w:r>
      <w:r w:rsidR="00164199">
        <w:t>un membre de la famille atteint d</w:t>
      </w:r>
      <w:r w:rsidR="00CE0D20">
        <w:t>’</w:t>
      </w:r>
      <w:r w:rsidR="00164199">
        <w:t>une maladie</w:t>
      </w:r>
      <w:r w:rsidR="00CE0D20">
        <w:t>;</w:t>
      </w:r>
    </w:p>
    <w:p w:rsidR="00164199" w:rsidRDefault="009C26B5" w:rsidP="001A0A96">
      <w:pPr>
        <w:pStyle w:val="SingleTxt"/>
      </w:pPr>
      <w:r>
        <w:t>–</w:t>
      </w:r>
      <w:r w:rsidR="00164199">
        <w:tab/>
        <w:t>enfin, promouvoir globalement l</w:t>
      </w:r>
      <w:r w:rsidR="00CE0D20">
        <w:t>’</w:t>
      </w:r>
      <w:r w:rsidR="00164199">
        <w:t>égalité des chances des femmes et des hommes – et plus particulièrement dans les domaines de l</w:t>
      </w:r>
      <w:r w:rsidR="00CE0D20">
        <w:t>’</w:t>
      </w:r>
      <w:r w:rsidR="00164199">
        <w:t>éducation personnelle et de l</w:t>
      </w:r>
      <w:r w:rsidR="00CE0D20">
        <w:t>’</w:t>
      </w:r>
      <w:r w:rsidR="00164199">
        <w:t>éducation en général, du travail et de l</w:t>
      </w:r>
      <w:r w:rsidR="00CE0D20">
        <w:t>’</w:t>
      </w:r>
      <w:r w:rsidR="00164199">
        <w:t>emploi, et de la conciliation d</w:t>
      </w:r>
      <w:r w:rsidR="00CE0D20">
        <w:t>’</w:t>
      </w:r>
      <w:r w:rsidR="00164199">
        <w:t>une vie professionnelle et d</w:t>
      </w:r>
      <w:r w:rsidR="00CE0D20">
        <w:t>’</w:t>
      </w:r>
      <w:r w:rsidR="00164199">
        <w:t>une vie familiale.</w:t>
      </w:r>
    </w:p>
    <w:p w:rsidR="00164199" w:rsidRDefault="009C26B5" w:rsidP="009C26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Article 12</w:t>
      </w:r>
    </w:p>
    <w:p w:rsidR="009C26B5" w:rsidRPr="009C26B5" w:rsidRDefault="009C26B5" w:rsidP="009C26B5">
      <w:pPr>
        <w:pStyle w:val="SingleTxt"/>
        <w:spacing w:after="0" w:line="120" w:lineRule="exact"/>
        <w:rPr>
          <w:sz w:val="10"/>
        </w:rPr>
      </w:pPr>
    </w:p>
    <w:p w:rsidR="009C26B5" w:rsidRPr="009C26B5" w:rsidRDefault="009C26B5" w:rsidP="009C26B5">
      <w:pPr>
        <w:pStyle w:val="SingleTxt"/>
        <w:spacing w:after="0" w:line="120" w:lineRule="exact"/>
        <w:rPr>
          <w:sz w:val="10"/>
        </w:rPr>
      </w:pPr>
    </w:p>
    <w:p w:rsidR="00164199" w:rsidRDefault="009C26B5" w:rsidP="009C2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La santé des femmes</w:t>
      </w:r>
    </w:p>
    <w:p w:rsidR="009C26B5" w:rsidRPr="009C26B5" w:rsidRDefault="009C26B5" w:rsidP="009C26B5">
      <w:pPr>
        <w:pStyle w:val="SingleTxt"/>
        <w:spacing w:after="0" w:line="120" w:lineRule="exact"/>
        <w:rPr>
          <w:sz w:val="10"/>
        </w:rPr>
      </w:pPr>
    </w:p>
    <w:p w:rsidR="00164199" w:rsidRDefault="00164199" w:rsidP="001A0A96">
      <w:pPr>
        <w:pStyle w:val="SingleTxt"/>
      </w:pPr>
      <w:r w:rsidRPr="00D67863">
        <w:t>143.</w:t>
      </w:r>
      <w:r>
        <w:tab/>
        <w:t xml:space="preserve">Depuis le Troisième Rapport, la </w:t>
      </w:r>
      <w:r>
        <w:rPr>
          <w:i/>
          <w:iCs/>
        </w:rPr>
        <w:t>Loi sur les soins de santé et l</w:t>
      </w:r>
      <w:r w:rsidR="00CE0D20">
        <w:rPr>
          <w:i/>
          <w:iCs/>
        </w:rPr>
        <w:t>’</w:t>
      </w:r>
      <w:r>
        <w:rPr>
          <w:i/>
          <w:iCs/>
        </w:rPr>
        <w:t>assurance maladie</w:t>
      </w:r>
      <w:r>
        <w:t xml:space="preserve"> a été amendée afin de traiter également de la question de l</w:t>
      </w:r>
      <w:r w:rsidR="00CE0D20">
        <w:t>’</w:t>
      </w:r>
      <w:r>
        <w:t>assurance maladie des agriculteurs, des membres de leur exploitation, et de toute personne dont l</w:t>
      </w:r>
      <w:r w:rsidR="00CE0D20">
        <w:t>’</w:t>
      </w:r>
      <w:r>
        <w:t>activité agricole est la seule ou la principale activité professionnelle. Cet amendement est présenté de manière plus détaillée dans la partie du présent rapport traitant de l</w:t>
      </w:r>
      <w:r w:rsidR="00CE0D20">
        <w:t>’</w:t>
      </w:r>
      <w:r>
        <w:t>application de l</w:t>
      </w:r>
      <w:r w:rsidR="00CE0D20">
        <w:t>’</w:t>
      </w:r>
      <w:r>
        <w:t xml:space="preserve">article 14 de la Convention (cf. le paragraphe 179, ci-après). </w:t>
      </w:r>
    </w:p>
    <w:p w:rsidR="009C26B5" w:rsidRPr="009C26B5" w:rsidRDefault="009C26B5" w:rsidP="009C26B5">
      <w:pPr>
        <w:pStyle w:val="SingleTxt"/>
        <w:spacing w:after="0" w:line="120" w:lineRule="exact"/>
        <w:rPr>
          <w:sz w:val="10"/>
        </w:rPr>
      </w:pPr>
    </w:p>
    <w:p w:rsidR="00164199" w:rsidRDefault="009C26B5" w:rsidP="009C2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La protection des femmes sur le plan de la santé</w:t>
      </w:r>
    </w:p>
    <w:p w:rsidR="009C26B5" w:rsidRPr="009C26B5" w:rsidRDefault="009C26B5" w:rsidP="009C26B5">
      <w:pPr>
        <w:pStyle w:val="SingleTxt"/>
        <w:spacing w:after="0" w:line="120" w:lineRule="exact"/>
        <w:rPr>
          <w:sz w:val="10"/>
        </w:rPr>
      </w:pPr>
    </w:p>
    <w:p w:rsidR="00164199" w:rsidRDefault="009C26B5" w:rsidP="009C26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rsidRPr="00D67863">
        <w:t>La santé procréative</w:t>
      </w:r>
    </w:p>
    <w:p w:rsidR="009C26B5" w:rsidRPr="009C26B5" w:rsidRDefault="009C26B5" w:rsidP="009C26B5">
      <w:pPr>
        <w:pStyle w:val="SingleTxt"/>
        <w:spacing w:after="0" w:line="120" w:lineRule="exact"/>
        <w:rPr>
          <w:sz w:val="10"/>
        </w:rPr>
      </w:pPr>
    </w:p>
    <w:p w:rsidR="00164199" w:rsidRDefault="00164199" w:rsidP="001A0A96">
      <w:pPr>
        <w:pStyle w:val="SingleTxt"/>
      </w:pPr>
      <w:r w:rsidRPr="005D1BE8">
        <w:t>144.</w:t>
      </w:r>
      <w:r>
        <w:tab/>
        <w:t>La Slovénie a adopté des mesures en vue de réduire le taux de mortalité maternelle – mesures recommandées par le Comité pour l</w:t>
      </w:r>
      <w:r w:rsidR="00CE0D20">
        <w:t>’</w:t>
      </w:r>
      <w:r>
        <w:t>élimination de la discrimination à l</w:t>
      </w:r>
      <w:r w:rsidR="00CE0D20">
        <w:t>’</w:t>
      </w:r>
      <w:r>
        <w:t>égard des femmes lors de son examen des Deuxième et Troisième Rapports de la République de Slovénie. Un Groupe de travail a été créé en vue d</w:t>
      </w:r>
      <w:r w:rsidR="00CE0D20">
        <w:t>’</w:t>
      </w:r>
      <w:r>
        <w:t>examiner les cas de décès de mères, et ce groupe élabore actuellement un rapport sur la mortalité maternelle au cours de la dernière période analysée</w:t>
      </w:r>
      <w:r w:rsidR="00CE0D20">
        <w:t>;</w:t>
      </w:r>
      <w:r>
        <w:t xml:space="preserve"> il soumettra des recommandations en vue de l</w:t>
      </w:r>
      <w:r w:rsidR="00CE0D20">
        <w:t>’</w:t>
      </w:r>
      <w:r>
        <w:t>adoption de mesures de nature clinique et professionnelle et de mesures de santé publique – en matière de santé procréative. Les premières données dont on dispose pour les années 2001 et 2002 indiquent une baisse sensible du taux de mortalité maternelle en Slovénie</w:t>
      </w:r>
      <w:r w:rsidRPr="006A4785">
        <w:rPr>
          <w:rStyle w:val="FootnoteReference"/>
        </w:rPr>
        <w:footnoteReference w:customMarkFollows="1" w:id="57"/>
        <w:t>57</w:t>
      </w:r>
      <w:r>
        <w:t xml:space="preserve">. Le taux moyen de mortalité maternelle sur cinq ans (1998-2002) est de 12,5 pour 100 000 naissances (cf. le paragraphe 159 du Rapport, ci-après). </w:t>
      </w:r>
    </w:p>
    <w:p w:rsidR="00164199" w:rsidRDefault="00164199" w:rsidP="001A0A96">
      <w:pPr>
        <w:pStyle w:val="SingleTxt"/>
      </w:pPr>
      <w:r>
        <w:t>145.</w:t>
      </w:r>
      <w:r>
        <w:tab/>
      </w:r>
      <w:r w:rsidRPr="005D1BE8">
        <w:rPr>
          <w:b/>
          <w:bCs/>
        </w:rPr>
        <w:t xml:space="preserve">La Slovénie a </w:t>
      </w:r>
      <w:r>
        <w:rPr>
          <w:b/>
          <w:bCs/>
        </w:rPr>
        <w:t>toujours fait preuve de dynamisme en matière de soins de santé – et ce, pour l</w:t>
      </w:r>
      <w:r w:rsidR="00CE0D20">
        <w:rPr>
          <w:b/>
          <w:bCs/>
        </w:rPr>
        <w:t>’</w:t>
      </w:r>
      <w:r>
        <w:rPr>
          <w:b/>
          <w:bCs/>
        </w:rPr>
        <w:t xml:space="preserve">ensemble de la population : cela est illustré de toute évidence par les programmes de prévention, mis en œuvre en direction des différentes catégories de la population. Cette tradition veut que les soins de santé préventifs soient également accessibles à tous les citoyens slovènes, grâce à un financement intégral par les cotisations de santé obligatoires. Le </w:t>
      </w:r>
      <w:r>
        <w:rPr>
          <w:b/>
          <w:bCs/>
          <w:i/>
          <w:iCs/>
        </w:rPr>
        <w:t>Programme national de soins de santé de la République de Slovénie</w:t>
      </w:r>
      <w:r>
        <w:rPr>
          <w:b/>
          <w:bCs/>
        </w:rPr>
        <w:t>, applicable depuis l</w:t>
      </w:r>
      <w:r w:rsidR="00CE0D20">
        <w:rPr>
          <w:b/>
          <w:bCs/>
        </w:rPr>
        <w:t>’</w:t>
      </w:r>
      <w:r>
        <w:rPr>
          <w:b/>
          <w:bCs/>
        </w:rPr>
        <w:t>an 2000, comporte une mesure spéciale de promotion de la santé sexuelle et procréative – définie comme le troisième objectif prioritaire, dans ce domaine. Cette mesure a été mise en œuvre dans le cadre d</w:t>
      </w:r>
      <w:r w:rsidR="00CE0D20">
        <w:rPr>
          <w:b/>
          <w:bCs/>
        </w:rPr>
        <w:t>’</w:t>
      </w:r>
      <w:r>
        <w:rPr>
          <w:b/>
          <w:bCs/>
        </w:rPr>
        <w:t>un plan encourageant des pratiques sexuelles saines – et ce, à trois niveaux : par l</w:t>
      </w:r>
      <w:r w:rsidR="00CE0D20">
        <w:rPr>
          <w:b/>
          <w:bCs/>
        </w:rPr>
        <w:t>’</w:t>
      </w:r>
      <w:r>
        <w:rPr>
          <w:b/>
          <w:bCs/>
        </w:rPr>
        <w:t>éducation sexuelle, par la planification familiale et par la prévention des maladies sexuellement transmissibles. Le quatrième objectif prioritaire consiste dans une mesure spéciale, devant permettre d</w:t>
      </w:r>
      <w:r w:rsidR="00CE0D20">
        <w:rPr>
          <w:b/>
          <w:bCs/>
        </w:rPr>
        <w:t>’</w:t>
      </w:r>
      <w:r>
        <w:rPr>
          <w:b/>
          <w:bCs/>
        </w:rPr>
        <w:t xml:space="preserve">étudier les préjudices causés à certaines catégories en matière de santé – notamment les femmes enceintes. </w:t>
      </w:r>
    </w:p>
    <w:p w:rsidR="00164199" w:rsidRDefault="00164199" w:rsidP="001A0A96">
      <w:pPr>
        <w:pStyle w:val="SingleTxt"/>
      </w:pPr>
      <w:r>
        <w:t>146.</w:t>
      </w:r>
      <w:r>
        <w:tab/>
        <w:t>En ce qui concerne la protection de la santé des adultes, l</w:t>
      </w:r>
      <w:r w:rsidR="00CE0D20">
        <w:t>’</w:t>
      </w:r>
      <w:r>
        <w:t>action prioritaire se situe essentiellement dans le domaine de la santé procréative. L</w:t>
      </w:r>
      <w:r w:rsidR="00CE0D20">
        <w:t>’</w:t>
      </w:r>
      <w:r>
        <w:t>approche de ce domaine est globale, avec différentes orientations :</w:t>
      </w:r>
    </w:p>
    <w:p w:rsidR="00164199" w:rsidRDefault="009C26B5" w:rsidP="001A0A96">
      <w:pPr>
        <w:pStyle w:val="SingleTxt"/>
      </w:pPr>
      <w:r>
        <w:t>–</w:t>
      </w:r>
      <w:r w:rsidR="00164199">
        <w:tab/>
        <w:t>planification intersectorielle du processus de protection de la santé procréative (coopération de divers départements gouvernementaux et des organisations non gouvernementales)</w:t>
      </w:r>
      <w:r w:rsidR="00CE0D20">
        <w:t>;</w:t>
      </w:r>
    </w:p>
    <w:p w:rsidR="00164199" w:rsidRDefault="009C26B5" w:rsidP="001A0A96">
      <w:pPr>
        <w:pStyle w:val="SingleTxt"/>
      </w:pPr>
      <w:r>
        <w:t>–</w:t>
      </w:r>
      <w:r w:rsidR="00164199">
        <w:t>-</w:t>
      </w:r>
      <w:r w:rsidR="00164199">
        <w:tab/>
        <w:t>protection à proprement parler de la santé procréative (soins de santé actifs, mise en œuvre de programmes de prévention et de promotion des soins de santé, avec un accent particulier sur les groupes à risques, amélioration des techniques de dépistage des cancers de l</w:t>
      </w:r>
      <w:r w:rsidR="00CE0D20">
        <w:t>’</w:t>
      </w:r>
      <w:r w:rsidR="00164199">
        <w:t>utérus avant toute grossesse, mais aussi au cours des périodes prénatale, périnatale et postnatale, programme national de dépistage des cancers du sein)</w:t>
      </w:r>
      <w:r w:rsidR="00CE0D20">
        <w:t>;</w:t>
      </w:r>
    </w:p>
    <w:p w:rsidR="00164199" w:rsidRDefault="009C26B5" w:rsidP="001A0A96">
      <w:pPr>
        <w:pStyle w:val="SingleTxt"/>
      </w:pPr>
      <w:r>
        <w:t>–</w:t>
      </w:r>
      <w:r w:rsidR="00164199">
        <w:tab/>
        <w:t>renforcement de l</w:t>
      </w:r>
      <w:r w:rsidR="00CE0D20">
        <w:t>’</w:t>
      </w:r>
      <w:r w:rsidR="00164199">
        <w:t>éducation en matière de promotion et de protection de la santé procréative (encouragement à des modes de vie sains, ainsi qu</w:t>
      </w:r>
      <w:r w:rsidR="00CE0D20">
        <w:t>’</w:t>
      </w:r>
      <w:r w:rsidR="00164199">
        <w:t>à des pratiques sexuelles saines et à une parentalité responsable, information, programme d</w:t>
      </w:r>
      <w:r w:rsidR="00CE0D20">
        <w:t>’</w:t>
      </w:r>
      <w:r w:rsidR="00164199">
        <w:t xml:space="preserve">éducation et de prévention en vue de choix responsables et libres en matière de vie sexuelle et de natalité, accès à une gamme étendue de méthodes modernes de planification familiale et autres méthodes </w:t>
      </w:r>
      <w:r>
        <w:t xml:space="preserve">de régulation de la fécondité, </w:t>
      </w:r>
      <w:r w:rsidR="00164199">
        <w:t>sensibilisation des enfants et des adolescents à différents types d</w:t>
      </w:r>
      <w:r w:rsidR="00CE0D20">
        <w:t>’</w:t>
      </w:r>
      <w:r w:rsidR="00164199">
        <w:t>agressions et de violences).</w:t>
      </w:r>
    </w:p>
    <w:p w:rsidR="00164199" w:rsidRDefault="00164199" w:rsidP="001A0A96">
      <w:pPr>
        <w:pStyle w:val="SingleTxt"/>
      </w:pPr>
      <w:r>
        <w:t>147.</w:t>
      </w:r>
      <w:r>
        <w:tab/>
        <w:t>En Slovénie, les programmes de prévention et de planification familiale en matière de santé procréative – accessibles à l</w:t>
      </w:r>
      <w:r w:rsidR="00CE0D20">
        <w:t>’</w:t>
      </w:r>
      <w:r>
        <w:t>ensemble des femmes et des futurs parents – se déroulent dans les directions suivantes :</w:t>
      </w:r>
    </w:p>
    <w:p w:rsidR="00164199" w:rsidRDefault="009C26B5" w:rsidP="001A0A96">
      <w:pPr>
        <w:pStyle w:val="SingleTxt"/>
      </w:pPr>
      <w:r>
        <w:t>–</w:t>
      </w:r>
      <w:r w:rsidR="00164199">
        <w:tab/>
      </w:r>
      <w:r w:rsidR="00164199">
        <w:rPr>
          <w:i/>
          <w:iCs/>
        </w:rPr>
        <w:t>Programmes de prévention et de planification familiale</w:t>
      </w:r>
      <w:r w:rsidR="00164199">
        <w:t>. Il s</w:t>
      </w:r>
      <w:r w:rsidR="00CE0D20">
        <w:t>’</w:t>
      </w:r>
      <w:r w:rsidR="00164199">
        <w:t>agit de consultations et de conseils en matière de planification familiale efficace, d</w:t>
      </w:r>
      <w:r w:rsidR="00CE0D20">
        <w:t>’</w:t>
      </w:r>
      <w:r w:rsidR="00164199">
        <w:t>utilisation des moyens contraceptifs, de prévention des maladies sexuellement transmissibles et de la stérilité pouvant en résulter.</w:t>
      </w:r>
    </w:p>
    <w:p w:rsidR="00164199" w:rsidRDefault="009C26B5" w:rsidP="001A0A96">
      <w:pPr>
        <w:pStyle w:val="SingleTxt"/>
      </w:pPr>
      <w:r>
        <w:t>–</w:t>
      </w:r>
      <w:r w:rsidR="00164199">
        <w:tab/>
      </w:r>
      <w:r w:rsidR="00164199">
        <w:rPr>
          <w:i/>
          <w:iCs/>
        </w:rPr>
        <w:t>Programmes de prévention pour une grossesse sûre.</w:t>
      </w:r>
      <w:r w:rsidR="00164199">
        <w:t xml:space="preserve"> Il est recommandé d</w:t>
      </w:r>
      <w:r w:rsidR="00CE0D20">
        <w:t>’</w:t>
      </w:r>
      <w:r w:rsidR="00164199">
        <w:t>accorder un niveau minimum de soins à chaque femme enceinte et à chaque nouvel enfantement – ce qui équivaut au total à 10 examens préventifs au cours de la grossesse, à des conseils individuels de santé, à deux examens par</w:t>
      </w:r>
      <w:r>
        <w:t xml:space="preserve"> </w:t>
      </w:r>
      <w:r w:rsidR="00164199">
        <w:t>ultrasons, à des analyses de laboratoire, au dépistage éventuel de la toxoplasmose, ainsi qu</w:t>
      </w:r>
      <w:r w:rsidR="00CE0D20">
        <w:t>’</w:t>
      </w:r>
      <w:r w:rsidR="00164199">
        <w:t>à des examens de dépistage du syndrome de Dawn (ou trisomie 21) chez les femmes enceintes de plus de 35 ans. Cette catégorie de programmes comprend également des examens et des conseils après la naissance de l</w:t>
      </w:r>
      <w:r w:rsidR="00CE0D20">
        <w:t>’</w:t>
      </w:r>
      <w:r w:rsidR="00164199">
        <w:t>enfant, l</w:t>
      </w:r>
      <w:r w:rsidR="00CE0D20">
        <w:t>’</w:t>
      </w:r>
      <w:r w:rsidR="00164199">
        <w:t>autorisation d</w:t>
      </w:r>
      <w:r w:rsidR="00CE0D20">
        <w:t>’</w:t>
      </w:r>
      <w:r w:rsidR="00164199">
        <w:t>avortements spontanés et les grossesses extra-utérines, des visites préventives d</w:t>
      </w:r>
      <w:r w:rsidR="00CE0D20">
        <w:t>’</w:t>
      </w:r>
      <w:r w:rsidR="00164199">
        <w:t>infirmières au domicile des femmes enceintes, mais aussi en vue d</w:t>
      </w:r>
      <w:r w:rsidR="00CE0D20">
        <w:t>’</w:t>
      </w:r>
      <w:r w:rsidR="00164199">
        <w:t>examiner le nouveau-né et sa mère, et, le cas échéant, lorsque la femme concernée n</w:t>
      </w:r>
      <w:r w:rsidR="00CE0D20">
        <w:t>’</w:t>
      </w:r>
      <w:r w:rsidR="00164199">
        <w:t xml:space="preserve">a pas encore pris de décision au sujet du gynécologue à consulter. </w:t>
      </w:r>
    </w:p>
    <w:p w:rsidR="00164199" w:rsidRDefault="009C26B5" w:rsidP="001A0A96">
      <w:pPr>
        <w:pStyle w:val="SingleTxt"/>
      </w:pPr>
      <w:r>
        <w:t>–</w:t>
      </w:r>
      <w:r w:rsidR="00164199">
        <w:tab/>
      </w:r>
      <w:r w:rsidR="00164199">
        <w:rPr>
          <w:i/>
          <w:iCs/>
        </w:rPr>
        <w:t>Programme de prévention des cancers de l</w:t>
      </w:r>
      <w:r w:rsidR="00CE0D20">
        <w:rPr>
          <w:i/>
          <w:iCs/>
        </w:rPr>
        <w:t>’</w:t>
      </w:r>
      <w:r w:rsidR="00164199">
        <w:rPr>
          <w:i/>
          <w:iCs/>
        </w:rPr>
        <w:t>utérus</w:t>
      </w:r>
      <w:r w:rsidR="00164199">
        <w:t xml:space="preserve">. </w:t>
      </w:r>
      <w:r w:rsidR="00221C8A">
        <w:t>Étant</w:t>
      </w:r>
      <w:r w:rsidR="00164199">
        <w:t xml:space="preserve"> donné la complexité du problème, c</w:t>
      </w:r>
      <w:r w:rsidR="00CE0D20">
        <w:t>’</w:t>
      </w:r>
      <w:r w:rsidR="00164199">
        <w:t xml:space="preserve">est un véritable </w:t>
      </w:r>
      <w:r w:rsidR="00164199">
        <w:rPr>
          <w:i/>
          <w:iCs/>
        </w:rPr>
        <w:t>Programme national d</w:t>
      </w:r>
      <w:r w:rsidR="00CE0D20">
        <w:rPr>
          <w:i/>
          <w:iCs/>
        </w:rPr>
        <w:t>’</w:t>
      </w:r>
      <w:r w:rsidR="00164199">
        <w:rPr>
          <w:i/>
          <w:iCs/>
        </w:rPr>
        <w:t>examen de l</w:t>
      </w:r>
      <w:r w:rsidR="00CE0D20">
        <w:rPr>
          <w:i/>
          <w:iCs/>
        </w:rPr>
        <w:t>’</w:t>
      </w:r>
      <w:r w:rsidR="00164199">
        <w:rPr>
          <w:i/>
          <w:iCs/>
        </w:rPr>
        <w:t xml:space="preserve">utérus – </w:t>
      </w:r>
      <w:r w:rsidR="00164199">
        <w:t>dit</w:t>
      </w:r>
      <w:r w:rsidR="00164199">
        <w:rPr>
          <w:i/>
          <w:iCs/>
        </w:rPr>
        <w:t xml:space="preserve"> Programme ZORA –</w:t>
      </w:r>
      <w:r w:rsidR="00164199">
        <w:t xml:space="preserve"> qui a été officiellement entrepris en 2002. Il s</w:t>
      </w:r>
      <w:r w:rsidR="00CE0D20">
        <w:t>’</w:t>
      </w:r>
      <w:r w:rsidR="00164199">
        <w:t>agissait d</w:t>
      </w:r>
      <w:r w:rsidR="00CE0D20">
        <w:t>’</w:t>
      </w:r>
      <w:r w:rsidR="00164199">
        <w:t>inviter activement toutes les femmes âgées de 20 à 74 ans à passer un examen gynécologique, comportant un frottis vaginal (ou test PAP). Ce même examen était proposé aux femmes âgées de 65 à 74 ans n</w:t>
      </w:r>
      <w:r w:rsidR="00CE0D20">
        <w:t>’</w:t>
      </w:r>
      <w:r w:rsidR="00164199">
        <w:t>ayant pas été invitées de manière aussi directe à s</w:t>
      </w:r>
      <w:r w:rsidR="00CE0D20">
        <w:t>’</w:t>
      </w:r>
      <w:r w:rsidR="00164199">
        <w:t>y soumettre. Après deux ans d</w:t>
      </w:r>
      <w:r w:rsidR="00CE0D20">
        <w:t>’</w:t>
      </w:r>
      <w:r w:rsidR="00164199">
        <w:t>existence, ce programme a commencé à donner des résultats positifs. Le pourcentage de femmes âgées de 20 à 74 ans et ayant décidé d</w:t>
      </w:r>
      <w:r w:rsidR="00CE0D20">
        <w:t>’</w:t>
      </w:r>
      <w:r w:rsidR="00164199">
        <w:t>avoir leur gynécologue personnel a augmenté de 20% (pour atteindre en moyenne 80%), grâce une meilleure organisation de l</w:t>
      </w:r>
      <w:r w:rsidR="00CE0D20">
        <w:t>’</w:t>
      </w:r>
      <w:r w:rsidR="00164199">
        <w:t>accès aux gynécologues – qui devenait ainsi plus facile. En conséquence, le pourcentage de femmes ayant passé un tel examen avec test PAP a également augmenté. Dans l</w:t>
      </w:r>
      <w:r w:rsidR="00CE0D20">
        <w:t>’</w:t>
      </w:r>
      <w:r w:rsidR="00164199">
        <w:t>ensemble, l</w:t>
      </w:r>
      <w:r w:rsidR="00CE0D20">
        <w:t>’</w:t>
      </w:r>
      <w:r w:rsidR="00164199">
        <w:t>accès aux services d</w:t>
      </w:r>
      <w:r w:rsidR="00CE0D20">
        <w:t>’</w:t>
      </w:r>
      <w:r w:rsidR="00164199">
        <w:t>un gynécologue s</w:t>
      </w:r>
      <w:r w:rsidR="00CE0D20">
        <w:t>’</w:t>
      </w:r>
      <w:r w:rsidR="00164199">
        <w:t>est amélioré pour toutes les tranches d</w:t>
      </w:r>
      <w:r w:rsidR="00CE0D20">
        <w:t>’</w:t>
      </w:r>
      <w:r w:rsidR="00164199">
        <w:t>âge – mais en particulier pour les femmes de plus de 50 ans</w:t>
      </w:r>
      <w:r w:rsidR="00164199" w:rsidRPr="006A4785">
        <w:rPr>
          <w:rStyle w:val="FootnoteReference"/>
        </w:rPr>
        <w:footnoteReference w:customMarkFollows="1" w:id="58"/>
        <w:t>58</w:t>
      </w:r>
      <w:r w:rsidR="00164199">
        <w:t>.</w:t>
      </w:r>
    </w:p>
    <w:p w:rsidR="00164199" w:rsidRDefault="009B5AAD" w:rsidP="001A0A96">
      <w:pPr>
        <w:pStyle w:val="SingleTxt"/>
      </w:pPr>
      <w:r>
        <w:t>–</w:t>
      </w:r>
      <w:r w:rsidR="00164199">
        <w:tab/>
      </w:r>
      <w:r w:rsidR="00164199">
        <w:rPr>
          <w:i/>
          <w:iCs/>
        </w:rPr>
        <w:t>Programme de prévention du cancer du sein</w:t>
      </w:r>
      <w:r w:rsidR="00164199">
        <w:t xml:space="preserve">. Les mammographies se pratiquent depuis plusieurs années en Slovénie. Elles concernent les femmes âgées de 50 à 69 ans et celles âgées de 40 à 49 ans ayant une </w:t>
      </w:r>
      <w:r w:rsidR="00164199">
        <w:tab/>
        <w:t>hérédité de cancer du sein. Dans une tranche d</w:t>
      </w:r>
      <w:r w:rsidR="00CE0D20">
        <w:t>’</w:t>
      </w:r>
      <w:r w:rsidR="00164199">
        <w:t>âge donnée (conforme aux normes internationales fixant l</w:t>
      </w:r>
      <w:r w:rsidR="00CE0D20">
        <w:t>’</w:t>
      </w:r>
      <w:r w:rsidR="00164199">
        <w:t>âge auquel les femmes ont droit à une mammographie), les femmes ont droit, tous les deux ans, à un examen clinique des seins dont le coût est couvert par les cotisations de santé obligatoires. En juin 2004 a été adopté le programme national d</w:t>
      </w:r>
      <w:r w:rsidR="00CE0D20">
        <w:t>’</w:t>
      </w:r>
      <w:r w:rsidR="00164199">
        <w:t>organisation progressive de mammographies, en vue du dépistage éventuel d</w:t>
      </w:r>
      <w:r w:rsidR="00CE0D20">
        <w:t>’</w:t>
      </w:r>
      <w:r w:rsidR="00164199">
        <w:t>un cancer du sein dans ses premières phases. Ce programme concerne les femmes se situant dans des tranches d</w:t>
      </w:r>
      <w:r w:rsidR="00CE0D20">
        <w:t>’</w:t>
      </w:r>
      <w:r w:rsidR="00164199">
        <w:t>âge précises : toutes les femmes en question sont invitées à passer un examen médical – l</w:t>
      </w:r>
      <w:r w:rsidR="00CE0D20">
        <w:t>’</w:t>
      </w:r>
      <w:r w:rsidR="00164199">
        <w:t>objectif étant d</w:t>
      </w:r>
      <w:r w:rsidR="00CE0D20">
        <w:t>’</w:t>
      </w:r>
      <w:r w:rsidR="00164199">
        <w:t>informer l</w:t>
      </w:r>
      <w:r w:rsidR="00CE0D20">
        <w:t>’</w:t>
      </w:r>
      <w:r w:rsidR="00164199">
        <w:t xml:space="preserve">ensemble des femmes dans ce domaine, en dépassant le </w:t>
      </w:r>
      <w:r w:rsidR="00247191">
        <w:t>« </w:t>
      </w:r>
      <w:r w:rsidR="00164199">
        <w:t>créneau</w:t>
      </w:r>
      <w:r w:rsidR="00CE0D20">
        <w:t> »</w:t>
      </w:r>
      <w:r w:rsidR="00164199">
        <w:t xml:space="preserve"> habituel de celles qui se préoccupent systématiquement de leur santé. </w:t>
      </w:r>
    </w:p>
    <w:p w:rsidR="00164199" w:rsidRDefault="009B5AAD" w:rsidP="001A0A96">
      <w:pPr>
        <w:pStyle w:val="SingleTxt"/>
      </w:pPr>
      <w:r>
        <w:t>–</w:t>
      </w:r>
      <w:r w:rsidR="00164199">
        <w:tab/>
      </w:r>
      <w:r w:rsidR="00164199">
        <w:rPr>
          <w:i/>
          <w:iCs/>
        </w:rPr>
        <w:t>Programme de prévention visant à l</w:t>
      </w:r>
      <w:r w:rsidR="00CE0D20">
        <w:rPr>
          <w:i/>
          <w:iCs/>
        </w:rPr>
        <w:t>’</w:t>
      </w:r>
      <w:r w:rsidR="00164199">
        <w:rPr>
          <w:i/>
          <w:iCs/>
        </w:rPr>
        <w:t>administration de traitements hormonaux avant et après la ménopause.</w:t>
      </w:r>
      <w:r w:rsidR="00164199">
        <w:t xml:space="preserve"> Il s</w:t>
      </w:r>
      <w:r w:rsidR="00CE0D20">
        <w:t>’</w:t>
      </w:r>
      <w:r w:rsidR="00164199">
        <w:t>agit d</w:t>
      </w:r>
      <w:r w:rsidR="00CE0D20">
        <w:t>’</w:t>
      </w:r>
      <w:r w:rsidR="00164199">
        <w:t>un programme de conseils et de recommandation d</w:t>
      </w:r>
      <w:r w:rsidR="00CE0D20">
        <w:t>’</w:t>
      </w:r>
      <w:r w:rsidR="00164199">
        <w:t xml:space="preserve">une thérapie hormonale. </w:t>
      </w:r>
    </w:p>
    <w:p w:rsidR="00164199" w:rsidRDefault="009B5AAD" w:rsidP="001A0A96">
      <w:pPr>
        <w:pStyle w:val="SingleTxt"/>
      </w:pPr>
      <w:r>
        <w:t>–</w:t>
      </w:r>
      <w:r w:rsidR="00164199">
        <w:tab/>
      </w:r>
      <w:r w:rsidR="00164199">
        <w:rPr>
          <w:i/>
          <w:iCs/>
        </w:rPr>
        <w:t>Programmes d</w:t>
      </w:r>
      <w:r w:rsidR="00CE0D20">
        <w:rPr>
          <w:i/>
          <w:iCs/>
        </w:rPr>
        <w:t>’</w:t>
      </w:r>
      <w:r w:rsidR="00164199">
        <w:rPr>
          <w:i/>
          <w:iCs/>
        </w:rPr>
        <w:t>éducation et de promotion en matière de santé dans le cadre de la protection de la santé</w:t>
      </w:r>
      <w:r>
        <w:rPr>
          <w:i/>
          <w:iCs/>
        </w:rPr>
        <w:t xml:space="preserve"> </w:t>
      </w:r>
      <w:r w:rsidR="00164199">
        <w:rPr>
          <w:i/>
          <w:iCs/>
        </w:rPr>
        <w:t>primaire des femmes.</w:t>
      </w:r>
      <w:r w:rsidR="00164199">
        <w:t xml:space="preserve"> Il s</w:t>
      </w:r>
      <w:r w:rsidR="00CE0D20">
        <w:t>’</w:t>
      </w:r>
      <w:r w:rsidR="00164199">
        <w:t>agit de conseiller les femmes et de les encourager à s</w:t>
      </w:r>
      <w:r w:rsidR="00CE0D20">
        <w:t>’</w:t>
      </w:r>
      <w:r w:rsidR="00164199">
        <w:t>épanouir de la manière la plus saine qui soit sur les plans physique, mental et sexuel, à pratiquer une parentalité responsable et à préparer ces personnes à prévenir les maladies et à réagir à tout problème de santé. Ces programmes visent à la qualité de l</w:t>
      </w:r>
      <w:r w:rsidR="00CE0D20">
        <w:t>’</w:t>
      </w:r>
      <w:r w:rsidR="00164199">
        <w:t xml:space="preserve">information et à développer les capacités de groupes-cibles. </w:t>
      </w:r>
    </w:p>
    <w:p w:rsidR="00164199" w:rsidRDefault="009B5AAD" w:rsidP="001A0A96">
      <w:pPr>
        <w:pStyle w:val="SingleTxt"/>
      </w:pPr>
      <w:r>
        <w:t>–</w:t>
      </w:r>
      <w:r w:rsidR="00164199">
        <w:tab/>
      </w:r>
      <w:r>
        <w:rPr>
          <w:i/>
          <w:iCs/>
        </w:rPr>
        <w:t>É</w:t>
      </w:r>
      <w:r w:rsidR="00164199">
        <w:rPr>
          <w:i/>
          <w:iCs/>
        </w:rPr>
        <w:t xml:space="preserve">ducation à la santé anténatale- </w:t>
      </w:r>
      <w:r>
        <w:rPr>
          <w:i/>
          <w:iCs/>
        </w:rPr>
        <w:t>É</w:t>
      </w:r>
      <w:r w:rsidR="00164199">
        <w:rPr>
          <w:i/>
          <w:iCs/>
        </w:rPr>
        <w:t>cole des Parents</w:t>
      </w:r>
      <w:r w:rsidR="00164199">
        <w:t>. Il s</w:t>
      </w:r>
      <w:r w:rsidR="00CE0D20">
        <w:t>’</w:t>
      </w:r>
      <w:r w:rsidR="00164199">
        <w:t>agit de conseiller les femmes enceintes et leurs partenaires dans le sens d</w:t>
      </w:r>
      <w:r w:rsidR="00CE0D20">
        <w:t>’</w:t>
      </w:r>
      <w:r w:rsidR="00164199">
        <w:t>un niveau optimal de santé périnatale</w:t>
      </w:r>
      <w:r w:rsidR="00CE0D20">
        <w:t>;</w:t>
      </w:r>
      <w:r w:rsidR="00164199">
        <w:t xml:space="preserve"> cela concerne en particulier les femmes enceintes à risque (jeunes filles et femmes exposées à des risques sociaux et sanitaires).</w:t>
      </w:r>
    </w:p>
    <w:p w:rsidR="00164199" w:rsidRDefault="00164199" w:rsidP="001A0A96">
      <w:pPr>
        <w:pStyle w:val="SingleTxt"/>
      </w:pPr>
      <w:r>
        <w:t>148.</w:t>
      </w:r>
      <w:r>
        <w:tab/>
        <w:t xml:space="preserve">Le </w:t>
      </w:r>
      <w:r>
        <w:rPr>
          <w:i/>
          <w:iCs/>
        </w:rPr>
        <w:t>Programme national d</w:t>
      </w:r>
      <w:r w:rsidR="00CE0D20">
        <w:rPr>
          <w:i/>
          <w:iCs/>
        </w:rPr>
        <w:t>’</w:t>
      </w:r>
      <w:r>
        <w:rPr>
          <w:i/>
          <w:iCs/>
        </w:rPr>
        <w:t>activité physique et de promotion de la santé</w:t>
      </w:r>
      <w:r>
        <w:t xml:space="preserve"> est en cours d</w:t>
      </w:r>
      <w:r w:rsidR="00CE0D20">
        <w:t>’</w:t>
      </w:r>
      <w:r>
        <w:t>adoption</w:t>
      </w:r>
      <w:r w:rsidR="00CE0D20">
        <w:t>;</w:t>
      </w:r>
      <w:r>
        <w:t xml:space="preserve"> il définit notamment une stratégie et une action gouvernementales en direction de catégories données de femmes et de femmes enceintes, dans le but de réduire les facteurs de risque de maladies liées à la grossesse. D</w:t>
      </w:r>
      <w:r w:rsidR="00CE0D20">
        <w:t>’</w:t>
      </w:r>
      <w:r>
        <w:t xml:space="preserve">autre part, la </w:t>
      </w:r>
      <w:r>
        <w:rPr>
          <w:i/>
          <w:iCs/>
        </w:rPr>
        <w:t>Résolution sur le Programme national de nutrition 2005-2010</w:t>
      </w:r>
      <w:r>
        <w:t>, adoptée par l</w:t>
      </w:r>
      <w:r w:rsidR="00CE0D20">
        <w:t>’</w:t>
      </w:r>
      <w:r>
        <w:t>Assemblée nationale slovène en mars 2005, définit notamment des objectifs nationaux et des mesures en matière d</w:t>
      </w:r>
      <w:r w:rsidR="00CE0D20">
        <w:t>’</w:t>
      </w:r>
      <w:r>
        <w:t>alimentation saine, de modes de vie sains et d</w:t>
      </w:r>
      <w:r w:rsidR="00CE0D20">
        <w:t>’</w:t>
      </w:r>
      <w:r>
        <w:t>éducation sanitaire des femmes pendant les périodes de grossesse, après l</w:t>
      </w:r>
      <w:r w:rsidR="00CE0D20">
        <w:t>’</w:t>
      </w:r>
      <w:r>
        <w:t>accouchement et au cours de la période de lactation.</w:t>
      </w:r>
    </w:p>
    <w:p w:rsidR="00164199" w:rsidRDefault="00164199" w:rsidP="001A0A96">
      <w:pPr>
        <w:pStyle w:val="SingleTxt"/>
      </w:pPr>
      <w:r>
        <w:t>149.</w:t>
      </w:r>
      <w:r>
        <w:tab/>
        <w:t>En 2002, une clinique externe, destinée aux personnes non bénéficiaires d</w:t>
      </w:r>
      <w:r w:rsidR="00CE0D20">
        <w:t>’</w:t>
      </w:r>
      <w:r>
        <w:t>une assurance maladie, a vu le jour et a commencé à fonctionner dans la capitale slovène. De nombreuses cliniques externes, générales et spécialisées, et d</w:t>
      </w:r>
      <w:r w:rsidR="00CE0D20">
        <w:t>’</w:t>
      </w:r>
      <w:r>
        <w:t>autres lieux de consultation sont disponibles – gratuitement</w:t>
      </w:r>
      <w:r w:rsidR="00CE0D20">
        <w:t xml:space="preserve"> – </w:t>
      </w:r>
      <w:r>
        <w:t>pour ces personnes non assurées. Ces établissements offrent des services de santé aux sans domicile fixe, aux étrangers, aux demandeurs d</w:t>
      </w:r>
      <w:r w:rsidR="00CE0D20">
        <w:t>’</w:t>
      </w:r>
      <w:r>
        <w:t>asile, aux réfugiés et autres personnes non assurées sur le plan maladie. Il existe également des centres de consultation pour des examens plus généraux, pour les enfants, les femmes enceintes et les diabétiques. En 2003, 8101 personnes ont été accueillies à la clinique externe de Ljubljana</w:t>
      </w:r>
      <w:r w:rsidR="00CE0D20">
        <w:t>;</w:t>
      </w:r>
      <w:r>
        <w:t xml:space="preserve"> il s</w:t>
      </w:r>
      <w:r w:rsidR="00CE0D20">
        <w:t>’</w:t>
      </w:r>
      <w:r>
        <w:t>agissait pour la plupart de malades chroniques, de femmes enceintes, de personnes souffrant d</w:t>
      </w:r>
      <w:r w:rsidR="00CE0D20">
        <w:t>’</w:t>
      </w:r>
      <w:r>
        <w:t>hypertension artérielle, de maladies cardiovasculaires ou atteintes d</w:t>
      </w:r>
      <w:r w:rsidR="00CE0D20">
        <w:t>’</w:t>
      </w:r>
      <w:r>
        <w:t>un cancer.</w:t>
      </w:r>
    </w:p>
    <w:p w:rsidR="00164199" w:rsidRDefault="00164199" w:rsidP="001A0A96">
      <w:pPr>
        <w:pStyle w:val="SingleTxt"/>
      </w:pPr>
      <w:r>
        <w:t>150.</w:t>
      </w:r>
      <w:r>
        <w:tab/>
        <w:t>En Slovénie, les soins de santé procréative sont organisés à trois niveaux : primaire, secondaire et tertiaire. Au niveau primaire (centre de santé local), une équipe opérationnelle, composée d</w:t>
      </w:r>
      <w:r w:rsidR="00CE0D20">
        <w:t>’</w:t>
      </w:r>
      <w:r>
        <w:t>un gynécologue, d</w:t>
      </w:r>
      <w:r w:rsidR="00CE0D20">
        <w:t>’</w:t>
      </w:r>
      <w:r>
        <w:t>une sage-femme en chef , d</w:t>
      </w:r>
      <w:r w:rsidR="00CE0D20">
        <w:t>’</w:t>
      </w:r>
      <w:r>
        <w:t>une infirmière ou d</w:t>
      </w:r>
      <w:r w:rsidR="00CE0D20">
        <w:t>’</w:t>
      </w:r>
      <w:r>
        <w:t>un technicien de soins de santé, propose aux femmes toute une gamme de services de santé procréative (il s</w:t>
      </w:r>
      <w:r w:rsidR="00CE0D20">
        <w:t>’</w:t>
      </w:r>
      <w:r>
        <w:t>agit, en l</w:t>
      </w:r>
      <w:r w:rsidR="00CE0D20">
        <w:t>’</w:t>
      </w:r>
      <w:r>
        <w:t>occurrence, de cliniques réservées aux femmes). En Slovénie, les femmes consultent un gynécologue dès le niveau des soins de santé primaires. Avant la mise en œuvre du programme de dépistage des cancers de l</w:t>
      </w:r>
      <w:r w:rsidR="00CE0D20">
        <w:t>’</w:t>
      </w:r>
      <w:r>
        <w:t xml:space="preserve">utérus (Programme dit </w:t>
      </w:r>
      <w:r w:rsidR="000D2AA5">
        <w:t>« </w:t>
      </w:r>
      <w:r>
        <w:rPr>
          <w:i/>
          <w:iCs/>
        </w:rPr>
        <w:t>ZORA</w:t>
      </w:r>
      <w:r w:rsidR="00CE0D20">
        <w:rPr>
          <w:i/>
          <w:iCs/>
        </w:rPr>
        <w:t> »</w:t>
      </w:r>
      <w:r>
        <w:t xml:space="preserve">), 20 à 30% de femmes se soumettaient à un examen. </w:t>
      </w:r>
      <w:r w:rsidR="00221C8A">
        <w:t>Étant</w:t>
      </w:r>
      <w:r>
        <w:t xml:space="preserve"> donné le faible pourcentage de femmes qui suivaient des programmes de prévention en matière de santé procréative, les visites thérapeutiques chez le gynécologue et le taux de cancers de l</w:t>
      </w:r>
      <w:r w:rsidR="00CE0D20">
        <w:t>’</w:t>
      </w:r>
      <w:r>
        <w:t>utérus étaient d</w:t>
      </w:r>
      <w:r w:rsidR="00CE0D20">
        <w:t>’</w:t>
      </w:r>
      <w:r>
        <w:t>autant plus importants. En 2002, le nombre de visites médicales de femmes au niveau des soins de santé primaire a augmenté de 12,7%, et le nombre de visites préventives de 2%. Cette augmentation est due principalement à la mise en œuvre, déjà évoquée, de programmes de dépistage précoce des affections potentiellement cancéreuses de l</w:t>
      </w:r>
      <w:r w:rsidR="00CE0D20">
        <w:t>’</w:t>
      </w:r>
      <w:r>
        <w:t>utérus, du sein, ainsi qu</w:t>
      </w:r>
      <w:r w:rsidR="00CE0D20">
        <w:t>’</w:t>
      </w:r>
      <w:r>
        <w:t>aux nouveaux traitements préventifs des femmes enceintes. En 2002, le nombre de visites liées à la contraception a également augmenté, en raison d</w:t>
      </w:r>
      <w:r w:rsidR="00CE0D20">
        <w:t>’</w:t>
      </w:r>
      <w:r>
        <w:t>une nouvelle disposition limitant la validité des ordonnances à moins de trois mois. Il est également encourageant de noter qu</w:t>
      </w:r>
      <w:r w:rsidR="00CE0D20">
        <w:t>’</w:t>
      </w:r>
      <w:r>
        <w:t>au niveau des soins secondaires, le nombre de recours à des médecins spécialistes a connu une baisse constante (4,9% des femmes traitées), de même que le nombre d</w:t>
      </w:r>
      <w:r w:rsidR="00CE0D20">
        <w:t>’</w:t>
      </w:r>
      <w:r>
        <w:t>hospitalisations pour traitement plus poussé (3,2% des femmes traitées). Le taux le plus élevé de recours à des traitements de niveau secondaire concerne en premier lieu les mammographies préventives ou curatives, puis les visites concernant un accouchement et les traitements liés à un avortement spontané ou autorisé</w:t>
      </w:r>
      <w:r w:rsidRPr="006A4785">
        <w:rPr>
          <w:rStyle w:val="FootnoteReference"/>
        </w:rPr>
        <w:footnoteReference w:customMarkFollows="1" w:id="59"/>
        <w:t>59</w:t>
      </w:r>
      <w:r>
        <w:t>.</w:t>
      </w:r>
    </w:p>
    <w:p w:rsidR="00164199" w:rsidRDefault="00164199" w:rsidP="001A0A96">
      <w:pPr>
        <w:pStyle w:val="SingleTxt"/>
      </w:pPr>
      <w:r>
        <w:t>151.</w:t>
      </w:r>
      <w:r>
        <w:tab/>
        <w:t>En liaison avec le fait – évoqué plus haut – que les femmes aient accès de manière satisfaisante aux services d</w:t>
      </w:r>
      <w:r w:rsidR="00CE0D20">
        <w:t>’</w:t>
      </w:r>
      <w:r>
        <w:t>un gynécologue dès le niveau des soins primaires, il faut également noter que l</w:t>
      </w:r>
      <w:r w:rsidR="00CE0D20">
        <w:t>’</w:t>
      </w:r>
      <w:r>
        <w:t>accès des femmes – toutes tranches d</w:t>
      </w:r>
      <w:r w:rsidR="00CE0D20">
        <w:t>’</w:t>
      </w:r>
      <w:r>
        <w:t>âge confondues</w:t>
      </w:r>
      <w:r w:rsidR="00CE0D20">
        <w:t xml:space="preserve"> – </w:t>
      </w:r>
      <w:r>
        <w:t xml:space="preserve">aux moyens contraceptifs est également considéré comme très appréciable. </w:t>
      </w:r>
    </w:p>
    <w:p w:rsidR="00164199" w:rsidRDefault="00164199" w:rsidP="001A0A96">
      <w:pPr>
        <w:pStyle w:val="SingleTxt"/>
      </w:pPr>
      <w:r>
        <w:t>152.</w:t>
      </w:r>
      <w:r>
        <w:tab/>
        <w:t>D</w:t>
      </w:r>
      <w:r w:rsidR="00CE0D20">
        <w:t>’</w:t>
      </w:r>
      <w:r>
        <w:t>après les études les plus récentes sur le comportement sexuel des élèves slovènes du niveau du second cycle de l</w:t>
      </w:r>
      <w:r w:rsidR="00CE0D20">
        <w:t>’</w:t>
      </w:r>
      <w:r>
        <w:t>enseignement secondaire, l</w:t>
      </w:r>
      <w:r w:rsidR="00CE0D20">
        <w:t>’</w:t>
      </w:r>
      <w:r>
        <w:t>âge moyen du premier rapport sexuel est de 17 ans. La méthode contraceptive la plus fréquente chez les jeunes gens de ce niveau ayant une activité sexuelle régulière est le préservatif (49% des cas), puis la pilule contraceptive (32%), l</w:t>
      </w:r>
      <w:r w:rsidR="00CE0D20">
        <w:t>’</w:t>
      </w:r>
      <w:r>
        <w:t xml:space="preserve">association de la pilule et du préservatif (4%), le retrait ou </w:t>
      </w:r>
      <w:r w:rsidR="00247191">
        <w:t>« </w:t>
      </w:r>
      <w:r>
        <w:t>coitus interruptus</w:t>
      </w:r>
      <w:r w:rsidR="00CE0D20">
        <w:t> »</w:t>
      </w:r>
      <w:r>
        <w:t xml:space="preserve"> (4%) et autres méthodes (4%). A noter que 7% des jeunes gens (filles et garçons) du niveau de l</w:t>
      </w:r>
      <w:r w:rsidR="00CE0D20">
        <w:t>’</w:t>
      </w:r>
      <w:r>
        <w:t>enseignement secondaire n</w:t>
      </w:r>
      <w:r w:rsidR="00CE0D20">
        <w:t>’</w:t>
      </w:r>
      <w:r>
        <w:t>utilisent aucun moyen contraceptif. Par rapport à 1996, le recours aux contraceptifs consommés par voie orale est passé de 14% à 32%, et les rapports sexuels non protégés sont passés de 19% à 7%. En Slovénie, étant donné l</w:t>
      </w:r>
      <w:r w:rsidR="00CE0D20">
        <w:t>’</w:t>
      </w:r>
      <w:r>
        <w:t>accès des femmes de tous âges aux soins de santé procréative, le nombre d</w:t>
      </w:r>
      <w:r w:rsidR="00CE0D20">
        <w:t>’</w:t>
      </w:r>
      <w:r>
        <w:t>avortements légaux a baissé parmi les jeunes filles : à la fin des années 1990, le taux d</w:t>
      </w:r>
      <w:r w:rsidR="00CE0D20">
        <w:t>’</w:t>
      </w:r>
      <w:r>
        <w:t>avortement, chez les jeunes filles, était proche de 12 pour 1000, et, en 2002, il n</w:t>
      </w:r>
      <w:r w:rsidR="00CE0D20">
        <w:t>’</w:t>
      </w:r>
      <w:r>
        <w:t>était plus que de 9 pour 1000</w:t>
      </w:r>
      <w:r w:rsidRPr="006A4785">
        <w:rPr>
          <w:rStyle w:val="FootnoteReference"/>
        </w:rPr>
        <w:footnoteReference w:customMarkFollows="1" w:id="60"/>
        <w:t>60</w:t>
      </w:r>
      <w:r>
        <w:t>. Pour réduire ainsi, chez les jeunes filles, le taux d</w:t>
      </w:r>
      <w:r w:rsidR="00CE0D20">
        <w:t>’</w:t>
      </w:r>
      <w:r>
        <w:t>avortement et les grossesses prématurées, on accorde une place importante à l</w:t>
      </w:r>
      <w:r w:rsidR="00CE0D20">
        <w:t>’</w:t>
      </w:r>
      <w:r>
        <w:t>éducation sexuelle dans l</w:t>
      </w:r>
      <w:r w:rsidR="00CE0D20">
        <w:t>’</w:t>
      </w:r>
      <w:r>
        <w:t>enseignement primaire et secondaire, afin que les jeunes soient mieux informés et plus compétents dans ce domaine, afin de les doter également d</w:t>
      </w:r>
      <w:r w:rsidR="00CE0D20">
        <w:t>’</w:t>
      </w:r>
      <w:r>
        <w:t>une capacité de maîtrise de leur sexualité, de leur fournir une information de qualité, de faciliter les relations interpersonnelles à ce niveau, de favoriser des points de vue modernes et sains sur ces problèmes et de permettre aux jeunes de prendre eux-mêmes des décisions responsables au sujet de leur sexualité. Une éducation sexuelle, et notamment des conseils de santé sexuelle, sont également organisés dans le cadre des services de santé, à l</w:t>
      </w:r>
      <w:r w:rsidR="00CE0D20">
        <w:t>’</w:t>
      </w:r>
      <w:r>
        <w:t>intention des jeunes gens (garçons et filles) qui sortent plus tôt du système scolaire officiel. Une information sexuelle et des conseils relatifs aux méthodes contraceptives sont également fournis gratuitement aux jeunes sur la ligne téléphonique de l</w:t>
      </w:r>
      <w:r w:rsidR="00CE0D20">
        <w:t>’</w:t>
      </w:r>
      <w:r>
        <w:t>Association slovène des Amis de la Jeunesse.</w:t>
      </w:r>
    </w:p>
    <w:p w:rsidR="009B5AAD" w:rsidRPr="009B5AAD" w:rsidRDefault="009B5AAD" w:rsidP="009B5AAD">
      <w:pPr>
        <w:pStyle w:val="SingleTxt"/>
        <w:spacing w:after="0" w:line="120" w:lineRule="exact"/>
        <w:rPr>
          <w:sz w:val="10"/>
        </w:rPr>
      </w:pPr>
    </w:p>
    <w:p w:rsidR="00164199" w:rsidRDefault="009B5AAD" w:rsidP="009B5AA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Morbidité et mortalité des femmes. Mortalité maternelle.</w:t>
      </w:r>
    </w:p>
    <w:p w:rsidR="009B5AAD" w:rsidRPr="009B5AAD" w:rsidRDefault="009B5AAD" w:rsidP="009B5AAD">
      <w:pPr>
        <w:pStyle w:val="SingleTxt"/>
        <w:spacing w:after="0" w:line="120" w:lineRule="exact"/>
        <w:rPr>
          <w:sz w:val="10"/>
        </w:rPr>
      </w:pPr>
    </w:p>
    <w:p w:rsidR="00164199" w:rsidRDefault="00164199" w:rsidP="001A0A96">
      <w:pPr>
        <w:pStyle w:val="SingleTxt"/>
      </w:pPr>
      <w:r w:rsidRPr="00DB5BE5">
        <w:t>153.</w:t>
      </w:r>
      <w:r>
        <w:tab/>
        <w:t>En 2004, le taux de mortalité infantile était de 3,7 pour 1000 naissances – ce qui fait de la Slovénie l</w:t>
      </w:r>
      <w:r w:rsidR="00CE0D20">
        <w:t>’</w:t>
      </w:r>
      <w:r>
        <w:t>un des pays ayant le taux de mortalité infantile le plus bas. Ces dernières années, le nombre annuel des naissances s</w:t>
      </w:r>
      <w:r w:rsidR="00CE0D20">
        <w:t>’</w:t>
      </w:r>
      <w:r>
        <w:t>est situé en moyenne autour de 17 000/18 000. En 2000, 5 femmes sont mortes au cours de leur grossesse et des périodes parturiente ou post-parturiente (mortalité maternelle)</w:t>
      </w:r>
      <w:r w:rsidR="00CE0D20">
        <w:t>;</w:t>
      </w:r>
      <w:r>
        <w:t xml:space="preserve"> en 2001, on a enregistré trois décès du même type, et en 2002 et 2003, il n</w:t>
      </w:r>
      <w:r w:rsidR="00CE0D20">
        <w:t>’</w:t>
      </w:r>
      <w:r>
        <w:t>y a eu aucune mort liée à la maternité.</w:t>
      </w:r>
    </w:p>
    <w:p w:rsidR="00164199" w:rsidRDefault="00164199" w:rsidP="001A0A96">
      <w:pPr>
        <w:pStyle w:val="SingleTxt"/>
      </w:pPr>
      <w:r>
        <w:t>154.</w:t>
      </w:r>
      <w:r>
        <w:tab/>
        <w:t>D</w:t>
      </w:r>
      <w:r w:rsidR="00CE0D20">
        <w:t>’</w:t>
      </w:r>
      <w:r>
        <w:t>après les données du Registre du Cancer de Slovénie, les taux de morbidité et de mortalité liés au cancer de l</w:t>
      </w:r>
      <w:r w:rsidR="00CE0D20">
        <w:t>’</w:t>
      </w:r>
      <w:r>
        <w:t>utérus ont atteint un sommet en 1997 (23,1 pour 100 000 femmes), malgré la possibilité de l</w:t>
      </w:r>
      <w:r w:rsidR="00CE0D20">
        <w:t>’</w:t>
      </w:r>
      <w:r>
        <w:t>ensemble des femmes du pays de se soumettre régulièrement à des examens gynécologiques. Ce chiffre a constitué un argument très fort en faveur de l</w:t>
      </w:r>
      <w:r w:rsidR="00CE0D20">
        <w:t>’</w:t>
      </w:r>
      <w:r>
        <w:t>instauration d</w:t>
      </w:r>
      <w:r w:rsidR="00CE0D20">
        <w:t>’</w:t>
      </w:r>
      <w:r>
        <w:t>un programme de dépistage du cancer de l</w:t>
      </w:r>
      <w:r w:rsidR="00CE0D20">
        <w:t>’</w:t>
      </w:r>
      <w:r>
        <w:t>utérus – programme invitant notamment les femmes à se soumettre à un examen. Les chiffres plus récents indiquent une baisse du taux de morbidité. En 2000, il y a eu 201 cas de femmes atteintes de cette maladie (soit 19,7 pour 100 000). En 2002, on ne comptabilisait plus (officiellement) que 186 cas</w:t>
      </w:r>
      <w:r w:rsidR="00CE0D20">
        <w:t>;</w:t>
      </w:r>
      <w:r>
        <w:t xml:space="preserve"> et, en 2003, il n</w:t>
      </w:r>
      <w:r w:rsidR="00CE0D20">
        <w:t>’</w:t>
      </w:r>
      <w:r>
        <w:t>y en avait plus que 181</w:t>
      </w:r>
      <w:r w:rsidRPr="006A4785">
        <w:rPr>
          <w:rStyle w:val="FootnoteReference"/>
        </w:rPr>
        <w:footnoteReference w:customMarkFollows="1" w:id="61"/>
        <w:t>61</w:t>
      </w:r>
      <w:r>
        <w:t xml:space="preserve">. </w:t>
      </w:r>
    </w:p>
    <w:p w:rsidR="00164199" w:rsidRDefault="00164199" w:rsidP="001A0A96">
      <w:pPr>
        <w:pStyle w:val="SingleTxt"/>
      </w:pPr>
      <w:r w:rsidRPr="007C7414">
        <w:t>155.</w:t>
      </w:r>
      <w:r>
        <w:tab/>
        <w:t>D</w:t>
      </w:r>
      <w:r w:rsidR="00CE0D20">
        <w:t>’</w:t>
      </w:r>
      <w:r>
        <w:t>autre part, le taux de morbidité lié au cancer du sein a augmenté ces dernières années – se situant autour de 91,2 pour 100 000 femmes</w:t>
      </w:r>
      <w:r w:rsidRPr="006A4785">
        <w:rPr>
          <w:rStyle w:val="FootnoteReference"/>
        </w:rPr>
        <w:footnoteReference w:customMarkFollows="1" w:id="62"/>
        <w:t>62</w:t>
      </w:r>
      <w:r>
        <w:t>. Ce phénomène est préoccupant – d</w:t>
      </w:r>
      <w:r w:rsidR="00CE0D20">
        <w:t>’</w:t>
      </w:r>
      <w:r>
        <w:t>autant plus qu</w:t>
      </w:r>
      <w:r w:rsidR="00CE0D20">
        <w:t>’</w:t>
      </w:r>
      <w:r>
        <w:t>il s</w:t>
      </w:r>
      <w:r w:rsidR="00CE0D20">
        <w:t>’</w:t>
      </w:r>
      <w:r>
        <w:t>agit, au départ, d</w:t>
      </w:r>
      <w:r w:rsidR="00CE0D20">
        <w:t>’</w:t>
      </w:r>
      <w:r>
        <w:t>une forme de cancer localisée et identifiable de manière précoce par des examens systématiques de l</w:t>
      </w:r>
      <w:r w:rsidR="00CE0D20">
        <w:t>’</w:t>
      </w:r>
      <w:r>
        <w:t>ensemble de la population féminine. C</w:t>
      </w:r>
      <w:r w:rsidR="00CE0D20">
        <w:t>’</w:t>
      </w:r>
      <w:r>
        <w:t>est la raison pour laquelle – comme nous l</w:t>
      </w:r>
      <w:r w:rsidR="00CE0D20">
        <w:t>’</w:t>
      </w:r>
      <w:r>
        <w:t>avons déjà indiqué au paragraphe 153 – les autorités slovènes ont décidé de mettre en place, de manière systématique, un système de dépistage, destiné à remplacer l</w:t>
      </w:r>
      <w:r w:rsidR="00CE0D20">
        <w:t>’</w:t>
      </w:r>
      <w:r>
        <w:t>ancien système sur l</w:t>
      </w:r>
      <w:r w:rsidR="00CE0D20">
        <w:t>’</w:t>
      </w:r>
      <w:r>
        <w:t>ensemble du territoire national.</w:t>
      </w:r>
    </w:p>
    <w:p w:rsidR="00164199" w:rsidRDefault="00164199" w:rsidP="001A0A96">
      <w:pPr>
        <w:pStyle w:val="SingleTxt"/>
      </w:pPr>
      <w:r>
        <w:t>156.</w:t>
      </w:r>
      <w:r>
        <w:tab/>
        <w:t>Les taux de morbidité et de mortalité de la population constituent un indicateur majeur en matière de santé. En Slovénie, la population bénéficie d</w:t>
      </w:r>
      <w:r w:rsidR="00CE0D20">
        <w:t>’</w:t>
      </w:r>
      <w:r>
        <w:t>un accès satisfaisant à la médecine générale – aussi bien pour les hommes que pour les femmes. Les données relatives à la mortalité de la population adulte indiquent que les maladies vasculaires sont la principale cause de décès des hommes et des femmes. En moyenne, ces maladies se déclarent, chez les femmes, dix ans plus tard que chez les hommes. Au sein de la population féminine, les accidents cardiovasculaires et cérébraux sont la deuxième cause de mort. Chez les femmes de moins de 65 ans, les deuxième et troisième causes de mort les plus courantes sont le cancer du sein et les cancers du système digestif. On note également un écart entre les deux sexes en ce qui concerne le recours aux soins de santé, puisque les femmes ont plus souvent recours aux soins primaires que les hommes. Il y a également un fossé important entre les deux sexes en matière de médication dans les cliniques externes, ou de fréquence des ordonnances médicales. En 2002, 61,7% de l</w:t>
      </w:r>
      <w:r w:rsidR="00CE0D20">
        <w:t>’</w:t>
      </w:r>
      <w:r>
        <w:t>ensemble des médicaments prescrits l</w:t>
      </w:r>
      <w:r w:rsidR="00CE0D20">
        <w:t>’</w:t>
      </w:r>
      <w:r>
        <w:t>étaient pour des femmes</w:t>
      </w:r>
      <w:r w:rsidRPr="006A4785">
        <w:rPr>
          <w:rStyle w:val="FootnoteReference"/>
        </w:rPr>
        <w:footnoteReference w:customMarkFollows="1" w:id="63"/>
        <w:t>63</w:t>
      </w:r>
      <w:r>
        <w:t>. Au niveau des soins de santé primaires, les traitements thérapeutiques concernent notamment la prévention des maladies cardiovasculaires</w:t>
      </w:r>
      <w:r w:rsidR="00CE0D20">
        <w:t>;</w:t>
      </w:r>
      <w:r>
        <w:t xml:space="preserve"> cela est totalement financé par les cotisations de santé – en d</w:t>
      </w:r>
      <w:r w:rsidR="00CE0D20">
        <w:t>’</w:t>
      </w:r>
      <w:r>
        <w:t>autres termes, c</w:t>
      </w:r>
      <w:r w:rsidR="00CE0D20">
        <w:t>’</w:t>
      </w:r>
      <w:r>
        <w:t>est totalement gratuit pour l</w:t>
      </w:r>
      <w:r w:rsidR="00CE0D20">
        <w:t>’</w:t>
      </w:r>
      <w:r>
        <w:t>ensemble des usagers. Dans le cadre de ce programme de prévention, des examens de l</w:t>
      </w:r>
      <w:r w:rsidR="00CE0D20">
        <w:t>’</w:t>
      </w:r>
      <w:r>
        <w:t>ensemble des Slovènes ayant atteint un certain âge ont lieu régulièrement chez le médecin de leur choix</w:t>
      </w:r>
      <w:r w:rsidR="00CE0D20">
        <w:t>;</w:t>
      </w:r>
      <w:r>
        <w:t xml:space="preserve"> on évalue ainsi, pour chaque individu, les risques de maladies cardiovasculaires, et des mesures appropriées sont prises en fonction du niveau de risque. Dans ce contexte, les centres de santé proposent toute une gamme d</w:t>
      </w:r>
      <w:r w:rsidR="00CE0D20">
        <w:t>’</w:t>
      </w:r>
      <w:r>
        <w:t>activités d</w:t>
      </w:r>
      <w:r w:rsidR="00CE0D20">
        <w:t>’</w:t>
      </w:r>
      <w:r>
        <w:t>éducation sanitaire – aussi bien aux hommes qu</w:t>
      </w:r>
      <w:r w:rsidR="00CE0D20">
        <w:t>’</w:t>
      </w:r>
      <w:r>
        <w:t xml:space="preserve">aux femmes. </w:t>
      </w:r>
    </w:p>
    <w:p w:rsidR="00164199" w:rsidRDefault="00164199" w:rsidP="001A0A96">
      <w:pPr>
        <w:pStyle w:val="SingleTxt"/>
      </w:pPr>
      <w:r>
        <w:t>157.</w:t>
      </w:r>
      <w:r>
        <w:tab/>
        <w:t>Diverses études ont souligné l</w:t>
      </w:r>
      <w:r w:rsidR="00CE0D20">
        <w:t>’</w:t>
      </w:r>
      <w:r>
        <w:t>influence importante des facteurs socioéconomiques sur les causes de la mort naturelle et la grille d</w:t>
      </w:r>
      <w:r w:rsidR="00CE0D20">
        <w:t>’</w:t>
      </w:r>
      <w:r>
        <w:t>âges en matière de mortalité prématurée (c</w:t>
      </w:r>
      <w:r w:rsidR="00CE0D20">
        <w:t>’</w:t>
      </w:r>
      <w:r>
        <w:t>est-à-dire avant 65 ans). Le taux de mortalité lié aux maladies cardiovasculaires est plus élevé chez les femmes qui n</w:t>
      </w:r>
      <w:r w:rsidR="00CE0D20">
        <w:t>’</w:t>
      </w:r>
      <w:r>
        <w:t>ont pas été jusqu</w:t>
      </w:r>
      <w:r w:rsidR="00CE0D20">
        <w:t>’</w:t>
      </w:r>
      <w:r>
        <w:t>au terme de l</w:t>
      </w:r>
      <w:r w:rsidR="00CE0D20">
        <w:t>’</w:t>
      </w:r>
      <w:r>
        <w:t>enseignement primaire, alors que le taux de mortalité lié au cancer du sein est plus élevé chez les femmes plus instruites. Les personnes les moins instruites sont celles qui ont le moins souvent recours aux soins de santé primaires et qui sont le plus souvent hospitalisées – ce qui signifie que ces personnes n</w:t>
      </w:r>
      <w:r w:rsidR="00CE0D20">
        <w:t>’</w:t>
      </w:r>
      <w:r>
        <w:t>ont recours à la médecine que lorsque la maladie est déjà avancée</w:t>
      </w:r>
      <w:r w:rsidRPr="006A4785">
        <w:rPr>
          <w:rStyle w:val="FootnoteReference"/>
        </w:rPr>
        <w:footnoteReference w:customMarkFollows="1" w:id="64"/>
        <w:t>64</w:t>
      </w:r>
      <w:r>
        <w:t>.</w:t>
      </w:r>
    </w:p>
    <w:p w:rsidR="009B5AAD" w:rsidRPr="009B5AAD" w:rsidRDefault="009B5AAD" w:rsidP="009B5AAD">
      <w:pPr>
        <w:pStyle w:val="SingleTxt"/>
        <w:spacing w:after="0" w:line="120" w:lineRule="exact"/>
        <w:rPr>
          <w:sz w:val="10"/>
        </w:rPr>
      </w:pPr>
    </w:p>
    <w:p w:rsidR="00164199" w:rsidRDefault="009B5AAD" w:rsidP="009B5AA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La santé mentale des femmes</w:t>
      </w:r>
    </w:p>
    <w:p w:rsidR="009B5AAD" w:rsidRPr="009B5AAD" w:rsidRDefault="009B5AAD" w:rsidP="009B5AAD">
      <w:pPr>
        <w:pStyle w:val="SingleTxt"/>
        <w:spacing w:after="0" w:line="120" w:lineRule="exact"/>
        <w:rPr>
          <w:sz w:val="10"/>
        </w:rPr>
      </w:pPr>
    </w:p>
    <w:p w:rsidR="00164199" w:rsidRDefault="00164199" w:rsidP="001A0A96">
      <w:pPr>
        <w:pStyle w:val="SingleTxt"/>
      </w:pPr>
      <w:r w:rsidRPr="00F20477">
        <w:t>158.</w:t>
      </w:r>
      <w:r>
        <w:tab/>
        <w:t>Les principaux troubles mentaux pouvant affecter les femmes sont la dépression, l</w:t>
      </w:r>
      <w:r w:rsidR="00CE0D20">
        <w:t>’</w:t>
      </w:r>
      <w:r>
        <w:t>état d</w:t>
      </w:r>
      <w:r w:rsidR="00CE0D20">
        <w:t>’</w:t>
      </w:r>
      <w:r>
        <w:t>angoisse et les maladies psychosomatiques. 10 à 25% de femmes sont atteintes d</w:t>
      </w:r>
      <w:r w:rsidR="00CE0D20">
        <w:t>’</w:t>
      </w:r>
      <w:r>
        <w:t>une dépression au moins une fois dans leur vie. Le pourcentage de femmes ayant recours aux services de santé primaire pour des troubles mentaux ou comportementaux est plus important qu</w:t>
      </w:r>
      <w:r w:rsidR="00CE0D20">
        <w:t>’</w:t>
      </w:r>
      <w:r>
        <w:t>en ce qui concerne les hommes (61,7% de femmes en 2002)</w:t>
      </w:r>
      <w:r w:rsidR="00CE0D20">
        <w:t>;</w:t>
      </w:r>
      <w:r>
        <w:t xml:space="preserve"> mais le pourcentage d</w:t>
      </w:r>
      <w:r w:rsidR="00CE0D20">
        <w:t>’</w:t>
      </w:r>
      <w:r>
        <w:t>hommes est plus élevé en matière de traitement hospitalier, et le chiffre en question augmente tous les ans. On note un accroissement des médications destinées à traiter et soulager des troubles mentaux – la majorité de ces médications s</w:t>
      </w:r>
      <w:r w:rsidR="00CE0D20">
        <w:t>’</w:t>
      </w:r>
      <w:r>
        <w:t>adressant aux femmes</w:t>
      </w:r>
      <w:r w:rsidRPr="006A4785">
        <w:rPr>
          <w:rStyle w:val="FootnoteReference"/>
        </w:rPr>
        <w:footnoteReference w:customMarkFollows="1" w:id="65"/>
        <w:t>65</w:t>
      </w:r>
      <w:r>
        <w:t>.</w:t>
      </w:r>
    </w:p>
    <w:p w:rsidR="00164199" w:rsidRDefault="00164199" w:rsidP="001A0A96">
      <w:pPr>
        <w:pStyle w:val="SingleTxt"/>
      </w:pPr>
      <w:r>
        <w:t>159.</w:t>
      </w:r>
      <w:r>
        <w:tab/>
        <w:t>La Slovénie fait partie des dix premiers pays du monde en matière de taux de suicide, avec plus de 25 suicides pour 100 000 habitants. Ce taux est quatre fois plus élevé chez les hommes que chez les femmes</w:t>
      </w:r>
      <w:r w:rsidR="00CE0D20">
        <w:t>;</w:t>
      </w:r>
      <w:r>
        <w:t xml:space="preserve"> mais les tentatives de suicide sont plus nombreuses chez les femmes. </w:t>
      </w:r>
    </w:p>
    <w:p w:rsidR="00164199" w:rsidRDefault="00164199" w:rsidP="001A0A96">
      <w:pPr>
        <w:pStyle w:val="SingleTxt"/>
      </w:pPr>
      <w:r>
        <w:t>160.</w:t>
      </w:r>
      <w:r>
        <w:tab/>
        <w:t>Comme d</w:t>
      </w:r>
      <w:r w:rsidR="00CE0D20">
        <w:t>’</w:t>
      </w:r>
      <w:r>
        <w:t>autres pays, la Slovénie doit faire face à de nombreux problèmes de nature nutritionnelle (l</w:t>
      </w:r>
      <w:r w:rsidR="00CE0D20">
        <w:t>’</w:t>
      </w:r>
      <w:r>
        <w:t>anorexie, la boulimie et la suralimentation compulsive) – maladies que l</w:t>
      </w:r>
      <w:r w:rsidR="00CE0D20">
        <w:t>’</w:t>
      </w:r>
      <w:r>
        <w:t xml:space="preserve">on qualifie de </w:t>
      </w:r>
      <w:r w:rsidR="003158AC">
        <w:t xml:space="preserve">“ </w:t>
      </w:r>
      <w:r>
        <w:t>féminines</w:t>
      </w:r>
      <w:r w:rsidR="00CE0D20">
        <w:t> »</w:t>
      </w:r>
      <w:r>
        <w:t>, étant donné que les femmes constituent 90% des cas répertoriés</w:t>
      </w:r>
      <w:r w:rsidR="00CE0D20">
        <w:t>;</w:t>
      </w:r>
      <w:r>
        <w:t xml:space="preserve"> ces désordres alimentaires sont plus fréquents chez les adolescentes et les jeunes filles de 15 à 25 ans. D</w:t>
      </w:r>
      <w:r w:rsidR="00CE0D20">
        <w:t>’</w:t>
      </w:r>
      <w:r>
        <w:t>après les études d</w:t>
      </w:r>
      <w:r w:rsidR="00CE0D20">
        <w:t>’</w:t>
      </w:r>
      <w:r>
        <w:t>experts en anorexie, 1% des jeunes filles âgées de 12 à 25 ans souffrent de cette maladie. Ces dernières années, l</w:t>
      </w:r>
      <w:r w:rsidR="00CE0D20">
        <w:t>’</w:t>
      </w:r>
      <w:r>
        <w:t>âge-plafond des anorexiques a baissé. Les anorexiques sont à 95% des femmes. La boulimie est plus répandue</w:t>
      </w:r>
      <w:r w:rsidR="00CE0D20">
        <w:t>;</w:t>
      </w:r>
      <w:r>
        <w:t xml:space="preserve"> elle touche 5% de la population (dont 80 à 90% de femmes). Enfin, la maladie nutritionnelle la plus courante est la suralimentation compulsive, qui touche environ 12% de la population – le plus fréquemment de jeunes adultes ou des adultes d</w:t>
      </w:r>
      <w:r w:rsidR="00CE0D20">
        <w:t>’</w:t>
      </w:r>
      <w:r>
        <w:t>âge moyen (dont, au total, 90% de femmes)</w:t>
      </w:r>
      <w:r w:rsidRPr="006A4785">
        <w:rPr>
          <w:rStyle w:val="FootnoteReference"/>
        </w:rPr>
        <w:footnoteReference w:customMarkFollows="1" w:id="66"/>
        <w:t>66</w:t>
      </w:r>
      <w:r>
        <w:t>.</w:t>
      </w:r>
    </w:p>
    <w:p w:rsidR="009B5AAD" w:rsidRPr="009B5AAD" w:rsidRDefault="009B5AAD" w:rsidP="009B5AAD">
      <w:pPr>
        <w:pStyle w:val="SingleTxt"/>
        <w:spacing w:after="0" w:line="120" w:lineRule="exact"/>
        <w:rPr>
          <w:sz w:val="10"/>
        </w:rPr>
      </w:pPr>
    </w:p>
    <w:p w:rsidR="00164199" w:rsidRDefault="009B5AAD" w:rsidP="009B5AA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Les maladies sexuellement transmissibles – notamment le sida</w:t>
      </w:r>
    </w:p>
    <w:p w:rsidR="009B5AAD" w:rsidRPr="009B5AAD" w:rsidRDefault="009B5AAD" w:rsidP="009B5AAD">
      <w:pPr>
        <w:pStyle w:val="SingleTxt"/>
        <w:spacing w:after="0" w:line="120" w:lineRule="exact"/>
        <w:rPr>
          <w:sz w:val="10"/>
        </w:rPr>
      </w:pPr>
    </w:p>
    <w:p w:rsidR="00164199" w:rsidRDefault="00164199" w:rsidP="001A0A96">
      <w:pPr>
        <w:pStyle w:val="SingleTxt"/>
      </w:pPr>
      <w:r w:rsidRPr="00561083">
        <w:t>161.</w:t>
      </w:r>
      <w:r>
        <w:tab/>
        <w:t>En Slovénie, les maladies sexuellement transmissibles les plus courantes sont la chlamydia, la blennorragie, l</w:t>
      </w:r>
      <w:r w:rsidR="00CE0D20">
        <w:t>’</w:t>
      </w:r>
      <w:r>
        <w:t>urétrite non chronique, l</w:t>
      </w:r>
      <w:r w:rsidR="00CE0D20">
        <w:t>’</w:t>
      </w:r>
      <w:r>
        <w:t>herpès génital et les verrues génitales</w:t>
      </w:r>
      <w:r w:rsidR="00CE0D20">
        <w:t>;</w:t>
      </w:r>
      <w:r>
        <w:t xml:space="preserve"> on note également un certain nombre de cas de syphilis. La blennorragie est plus courante chez les hommes (10,7% de cas en 2002), tandis que la chlamydia est plus fréquente chez les femmes (56,7% de cas en 2001)</w:t>
      </w:r>
      <w:r w:rsidRPr="006A4785">
        <w:rPr>
          <w:rStyle w:val="FootnoteReference"/>
        </w:rPr>
        <w:footnoteReference w:customMarkFollows="1" w:id="67"/>
        <w:t>67</w:t>
      </w:r>
      <w:r>
        <w:t>.</w:t>
      </w:r>
    </w:p>
    <w:p w:rsidR="00164199" w:rsidRDefault="00164199" w:rsidP="001A0A96">
      <w:pPr>
        <w:pStyle w:val="SingleTxt"/>
      </w:pPr>
      <w:r>
        <w:t>162.</w:t>
      </w:r>
      <w:r>
        <w:tab/>
        <w:t>Toute personne résidant en Slovénie – les femmes comme les hommes</w:t>
      </w:r>
      <w:r w:rsidR="00CE0D20">
        <w:t xml:space="preserve"> – </w:t>
      </w:r>
      <w:r>
        <w:t>peut effectuer gratuitement un test VIH. Une fois par semaine, des membres d</w:t>
      </w:r>
      <w:r w:rsidR="00CE0D20">
        <w:t>’</w:t>
      </w:r>
      <w:r>
        <w:t>une clinique externe proposent, dans le cadre de l</w:t>
      </w:r>
      <w:r w:rsidR="00CE0D20">
        <w:t>’</w:t>
      </w:r>
      <w:r>
        <w:t>Hôpital des maladies infectieuses de Ljubljana, des tests anonymes et gratuits, accessibles à tous. De 1986 – année où l</w:t>
      </w:r>
      <w:r w:rsidR="00CE0D20">
        <w:t>’</w:t>
      </w:r>
      <w:r>
        <w:t>on a enregistré les deux premiers cas de sida -, au 30 juin 2005, il y a eu au total 119 cas officiels de sida en Slovénie (104 hommes et 15 femmes – dont deux enfants, un garçon et une fille). Au cours de cette même période, on a répertorié 139</w:t>
      </w:r>
      <w:r w:rsidR="009B5AAD">
        <w:t> </w:t>
      </w:r>
      <w:r>
        <w:t>cas d</w:t>
      </w:r>
      <w:r w:rsidR="00CE0D20">
        <w:t>’</w:t>
      </w:r>
      <w:r>
        <w:t>infection par le virus VIH sans que le sida se soit encore déclaré (il s</w:t>
      </w:r>
      <w:r w:rsidR="00CE0D20">
        <w:t>’</w:t>
      </w:r>
      <w:r>
        <w:t>agissait de 108 hommes, 26 femmes, trois jeunes garçons (dont deux hémophiles) et deux jeunes filles). A l</w:t>
      </w:r>
      <w:r w:rsidR="00CE0D20">
        <w:t>’</w:t>
      </w:r>
      <w:r>
        <w:t>heure actuelle, il y a, en principe, au moins 130 personnes vivant en Slovénie atteintes du virus VIH sans pour autant que la maladie se soit déclarée, et l</w:t>
      </w:r>
      <w:r w:rsidR="00CE0D20">
        <w:t>’</w:t>
      </w:r>
      <w:r>
        <w:t>on compte 43 personnes (hommes et femmes) officiellement atteintes du sida. Cependant, il est probable que le nombre de personnes atteintes du virus est plus élevé que les chiffres officiels, dans la mesure où la pratique des tests VIH est relativement moins répandue en Slovénie que dans d</w:t>
      </w:r>
      <w:r w:rsidR="00CE0D20">
        <w:t>’</w:t>
      </w:r>
      <w:r>
        <w:t>autres pays européens (1,1 test pour 100 habitants en 2004). Au premier semestre 2005, on a décelé officiellement 16 nouveaux cas d</w:t>
      </w:r>
      <w:r w:rsidR="00CE0D20">
        <w:t>’</w:t>
      </w:r>
      <w:r>
        <w:t>infection due au VIH (13 hommes et 3 femmes)</w:t>
      </w:r>
      <w:r w:rsidRPr="006A4785">
        <w:rPr>
          <w:rStyle w:val="FootnoteReference"/>
        </w:rPr>
        <w:footnoteReference w:customMarkFollows="1" w:id="68"/>
        <w:t>68</w:t>
      </w:r>
      <w:r>
        <w:t>.</w:t>
      </w:r>
    </w:p>
    <w:p w:rsidR="009B5AAD" w:rsidRPr="009B5AAD" w:rsidRDefault="009B5AAD" w:rsidP="009B5AAD">
      <w:pPr>
        <w:pStyle w:val="SingleTxt"/>
        <w:spacing w:after="0" w:line="120" w:lineRule="exact"/>
        <w:rPr>
          <w:sz w:val="10"/>
        </w:rPr>
      </w:pPr>
    </w:p>
    <w:p w:rsidR="00164199" w:rsidRDefault="009B5AAD" w:rsidP="009B5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Programmes de sensibilisation des femmes</w:t>
      </w:r>
    </w:p>
    <w:p w:rsidR="009B5AAD" w:rsidRPr="009B5AAD" w:rsidRDefault="009B5AAD" w:rsidP="009B5AAD">
      <w:pPr>
        <w:pStyle w:val="SingleTxt"/>
        <w:spacing w:after="0" w:line="120" w:lineRule="exact"/>
        <w:rPr>
          <w:sz w:val="10"/>
        </w:rPr>
      </w:pPr>
    </w:p>
    <w:p w:rsidR="00164199" w:rsidRDefault="00164199" w:rsidP="001A0A96">
      <w:pPr>
        <w:pStyle w:val="SingleTxt"/>
      </w:pPr>
      <w:r w:rsidRPr="005207D8">
        <w:t>163.</w:t>
      </w:r>
      <w:r>
        <w:tab/>
        <w:t xml:space="preserve">Depuis le Troisième Rapport, une action importante a été menée en vue de sensibiliser la population au problème de la santé des femmes. Dans le cadre du Programme </w:t>
      </w:r>
      <w:r>
        <w:rPr>
          <w:i/>
          <w:iCs/>
        </w:rPr>
        <w:t>ZORA</w:t>
      </w:r>
      <w:r>
        <w:t>, l</w:t>
      </w:r>
      <w:r w:rsidR="00CE0D20">
        <w:t>’</w:t>
      </w:r>
      <w:r>
        <w:t>Institut d</w:t>
      </w:r>
      <w:r w:rsidR="00CE0D20">
        <w:t>’</w:t>
      </w:r>
      <w:r>
        <w:t xml:space="preserve">Oncologie a publié, en 2003, une brochure intitulée </w:t>
      </w:r>
      <w:r w:rsidR="00247191">
        <w:t>« </w:t>
      </w:r>
      <w:r>
        <w:rPr>
          <w:i/>
          <w:iCs/>
        </w:rPr>
        <w:t>Faites vous aussi un examen gynécologique</w:t>
      </w:r>
      <w:r w:rsidR="00CE0D20">
        <w:rPr>
          <w:i/>
          <w:iCs/>
        </w:rPr>
        <w:t>! »</w:t>
      </w:r>
      <w:r>
        <w:t>. D</w:t>
      </w:r>
      <w:r w:rsidR="00CE0D20">
        <w:t>’</w:t>
      </w:r>
      <w:r>
        <w:t>autre part, à l</w:t>
      </w:r>
      <w:r w:rsidR="00CE0D20">
        <w:t>’</w:t>
      </w:r>
      <w:r>
        <w:t>occasion de la Journée mondiale de la Santé, l</w:t>
      </w:r>
      <w:r w:rsidR="00CE0D20">
        <w:t>’</w:t>
      </w:r>
      <w:r>
        <w:t>Institut slovène de la Santé publique a organisé un congrès, dont le slogan était</w:t>
      </w:r>
      <w:r w:rsidR="00247191">
        <w:t xml:space="preserve">. </w:t>
      </w:r>
      <w:r w:rsidR="003158AC">
        <w:rPr>
          <w:i/>
          <w:iCs/>
        </w:rPr>
        <w:t xml:space="preserve"> </w:t>
      </w:r>
      <w:r w:rsidR="00247191">
        <w:rPr>
          <w:i/>
          <w:iCs/>
        </w:rPr>
        <w:t>« </w:t>
      </w:r>
      <w:r>
        <w:rPr>
          <w:i/>
          <w:iCs/>
        </w:rPr>
        <w:t>Pour toutes les mères et tous les enfants</w:t>
      </w:r>
      <w:r w:rsidR="00CE0D20">
        <w:rPr>
          <w:i/>
          <w:iCs/>
        </w:rPr>
        <w:t> »</w:t>
      </w:r>
      <w:r>
        <w:t xml:space="preserve">, et auquel participait le Bureau pour </w:t>
      </w:r>
      <w:r w:rsidR="00247191">
        <w:t>L’Égalité</w:t>
      </w:r>
      <w:r>
        <w:t xml:space="preserve"> des chances. A cette occasion, l</w:t>
      </w:r>
      <w:r w:rsidR="00CE0D20">
        <w:t>’</w:t>
      </w:r>
      <w:r>
        <w:t xml:space="preserve">Institut a publié un </w:t>
      </w:r>
      <w:r w:rsidR="00247191">
        <w:t>« </w:t>
      </w:r>
      <w:r>
        <w:rPr>
          <w:i/>
          <w:iCs/>
        </w:rPr>
        <w:t>Guide des droits de la femme enceinte</w:t>
      </w:r>
      <w:r w:rsidR="00CE0D20">
        <w:rPr>
          <w:i/>
          <w:iCs/>
        </w:rPr>
        <w:t> »;</w:t>
      </w:r>
      <w:r>
        <w:t xml:space="preserve"> puis, en 2004, l</w:t>
      </w:r>
      <w:r w:rsidR="00CE0D20">
        <w:t>’</w:t>
      </w:r>
      <w:r>
        <w:t xml:space="preserve">Institut de la Santé publique publiait de nouveau un petit ouvrage intitulé </w:t>
      </w:r>
      <w:r w:rsidR="00247191">
        <w:t>« </w:t>
      </w:r>
      <w:r>
        <w:rPr>
          <w:i/>
          <w:iCs/>
        </w:rPr>
        <w:t>Prendre la dépression postnatale au sérieux</w:t>
      </w:r>
      <w:r w:rsidR="00CE0D20">
        <w:rPr>
          <w:i/>
          <w:iCs/>
        </w:rPr>
        <w:t> »</w:t>
      </w:r>
      <w:r>
        <w:rPr>
          <w:i/>
          <w:iCs/>
        </w:rPr>
        <w:t> </w:t>
      </w:r>
      <w:r>
        <w:t>: ce fascicule indiquait comment identifier cette forme de dépression, les types d</w:t>
      </w:r>
      <w:r w:rsidR="00CE0D20">
        <w:t>’</w:t>
      </w:r>
      <w:r>
        <w:t>aide disponibles et les traitements possibles.</w:t>
      </w:r>
    </w:p>
    <w:p w:rsidR="00164199" w:rsidRDefault="00164199" w:rsidP="001A0A96">
      <w:pPr>
        <w:pStyle w:val="SingleTxt"/>
      </w:pPr>
      <w:r>
        <w:t>164.</w:t>
      </w:r>
      <w:r>
        <w:tab/>
        <w:t xml:space="preserve">En matière de sensibilisation, les organisations non gouvernementales jouent un rôle important. Par exemple, </w:t>
      </w:r>
      <w:r w:rsidR="00247191">
        <w:t>« </w:t>
      </w:r>
      <w:r>
        <w:t>Europa Donna</w:t>
      </w:r>
      <w:r w:rsidR="00CE0D20">
        <w:t> »</w:t>
      </w:r>
      <w:r>
        <w:t xml:space="preserve"> est une association active depuis 1997 et qui lutte notamment contre le cancer du sein. Cette ONG a pour objectif majeur d</w:t>
      </w:r>
      <w:r w:rsidR="00CE0D20">
        <w:t>’</w:t>
      </w:r>
      <w:r>
        <w:t>offrir à toutes les femmes de Slovénie une égalité de chances et de conditions en matière de dépistage précoce et de traitement immédiat de ce type de cancer. Pour atteindre cet objectif, l</w:t>
      </w:r>
      <w:r w:rsidR="00CE0D20">
        <w:t>’</w:t>
      </w:r>
      <w:r>
        <w:t xml:space="preserve">association </w:t>
      </w:r>
      <w:r w:rsidR="00247191">
        <w:t>« </w:t>
      </w:r>
      <w:r>
        <w:t>Europa Donna</w:t>
      </w:r>
      <w:r w:rsidR="00CE0D20">
        <w:t> »</w:t>
      </w:r>
      <w:r>
        <w:t xml:space="preserve"> mène une action d</w:t>
      </w:r>
      <w:r w:rsidR="00CE0D20">
        <w:t>’</w:t>
      </w:r>
      <w:r>
        <w:t>information, de conseil, d</w:t>
      </w:r>
      <w:r w:rsidR="00CE0D20">
        <w:t>’</w:t>
      </w:r>
      <w:r>
        <w:t>éducation complémentaire, de modernisation des équipements médicaux et d</w:t>
      </w:r>
      <w:r w:rsidR="00CE0D20">
        <w:t>’</w:t>
      </w:r>
      <w:r>
        <w:t xml:space="preserve">aide des femmes qui sont dans le besoin ou se situent au seuil de la pauvreté en raison de leur maladie. </w:t>
      </w:r>
    </w:p>
    <w:p w:rsidR="009B5AAD" w:rsidRPr="009B5AAD" w:rsidRDefault="009B5AAD" w:rsidP="009B5AAD">
      <w:pPr>
        <w:pStyle w:val="SingleTxt"/>
        <w:spacing w:after="0" w:line="120" w:lineRule="exact"/>
        <w:rPr>
          <w:sz w:val="10"/>
        </w:rPr>
      </w:pPr>
    </w:p>
    <w:p w:rsidR="009B5AAD" w:rsidRPr="009B5AAD" w:rsidRDefault="009B5AAD" w:rsidP="009B5AAD">
      <w:pPr>
        <w:pStyle w:val="SingleTxt"/>
        <w:spacing w:after="0" w:line="120" w:lineRule="exact"/>
        <w:rPr>
          <w:sz w:val="10"/>
        </w:rPr>
      </w:pPr>
    </w:p>
    <w:p w:rsidR="00164199" w:rsidRDefault="009B5AAD" w:rsidP="009B5A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Article 13</w:t>
      </w:r>
    </w:p>
    <w:p w:rsidR="009B5AAD" w:rsidRPr="009B5AAD" w:rsidRDefault="009B5AAD" w:rsidP="009B5AAD">
      <w:pPr>
        <w:pStyle w:val="SingleTxt"/>
        <w:spacing w:after="0" w:line="120" w:lineRule="exact"/>
        <w:rPr>
          <w:sz w:val="10"/>
        </w:rPr>
      </w:pPr>
    </w:p>
    <w:p w:rsidR="009B5AAD" w:rsidRPr="009B5AAD" w:rsidRDefault="009B5AAD" w:rsidP="009B5AAD">
      <w:pPr>
        <w:pStyle w:val="SingleTxt"/>
        <w:spacing w:after="0" w:line="120" w:lineRule="exact"/>
        <w:rPr>
          <w:sz w:val="10"/>
        </w:rPr>
      </w:pPr>
    </w:p>
    <w:p w:rsidR="00164199" w:rsidRDefault="009B5AAD" w:rsidP="009B5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Autres domaines de la vie économique et sociale</w:t>
      </w:r>
    </w:p>
    <w:p w:rsidR="009B5AAD" w:rsidRPr="009B5AAD" w:rsidRDefault="009B5AAD" w:rsidP="009B5AAD">
      <w:pPr>
        <w:pStyle w:val="SingleTxt"/>
        <w:spacing w:after="0" w:line="120" w:lineRule="exact"/>
        <w:rPr>
          <w:sz w:val="10"/>
        </w:rPr>
      </w:pPr>
    </w:p>
    <w:p w:rsidR="00164199" w:rsidRDefault="00164199" w:rsidP="001A0A96">
      <w:pPr>
        <w:pStyle w:val="SingleTxt"/>
      </w:pPr>
      <w:r w:rsidRPr="00140FB1">
        <w:t>165.</w:t>
      </w:r>
      <w:r>
        <w:tab/>
        <w:t xml:space="preserve">En décembre 2003, la </w:t>
      </w:r>
      <w:r>
        <w:rPr>
          <w:i/>
          <w:iCs/>
        </w:rPr>
        <w:t>Loi sur l</w:t>
      </w:r>
      <w:r w:rsidR="00CE0D20">
        <w:rPr>
          <w:i/>
          <w:iCs/>
        </w:rPr>
        <w:t>’</w:t>
      </w:r>
      <w:r>
        <w:rPr>
          <w:i/>
          <w:iCs/>
        </w:rPr>
        <w:t>assistance sociale</w:t>
      </w:r>
      <w:r>
        <w:t xml:space="preserve"> était amendée, afin d</w:t>
      </w:r>
      <w:r w:rsidR="00CE0D20">
        <w:t>’</w:t>
      </w:r>
      <w:r>
        <w:t>accorder le droit à une aide familiale à tout adulte atteint d</w:t>
      </w:r>
      <w:r w:rsidR="00CE0D20">
        <w:t>’</w:t>
      </w:r>
      <w:r>
        <w:t>un grave trouble mental ou physiquement handicapé et ayant besoin d</w:t>
      </w:r>
      <w:r w:rsidR="00CE0D20">
        <w:t>’</w:t>
      </w:r>
      <w:r>
        <w:t>une assistance pour les activités quotidiennes les plus courantes. L</w:t>
      </w:r>
      <w:r w:rsidR="00CE0D20">
        <w:t>’</w:t>
      </w:r>
      <w:r>
        <w:t>aide familiale en question peut être une personne résidant en permanence avec la personne handicapée, ou un parent de cette dernière. D</w:t>
      </w:r>
      <w:r w:rsidR="00CE0D20">
        <w:t>’</w:t>
      </w:r>
      <w:r>
        <w:t>après les chiffres de 2004, 58% des aides familiales étaient des femmes.</w:t>
      </w:r>
    </w:p>
    <w:p w:rsidR="00164199" w:rsidRDefault="00164199" w:rsidP="001A0A96">
      <w:pPr>
        <w:pStyle w:val="SingleTxt"/>
      </w:pPr>
      <w:r>
        <w:t>166.</w:t>
      </w:r>
      <w:r>
        <w:tab/>
        <w:t xml:space="preserve">Les chiffres des crédits déboursés dans le cadre de la </w:t>
      </w:r>
      <w:r>
        <w:rPr>
          <w:i/>
          <w:iCs/>
        </w:rPr>
        <w:t>Loi sur l</w:t>
      </w:r>
      <w:r w:rsidR="00CE0D20">
        <w:rPr>
          <w:i/>
          <w:iCs/>
        </w:rPr>
        <w:t>’</w:t>
      </w:r>
      <w:r>
        <w:rPr>
          <w:i/>
          <w:iCs/>
        </w:rPr>
        <w:t>assistance sociale</w:t>
      </w:r>
      <w:r>
        <w:t xml:space="preserve"> indiquent une augmentation du nombre de candidats des deux sexes à l</w:t>
      </w:r>
      <w:r w:rsidR="00CE0D20">
        <w:t>’</w:t>
      </w:r>
      <w:r>
        <w:t>aide sociale en question – le pourcentage de femmes bénéficiaires de ces aides étant lui-même en augmentation. En janvier 2003, on comptait 45 992 bénéficiaires de l</w:t>
      </w:r>
      <w:r w:rsidR="00CE0D20">
        <w:t>’</w:t>
      </w:r>
      <w:r>
        <w:t>assistance sociale (dont 49,2% de femmes)</w:t>
      </w:r>
      <w:r w:rsidR="00CE0D20">
        <w:t>;</w:t>
      </w:r>
      <w:r>
        <w:t xml:space="preserve"> en décembre 2003, le chiffre était passé à 57 742 (dont 53,3% de femmes), et il était de 62 256 en décembre 2004 (dont 54,4% de femmes)</w:t>
      </w:r>
      <w:r w:rsidRPr="006A4785">
        <w:rPr>
          <w:rStyle w:val="FootnoteReference"/>
        </w:rPr>
        <w:footnoteReference w:customMarkFollows="1" w:id="69"/>
        <w:t>69</w:t>
      </w:r>
      <w:r>
        <w:t>.</w:t>
      </w:r>
    </w:p>
    <w:p w:rsidR="00164199" w:rsidRDefault="00164199" w:rsidP="001A0A96">
      <w:pPr>
        <w:pStyle w:val="SingleTxt"/>
      </w:pPr>
      <w:r>
        <w:t>167.</w:t>
      </w:r>
      <w:r>
        <w:tab/>
        <w:t xml:space="preserve">La </w:t>
      </w:r>
      <w:r>
        <w:rPr>
          <w:i/>
          <w:iCs/>
        </w:rPr>
        <w:t>Loi sur la protection parentale et les allocations familiales</w:t>
      </w:r>
      <w:r>
        <w:t xml:space="preserve"> a déjà été présentée dans le Troisième Rapport. En 2004, on comptait 383 570 enfants donnant droit à des allocations familiales. Toujours en 2004, le nombre de personnes ayant droit au versement d</w:t>
      </w:r>
      <w:r w:rsidR="00CE0D20">
        <w:t>’</w:t>
      </w:r>
      <w:r>
        <w:t>indemnités de remboursement parentales était en moyenne de 16 032 par mois, et l</w:t>
      </w:r>
      <w:r w:rsidR="00CE0D20">
        <w:t>’</w:t>
      </w:r>
      <w:r>
        <w:t>allocation parentale a été accordée à 2806 personnes. En 2005, le montant du revenu minimum donnant droit à une aide sociale était de 46 981 SIT (soit environ 235 dollars) pour une seule personne ou le chef de famille adulte, de 32 887 SIT (soit environ 165 dollars) pour chacun des autres adultes de la famille, et de 14 094 SIT (soit environ 70 dollars) par enfant</w:t>
      </w:r>
      <w:r w:rsidR="00CE0D20">
        <w:t>;</w:t>
      </w:r>
      <w:r>
        <w:t xml:space="preserve"> quant au complément de revenu des familles monoparentales, il était de 14 094 SIT (soit environ 70 dollars)</w:t>
      </w:r>
      <w:r w:rsidRPr="006A4785">
        <w:rPr>
          <w:rStyle w:val="FootnoteReference"/>
        </w:rPr>
        <w:footnoteReference w:customMarkFollows="1" w:id="70"/>
        <w:t>70</w:t>
      </w:r>
      <w:r>
        <w:t>.</w:t>
      </w:r>
    </w:p>
    <w:p w:rsidR="00164199" w:rsidRDefault="00164199" w:rsidP="001A0A96">
      <w:pPr>
        <w:pStyle w:val="SingleTxt"/>
      </w:pPr>
      <w:r>
        <w:t>168.</w:t>
      </w:r>
      <w:r>
        <w:tab/>
        <w:t xml:space="preserve">En juillet 2004, la Slovénie adoptait le </w:t>
      </w:r>
      <w:r>
        <w:rPr>
          <w:i/>
          <w:iCs/>
        </w:rPr>
        <w:t>Plan d</w:t>
      </w:r>
      <w:r w:rsidR="00CE0D20">
        <w:rPr>
          <w:i/>
          <w:iCs/>
        </w:rPr>
        <w:t>’</w:t>
      </w:r>
      <w:r>
        <w:rPr>
          <w:i/>
          <w:iCs/>
        </w:rPr>
        <w:t>Action national pour l</w:t>
      </w:r>
      <w:r w:rsidR="00CE0D20">
        <w:rPr>
          <w:i/>
          <w:iCs/>
        </w:rPr>
        <w:t>’</w:t>
      </w:r>
      <w:r>
        <w:rPr>
          <w:i/>
          <w:iCs/>
        </w:rPr>
        <w:t>Insertion sociale</w:t>
      </w:r>
      <w:r>
        <w:t xml:space="preserve"> (pour la période 2004-2006), prévoyant la mise en œuvre de la politique d</w:t>
      </w:r>
      <w:r w:rsidR="00CE0D20">
        <w:t>’</w:t>
      </w:r>
      <w:r>
        <w:t xml:space="preserve">insertion sociale déjà définie dans le cadre du </w:t>
      </w:r>
      <w:r>
        <w:rPr>
          <w:i/>
          <w:iCs/>
        </w:rPr>
        <w:t>Programme de lutte contre la pauvreté et l</w:t>
      </w:r>
      <w:r w:rsidR="00CE0D20">
        <w:rPr>
          <w:i/>
          <w:iCs/>
        </w:rPr>
        <w:t>’</w:t>
      </w:r>
      <w:r>
        <w:rPr>
          <w:i/>
          <w:iCs/>
        </w:rPr>
        <w:t>exclusion sociale</w:t>
      </w:r>
      <w:r>
        <w:t xml:space="preserve"> appliqué à partir de l</w:t>
      </w:r>
      <w:r w:rsidR="00CE0D20">
        <w:t>’</w:t>
      </w:r>
      <w:r>
        <w:t xml:space="preserve">an 2000, et du </w:t>
      </w:r>
      <w:r>
        <w:rPr>
          <w:i/>
          <w:iCs/>
        </w:rPr>
        <w:t>Mémorandum conjoint sur l</w:t>
      </w:r>
      <w:r w:rsidR="00CE0D20">
        <w:rPr>
          <w:i/>
          <w:iCs/>
        </w:rPr>
        <w:t>’</w:t>
      </w:r>
      <w:r>
        <w:rPr>
          <w:i/>
          <w:iCs/>
        </w:rPr>
        <w:t>inclusion sociale,</w:t>
      </w:r>
      <w:r>
        <w:t xml:space="preserve"> signé par la Slovénie et la Commission européenne et appliqué à partir de 2003.</w:t>
      </w:r>
    </w:p>
    <w:p w:rsidR="00164199" w:rsidRDefault="00164199" w:rsidP="001A0A96">
      <w:pPr>
        <w:pStyle w:val="SingleTxt"/>
      </w:pPr>
      <w:r>
        <w:t>169.</w:t>
      </w:r>
      <w:r>
        <w:tab/>
        <w:t xml:space="preserve">Le taux dit de </w:t>
      </w:r>
      <w:r w:rsidR="00247191">
        <w:t>« </w:t>
      </w:r>
      <w:r>
        <w:t>risque de pauvreté</w:t>
      </w:r>
      <w:r w:rsidR="00CE0D20">
        <w:t> »</w:t>
      </w:r>
      <w:r w:rsidRPr="006A4785">
        <w:rPr>
          <w:rStyle w:val="FootnoteReference"/>
        </w:rPr>
        <w:footnoteReference w:customMarkFollows="1" w:id="71"/>
        <w:t>71</w:t>
      </w:r>
      <w:r>
        <w:t xml:space="preserve"> – en termes de revenus financiers ou en nature – était de 9,9% en 2002 (8,5% pour les hommes et 11,2% pour les femmes), soit 1,4% de moins qu</w:t>
      </w:r>
      <w:r w:rsidR="00CE0D20">
        <w:t>’</w:t>
      </w:r>
      <w:r>
        <w:t>en 2000. Les études relatives à la pauvreté et à l</w:t>
      </w:r>
      <w:r w:rsidR="00CE0D20">
        <w:t>’</w:t>
      </w:r>
      <w:r>
        <w:t>exclusion sociale indiquent un écart entre les sexes au sein des groupes les plus exposés (c</w:t>
      </w:r>
      <w:r w:rsidR="00CE0D20">
        <w:t>’</w:t>
      </w:r>
      <w:r>
        <w:t>est-à-dire certaines catégories de personnes handicapées, les jeunes chômeurs, les Roms, les membres de familles monoparentales, les victimes de violences, les personnes âgées, etc.). Les écarts les plus importants concernent les personnes de plus de 65 ans (dans ces tranches d</w:t>
      </w:r>
      <w:r w:rsidR="00CE0D20">
        <w:t>’</w:t>
      </w:r>
      <w:r>
        <w:t>âge, le taux de risque de pauvreté est de 24,1% pour les femmes et de 10,8% pour les hommes), ainsi que les hommes et les femmes célibataires (le taux de risque de pauvreté étant, dans ce cas, de 38,7% chez les femmes et de 30,5% chez les hommes).</w:t>
      </w:r>
      <w:r w:rsidR="00BA4F2E">
        <w:t xml:space="preserve"> </w:t>
      </w:r>
      <w:r>
        <w:t>Les foyers exposés à un risque de pauvreté supérieur à la moyenne slovène sont les familles monoparentales avec au moins un enfant à charge (17,2%)</w:t>
      </w:r>
      <w:r w:rsidR="00CE0D20">
        <w:t>;</w:t>
      </w:r>
      <w:r>
        <w:t xml:space="preserve"> à noter que la plupart des familles monoparentales sont en fait des familles gérées uniquement par la mère (86%). Cependant, les chiffres indiquent que le niveau de risque de ces familles monoparentales a accusé un recul ces dernières années (il a baissé de 3,9% entre 2000 et 2006). D</w:t>
      </w:r>
      <w:r w:rsidR="00CE0D20">
        <w:t>’</w:t>
      </w:r>
      <w:r>
        <w:t>autre part, les chômeurs (37,5% de femmes et 39,3% d</w:t>
      </w:r>
      <w:r w:rsidR="00CE0D20">
        <w:t>’</w:t>
      </w:r>
      <w:r>
        <w:t>hommes) et les locataires (aussi bien les hommes que les femmes – soit 21,4% pour les femmes et 18,3% pour les hommes) sont également exposés à un risque de pauvreté plus important. Pour la période 2000-2002, le taux de risque de pauvreté pour les locataires de sexe féminin a augmenté de 4,6%</w:t>
      </w:r>
      <w:r w:rsidRPr="006A4785">
        <w:rPr>
          <w:rStyle w:val="FootnoteReference"/>
        </w:rPr>
        <w:footnoteReference w:customMarkFollows="1" w:id="72"/>
        <w:t>72</w:t>
      </w:r>
      <w:r>
        <w:t>.</w:t>
      </w:r>
    </w:p>
    <w:p w:rsidR="00164199" w:rsidRDefault="00164199" w:rsidP="001A0A96">
      <w:pPr>
        <w:pStyle w:val="SingleTxt"/>
      </w:pPr>
      <w:r>
        <w:t>170.</w:t>
      </w:r>
      <w:r>
        <w:tab/>
        <w:t>En ce qui concerne la participation des femmes aux activités de loisirs et à la vie culturelle, les chiffres de 2000/2001 indiquent que les femmes consacrent beaucoup moins de temps que les hommes à la culture, au sport, aux passe-temps et à la vie sociale (39 minutes pour les femmes et 1 heure et deux minutes pour les hommes)</w:t>
      </w:r>
      <w:r w:rsidRPr="006A4785">
        <w:rPr>
          <w:rStyle w:val="FootnoteReference"/>
        </w:rPr>
        <w:footnoteReference w:customMarkFollows="1" w:id="73"/>
        <w:t>73</w:t>
      </w:r>
      <w:r>
        <w:t>.</w:t>
      </w:r>
    </w:p>
    <w:p w:rsidR="00164199" w:rsidRDefault="00164199" w:rsidP="001A0A96">
      <w:pPr>
        <w:pStyle w:val="SingleTxt"/>
      </w:pPr>
      <w:r>
        <w:t>171.</w:t>
      </w:r>
      <w:r>
        <w:tab/>
        <w:t>D</w:t>
      </w:r>
      <w:r w:rsidR="00CE0D20">
        <w:t>’</w:t>
      </w:r>
      <w:r>
        <w:t>après une étude Eurostat de 2004</w:t>
      </w:r>
      <w:r w:rsidRPr="006A4785">
        <w:rPr>
          <w:rStyle w:val="FootnoteReference"/>
        </w:rPr>
        <w:footnoteReference w:customMarkFollows="1" w:id="74"/>
        <w:t>74</w:t>
      </w:r>
      <w:r>
        <w:t>, les femmes slovènes âgées de 20 à 74 ans consacrent en moyenne une heure et cinq minutes de moins que les hommes des mêmes tranches d</w:t>
      </w:r>
      <w:r w:rsidR="00CE0D20">
        <w:t>’</w:t>
      </w:r>
      <w:r>
        <w:t xml:space="preserve">âge aux loisirs (pour les femmes, 4h 26, et, pour les hommes </w:t>
      </w:r>
      <w:r w:rsidR="000D2AA5">
        <w:br/>
      </w:r>
      <w:r>
        <w:t xml:space="preserve">5h 34). De même, les femmes salariées consacrent une heure et une minute de moins aux loisirs que les hommes salariés (pour les femmes, 3h 51, et, pour les hommes </w:t>
      </w:r>
      <w:r w:rsidR="000D2AA5">
        <w:br/>
      </w:r>
      <w:r>
        <w:t xml:space="preserve">4h 52). </w:t>
      </w:r>
    </w:p>
    <w:p w:rsidR="00164199" w:rsidRDefault="009B5AAD" w:rsidP="009B5A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Article 14</w:t>
      </w:r>
    </w:p>
    <w:p w:rsidR="009B5AAD" w:rsidRPr="009B5AAD" w:rsidRDefault="009B5AAD" w:rsidP="009B5AAD">
      <w:pPr>
        <w:pStyle w:val="SingleTxt"/>
        <w:spacing w:after="0" w:line="120" w:lineRule="exact"/>
        <w:rPr>
          <w:sz w:val="10"/>
        </w:rPr>
      </w:pPr>
    </w:p>
    <w:p w:rsidR="009B5AAD" w:rsidRPr="009B5AAD" w:rsidRDefault="009B5AAD" w:rsidP="009B5AAD">
      <w:pPr>
        <w:pStyle w:val="SingleTxt"/>
        <w:spacing w:after="0" w:line="120" w:lineRule="exact"/>
        <w:rPr>
          <w:sz w:val="10"/>
        </w:rPr>
      </w:pPr>
    </w:p>
    <w:p w:rsidR="00164199" w:rsidRDefault="009B5AAD" w:rsidP="009B5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w:t>
      </w:r>
      <w:r>
        <w:t>es femmes rurales</w:t>
      </w:r>
    </w:p>
    <w:p w:rsidR="009B5AAD" w:rsidRPr="009B5AAD" w:rsidRDefault="009B5AAD" w:rsidP="009B5AAD">
      <w:pPr>
        <w:pStyle w:val="SingleTxt"/>
        <w:spacing w:after="0" w:line="120" w:lineRule="exact"/>
        <w:rPr>
          <w:sz w:val="10"/>
        </w:rPr>
      </w:pPr>
    </w:p>
    <w:p w:rsidR="00164199" w:rsidRDefault="00164199" w:rsidP="001A0A96">
      <w:pPr>
        <w:pStyle w:val="SingleTxt"/>
      </w:pPr>
      <w:r w:rsidRPr="00B01849">
        <w:t>172.</w:t>
      </w:r>
      <w:r>
        <w:tab/>
        <w:t>Conformément aux recommandations du Comité au sujet des femmes rurales – et notamment les plus âgées d</w:t>
      </w:r>
      <w:r w:rsidR="00CE0D20">
        <w:t>’</w:t>
      </w:r>
      <w:r>
        <w:t>entre elles -, le ministère de l</w:t>
      </w:r>
      <w:r w:rsidR="00CE0D20">
        <w:t>’</w:t>
      </w:r>
      <w:r>
        <w:t>Agriculture, de la Sylviculture et de l</w:t>
      </w:r>
      <w:r w:rsidR="00CE0D20">
        <w:t>’</w:t>
      </w:r>
      <w:r>
        <w:t>Alimentation élabore actuellement – en collaboration avec la FAO et la Faculté de Biotechnique de l</w:t>
      </w:r>
      <w:r w:rsidR="00CE0D20">
        <w:t>’</w:t>
      </w:r>
      <w:r>
        <w:t>Université de Ljubljana – un programme national de parité et d</w:t>
      </w:r>
      <w:r w:rsidR="00CE0D20">
        <w:t>’</w:t>
      </w:r>
      <w:r>
        <w:t>insertion des différentes tranches d</w:t>
      </w:r>
      <w:r w:rsidR="00CE0D20">
        <w:t>’</w:t>
      </w:r>
      <w:r>
        <w:t>âge et catégories sociales dans l</w:t>
      </w:r>
      <w:r w:rsidR="00CE0D20">
        <w:t>’</w:t>
      </w:r>
      <w:r>
        <w:t>agriculture et le domaine du développement rural. Ce programme doit permettre notamment la création d</w:t>
      </w:r>
      <w:r w:rsidR="00CE0D20">
        <w:t>’</w:t>
      </w:r>
      <w:r>
        <w:t>un réseau national d</w:t>
      </w:r>
      <w:r w:rsidR="00CE0D20">
        <w:t>’</w:t>
      </w:r>
      <w:r>
        <w:t>experts en vue de faciliter les échanges d</w:t>
      </w:r>
      <w:r w:rsidR="00CE0D20">
        <w:t>’</w:t>
      </w:r>
      <w:r>
        <w:t>expériences, de connaissances et de bonnes pratiques en matière d</w:t>
      </w:r>
      <w:r w:rsidR="00CE0D20">
        <w:t>’</w:t>
      </w:r>
      <w:r>
        <w:t>égalité entre les sexes dans le cadre des stratégies concernant l</w:t>
      </w:r>
      <w:r w:rsidR="00CE0D20">
        <w:t>’</w:t>
      </w:r>
      <w:r>
        <w:t>agriculture et le développement rural.</w:t>
      </w:r>
    </w:p>
    <w:p w:rsidR="00164199" w:rsidRDefault="00164199" w:rsidP="001A0A96">
      <w:pPr>
        <w:pStyle w:val="SingleTxt"/>
      </w:pPr>
      <w:r>
        <w:t>173.</w:t>
      </w:r>
      <w:r>
        <w:tab/>
        <w:t xml:space="preserve">Depuis le Troisième Rapport, la </w:t>
      </w:r>
      <w:r>
        <w:rPr>
          <w:i/>
          <w:iCs/>
        </w:rPr>
        <w:t>Loi sur les soins de santé et l</w:t>
      </w:r>
      <w:r w:rsidR="00CE0D20">
        <w:rPr>
          <w:i/>
          <w:iCs/>
        </w:rPr>
        <w:t>’</w:t>
      </w:r>
      <w:r>
        <w:rPr>
          <w:i/>
          <w:iCs/>
        </w:rPr>
        <w:t>assurance maladie</w:t>
      </w:r>
      <w:r>
        <w:t xml:space="preserve"> a été révisée afin de concerner également les agriculteurs et les membres de leurs exploitations, ainsi que toute personne dont l</w:t>
      </w:r>
      <w:r w:rsidR="00CE0D20">
        <w:t>’</w:t>
      </w:r>
      <w:r>
        <w:t>activité agricole est la seule ou la principale activité professionnelle, en Slovénie. L</w:t>
      </w:r>
      <w:r w:rsidR="00CE0D20">
        <w:t>’</w:t>
      </w:r>
      <w:r>
        <w:t>amendement adopté en 2003 concerne les personnes assurées, à savoir les agriculteurs, les membres de leurs exploitations et toute autre personne dont l</w:t>
      </w:r>
      <w:r w:rsidR="00CE0D20">
        <w:t>’</w:t>
      </w:r>
      <w:r>
        <w:t>activité agricole est la seule ou la principale activité professionnelle, en Slovénie, tirant des revenus de cette activité et, de ce fait, couverts par l</w:t>
      </w:r>
      <w:r w:rsidR="00CE0D20">
        <w:t>’</w:t>
      </w:r>
      <w:r>
        <w:t>assurance obligatoire retraite et incapacité ou cotisant volontairement à ce type d</w:t>
      </w:r>
      <w:r w:rsidR="00CE0D20">
        <w:t>’</w:t>
      </w:r>
      <w:r>
        <w:t>assurance</w:t>
      </w:r>
      <w:r w:rsidR="00CE0D20">
        <w:t>;</w:t>
      </w:r>
      <w:r>
        <w:t xml:space="preserve"> d</w:t>
      </w:r>
      <w:r w:rsidR="00CE0D20">
        <w:t>’</w:t>
      </w:r>
      <w:r>
        <w:t>autre part, les agriculteurs, les membres de leurs exploitations et toutes les personnes dont l</w:t>
      </w:r>
      <w:r w:rsidR="00CE0D20">
        <w:t>’</w:t>
      </w:r>
      <w:r>
        <w:t xml:space="preserve">activité agricole est la seule ou la principale activité professionnelle, et qui ne sont pas couverts par une assurance retraite et incapacité, sont également considérés comme des </w:t>
      </w:r>
      <w:r w:rsidR="003158AC">
        <w:t xml:space="preserve">“ </w:t>
      </w:r>
      <w:r>
        <w:t>assurés</w:t>
      </w:r>
      <w:r w:rsidR="00CE0D20">
        <w:t> »</w:t>
      </w:r>
      <w:r>
        <w:t xml:space="preserve"> à condition que le revenu cadastral ou autre tiré de l</w:t>
      </w:r>
      <w:r w:rsidR="00CE0D20">
        <w:t>’</w:t>
      </w:r>
      <w:r>
        <w:t>exploitation agricole par membre et par mois équivaille à 25% au moins du salaire minimum hormis les taxes et contributions. Toute personne exerçant une activité agricole au sein de l</w:t>
      </w:r>
      <w:r w:rsidR="00CE0D20">
        <w:t>’</w:t>
      </w:r>
      <w:r>
        <w:t>exploitation en question – cette activité étant leur seule ou leur principale activité professionnelle – est considérée comme un membre de l</w:t>
      </w:r>
      <w:r w:rsidR="00CE0D20">
        <w:t>’</w:t>
      </w:r>
      <w:r>
        <w:t xml:space="preserve">exploitation agricole en question. </w:t>
      </w:r>
    </w:p>
    <w:p w:rsidR="00164199" w:rsidRDefault="00164199" w:rsidP="001A0A96">
      <w:pPr>
        <w:pStyle w:val="SingleTxt"/>
      </w:pPr>
      <w:r>
        <w:t>174.</w:t>
      </w:r>
      <w:r>
        <w:tab/>
        <w:t>D</w:t>
      </w:r>
      <w:r w:rsidR="00CE0D20">
        <w:t>’</w:t>
      </w:r>
      <w:r>
        <w:t>après une étude de 2002 sur les femmes rurales en Slovénie</w:t>
      </w:r>
      <w:r w:rsidRPr="006A4785">
        <w:rPr>
          <w:rStyle w:val="FootnoteReference"/>
        </w:rPr>
        <w:footnoteReference w:customMarkFollows="1" w:id="75"/>
        <w:t>75</w:t>
      </w:r>
      <w:r>
        <w:t>, la jeune génération des femmes rurales diffère de manière assez significative du reste de la population des femmes rurales en termes d</w:t>
      </w:r>
      <w:r w:rsidR="00CE0D20">
        <w:t>’</w:t>
      </w:r>
      <w:r>
        <w:t>activités productives. D</w:t>
      </w:r>
      <w:r w:rsidR="00CE0D20">
        <w:t>’</w:t>
      </w:r>
      <w:r>
        <w:t>après le Recensement des exploitations agricoles effectué en 2000 (et présenté dans le Troisième Rapport), 30% de l</w:t>
      </w:r>
      <w:r w:rsidR="00CE0D20">
        <w:t>’</w:t>
      </w:r>
      <w:r>
        <w:t>ensemble des femmes vivant et travaillant au sein d</w:t>
      </w:r>
      <w:r w:rsidR="00CE0D20">
        <w:t>’</w:t>
      </w:r>
      <w:r>
        <w:t>une exploitation agricole exercent également une activité dans d</w:t>
      </w:r>
      <w:r w:rsidR="00CE0D20">
        <w:t>’</w:t>
      </w:r>
      <w:r>
        <w:t>autres secteurs, et 13% seulement de l</w:t>
      </w:r>
      <w:r w:rsidR="00CE0D20">
        <w:t>’</w:t>
      </w:r>
      <w:r>
        <w:t>ensemble des femmes rurales vivent uniquement de leur activité agricole. Sur l</w:t>
      </w:r>
      <w:r w:rsidR="00CE0D20">
        <w:t>’</w:t>
      </w:r>
      <w:r>
        <w:t>ensemble des femmes âgées de 20 à 50 ans et interrogées dans le cadre de cette étude, 8% seulement ont déclaré que l</w:t>
      </w:r>
      <w:r w:rsidR="00CE0D20">
        <w:t>’</w:t>
      </w:r>
      <w:r>
        <w:t>activité agricole était leur principale source de revenu. Dans ce même groupe, 64% des femmes âgées de 30 à 50 ans avaient également un emploi en dehors de l</w:t>
      </w:r>
      <w:r w:rsidR="00CE0D20">
        <w:t>’</w:t>
      </w:r>
      <w:r>
        <w:t>exploitation agricole. A noter encore que 2% des femmes de ce groupe sont chefs d</w:t>
      </w:r>
      <w:r w:rsidR="00CE0D20">
        <w:t>’</w:t>
      </w:r>
      <w:r>
        <w:t>entreprise. Quant aux autres femmes interrogées dans le cadre de ce même échantillon, elles ont pour revenu principal l</w:t>
      </w:r>
      <w:r w:rsidR="00CE0D20">
        <w:t>’</w:t>
      </w:r>
      <w:r>
        <w:t>un des éléments suivants : pour 5% d</w:t>
      </w:r>
      <w:r w:rsidR="00CE0D20">
        <w:t>’</w:t>
      </w:r>
      <w:r>
        <w:t>entre elles, diverses indemnités, pour 6% une bourse d</w:t>
      </w:r>
      <w:r w:rsidR="00CE0D20">
        <w:t>’</w:t>
      </w:r>
      <w:r>
        <w:t>études, tandis que 13% d</w:t>
      </w:r>
      <w:r w:rsidR="00CE0D20">
        <w:t>’</w:t>
      </w:r>
      <w:r>
        <w:t>entre elles n</w:t>
      </w:r>
      <w:r w:rsidR="00CE0D20">
        <w:t>’</w:t>
      </w:r>
      <w:r>
        <w:t>ont pas de source de revenu autonome (50% de cette dernière catégorie étant des étudiantes, un tiers étant constitué par femmes au chômage, et le reste par des femmes au foyer)</w:t>
      </w:r>
      <w:r w:rsidRPr="006A4785">
        <w:rPr>
          <w:rStyle w:val="FootnoteReference"/>
        </w:rPr>
        <w:footnoteReference w:customMarkFollows="1" w:id="76"/>
        <w:t>76</w:t>
      </w:r>
      <w:r>
        <w:t>.</w:t>
      </w:r>
    </w:p>
    <w:p w:rsidR="00164199" w:rsidRDefault="00164199" w:rsidP="001A0A96">
      <w:pPr>
        <w:pStyle w:val="SingleTxt"/>
      </w:pPr>
      <w:r>
        <w:t>175.</w:t>
      </w:r>
      <w:r>
        <w:tab/>
        <w:t>D</w:t>
      </w:r>
      <w:r w:rsidR="00CE0D20">
        <w:t>’</w:t>
      </w:r>
      <w:r>
        <w:t>après l</w:t>
      </w:r>
      <w:r w:rsidR="00CE0D20">
        <w:t>’</w:t>
      </w:r>
      <w:r>
        <w:t xml:space="preserve">Institut de la Statistique de la République de Slovénie, les données les plus récentes – collectées au printemps 2005 – indiquent que la </w:t>
      </w:r>
      <w:r w:rsidR="003158AC">
        <w:t xml:space="preserve">“ </w:t>
      </w:r>
      <w:r>
        <w:t>femme rurale</w:t>
      </w:r>
      <w:r w:rsidR="00CE0D20">
        <w:t> »</w:t>
      </w:r>
      <w:r>
        <w:t xml:space="preserve"> a en moyenne 50 ans, qu</w:t>
      </w:r>
      <w:r w:rsidR="00CE0D20">
        <w:t>’</w:t>
      </w:r>
      <w:r>
        <w:t>elle a un niveau d</w:t>
      </w:r>
      <w:r w:rsidR="00CE0D20">
        <w:t>’</w:t>
      </w:r>
      <w:r>
        <w:t>instruction primaire, et qu</w:t>
      </w:r>
      <w:r w:rsidR="00CE0D20">
        <w:t>’</w:t>
      </w:r>
      <w:r>
        <w:t>elle cultive en moyenne (avec d</w:t>
      </w:r>
      <w:r w:rsidR="00CE0D20">
        <w:t>’</w:t>
      </w:r>
      <w:r>
        <w:t>autres membres de leur foyer) 6,3 hectares de terre et élève 6,6 unités de bétail, pour une durée de travail hebdomadaire de 42 heures. Outre cette activité agricole (cultures et élevage), les femmes rurales de moins de 45 ans ont en moyenne 1,3 enfant. En ce qui concerne le statut officiel des femmes rurales slovènes, 75% d</w:t>
      </w:r>
      <w:r w:rsidR="00CE0D20">
        <w:t>’</w:t>
      </w:r>
      <w:r>
        <w:t xml:space="preserve">entre elles sont des </w:t>
      </w:r>
      <w:r w:rsidR="003158AC">
        <w:t xml:space="preserve">“ </w:t>
      </w:r>
      <w:r>
        <w:t>femmes au foyer</w:t>
      </w:r>
      <w:r w:rsidR="00CE0D20">
        <w:t> »</w:t>
      </w:r>
      <w:r>
        <w:t xml:space="preserve"> et des retraitées. Moins d</w:t>
      </w:r>
      <w:r w:rsidR="00CE0D20">
        <w:t>’</w:t>
      </w:r>
      <w:r>
        <w:t>un tiers des femmes les plus jeunes (45 ans et moins) exerçant une activité agricole sont des femmes au foyer, et moins d</w:t>
      </w:r>
      <w:r w:rsidR="00CE0D20">
        <w:t>’</w:t>
      </w:r>
      <w:r>
        <w:t xml:space="preserve">un cinquième sont au chômage. Il faut expliquer que certains de ces </w:t>
      </w:r>
      <w:r w:rsidR="003158AC">
        <w:t xml:space="preserve">“ </w:t>
      </w:r>
      <w:r>
        <w:t>statuts</w:t>
      </w:r>
      <w:r w:rsidR="00CE0D20">
        <w:t> »</w:t>
      </w:r>
      <w:r>
        <w:t xml:space="preserve"> se superposent, étant donné que, par exemple, de nombreux chômeurs des zones rurales apportent une aide au sein de l</w:t>
      </w:r>
      <w:r w:rsidR="00CE0D20">
        <w:t>’</w:t>
      </w:r>
      <w:r>
        <w:t>exploitation agricole tout en étant en recherche d</w:t>
      </w:r>
      <w:r w:rsidR="00CE0D20">
        <w:t>’</w:t>
      </w:r>
      <w:r>
        <w:t>emploi. Les données concernant le niveau d</w:t>
      </w:r>
      <w:r w:rsidR="00CE0D20">
        <w:t>’</w:t>
      </w:r>
      <w:r>
        <w:t>instruction des femmes exerçant une activité agricole indiquent que deux tiers d</w:t>
      </w:r>
      <w:r w:rsidR="00CE0D20">
        <w:t>’</w:t>
      </w:r>
      <w:r>
        <w:t>entre elles environ se situent au niveau primaire (qu</w:t>
      </w:r>
      <w:r w:rsidR="00CE0D20">
        <w:t>’</w:t>
      </w:r>
      <w:r>
        <w:t>elles soient allées jusqu</w:t>
      </w:r>
      <w:r w:rsidR="00CE0D20">
        <w:t>’</w:t>
      </w:r>
      <w:r>
        <w:t>au bout de la scolarité primaire ou non), et qu</w:t>
      </w:r>
      <w:r w:rsidR="00CE0D20">
        <w:t>’</w:t>
      </w:r>
      <w:r>
        <w:t>un peu plus d</w:t>
      </w:r>
      <w:r w:rsidR="00CE0D20">
        <w:t>’</w:t>
      </w:r>
      <w:r>
        <w:t>un tiers ont poursuivi leurs études jusqu</w:t>
      </w:r>
      <w:r w:rsidR="00CE0D20">
        <w:t>’</w:t>
      </w:r>
      <w:r>
        <w:t>à la fin du niveau secondaire. A noter également que la jeune génération des femmes rurales est plus instruite : un tiers des jeunes femmes de cette génération se situent au niveau primaire, et deux tiers d</w:t>
      </w:r>
      <w:r w:rsidR="00CE0D20">
        <w:t>’</w:t>
      </w:r>
      <w:r>
        <w:t>entre elles ont poursuivi jusqu</w:t>
      </w:r>
      <w:r w:rsidR="00CE0D20">
        <w:t>’</w:t>
      </w:r>
      <w:r>
        <w:t>à la fin de l</w:t>
      </w:r>
      <w:r w:rsidR="00CE0D20">
        <w:t>’</w:t>
      </w:r>
      <w:r>
        <w:t>enseignement secondaire. Ces femmes plus jeunes ont également davantage d</w:t>
      </w:r>
      <w:r w:rsidR="00CE0D20">
        <w:t>’</w:t>
      </w:r>
      <w:r>
        <w:t>ambitions sur le plan éducatif : 25% d</w:t>
      </w:r>
      <w:r w:rsidR="00CE0D20">
        <w:t>’</w:t>
      </w:r>
      <w:r>
        <w:t>entre elles poursuivent encore des études, même si elles ont probablement moins de temps pour participer aux activités de clubs, ou encore à des séminaires, des cours, etc.</w:t>
      </w:r>
      <w:r w:rsidRPr="006A4785">
        <w:rPr>
          <w:rStyle w:val="FootnoteReference"/>
        </w:rPr>
        <w:footnoteReference w:customMarkFollows="1" w:id="77"/>
        <w:t>77</w:t>
      </w:r>
      <w:r>
        <w:t>.</w:t>
      </w:r>
    </w:p>
    <w:p w:rsidR="00164199" w:rsidRDefault="00164199" w:rsidP="001A0A96">
      <w:pPr>
        <w:pStyle w:val="SingleTxt"/>
      </w:pPr>
      <w:r>
        <w:t>176.</w:t>
      </w:r>
      <w:r>
        <w:tab/>
        <w:t xml:space="preserve">Au sein de la catégorie des </w:t>
      </w:r>
      <w:r w:rsidR="00247191">
        <w:t>« </w:t>
      </w:r>
      <w:r>
        <w:t>femmes rurales</w:t>
      </w:r>
      <w:r w:rsidR="00CE0D20">
        <w:t> »</w:t>
      </w:r>
      <w:r>
        <w:t>, les femmes roms ont également le droit à un niveau de vie décent – et notamment à un logement décent</w:t>
      </w:r>
      <w:r w:rsidR="00CE0D20">
        <w:t>;</w:t>
      </w:r>
      <w:r>
        <w:t xml:space="preserve"> d</w:t>
      </w:r>
      <w:r w:rsidR="00CE0D20">
        <w:t>’</w:t>
      </w:r>
      <w:r>
        <w:t>après certaines études, près de 50% des familles roms vivent encore dans des conditions inappropriées (par exemple, elles n</w:t>
      </w:r>
      <w:r w:rsidR="00CE0D20">
        <w:t>’</w:t>
      </w:r>
      <w:r>
        <w:t>ont ni l</w:t>
      </w:r>
      <w:r w:rsidR="00CE0D20">
        <w:t>’</w:t>
      </w:r>
      <w:r>
        <w:t>électricité ni l</w:t>
      </w:r>
      <w:r w:rsidR="00CE0D20">
        <w:t>’</w:t>
      </w:r>
      <w:r>
        <w:t>eau courante)</w:t>
      </w:r>
      <w:r w:rsidRPr="006A4785">
        <w:rPr>
          <w:rStyle w:val="FootnoteReference"/>
        </w:rPr>
        <w:footnoteReference w:customMarkFollows="1" w:id="78"/>
        <w:t>78</w:t>
      </w:r>
      <w:r>
        <w:t xml:space="preserve">. </w:t>
      </w:r>
      <w:r w:rsidR="00221C8A">
        <w:t xml:space="preserve">Dans le cadre d’une </w:t>
      </w:r>
      <w:r w:rsidR="00247191">
        <w:t>« </w:t>
      </w:r>
      <w:r w:rsidR="00221C8A">
        <w:t xml:space="preserve">Décision » prise en octobre 2004, État slovène a déclaré que les conditions de vie des Roms, et notamment en matière d’éducation et d’emploi, devaient être particulièrement étudiées et faire l’objet d’un soutien de l'État slovène s’efforce de traiter la question des Roms sous tous ses angles, et notamment d’améliorer la condition économique et sociale de cette population. </w:t>
      </w:r>
      <w:r>
        <w:t>L</w:t>
      </w:r>
      <w:r w:rsidR="00CE0D20">
        <w:t>’</w:t>
      </w:r>
      <w:r>
        <w:t>un des aspects majeurs de cette action consiste dans des appels d</w:t>
      </w:r>
      <w:r w:rsidR="00CE0D20">
        <w:t>’</w:t>
      </w:r>
      <w:r>
        <w:t xml:space="preserve">offres en vue de financer les infrastructures publiques de base dans les zones habitées par les Roms (initiative prise par le ministère de </w:t>
      </w:r>
      <w:r w:rsidR="00221C8A">
        <w:t>Économie</w:t>
      </w:r>
      <w:r>
        <w:t xml:space="preserve"> en 2002) et de cofinancer ces mêmes infrastructures (initiative prise en septembre 2004 par le Fonds public de Développement régional et de sauvegarde des zones rurales slovènes). En juillet 2005, le gouvernement slovène adoptait également un Programme exécutif visant à aider les municipalités à planifier – pour l</w:t>
      </w:r>
      <w:r w:rsidR="00CE0D20">
        <w:t>’</w:t>
      </w:r>
      <w:r>
        <w:t>année 2005</w:t>
      </w:r>
      <w:r w:rsidR="00CE0D20">
        <w:t xml:space="preserve"> – </w:t>
      </w:r>
      <w:r>
        <w:t>les infrastructures publiques minimales des zones habitées par les Roms. L</w:t>
      </w:r>
      <w:r w:rsidR="00CE0D20">
        <w:t>’</w:t>
      </w:r>
      <w:r>
        <w:t>Office gouvernemental de l</w:t>
      </w:r>
      <w:r w:rsidR="00CE0D20">
        <w:t>’</w:t>
      </w:r>
      <w:r>
        <w:t>autonomie locale et de la politique régionale lancera chaque année un nouvel appel à la mise en œuvre de projets dans le cadre de ce Programme annuel de réalisations et d</w:t>
      </w:r>
      <w:r w:rsidR="00CE0D20">
        <w:t>’</w:t>
      </w:r>
      <w:r>
        <w:t>aide aux municipalités.</w:t>
      </w:r>
    </w:p>
    <w:p w:rsidR="009B5AAD" w:rsidRPr="009B5AAD" w:rsidRDefault="009B5AAD" w:rsidP="009B5AAD">
      <w:pPr>
        <w:pStyle w:val="SingleTxt"/>
        <w:spacing w:after="0" w:line="120" w:lineRule="exact"/>
        <w:rPr>
          <w:sz w:val="10"/>
        </w:rPr>
      </w:pPr>
    </w:p>
    <w:p w:rsidR="009B5AAD" w:rsidRPr="009B5AAD" w:rsidRDefault="009B5AAD" w:rsidP="009B5AAD">
      <w:pPr>
        <w:pStyle w:val="SingleTxt"/>
        <w:spacing w:after="0" w:line="120" w:lineRule="exact"/>
        <w:rPr>
          <w:sz w:val="10"/>
        </w:rPr>
      </w:pPr>
    </w:p>
    <w:p w:rsidR="00164199" w:rsidRDefault="009B5AAD" w:rsidP="009B5A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Article 15</w:t>
      </w:r>
    </w:p>
    <w:p w:rsidR="009B5AAD" w:rsidRPr="009B5AAD" w:rsidRDefault="009B5AAD" w:rsidP="009B5AAD">
      <w:pPr>
        <w:pStyle w:val="SingleTxt"/>
        <w:spacing w:after="0" w:line="120" w:lineRule="exact"/>
        <w:rPr>
          <w:sz w:val="10"/>
        </w:rPr>
      </w:pPr>
    </w:p>
    <w:p w:rsidR="009B5AAD" w:rsidRPr="009B5AAD" w:rsidRDefault="009B5AAD" w:rsidP="009B5AAD">
      <w:pPr>
        <w:pStyle w:val="SingleTxt"/>
        <w:spacing w:after="0" w:line="120" w:lineRule="exact"/>
        <w:rPr>
          <w:sz w:val="10"/>
        </w:rPr>
      </w:pPr>
    </w:p>
    <w:p w:rsidR="00164199" w:rsidRDefault="009B5AAD" w:rsidP="009B5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w:t>
      </w:r>
      <w:r w:rsidR="00CE0D20">
        <w:t>’</w:t>
      </w:r>
      <w:r w:rsidR="00221C8A">
        <w:t>égalité</w:t>
      </w:r>
      <w:r>
        <w:t xml:space="preserve"> devant la loi</w:t>
      </w:r>
    </w:p>
    <w:p w:rsidR="009B5AAD" w:rsidRPr="009B5AAD" w:rsidRDefault="009B5AAD" w:rsidP="009B5AAD">
      <w:pPr>
        <w:pStyle w:val="SingleTxt"/>
        <w:spacing w:after="0" w:line="120" w:lineRule="exact"/>
        <w:rPr>
          <w:sz w:val="10"/>
        </w:rPr>
      </w:pPr>
    </w:p>
    <w:p w:rsidR="00164199" w:rsidRDefault="00164199" w:rsidP="001A0A96">
      <w:pPr>
        <w:pStyle w:val="SingleTxt"/>
      </w:pPr>
      <w:r w:rsidRPr="003E0586">
        <w:t>177.</w:t>
      </w:r>
      <w:r>
        <w:tab/>
        <w:t>Pendant la période référencée, il n</w:t>
      </w:r>
      <w:r w:rsidR="00CE0D20">
        <w:t>’</w:t>
      </w:r>
      <w:r>
        <w:t>y a eu aucun changement concernant l</w:t>
      </w:r>
      <w:r w:rsidR="00CE0D20">
        <w:t>’</w:t>
      </w:r>
      <w:r>
        <w:t>application de cet article.</w:t>
      </w:r>
    </w:p>
    <w:p w:rsidR="009B5AAD" w:rsidRPr="009B5AAD" w:rsidRDefault="009B5AAD" w:rsidP="009B5AAD">
      <w:pPr>
        <w:pStyle w:val="SingleTxt"/>
        <w:spacing w:after="0" w:line="120" w:lineRule="exact"/>
        <w:rPr>
          <w:sz w:val="10"/>
        </w:rPr>
      </w:pPr>
    </w:p>
    <w:p w:rsidR="009B5AAD" w:rsidRPr="009B5AAD" w:rsidRDefault="009B5AAD" w:rsidP="009B5AAD">
      <w:pPr>
        <w:pStyle w:val="SingleTxt"/>
        <w:spacing w:after="0" w:line="120" w:lineRule="exact"/>
        <w:rPr>
          <w:sz w:val="10"/>
        </w:rPr>
      </w:pPr>
    </w:p>
    <w:p w:rsidR="00164199" w:rsidRDefault="009B5AAD" w:rsidP="009B5A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Article 16</w:t>
      </w:r>
    </w:p>
    <w:p w:rsidR="009B5AAD" w:rsidRPr="009B5AAD" w:rsidRDefault="009B5AAD" w:rsidP="009B5AAD">
      <w:pPr>
        <w:pStyle w:val="SingleTxt"/>
        <w:spacing w:after="0" w:line="120" w:lineRule="exact"/>
        <w:rPr>
          <w:sz w:val="10"/>
        </w:rPr>
      </w:pPr>
    </w:p>
    <w:p w:rsidR="009B5AAD" w:rsidRPr="009B5AAD" w:rsidRDefault="009B5AAD" w:rsidP="009B5AAD">
      <w:pPr>
        <w:pStyle w:val="SingleTxt"/>
        <w:spacing w:after="0" w:line="120" w:lineRule="exact"/>
        <w:rPr>
          <w:sz w:val="10"/>
        </w:rPr>
      </w:pPr>
    </w:p>
    <w:p w:rsidR="00164199" w:rsidRDefault="009B5AAD" w:rsidP="009B5A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L</w:t>
      </w:r>
      <w:r>
        <w:t>e mariage et les rapports familiaux</w:t>
      </w:r>
    </w:p>
    <w:p w:rsidR="009B5AAD" w:rsidRPr="009B5AAD" w:rsidRDefault="009B5AAD" w:rsidP="009B5AAD">
      <w:pPr>
        <w:pStyle w:val="SingleTxt"/>
        <w:spacing w:after="0" w:line="120" w:lineRule="exact"/>
        <w:rPr>
          <w:sz w:val="10"/>
        </w:rPr>
      </w:pPr>
    </w:p>
    <w:p w:rsidR="00164199" w:rsidRDefault="00164199" w:rsidP="001A0A96">
      <w:pPr>
        <w:pStyle w:val="SingleTxt"/>
      </w:pPr>
      <w:r w:rsidRPr="003E0586">
        <w:t>178.</w:t>
      </w:r>
      <w:r>
        <w:tab/>
        <w:t xml:space="preserve">En ce qui concerne le mariage et les rapports familiaux, les lois suivantes ont été révisées depuis le Troisième Rapport : la </w:t>
      </w:r>
      <w:r>
        <w:rPr>
          <w:i/>
          <w:iCs/>
        </w:rPr>
        <w:t>Loi sur le Fonds de garantie et de pensions alimentaires</w:t>
      </w:r>
      <w:r>
        <w:t xml:space="preserve"> (proposition de révision présentée dans le Troisième Rapport)</w:t>
      </w:r>
      <w:r w:rsidR="00CE0D20">
        <w:t>;</w:t>
      </w:r>
      <w:r>
        <w:t xml:space="preserve"> la </w:t>
      </w:r>
      <w:r>
        <w:rPr>
          <w:i/>
          <w:iCs/>
        </w:rPr>
        <w:t>Loi sur le mariage et les relations familiales</w:t>
      </w:r>
      <w:r w:rsidR="00CE0D20">
        <w:rPr>
          <w:i/>
          <w:iCs/>
        </w:rPr>
        <w:t>;</w:t>
      </w:r>
      <w:r>
        <w:t xml:space="preserve"> enfin, le </w:t>
      </w:r>
      <w:r>
        <w:rPr>
          <w:i/>
          <w:iCs/>
        </w:rPr>
        <w:t>Code pénal</w:t>
      </w:r>
      <w:r>
        <w:t>. D</w:t>
      </w:r>
      <w:r w:rsidR="00CE0D20">
        <w:t>’</w:t>
      </w:r>
      <w:r>
        <w:t xml:space="preserve">autre part, dans ce même domaine, la </w:t>
      </w:r>
      <w:r>
        <w:rPr>
          <w:i/>
          <w:iCs/>
        </w:rPr>
        <w:t>Loi sur l</w:t>
      </w:r>
      <w:r w:rsidR="00CE0D20">
        <w:rPr>
          <w:i/>
          <w:iCs/>
        </w:rPr>
        <w:t>’</w:t>
      </w:r>
      <w:r>
        <w:rPr>
          <w:i/>
          <w:iCs/>
        </w:rPr>
        <w:t>officialisation des unions entre partenaires de même sexe</w:t>
      </w:r>
      <w:r>
        <w:t xml:space="preserve"> a été adoptée.</w:t>
      </w:r>
    </w:p>
    <w:p w:rsidR="00164199" w:rsidRDefault="00164199" w:rsidP="001A0A96">
      <w:pPr>
        <w:pStyle w:val="SingleTxt"/>
      </w:pPr>
      <w:r>
        <w:t>179.</w:t>
      </w:r>
      <w:r>
        <w:tab/>
        <w:t xml:space="preserve">Les amendements à la </w:t>
      </w:r>
      <w:r>
        <w:rPr>
          <w:i/>
          <w:iCs/>
        </w:rPr>
        <w:t>Loi sur le mariage et les relations familiales</w:t>
      </w:r>
      <w:r>
        <w:t xml:space="preserve"> sont entrés en vigueur en mai 2004, afin de régir notamment de manière plus détaillée les relations parents-enfants</w:t>
      </w:r>
      <w:r w:rsidR="00CE0D20">
        <w:t>;</w:t>
      </w:r>
      <w:r>
        <w:t xml:space="preserve"> en la matière, cela a également transféré le pouvoir de décision des centres d</w:t>
      </w:r>
      <w:r w:rsidR="00CE0D20">
        <w:t>’</w:t>
      </w:r>
      <w:r>
        <w:t>assistance sociale vers les tribunaux. Les nouvelles dispositions autorisent les parents séparés ou divorcés à formuler leurs souhaits en matière de garde des enfants ou de partage de cette garde. Les parents peuvent également décider de continuer à s</w:t>
      </w:r>
      <w:r w:rsidR="00CE0D20">
        <w:t>’</w:t>
      </w:r>
      <w:r>
        <w:t>occuper tous deux de leurs enfants (c</w:t>
      </w:r>
      <w:r w:rsidR="00CE0D20">
        <w:t>’</w:t>
      </w:r>
      <w:r>
        <w:t>est ce que l</w:t>
      </w:r>
      <w:r w:rsidR="00CE0D20">
        <w:t>’</w:t>
      </w:r>
      <w:r>
        <w:t>on appelle la garde conjointe). Cette dernière décision ne peut se prendre que par consentement mutuel</w:t>
      </w:r>
      <w:r w:rsidR="00CE0D20">
        <w:t>;</w:t>
      </w:r>
      <w:r>
        <w:t xml:space="preserve"> en cas de non accord entre les deux parents, la décision est prise par un tribunal</w:t>
      </w:r>
      <w:r w:rsidR="00CE0D20">
        <w:t>;</w:t>
      </w:r>
      <w:r>
        <w:t xml:space="preserve"> cependant, celui-ci n</w:t>
      </w:r>
      <w:r w:rsidR="00CE0D20">
        <w:t>’</w:t>
      </w:r>
      <w:r>
        <w:t>a pas la capacité de confier les enfants conjointement aux deux parents : le tribunal doit confier la garde des enfants soit à l</w:t>
      </w:r>
      <w:r w:rsidR="00CE0D20">
        <w:t>’</w:t>
      </w:r>
      <w:r>
        <w:t>un des deux parents, soit partager cette garde entre les deux parents, ou encore confier les enfants à la garde d</w:t>
      </w:r>
      <w:r w:rsidR="00CE0D20">
        <w:t>’</w:t>
      </w:r>
      <w:r>
        <w:t xml:space="preserve">une tierce personne. La </w:t>
      </w:r>
      <w:r>
        <w:rPr>
          <w:i/>
          <w:iCs/>
        </w:rPr>
        <w:t>Loi sur le mariage et les relations familiales</w:t>
      </w:r>
      <w:r>
        <w:t xml:space="preserve"> amendée définit également de manière plus précise le droit de l</w:t>
      </w:r>
      <w:r w:rsidR="00CE0D20">
        <w:t>’</w:t>
      </w:r>
      <w:r>
        <w:t>enfant à garder des relations avec chacun des deux parents en cas de séparation</w:t>
      </w:r>
      <w:r w:rsidR="00CE0D20">
        <w:t>;</w:t>
      </w:r>
      <w:r>
        <w:t xml:space="preserve"> en outre, l</w:t>
      </w:r>
      <w:r w:rsidR="00CE0D20">
        <w:t>’</w:t>
      </w:r>
      <w:r>
        <w:t>amendement en question établit le droit de l</w:t>
      </w:r>
      <w:r w:rsidR="00CE0D20">
        <w:t>’</w:t>
      </w:r>
      <w:r>
        <w:t>enfant à rester en relations avec d</w:t>
      </w:r>
      <w:r w:rsidR="00CE0D20">
        <w:t>’</w:t>
      </w:r>
      <w:r>
        <w:t>autres proches de la famille et toute personne ayant un lien étroit avec l</w:t>
      </w:r>
      <w:r w:rsidR="00CE0D20">
        <w:t>’</w:t>
      </w:r>
      <w:r>
        <w:t>enfant. La nouvelle loi régit également l</w:t>
      </w:r>
      <w:r w:rsidR="00CE0D20">
        <w:t>’</w:t>
      </w:r>
      <w:r>
        <w:t>exercice des droits parentaux et l</w:t>
      </w:r>
      <w:r w:rsidR="00CE0D20">
        <w:t>’</w:t>
      </w:r>
      <w:r>
        <w:t>entretien de l</w:t>
      </w:r>
      <w:r w:rsidR="00CE0D20">
        <w:t>’</w:t>
      </w:r>
      <w:r>
        <w:t>enfant.</w:t>
      </w:r>
    </w:p>
    <w:p w:rsidR="00164199" w:rsidRDefault="00164199" w:rsidP="001A0A96">
      <w:pPr>
        <w:pStyle w:val="SingleTxt"/>
      </w:pPr>
      <w:r>
        <w:t>180.</w:t>
      </w:r>
      <w:r>
        <w:tab/>
        <w:t>L</w:t>
      </w:r>
      <w:r w:rsidR="00CE0D20">
        <w:t>’</w:t>
      </w:r>
      <w:r>
        <w:t xml:space="preserve">amendement de 2004 au </w:t>
      </w:r>
      <w:r>
        <w:rPr>
          <w:i/>
          <w:iCs/>
        </w:rPr>
        <w:t>Code pénal</w:t>
      </w:r>
      <w:r>
        <w:t xml:space="preserve"> modifie et complète les dispositions concernant le délit de non paiement de la pension alimentaire (article 203). Depuis l</w:t>
      </w:r>
      <w:r w:rsidR="00CE0D20">
        <w:t>’</w:t>
      </w:r>
      <w:r>
        <w:t>entrée en vigueur de cet amendement, il n</w:t>
      </w:r>
      <w:r w:rsidR="00CE0D20">
        <w:t>’</w:t>
      </w:r>
      <w:r>
        <w:t>est plus besoin de prouver le non versement de la pension</w:t>
      </w:r>
      <w:r w:rsidR="00CE0D20">
        <w:t>;</w:t>
      </w:r>
      <w:r>
        <w:t xml:space="preserve"> le non-paiement est une preuve suffisante – indépendamment des moyens du contrevenant. Si le non paiement de la pension met en danger les moyens de survie du bénéficiaire, ou en cas de volonté délibérée de non paiement, le délit peut être aggravé, et passible d</w:t>
      </w:r>
      <w:r w:rsidR="00CE0D20">
        <w:t>’</w:t>
      </w:r>
      <w:r>
        <w:t>une peine plus sévère, pouvant aller jusqu</w:t>
      </w:r>
      <w:r w:rsidR="00CE0D20">
        <w:t>’</w:t>
      </w:r>
      <w:r>
        <w:t>à trois ans d</w:t>
      </w:r>
      <w:r w:rsidR="00CE0D20">
        <w:t>’</w:t>
      </w:r>
      <w:r>
        <w:t xml:space="preserve">emprisonnement. </w:t>
      </w:r>
    </w:p>
    <w:p w:rsidR="00164199" w:rsidRDefault="00164199" w:rsidP="001A0A96">
      <w:pPr>
        <w:pStyle w:val="SingleTxt"/>
      </w:pPr>
      <w:r>
        <w:t>181.</w:t>
      </w:r>
      <w:r>
        <w:tab/>
        <w:t xml:space="preserve">En juillet 2005 était adoptée la </w:t>
      </w:r>
      <w:r>
        <w:rPr>
          <w:i/>
          <w:iCs/>
        </w:rPr>
        <w:t>Loi sur l</w:t>
      </w:r>
      <w:r w:rsidR="00CE0D20">
        <w:rPr>
          <w:i/>
          <w:iCs/>
        </w:rPr>
        <w:t>’</w:t>
      </w:r>
      <w:r>
        <w:rPr>
          <w:i/>
          <w:iCs/>
        </w:rPr>
        <w:t>officialisation des unions de personnes de même sexe</w:t>
      </w:r>
      <w:r w:rsidR="00CE0D20">
        <w:rPr>
          <w:i/>
          <w:iCs/>
        </w:rPr>
        <w:t>;</w:t>
      </w:r>
      <w:r>
        <w:t xml:space="preserve"> ce texte définit les procédures et critères d</w:t>
      </w:r>
      <w:r w:rsidR="00CE0D20">
        <w:t>’</w:t>
      </w:r>
      <w:r>
        <w:t>enregistrement des unions de personnes de même sexe, ainsi que les conséquences juridiques de l</w:t>
      </w:r>
      <w:r w:rsidR="00CE0D20">
        <w:t>’</w:t>
      </w:r>
      <w:r>
        <w:t>acte, les modalités pour mettre un terme à l</w:t>
      </w:r>
      <w:r w:rsidR="00CE0D20">
        <w:t>’</w:t>
      </w:r>
      <w:r>
        <w:t>union et déterminer les relations entre les deux partenaires après la fin de leur union. Aux termes du partenariat officiel, les deux partenaires ont droit à des moyens de subsistance, à des biens communs et à une réglementation dans ce domaine, à un logement, à hériter d</w:t>
      </w:r>
      <w:r w:rsidR="00CE0D20">
        <w:t>’</w:t>
      </w:r>
      <w:r>
        <w:t>une partie des biens communs après le décès de l</w:t>
      </w:r>
      <w:r w:rsidR="00CE0D20">
        <w:t>’</w:t>
      </w:r>
      <w:r>
        <w:t>un des deux partenaires, et, enfin, le droit à être informé de l</w:t>
      </w:r>
      <w:r w:rsidR="00CE0D20">
        <w:t>’</w:t>
      </w:r>
      <w:r>
        <w:t>état de santé du partenaire en cas de maladie, et à lui rendre visite dans tout établissement de soins. Cette loi n</w:t>
      </w:r>
      <w:r w:rsidR="00CE0D20">
        <w:t>’</w:t>
      </w:r>
      <w:r>
        <w:t xml:space="preserve">établit pas les mêmes relations et droits que la </w:t>
      </w:r>
      <w:r>
        <w:rPr>
          <w:i/>
          <w:iCs/>
        </w:rPr>
        <w:t>Loi sur le mariage et les relations familiales</w:t>
      </w:r>
      <w:r>
        <w:t xml:space="preserve"> en ce qui concerne des partenaires hétérosexuels. Ainsi, la </w:t>
      </w:r>
      <w:r>
        <w:rPr>
          <w:i/>
          <w:iCs/>
        </w:rPr>
        <w:t>Loi sur l</w:t>
      </w:r>
      <w:r w:rsidR="00CE0D20">
        <w:rPr>
          <w:i/>
          <w:iCs/>
        </w:rPr>
        <w:t>’</w:t>
      </w:r>
      <w:r>
        <w:rPr>
          <w:i/>
          <w:iCs/>
        </w:rPr>
        <w:t>officialisation des unions de personne de même sexe</w:t>
      </w:r>
      <w:r>
        <w:t xml:space="preserve"> n</w:t>
      </w:r>
      <w:r w:rsidR="00CE0D20">
        <w:t>’</w:t>
      </w:r>
      <w:r>
        <w:t>autorise pas l</w:t>
      </w:r>
      <w:r w:rsidR="00CE0D20">
        <w:t>’</w:t>
      </w:r>
      <w:r>
        <w:t>adoption d</w:t>
      </w:r>
      <w:r w:rsidR="00CE0D20">
        <w:t>’</w:t>
      </w:r>
      <w:r>
        <w:t>un enfant. Elle fixe également des limites en matière d</w:t>
      </w:r>
      <w:r w:rsidR="00CE0D20">
        <w:t>’</w:t>
      </w:r>
      <w:r>
        <w:t>héritage, puisque chaque partenaire n</w:t>
      </w:r>
      <w:r w:rsidR="00CE0D20">
        <w:t>’</w:t>
      </w:r>
      <w:r>
        <w:t>a le droit d</w:t>
      </w:r>
      <w:r w:rsidR="00CE0D20">
        <w:t>’</w:t>
      </w:r>
      <w:r>
        <w:t>hériter que d</w:t>
      </w:r>
      <w:r w:rsidR="00CE0D20">
        <w:t>’</w:t>
      </w:r>
      <w:r>
        <w:t>une partie des biens communs (c</w:t>
      </w:r>
      <w:r w:rsidR="00CE0D20">
        <w:t>’</w:t>
      </w:r>
      <w:r>
        <w:t>est-à-dire la partie acquise par le travail au cours de la durée du partenariat) à l</w:t>
      </w:r>
      <w:r w:rsidR="00CE0D20">
        <w:t>’</w:t>
      </w:r>
      <w:r>
        <w:t>exclusion de toute autre.</w:t>
      </w:r>
    </w:p>
    <w:p w:rsidR="00164199" w:rsidRDefault="00164199" w:rsidP="001A0A96">
      <w:pPr>
        <w:pStyle w:val="SingleTxt"/>
      </w:pPr>
      <w:r>
        <w:t>182.</w:t>
      </w:r>
      <w:r>
        <w:tab/>
        <w:t xml:space="preserve">En Slovénie, le domaine de la vie familiale a, sur le plan sociodémographique, des similitudes avec la situation des autres pays européens. Parallèlement aux familles </w:t>
      </w:r>
      <w:r w:rsidR="003158AC">
        <w:t xml:space="preserve">“ </w:t>
      </w:r>
      <w:r>
        <w:t>traditionnelles</w:t>
      </w:r>
      <w:r w:rsidR="00CE0D20">
        <w:t xml:space="preserve"> » – </w:t>
      </w:r>
      <w:r>
        <w:t>c</w:t>
      </w:r>
      <w:r w:rsidR="00CE0D20">
        <w:t>’</w:t>
      </w:r>
      <w:r>
        <w:t>est-à-dire les couples mariés avec enfants -, on note un nombre croissant de familles monoparentales, reconstituées ou réorganisées, de situations de cohabitation et d</w:t>
      </w:r>
      <w:r w:rsidR="00CE0D20">
        <w:t>’</w:t>
      </w:r>
      <w:r>
        <w:t>unions de personnes du même sexe.</w:t>
      </w:r>
    </w:p>
    <w:p w:rsidR="00164199" w:rsidRDefault="00164199" w:rsidP="001A0A96">
      <w:pPr>
        <w:pStyle w:val="SingleTxt"/>
      </w:pPr>
      <w:r>
        <w:t>183.</w:t>
      </w:r>
      <w:r>
        <w:tab/>
        <w:t>D</w:t>
      </w:r>
      <w:r w:rsidR="00CE0D20">
        <w:t>’</w:t>
      </w:r>
      <w:r>
        <w:t>après le Recensement de 2002, la Slovénie compte 555 945 familles – soit 12 000 de plus qu</w:t>
      </w:r>
      <w:r w:rsidR="00CE0D20">
        <w:t>’</w:t>
      </w:r>
      <w:r>
        <w:t>en 1991 (2,2% d</w:t>
      </w:r>
      <w:r w:rsidR="00CE0D20">
        <w:t>’</w:t>
      </w:r>
      <w:r>
        <w:t>augmentation). Aujourd</w:t>
      </w:r>
      <w:r w:rsidR="00CE0D20">
        <w:t>’</w:t>
      </w:r>
      <w:r>
        <w:t>hui, les familles monoparentales constituent près de 20% de l</w:t>
      </w:r>
      <w:r w:rsidR="00CE0D20">
        <w:t>’</w:t>
      </w:r>
      <w:r>
        <w:t>ensemble des familles slovènes</w:t>
      </w:r>
      <w:r w:rsidR="00CE0D20">
        <w:t>;</w:t>
      </w:r>
      <w:r>
        <w:t xml:space="preserve"> elles sont dirigées principalement par la mère (ce cas de figure représentant 86% des familles monoparentales). Toujours d</w:t>
      </w:r>
      <w:r w:rsidR="00CE0D20">
        <w:t>’</w:t>
      </w:r>
      <w:r>
        <w:t>après les chiffres du Recensement de 2002, 23% des familles n</w:t>
      </w:r>
      <w:r w:rsidR="00CE0D20">
        <w:t>’</w:t>
      </w:r>
      <w:r>
        <w:t>avaient pas d</w:t>
      </w:r>
      <w:r w:rsidR="00CE0D20">
        <w:t>’</w:t>
      </w:r>
      <w:r>
        <w:t>enfants (à cette date)</w:t>
      </w:r>
      <w:r w:rsidR="00CE0D20">
        <w:t>;</w:t>
      </w:r>
      <w:r>
        <w:t xml:space="preserve"> la famille moyenne se composait de 3,1 personnes, et 86,7%</w:t>
      </w:r>
      <w:r w:rsidR="00BA4F2E">
        <w:t xml:space="preserve"> </w:t>
      </w:r>
      <w:r>
        <w:t>des Slovènes faisaient partie d</w:t>
      </w:r>
      <w:r w:rsidR="00CE0D20">
        <w:t>’</w:t>
      </w:r>
      <w:r>
        <w:t>une famille. Le type de famille prédominant était celui de la cellule familiale classique – couple marié avec enfants (53% des cas)</w:t>
      </w:r>
      <w:r w:rsidR="00CE0D20">
        <w:t>;</w:t>
      </w:r>
      <w:r>
        <w:t xml:space="preserve"> les couples ayant des enfants et vivant ensemble simplement sur la base d</w:t>
      </w:r>
      <w:r w:rsidR="00CE0D20">
        <w:t>’</w:t>
      </w:r>
      <w:r>
        <w:t>une cohabitation représentaient 5,3% des cas</w:t>
      </w:r>
      <w:r w:rsidRPr="006A4785">
        <w:rPr>
          <w:rStyle w:val="FootnoteReference"/>
        </w:rPr>
        <w:footnoteReference w:customMarkFollows="1" w:id="79"/>
        <w:t>79</w:t>
      </w:r>
      <w:r>
        <w:t>.</w:t>
      </w:r>
    </w:p>
    <w:p w:rsidR="00164199" w:rsidRDefault="00164199" w:rsidP="001A0A96">
      <w:pPr>
        <w:pStyle w:val="SingleTxt"/>
      </w:pPr>
      <w:r>
        <w:t>184.</w:t>
      </w:r>
      <w:r>
        <w:tab/>
        <w:t>En Slovénie, on note une augmentation du nombre d</w:t>
      </w:r>
      <w:r w:rsidR="00CE0D20">
        <w:t>’</w:t>
      </w:r>
      <w:r>
        <w:t>enfants nés en dehors du mariage : en 2004, cela représentait 44,8% des cas. Le nombre de divorces augmente également. En 2004, un mariage sur trois en moyenne se terminait pas un divorce. Ces dernières années, quelque 60% des couples divorcés avaient des enfants à charge. Dans la plupart des cas, c</w:t>
      </w:r>
      <w:r w:rsidR="00CE0D20">
        <w:t>’</w:t>
      </w:r>
      <w:r>
        <w:t>est à la mère qu</w:t>
      </w:r>
      <w:r w:rsidR="00CE0D20">
        <w:t>’</w:t>
      </w:r>
      <w:r>
        <w:t>est confiée la garde des enfants</w:t>
      </w:r>
      <w:r w:rsidR="00CE0D20">
        <w:t>;</w:t>
      </w:r>
      <w:r>
        <w:t xml:space="preserve"> cependant, le nombre d</w:t>
      </w:r>
      <w:r w:rsidR="00CE0D20">
        <w:t>’</w:t>
      </w:r>
      <w:r>
        <w:t>enfants placés en garde conjointe a augmenté, dernièrement. En 2003, 7% des enfants à charge de couples divorcés étaient confiés à la seule garde de leur père</w:t>
      </w:r>
      <w:r w:rsidRPr="006A4785">
        <w:rPr>
          <w:rStyle w:val="FootnoteReference"/>
        </w:rPr>
        <w:footnoteReference w:customMarkFollows="1" w:id="80"/>
        <w:t>80</w:t>
      </w:r>
      <w:r>
        <w:t>.</w:t>
      </w:r>
    </w:p>
    <w:p w:rsidR="00164199" w:rsidRDefault="00164199" w:rsidP="001A0A96">
      <w:pPr>
        <w:pStyle w:val="SingleTxt"/>
      </w:pPr>
      <w:r>
        <w:t>185.</w:t>
      </w:r>
      <w:r>
        <w:tab/>
        <w:t>Dans la plupart des cas, la subsistance est déterminée dans les centres d</w:t>
      </w:r>
      <w:r w:rsidR="00CE0D20">
        <w:t>’</w:t>
      </w:r>
      <w:r>
        <w:t>assistance sociale par accord mutuel (54% des cas), ou par un jugement fixant le montant de la pension (41% des cas)</w:t>
      </w:r>
      <w:r w:rsidR="00CE0D20">
        <w:t>;</w:t>
      </w:r>
      <w:r>
        <w:t xml:space="preserve"> ce n</w:t>
      </w:r>
      <w:r w:rsidR="00CE0D20">
        <w:t>’</w:t>
      </w:r>
      <w:r>
        <w:t>est que dans un nombre de cas restreint que l</w:t>
      </w:r>
      <w:r w:rsidR="00CE0D20">
        <w:t>’</w:t>
      </w:r>
      <w:r>
        <w:t>on a recours à une décision de justice (5% des cas). Dans la plupart des cas (75%), c</w:t>
      </w:r>
      <w:r w:rsidR="00CE0D20">
        <w:t>’</w:t>
      </w:r>
      <w:r>
        <w:t>est la mère qui touche la pension alimentaire</w:t>
      </w:r>
      <w:r w:rsidR="00CE0D20">
        <w:t>;</w:t>
      </w:r>
      <w:r>
        <w:t xml:space="preserve"> mais cela peut être aussi directement l</w:t>
      </w:r>
      <w:r w:rsidR="00CE0D20">
        <w:t>’</w:t>
      </w:r>
      <w:r>
        <w:t>enfant (dans 21% des cas). Enfin, dans 93% des cas, la personne qui doit verser la pension est le père</w:t>
      </w:r>
      <w:r w:rsidRPr="006A4785">
        <w:rPr>
          <w:rStyle w:val="FootnoteReference"/>
        </w:rPr>
        <w:footnoteReference w:customMarkFollows="1" w:id="81"/>
        <w:t>81</w:t>
      </w:r>
      <w:r>
        <w:t>.</w:t>
      </w:r>
    </w:p>
    <w:p w:rsidR="00164199" w:rsidRPr="001303D2" w:rsidRDefault="00164199" w:rsidP="009B5A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1303D2">
        <w:t>A</w:t>
      </w:r>
      <w:r>
        <w:t>nnexe</w:t>
      </w:r>
      <w:r w:rsidRPr="001303D2">
        <w:t xml:space="preserve"> 1</w:t>
      </w:r>
    </w:p>
    <w:p w:rsidR="009B5AAD" w:rsidRPr="009B5AAD" w:rsidRDefault="009B5AAD" w:rsidP="009B5AAD">
      <w:pPr>
        <w:pStyle w:val="SingleTxt"/>
        <w:spacing w:after="0" w:line="120" w:lineRule="exact"/>
        <w:rPr>
          <w:sz w:val="10"/>
          <w:szCs w:val="24"/>
        </w:rPr>
      </w:pPr>
    </w:p>
    <w:p w:rsidR="009B5AAD" w:rsidRPr="009B5AAD" w:rsidRDefault="009B5AAD" w:rsidP="009B5AAD">
      <w:pPr>
        <w:pStyle w:val="SingleTxt"/>
        <w:spacing w:after="0" w:line="120" w:lineRule="exact"/>
        <w:rPr>
          <w:sz w:val="10"/>
          <w:szCs w:val="24"/>
        </w:rPr>
      </w:pPr>
    </w:p>
    <w:p w:rsidR="009B5AAD" w:rsidRPr="009B5AAD" w:rsidRDefault="009B5AAD" w:rsidP="009B5AAD">
      <w:pPr>
        <w:pStyle w:val="SingleTxt"/>
        <w:spacing w:after="0" w:line="120" w:lineRule="exact"/>
        <w:rPr>
          <w:sz w:val="10"/>
          <w:szCs w:val="24"/>
        </w:rPr>
      </w:pPr>
    </w:p>
    <w:p w:rsidR="00164199" w:rsidRPr="001303D2" w:rsidRDefault="009B5AAD" w:rsidP="009B5A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199">
        <w:t>Références juridiques</w:t>
      </w:r>
    </w:p>
    <w:p w:rsidR="009B5AAD" w:rsidRPr="009B5AAD" w:rsidRDefault="009B5AAD" w:rsidP="009B5AAD">
      <w:pPr>
        <w:pStyle w:val="SingleTxt"/>
        <w:spacing w:after="0" w:line="120" w:lineRule="exact"/>
        <w:rPr>
          <w:sz w:val="10"/>
        </w:rPr>
      </w:pPr>
    </w:p>
    <w:p w:rsidR="009B5AAD" w:rsidRPr="009B5AAD" w:rsidRDefault="009B5AAD" w:rsidP="009B5AAD">
      <w:pPr>
        <w:pStyle w:val="SingleTxt"/>
        <w:spacing w:after="0" w:line="120" w:lineRule="exact"/>
        <w:rPr>
          <w:sz w:val="10"/>
        </w:rPr>
      </w:pPr>
    </w:p>
    <w:p w:rsidR="00164199" w:rsidRPr="003A12D2" w:rsidRDefault="009B5AAD" w:rsidP="00527026">
      <w:pPr>
        <w:pStyle w:val="SingleTxt"/>
        <w:tabs>
          <w:tab w:val="clear" w:pos="1267"/>
        </w:tabs>
        <w:ind w:left="1800" w:hanging="533"/>
      </w:pPr>
      <w:r>
        <w:t>1.</w:t>
      </w:r>
      <w:r>
        <w:tab/>
      </w:r>
      <w:r w:rsidR="00527026">
        <w:tab/>
      </w:r>
      <w:r w:rsidR="00164199" w:rsidRPr="003A12D2">
        <w:t>Constitution de la République de Slovénie, Journal officiel (</w:t>
      </w:r>
      <w:r w:rsidR="00164199" w:rsidRPr="003A12D2">
        <w:rPr>
          <w:i/>
          <w:iCs/>
        </w:rPr>
        <w:t>Uradni list RS</w:t>
      </w:r>
      <w:r w:rsidR="00164199" w:rsidRPr="003A12D2">
        <w:t xml:space="preserve"> N</w:t>
      </w:r>
      <w:r w:rsidR="00164199" w:rsidRPr="00CE0D20">
        <w:rPr>
          <w:vertAlign w:val="superscript"/>
        </w:rPr>
        <w:t>o</w:t>
      </w:r>
      <w:r w:rsidR="00527026">
        <w:rPr>
          <w:vertAlign w:val="superscript"/>
        </w:rPr>
        <w:t> </w:t>
      </w:r>
      <w:r w:rsidR="00164199" w:rsidRPr="003A12D2">
        <w:t>33/91, 42/97, 66/00, 24/03, 69/04).</w:t>
      </w:r>
    </w:p>
    <w:p w:rsidR="00164199" w:rsidRPr="003A12D2" w:rsidRDefault="00125E4B" w:rsidP="00527026">
      <w:pPr>
        <w:pStyle w:val="SingleTxt"/>
        <w:ind w:left="1800" w:hanging="533"/>
      </w:pPr>
      <w:r>
        <w:t>2.</w:t>
      </w:r>
      <w:r>
        <w:tab/>
      </w:r>
      <w:r w:rsidR="00527026">
        <w:tab/>
      </w:r>
      <w:r w:rsidR="00164199" w:rsidRPr="003A12D2">
        <w:t>Loi sur la mise en oeuvre du principe d</w:t>
      </w:r>
      <w:r w:rsidR="00CE0D20">
        <w:t>’</w:t>
      </w:r>
      <w:r w:rsidR="00164199" w:rsidRPr="003A12D2">
        <w:t>égalité de traitement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50/04).</w:t>
      </w:r>
    </w:p>
    <w:p w:rsidR="00164199" w:rsidRPr="003A12D2" w:rsidRDefault="00125E4B" w:rsidP="00527026">
      <w:pPr>
        <w:pStyle w:val="SingleTxt"/>
        <w:ind w:left="1800" w:hanging="533"/>
      </w:pPr>
      <w:r>
        <w:t>3.</w:t>
      </w:r>
      <w:r>
        <w:tab/>
      </w:r>
      <w:r w:rsidR="00527026">
        <w:tab/>
      </w:r>
      <w:r w:rsidR="00164199" w:rsidRPr="003A12D2">
        <w:t>Loi sur l</w:t>
      </w:r>
      <w:r w:rsidR="00CE0D20">
        <w:t>’</w:t>
      </w:r>
      <w:r w:rsidR="00164199" w:rsidRPr="003A12D2">
        <w:t xml:space="preserve">égalité des chances des </w:t>
      </w:r>
      <w:r w:rsidR="00164199">
        <w:t>femmes et des hommes</w:t>
      </w:r>
      <w:r w:rsidR="00164199" w:rsidRPr="003A12D2">
        <w:t xml:space="preserve"> (</w:t>
      </w:r>
      <w:r w:rsidR="00164199" w:rsidRPr="003A12D2">
        <w:rPr>
          <w:i/>
          <w:iCs/>
        </w:rPr>
        <w:t xml:space="preserve">Uradni list RS </w:t>
      </w:r>
      <w:r w:rsidR="00164199" w:rsidRPr="003A12D2">
        <w:t>N</w:t>
      </w:r>
      <w:r w:rsidR="00164199" w:rsidRPr="00CE0D20">
        <w:rPr>
          <w:vertAlign w:val="superscript"/>
        </w:rPr>
        <w:t>o</w:t>
      </w:r>
      <w:r w:rsidR="00CE0D20">
        <w:rPr>
          <w:vertAlign w:val="superscript"/>
        </w:rPr>
        <w:t> </w:t>
      </w:r>
      <w:r w:rsidR="00164199" w:rsidRPr="003A12D2">
        <w:t>59/02).</w:t>
      </w:r>
    </w:p>
    <w:p w:rsidR="00164199" w:rsidRPr="003A12D2" w:rsidRDefault="00125E4B" w:rsidP="00527026">
      <w:pPr>
        <w:pStyle w:val="SingleTxt"/>
        <w:ind w:left="1800" w:hanging="533"/>
      </w:pPr>
      <w:r>
        <w:t>4.</w:t>
      </w:r>
      <w:r>
        <w:tab/>
      </w:r>
      <w:r w:rsidR="00527026">
        <w:tab/>
      </w:r>
      <w:r w:rsidR="00164199" w:rsidRPr="003A12D2">
        <w:t>Loi sur les partis politiques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rPr>
          <w:color w:val="000000"/>
        </w:rPr>
        <w:t>62/94, 13/98 – Décisions du CC, 24-1127/1999, 70/2000, 51/2002, 94-4708/2002.</w:t>
      </w:r>
    </w:p>
    <w:p w:rsidR="00125E4B" w:rsidRPr="00125E4B" w:rsidRDefault="00527026" w:rsidP="00527026">
      <w:pPr>
        <w:pStyle w:val="SingleTxt"/>
        <w:numPr>
          <w:ilvl w:val="0"/>
          <w:numId w:val="2"/>
        </w:numPr>
        <w:ind w:left="1800" w:hanging="533"/>
      </w:pPr>
      <w:r>
        <w:tab/>
      </w:r>
      <w:r w:rsidR="00164199" w:rsidRPr="003A12D2">
        <w:t>Loi sur l</w:t>
      </w:r>
      <w:r w:rsidR="00CE0D20">
        <w:t>’</w:t>
      </w:r>
      <w:r w:rsidR="00164199" w:rsidRPr="003A12D2">
        <w:t xml:space="preserve">élection de députés slovènes au Parlement européen – texte officiel consolidé,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rPr>
          <w:color w:val="000000"/>
        </w:rPr>
        <w:t>40/2004.</w:t>
      </w:r>
    </w:p>
    <w:p w:rsidR="00164199" w:rsidRPr="003A12D2" w:rsidRDefault="00527026" w:rsidP="00527026">
      <w:pPr>
        <w:pStyle w:val="SingleTxt"/>
        <w:numPr>
          <w:ilvl w:val="0"/>
          <w:numId w:val="2"/>
        </w:numPr>
        <w:ind w:left="1800" w:hanging="533"/>
      </w:pPr>
      <w:r>
        <w:tab/>
      </w:r>
      <w:r w:rsidR="00164199" w:rsidRPr="003A12D2">
        <w:t xml:space="preserve">Loi sur les partis candidats aux élections locales,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72/93, 7/94, 33/94, 61/95 – Décisions du CC, 70/95, 20/98, 51/02, 11/03, 73/03, 72/05.</w:t>
      </w:r>
    </w:p>
    <w:p w:rsidR="00164199" w:rsidRPr="003A12D2" w:rsidRDefault="00164199" w:rsidP="00125E4B">
      <w:pPr>
        <w:pStyle w:val="SingleTxt"/>
        <w:numPr>
          <w:ilvl w:val="0"/>
          <w:numId w:val="2"/>
        </w:numPr>
      </w:pPr>
      <w:r w:rsidRPr="003A12D2">
        <w:t xml:space="preserve">Loi relative au Code pénal – texte officiel consolidé, </w:t>
      </w:r>
      <w:r w:rsidRPr="003A12D2">
        <w:rPr>
          <w:i/>
          <w:iCs/>
        </w:rPr>
        <w:t>Uradni list RS</w:t>
      </w:r>
      <w:r w:rsidRPr="003A12D2">
        <w:t xml:space="preserve"> N</w:t>
      </w:r>
      <w:r w:rsidRPr="00CE0D20">
        <w:rPr>
          <w:vertAlign w:val="superscript"/>
        </w:rPr>
        <w:t>o</w:t>
      </w:r>
      <w:r w:rsidR="00BA4F2E">
        <w:rPr>
          <w:vertAlign w:val="superscript"/>
        </w:rPr>
        <w:t xml:space="preserve"> </w:t>
      </w:r>
      <w:r w:rsidRPr="003A12D2">
        <w:t>95/04.</w:t>
      </w:r>
    </w:p>
    <w:p w:rsidR="00164199" w:rsidRPr="003A12D2" w:rsidRDefault="00527026" w:rsidP="00527026">
      <w:pPr>
        <w:pStyle w:val="SingleTxt"/>
        <w:numPr>
          <w:ilvl w:val="0"/>
          <w:numId w:val="2"/>
        </w:numPr>
        <w:ind w:left="1800" w:hanging="533"/>
      </w:pPr>
      <w:r>
        <w:tab/>
      </w:r>
      <w:r w:rsidR="00164199" w:rsidRPr="003A12D2">
        <w:t xml:space="preserve">Loi relative au Code de procédure pénale – texte officiel consolidé,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96/04.</w:t>
      </w:r>
    </w:p>
    <w:p w:rsidR="00164199" w:rsidRPr="003A12D2" w:rsidRDefault="00164199" w:rsidP="00125E4B">
      <w:pPr>
        <w:pStyle w:val="SingleTxt"/>
        <w:numPr>
          <w:ilvl w:val="0"/>
          <w:numId w:val="2"/>
        </w:numPr>
      </w:pPr>
      <w:r w:rsidRPr="003A12D2">
        <w:t xml:space="preserve">Loi sur la protection des témoins, </w:t>
      </w:r>
      <w:r w:rsidRPr="003A12D2">
        <w:rPr>
          <w:i/>
          <w:iCs/>
        </w:rPr>
        <w:t>Uradni list RS</w:t>
      </w:r>
      <w:r w:rsidRPr="003A12D2">
        <w:t xml:space="preserve"> N</w:t>
      </w:r>
      <w:r w:rsidRPr="00CE0D20">
        <w:rPr>
          <w:vertAlign w:val="superscript"/>
        </w:rPr>
        <w:t>o</w:t>
      </w:r>
      <w:r w:rsidR="00BA4F2E">
        <w:rPr>
          <w:vertAlign w:val="superscript"/>
        </w:rPr>
        <w:t xml:space="preserve"> </w:t>
      </w:r>
      <w:r w:rsidRPr="003A12D2">
        <w:t>113/05.</w:t>
      </w:r>
    </w:p>
    <w:p w:rsidR="00164199" w:rsidRPr="003A12D2" w:rsidRDefault="00164199" w:rsidP="00125E4B">
      <w:pPr>
        <w:pStyle w:val="SingleTxt"/>
        <w:numPr>
          <w:ilvl w:val="0"/>
          <w:numId w:val="2"/>
        </w:numPr>
      </w:pPr>
      <w:r w:rsidRPr="003A12D2">
        <w:t>Loi relative à la Police – texte offici</w:t>
      </w:r>
      <w:r>
        <w:t>e</w:t>
      </w:r>
      <w:r w:rsidRPr="003A12D2">
        <w:t xml:space="preserve">l consolidé, </w:t>
      </w:r>
      <w:r w:rsidRPr="003A12D2">
        <w:rPr>
          <w:i/>
          <w:iCs/>
        </w:rPr>
        <w:t>Uradni list RS</w:t>
      </w:r>
      <w:r w:rsidRPr="003A12D2">
        <w:t xml:space="preserve"> N</w:t>
      </w:r>
      <w:r w:rsidRPr="00CE0D20">
        <w:rPr>
          <w:vertAlign w:val="superscript"/>
        </w:rPr>
        <w:t>o</w:t>
      </w:r>
      <w:r w:rsidR="00BA4F2E">
        <w:rPr>
          <w:vertAlign w:val="superscript"/>
        </w:rPr>
        <w:t xml:space="preserve"> </w:t>
      </w:r>
      <w:r w:rsidRPr="003A12D2">
        <w:t>70/05.</w:t>
      </w:r>
    </w:p>
    <w:p w:rsidR="00164199" w:rsidRPr="003A12D2" w:rsidRDefault="00527026" w:rsidP="00527026">
      <w:pPr>
        <w:pStyle w:val="SingleTxt"/>
        <w:numPr>
          <w:ilvl w:val="0"/>
          <w:numId w:val="2"/>
        </w:numPr>
        <w:ind w:left="1800" w:hanging="533"/>
      </w:pPr>
      <w:r>
        <w:tab/>
      </w:r>
      <w:r w:rsidR="00164199" w:rsidRPr="003A12D2">
        <w:t>Atteintes à l</w:t>
      </w:r>
      <w:r w:rsidR="00CE0D20">
        <w:t>’</w:t>
      </w:r>
      <w:r w:rsidR="00164199" w:rsidRPr="003A12D2">
        <w:t>ordre</w:t>
      </w:r>
      <w:r w:rsidR="00164199">
        <w:t xml:space="preserve"> et à la paix</w:t>
      </w:r>
      <w:r w:rsidR="00164199" w:rsidRPr="003A12D2">
        <w:t xml:space="preserve"> public</w:t>
      </w:r>
      <w:r w:rsidR="00164199">
        <w:t>s</w:t>
      </w:r>
      <w:r w:rsidR="00164199" w:rsidRPr="003A12D2">
        <w:t xml:space="preserve">, </w:t>
      </w:r>
      <w:r w:rsidR="00164199" w:rsidRPr="003A12D2">
        <w:rPr>
          <w:i/>
          <w:iCs/>
        </w:rPr>
        <w:t>Uradni list SRS</w:t>
      </w:r>
      <w:r w:rsidR="00164199" w:rsidRPr="003A12D2">
        <w:t xml:space="preserve"> N</w:t>
      </w:r>
      <w:r w:rsidR="00164199" w:rsidRPr="00CE0D20">
        <w:rPr>
          <w:vertAlign w:val="superscript"/>
        </w:rPr>
        <w:t>o</w:t>
      </w:r>
      <w:r w:rsidR="00BA4F2E">
        <w:rPr>
          <w:vertAlign w:val="superscript"/>
        </w:rPr>
        <w:t xml:space="preserve"> </w:t>
      </w:r>
      <w:r w:rsidR="00164199" w:rsidRPr="003A12D2">
        <w:t xml:space="preserve">16/74, 15/76 – ZVPH, 42/86,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8/90 – ZSDZ, 67/94 – ZGSH, 29/95 – ZPDF, 98/99 – ZZZiv and 15/2003 – ZOPA.</w:t>
      </w:r>
    </w:p>
    <w:p w:rsidR="00164199" w:rsidRPr="003A12D2" w:rsidRDefault="00527026" w:rsidP="00527026">
      <w:pPr>
        <w:pStyle w:val="SingleTxt"/>
        <w:numPr>
          <w:ilvl w:val="0"/>
          <w:numId w:val="2"/>
        </w:numPr>
        <w:ind w:left="1800" w:hanging="533"/>
      </w:pPr>
      <w:r>
        <w:tab/>
      </w:r>
      <w:r w:rsidR="00164199" w:rsidRPr="003A12D2">
        <w:t>Loi relative aux services du Procureur</w:t>
      </w:r>
      <w:r w:rsidR="00164199">
        <w:t xml:space="preserve"> </w:t>
      </w:r>
      <w:r w:rsidR="00164199" w:rsidRPr="003A12D2">
        <w:t xml:space="preserve">de la République, </w:t>
      </w:r>
      <w:r w:rsidR="00164199" w:rsidRPr="003A12D2">
        <w:rPr>
          <w:i/>
          <w:iCs/>
        </w:rPr>
        <w:t>Uradni list RS</w:t>
      </w:r>
      <w:r w:rsidR="00164199" w:rsidRPr="003A12D2">
        <w:t xml:space="preserve"> N</w:t>
      </w:r>
      <w:r w:rsidR="00164199" w:rsidRPr="00CE0D20">
        <w:rPr>
          <w:vertAlign w:val="superscript"/>
        </w:rPr>
        <w:t>o</w:t>
      </w:r>
      <w:r w:rsidR="00CE0D20">
        <w:rPr>
          <w:vertAlign w:val="superscript"/>
        </w:rPr>
        <w:t> </w:t>
      </w:r>
      <w:r w:rsidR="00164199" w:rsidRPr="003A12D2">
        <w:t>63/94, 59/99, 110/02.</w:t>
      </w:r>
    </w:p>
    <w:p w:rsidR="00164199" w:rsidRPr="003A12D2" w:rsidRDefault="00527026" w:rsidP="00527026">
      <w:pPr>
        <w:pStyle w:val="SingleTxt"/>
        <w:numPr>
          <w:ilvl w:val="0"/>
          <w:numId w:val="2"/>
        </w:numPr>
        <w:ind w:left="1800" w:hanging="533"/>
      </w:pPr>
      <w:r>
        <w:rPr>
          <w:color w:val="000000"/>
        </w:rPr>
        <w:tab/>
      </w:r>
      <w:r w:rsidR="00164199" w:rsidRPr="003A12D2">
        <w:rPr>
          <w:color w:val="000000"/>
        </w:rPr>
        <w:t>Loi sur la citoyenneté slovène – texte offici</w:t>
      </w:r>
      <w:r w:rsidR="00164199">
        <w:rPr>
          <w:color w:val="000000"/>
        </w:rPr>
        <w:t>e</w:t>
      </w:r>
      <w:r w:rsidR="00164199" w:rsidRPr="003A12D2">
        <w:rPr>
          <w:color w:val="000000"/>
        </w:rPr>
        <w:t xml:space="preserve">l consolidé, </w:t>
      </w:r>
      <w:r w:rsidR="00164199" w:rsidRPr="003A12D2">
        <w:rPr>
          <w:i/>
          <w:iCs/>
          <w:color w:val="000000"/>
        </w:rPr>
        <w:t>Uradni list RS</w:t>
      </w:r>
      <w:r w:rsidR="00164199" w:rsidRPr="003A12D2">
        <w:rPr>
          <w:color w:val="000000"/>
        </w:rPr>
        <w:t xml:space="preserve"> N</w:t>
      </w:r>
      <w:r w:rsidR="00164199" w:rsidRPr="00CE0D20">
        <w:rPr>
          <w:color w:val="000000"/>
          <w:vertAlign w:val="superscript"/>
        </w:rPr>
        <w:t>o</w:t>
      </w:r>
      <w:r w:rsidR="00CE0D20">
        <w:rPr>
          <w:color w:val="000000"/>
          <w:vertAlign w:val="superscript"/>
        </w:rPr>
        <w:t> </w:t>
      </w:r>
      <w:r w:rsidR="00164199" w:rsidRPr="003A12D2">
        <w:rPr>
          <w:color w:val="000000"/>
        </w:rPr>
        <w:t>7/03.</w:t>
      </w:r>
    </w:p>
    <w:p w:rsidR="00164199" w:rsidRPr="003A12D2" w:rsidRDefault="00164199" w:rsidP="00125E4B">
      <w:pPr>
        <w:pStyle w:val="SingleTxt"/>
        <w:numPr>
          <w:ilvl w:val="0"/>
          <w:numId w:val="2"/>
        </w:numPr>
      </w:pPr>
      <w:r w:rsidRPr="003A12D2">
        <w:t xml:space="preserve">Loi sur les relations professionnelles, </w:t>
      </w:r>
      <w:r w:rsidRPr="003A12D2">
        <w:rPr>
          <w:i/>
          <w:iCs/>
        </w:rPr>
        <w:t>Uradni list RS</w:t>
      </w:r>
      <w:r w:rsidRPr="003A12D2">
        <w:t xml:space="preserve"> N</w:t>
      </w:r>
      <w:r w:rsidRPr="00CE0D20">
        <w:rPr>
          <w:vertAlign w:val="superscript"/>
        </w:rPr>
        <w:t>o</w:t>
      </w:r>
      <w:r w:rsidR="00BA4F2E">
        <w:rPr>
          <w:vertAlign w:val="superscript"/>
        </w:rPr>
        <w:t xml:space="preserve"> </w:t>
      </w:r>
      <w:r w:rsidRPr="003A12D2">
        <w:t>42/02.</w:t>
      </w:r>
    </w:p>
    <w:p w:rsidR="00164199" w:rsidRPr="003A12D2" w:rsidRDefault="00527026" w:rsidP="00527026">
      <w:pPr>
        <w:pStyle w:val="SingleTxt"/>
        <w:numPr>
          <w:ilvl w:val="0"/>
          <w:numId w:val="2"/>
        </w:numPr>
        <w:ind w:left="1800" w:hanging="533"/>
      </w:pPr>
      <w:r>
        <w:tab/>
      </w:r>
      <w:r w:rsidR="00164199" w:rsidRPr="003A12D2">
        <w:t xml:space="preserve">Loi sur le mariage et les relations familiales – texte officiel consolidé,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69/04.</w:t>
      </w:r>
    </w:p>
    <w:p w:rsidR="00164199" w:rsidRPr="003A12D2" w:rsidRDefault="00527026" w:rsidP="00527026">
      <w:pPr>
        <w:pStyle w:val="SingleTxt"/>
        <w:numPr>
          <w:ilvl w:val="0"/>
          <w:numId w:val="2"/>
        </w:numPr>
        <w:ind w:left="1800" w:hanging="533"/>
      </w:pPr>
      <w:r>
        <w:tab/>
      </w:r>
      <w:r w:rsidR="00164199" w:rsidRPr="003A12D2">
        <w:t xml:space="preserve">Loi sur le Fonds public de garantie et de pensions alimentaires – texte officiel consolidé,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26/03.</w:t>
      </w:r>
    </w:p>
    <w:p w:rsidR="00164199" w:rsidRPr="003A12D2" w:rsidRDefault="00527026" w:rsidP="00527026">
      <w:pPr>
        <w:pStyle w:val="SingleTxt"/>
        <w:numPr>
          <w:ilvl w:val="0"/>
          <w:numId w:val="2"/>
        </w:numPr>
        <w:ind w:left="1800" w:hanging="533"/>
      </w:pPr>
      <w:r>
        <w:tab/>
      </w:r>
      <w:r w:rsidR="00164199" w:rsidRPr="003A12D2">
        <w:t>Loi sur la fonction parentale et le</w:t>
      </w:r>
      <w:r w:rsidR="00164199">
        <w:t>s</w:t>
      </w:r>
      <w:r w:rsidR="00164199" w:rsidRPr="003A12D2">
        <w:t xml:space="preserve"> revenu</w:t>
      </w:r>
      <w:r w:rsidR="00164199">
        <w:t>s familiaux</w:t>
      </w:r>
      <w:r w:rsidR="00164199" w:rsidRPr="003A12D2">
        <w:rPr>
          <w:color w:val="000000"/>
        </w:rPr>
        <w:t xml:space="preserve"> – texte officiel consolidé, </w:t>
      </w:r>
      <w:r w:rsidR="00164199" w:rsidRPr="003A12D2">
        <w:rPr>
          <w:i/>
          <w:iCs/>
          <w:color w:val="000000"/>
        </w:rPr>
        <w:t>Uradni list RS</w:t>
      </w:r>
      <w:r w:rsidR="00164199" w:rsidRPr="003A12D2">
        <w:rPr>
          <w:color w:val="000000"/>
        </w:rPr>
        <w:t xml:space="preserve"> N</w:t>
      </w:r>
      <w:r w:rsidR="00164199" w:rsidRPr="00CE0D20">
        <w:rPr>
          <w:color w:val="000000"/>
          <w:vertAlign w:val="superscript"/>
        </w:rPr>
        <w:t>o</w:t>
      </w:r>
      <w:r w:rsidR="00BA4F2E">
        <w:rPr>
          <w:color w:val="000000"/>
          <w:vertAlign w:val="superscript"/>
        </w:rPr>
        <w:t xml:space="preserve"> </w:t>
      </w:r>
      <w:r w:rsidR="00164199" w:rsidRPr="003A12D2">
        <w:rPr>
          <w:color w:val="000000"/>
        </w:rPr>
        <w:t>76/03.</w:t>
      </w:r>
    </w:p>
    <w:p w:rsidR="00164199" w:rsidRPr="003A12D2" w:rsidRDefault="00527026" w:rsidP="00527026">
      <w:pPr>
        <w:pStyle w:val="SingleTxt"/>
        <w:numPr>
          <w:ilvl w:val="0"/>
          <w:numId w:val="2"/>
        </w:numPr>
        <w:ind w:left="1800" w:hanging="533"/>
      </w:pPr>
      <w:r>
        <w:tab/>
      </w:r>
      <w:r w:rsidR="00164199" w:rsidRPr="003A12D2">
        <w:t>Loi sur l</w:t>
      </w:r>
      <w:r w:rsidR="00CE0D20">
        <w:t>’</w:t>
      </w:r>
      <w:r w:rsidR="00164199" w:rsidRPr="003A12D2">
        <w:t xml:space="preserve">organisation et le financement de </w:t>
      </w:r>
      <w:r w:rsidR="00221C8A" w:rsidRPr="003A12D2">
        <w:t>É</w:t>
      </w:r>
      <w:r w:rsidR="00221C8A">
        <w:t>d</w:t>
      </w:r>
      <w:r w:rsidR="00221C8A" w:rsidRPr="003A12D2">
        <w:t>ucation</w:t>
      </w:r>
      <w:r w:rsidR="00164199" w:rsidRPr="003A12D2">
        <w:t xml:space="preserve"> – texte officiel consolidé,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14/03.</w:t>
      </w:r>
    </w:p>
    <w:p w:rsidR="00164199" w:rsidRPr="003A12D2" w:rsidRDefault="00527026" w:rsidP="00527026">
      <w:pPr>
        <w:pStyle w:val="SingleTxt"/>
        <w:numPr>
          <w:ilvl w:val="0"/>
          <w:numId w:val="2"/>
        </w:numPr>
        <w:ind w:left="1800" w:hanging="533"/>
      </w:pPr>
      <w:r>
        <w:tab/>
      </w:r>
      <w:r w:rsidR="00164199" w:rsidRPr="003A12D2">
        <w:t>Loi sur les pensions</w:t>
      </w:r>
      <w:r w:rsidR="00164199">
        <w:t xml:space="preserve"> </w:t>
      </w:r>
      <w:r w:rsidR="00164199" w:rsidRPr="003A12D2">
        <w:t>et l</w:t>
      </w:r>
      <w:r w:rsidR="00CE0D20">
        <w:t>’</w:t>
      </w:r>
      <w:r w:rsidR="00164199" w:rsidRPr="003A12D2">
        <w:t xml:space="preserve">assurance invalidité – texte officiel consolidé,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20/04.</w:t>
      </w:r>
    </w:p>
    <w:p w:rsidR="00164199" w:rsidRPr="003A12D2" w:rsidRDefault="00527026" w:rsidP="00527026">
      <w:pPr>
        <w:pStyle w:val="SingleTxt"/>
        <w:numPr>
          <w:ilvl w:val="0"/>
          <w:numId w:val="2"/>
        </w:numPr>
        <w:ind w:left="1800" w:hanging="533"/>
      </w:pPr>
      <w:r>
        <w:tab/>
      </w:r>
      <w:r w:rsidR="00164199" w:rsidRPr="003A12D2">
        <w:t>L</w:t>
      </w:r>
      <w:r w:rsidR="00164199">
        <w:t>o</w:t>
      </w:r>
      <w:r w:rsidR="00164199" w:rsidRPr="003A12D2">
        <w:t>i sur les soins de santé et l</w:t>
      </w:r>
      <w:r w:rsidR="00CE0D20">
        <w:t>’</w:t>
      </w:r>
      <w:r w:rsidR="00164199" w:rsidRPr="003A12D2">
        <w:t xml:space="preserve">assurance maladie – texte officiel consolidé,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20/04, 76/05.</w:t>
      </w:r>
    </w:p>
    <w:p w:rsidR="00164199" w:rsidRPr="003A12D2" w:rsidRDefault="00527026" w:rsidP="00527026">
      <w:pPr>
        <w:pStyle w:val="SingleTxt"/>
        <w:numPr>
          <w:ilvl w:val="0"/>
          <w:numId w:val="2"/>
        </w:numPr>
        <w:ind w:left="1800" w:hanging="533"/>
      </w:pPr>
      <w:r>
        <w:tab/>
      </w:r>
      <w:r w:rsidR="00164199" w:rsidRPr="003A12D2">
        <w:t xml:space="preserve">Loi sur le traitement de la stérilité et la procréation biomédicalement assistée,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70/00.</w:t>
      </w:r>
    </w:p>
    <w:p w:rsidR="00164199" w:rsidRPr="003A12D2" w:rsidRDefault="00527026" w:rsidP="00527026">
      <w:pPr>
        <w:pStyle w:val="SingleTxt"/>
        <w:numPr>
          <w:ilvl w:val="0"/>
          <w:numId w:val="2"/>
        </w:numPr>
        <w:ind w:left="1800" w:hanging="533"/>
      </w:pPr>
      <w:r>
        <w:tab/>
      </w:r>
      <w:r w:rsidR="00164199" w:rsidRPr="003A12D2">
        <w:t xml:space="preserve">Loi sur la santé et la sécurité sur le lieu de travail,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56/99, 64/01.</w:t>
      </w:r>
    </w:p>
    <w:p w:rsidR="00164199" w:rsidRPr="003A12D2" w:rsidRDefault="00164199" w:rsidP="00125E4B">
      <w:pPr>
        <w:pStyle w:val="SingleTxt"/>
        <w:numPr>
          <w:ilvl w:val="0"/>
          <w:numId w:val="2"/>
        </w:numPr>
      </w:pPr>
      <w:r w:rsidRPr="003A12D2">
        <w:t xml:space="preserve">Loi sur le logement, </w:t>
      </w:r>
      <w:r w:rsidRPr="003A12D2">
        <w:rPr>
          <w:i/>
          <w:iCs/>
        </w:rPr>
        <w:t>Uradni list RS</w:t>
      </w:r>
      <w:r w:rsidRPr="003A12D2">
        <w:t xml:space="preserve"> N</w:t>
      </w:r>
      <w:r w:rsidRPr="00CE0D20">
        <w:rPr>
          <w:vertAlign w:val="superscript"/>
        </w:rPr>
        <w:t>o</w:t>
      </w:r>
      <w:r w:rsidR="00BA4F2E">
        <w:rPr>
          <w:vertAlign w:val="superscript"/>
        </w:rPr>
        <w:t xml:space="preserve"> </w:t>
      </w:r>
      <w:r w:rsidRPr="003A12D2">
        <w:t>69/03, 18/04.</w:t>
      </w:r>
    </w:p>
    <w:p w:rsidR="00164199" w:rsidRPr="003A12D2" w:rsidRDefault="00527026" w:rsidP="00527026">
      <w:pPr>
        <w:pStyle w:val="SingleTxt"/>
        <w:numPr>
          <w:ilvl w:val="0"/>
          <w:numId w:val="2"/>
        </w:numPr>
        <w:ind w:left="1800" w:hanging="533"/>
      </w:pPr>
      <w:r>
        <w:tab/>
      </w:r>
      <w:r w:rsidR="00164199" w:rsidRPr="003A12D2">
        <w:t>Loi sur la réinsertion professionnelle et l</w:t>
      </w:r>
      <w:r w:rsidR="00CE0D20">
        <w:t>’</w:t>
      </w:r>
      <w:r w:rsidR="00164199" w:rsidRPr="003A12D2">
        <w:t xml:space="preserve">emploi des personnes handicapées,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63/04, 72/05.</w:t>
      </w:r>
    </w:p>
    <w:p w:rsidR="00164199" w:rsidRPr="003A12D2" w:rsidRDefault="00527026" w:rsidP="00527026">
      <w:pPr>
        <w:pStyle w:val="SingleTxt"/>
        <w:numPr>
          <w:ilvl w:val="0"/>
          <w:numId w:val="2"/>
        </w:numPr>
        <w:ind w:left="1800" w:hanging="533"/>
      </w:pPr>
      <w:r>
        <w:tab/>
      </w:r>
      <w:r w:rsidR="00164199" w:rsidRPr="003A12D2">
        <w:t>Loi sur l</w:t>
      </w:r>
      <w:r w:rsidR="00CE0D20">
        <w:t>’</w:t>
      </w:r>
      <w:r w:rsidR="00164199" w:rsidRPr="003A12D2">
        <w:t xml:space="preserve">officialisation des unions de personnes de même sexe,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65/05.</w:t>
      </w:r>
    </w:p>
    <w:p w:rsidR="00164199" w:rsidRPr="003A12D2" w:rsidRDefault="00164199" w:rsidP="00125E4B">
      <w:pPr>
        <w:pStyle w:val="SingleTxt"/>
        <w:numPr>
          <w:ilvl w:val="0"/>
          <w:numId w:val="2"/>
        </w:numPr>
      </w:pPr>
      <w:r w:rsidRPr="003A12D2">
        <w:t>Loi sur l</w:t>
      </w:r>
      <w:r w:rsidR="00CE0D20">
        <w:t>’</w:t>
      </w:r>
      <w:r w:rsidRPr="003A12D2">
        <w:t>emploi et l</w:t>
      </w:r>
      <w:r w:rsidR="00CE0D20">
        <w:t>’</w:t>
      </w:r>
      <w:r w:rsidRPr="003A12D2">
        <w:t xml:space="preserve">assurance chômage, </w:t>
      </w:r>
      <w:r w:rsidRPr="003A12D2">
        <w:rPr>
          <w:i/>
          <w:iCs/>
        </w:rPr>
        <w:t>Uradni list RS</w:t>
      </w:r>
      <w:r w:rsidRPr="003A12D2">
        <w:t xml:space="preserve"> Nos. 5/91, …, 63/04.</w:t>
      </w:r>
    </w:p>
    <w:p w:rsidR="00164199" w:rsidRPr="003A12D2" w:rsidRDefault="00527026" w:rsidP="00527026">
      <w:pPr>
        <w:pStyle w:val="SingleTxt"/>
        <w:numPr>
          <w:ilvl w:val="0"/>
          <w:numId w:val="2"/>
        </w:numPr>
        <w:ind w:left="1800" w:hanging="533"/>
      </w:pPr>
      <w:r>
        <w:tab/>
      </w:r>
      <w:r w:rsidR="00164199" w:rsidRPr="003A12D2">
        <w:t>Loi relative à l</w:t>
      </w:r>
      <w:r w:rsidR="00CE0D20">
        <w:t>’</w:t>
      </w:r>
      <w:r w:rsidR="00164199" w:rsidRPr="003A12D2">
        <w:t xml:space="preserve">assistance sociale,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36/04, 6/05, 69/05 – Décision du CC.</w:t>
      </w:r>
    </w:p>
    <w:p w:rsidR="00164199" w:rsidRPr="003A12D2" w:rsidRDefault="00527026" w:rsidP="00527026">
      <w:pPr>
        <w:pStyle w:val="SingleTxt"/>
        <w:numPr>
          <w:ilvl w:val="0"/>
          <w:numId w:val="2"/>
        </w:numPr>
        <w:ind w:left="1800" w:hanging="533"/>
      </w:pPr>
      <w:r>
        <w:tab/>
      </w:r>
      <w:r w:rsidR="00164199" w:rsidRPr="003A12D2">
        <w:t xml:space="preserve">Loi sur la Fonction publique – texte officiel consolidé, </w:t>
      </w:r>
      <w:r w:rsidR="00164199" w:rsidRPr="003A12D2">
        <w:rPr>
          <w:i/>
          <w:iCs/>
        </w:rPr>
        <w:t>Uradni list RS</w:t>
      </w:r>
      <w:r w:rsidR="00164199" w:rsidRPr="003A12D2">
        <w:t xml:space="preserve"> N</w:t>
      </w:r>
      <w:r w:rsidR="00164199" w:rsidRPr="00CE0D20">
        <w:rPr>
          <w:vertAlign w:val="superscript"/>
        </w:rPr>
        <w:t>o</w:t>
      </w:r>
      <w:r w:rsidR="00CE0D20">
        <w:rPr>
          <w:vertAlign w:val="superscript"/>
        </w:rPr>
        <w:t> </w:t>
      </w:r>
      <w:r w:rsidR="00164199" w:rsidRPr="003A12D2">
        <w:t>35/05, 62/05 – Décision du CC.</w:t>
      </w:r>
    </w:p>
    <w:p w:rsidR="00164199" w:rsidRPr="003A12D2" w:rsidRDefault="00527026" w:rsidP="00527026">
      <w:pPr>
        <w:pStyle w:val="SingleTxt"/>
        <w:numPr>
          <w:ilvl w:val="0"/>
          <w:numId w:val="2"/>
        </w:numPr>
        <w:ind w:left="1800" w:hanging="533"/>
      </w:pPr>
      <w:r>
        <w:tab/>
      </w:r>
      <w:r w:rsidR="00164199" w:rsidRPr="003A12D2">
        <w:t>Loi portant modification de la Loi sur la</w:t>
      </w:r>
      <w:r w:rsidR="00164199">
        <w:t xml:space="preserve"> F</w:t>
      </w:r>
      <w:r w:rsidR="00164199" w:rsidRPr="003A12D2">
        <w:t xml:space="preserve">onction publique, </w:t>
      </w:r>
      <w:r w:rsidR="00164199" w:rsidRPr="003A12D2">
        <w:rPr>
          <w:i/>
          <w:iCs/>
        </w:rPr>
        <w:t>Uradni list RS</w:t>
      </w:r>
      <w:r w:rsidR="00164199" w:rsidRPr="003A12D2">
        <w:t xml:space="preserve"> N</w:t>
      </w:r>
      <w:r w:rsidR="00164199" w:rsidRPr="00CE0D20">
        <w:rPr>
          <w:vertAlign w:val="superscript"/>
        </w:rPr>
        <w:t>o</w:t>
      </w:r>
      <w:r w:rsidR="00CE0D20">
        <w:rPr>
          <w:vertAlign w:val="superscript"/>
        </w:rPr>
        <w:t> </w:t>
      </w:r>
      <w:r w:rsidR="00164199" w:rsidRPr="003A12D2">
        <w:t>113/05.</w:t>
      </w:r>
    </w:p>
    <w:p w:rsidR="00164199" w:rsidRPr="003A12D2" w:rsidRDefault="00527026" w:rsidP="00527026">
      <w:pPr>
        <w:pStyle w:val="SingleTxt"/>
        <w:numPr>
          <w:ilvl w:val="0"/>
          <w:numId w:val="2"/>
        </w:numPr>
        <w:ind w:left="1800" w:hanging="533"/>
      </w:pPr>
      <w:r>
        <w:tab/>
      </w:r>
      <w:r w:rsidR="00164199" w:rsidRPr="003A12D2">
        <w:t xml:space="preserve">Loi sur les Ressortissants étrangers,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108/02</w:t>
      </w:r>
      <w:r w:rsidR="00BA4F2E">
        <w:t xml:space="preserve"> </w:t>
      </w:r>
      <w:r w:rsidR="00164199" w:rsidRPr="003A12D2">
        <w:t>– texte officiel consolidé.</w:t>
      </w:r>
    </w:p>
    <w:p w:rsidR="00164199" w:rsidRPr="003A12D2" w:rsidRDefault="00164199" w:rsidP="00125E4B">
      <w:pPr>
        <w:pStyle w:val="SingleTxt"/>
        <w:numPr>
          <w:ilvl w:val="0"/>
          <w:numId w:val="2"/>
        </w:numPr>
      </w:pPr>
      <w:r w:rsidRPr="003A12D2">
        <w:t>Loi sur l</w:t>
      </w:r>
      <w:r w:rsidR="00CE0D20">
        <w:t>’</w:t>
      </w:r>
      <w:r w:rsidRPr="003A12D2">
        <w:t xml:space="preserve">Autonomie locale, </w:t>
      </w:r>
      <w:r w:rsidRPr="003A12D2">
        <w:rPr>
          <w:i/>
          <w:iCs/>
        </w:rPr>
        <w:t>Uradni list RS</w:t>
      </w:r>
      <w:r w:rsidRPr="003A12D2">
        <w:t xml:space="preserve"> Nos. 72/93, …, 72/05.</w:t>
      </w:r>
    </w:p>
    <w:p w:rsidR="00164199" w:rsidRPr="000460CB" w:rsidRDefault="00527026" w:rsidP="00527026">
      <w:pPr>
        <w:pStyle w:val="SingleTxt"/>
        <w:numPr>
          <w:ilvl w:val="0"/>
          <w:numId w:val="2"/>
        </w:numPr>
        <w:ind w:left="1800" w:hanging="533"/>
        <w:rPr>
          <w:lang w:val="fr-FR"/>
        </w:rPr>
      </w:pPr>
      <w:r>
        <w:tab/>
      </w:r>
      <w:r w:rsidR="00164199" w:rsidRPr="003A12D2">
        <w:t>Loi de ratification du Protocole facultati</w:t>
      </w:r>
      <w:r w:rsidR="00164199">
        <w:t>f</w:t>
      </w:r>
      <w:r w:rsidR="00164199" w:rsidRPr="003A12D2">
        <w:t xml:space="preserve"> à la Convention sur l</w:t>
      </w:r>
      <w:r w:rsidR="00CE0D20">
        <w:t>’</w:t>
      </w:r>
      <w:r w:rsidR="00164199" w:rsidRPr="003A12D2">
        <w:t>élimination de toutes les formes de discrimination à l</w:t>
      </w:r>
      <w:r w:rsidR="00CE0D20">
        <w:t>’</w:t>
      </w:r>
      <w:r w:rsidR="00164199" w:rsidRPr="003A12D2">
        <w:t xml:space="preserve">égard des femmes, </w:t>
      </w:r>
      <w:r w:rsidR="00164199" w:rsidRPr="003A12D2">
        <w:rPr>
          <w:i/>
          <w:iCs/>
        </w:rPr>
        <w:t>Uradni list RS</w:t>
      </w:r>
      <w:r w:rsidR="00164199" w:rsidRPr="003A12D2">
        <w:t xml:space="preserve"> </w:t>
      </w:r>
      <w:r w:rsidR="0073290F">
        <w:br/>
      </w:r>
      <w:r w:rsidR="00164199" w:rsidRPr="003A12D2">
        <w:t>N</w:t>
      </w:r>
      <w:r w:rsidR="00164199" w:rsidRPr="00CE0D20">
        <w:rPr>
          <w:vertAlign w:val="superscript"/>
        </w:rPr>
        <w:t>o</w:t>
      </w:r>
      <w:r w:rsidR="00BA4F2E">
        <w:rPr>
          <w:vertAlign w:val="superscript"/>
        </w:rPr>
        <w:t xml:space="preserve"> </w:t>
      </w:r>
      <w:r w:rsidR="00164199" w:rsidRPr="000460CB">
        <w:rPr>
          <w:lang w:val="fr-FR"/>
        </w:rPr>
        <w:t>MP-15/04.</w:t>
      </w:r>
    </w:p>
    <w:p w:rsidR="00164199" w:rsidRPr="003A12D2" w:rsidRDefault="00527026" w:rsidP="00527026">
      <w:pPr>
        <w:pStyle w:val="SingleTxt"/>
        <w:numPr>
          <w:ilvl w:val="0"/>
          <w:numId w:val="2"/>
        </w:numPr>
        <w:ind w:left="1800" w:hanging="533"/>
      </w:pPr>
      <w:r>
        <w:tab/>
      </w:r>
      <w:r w:rsidR="00164199" w:rsidRPr="003A12D2">
        <w:t xml:space="preserve">Loi de ratification de la Convention des Nations Unies contre la criminalité transnationale organisée,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MP14/04.</w:t>
      </w:r>
    </w:p>
    <w:p w:rsidR="00164199" w:rsidRPr="003A12D2" w:rsidRDefault="00527026" w:rsidP="00527026">
      <w:pPr>
        <w:pStyle w:val="SingleTxt"/>
        <w:numPr>
          <w:ilvl w:val="0"/>
          <w:numId w:val="2"/>
        </w:numPr>
        <w:ind w:left="1800" w:hanging="533"/>
      </w:pPr>
      <w:r>
        <w:tab/>
      </w:r>
      <w:r w:rsidR="00164199" w:rsidRPr="003A12D2">
        <w:t>L</w:t>
      </w:r>
      <w:r w:rsidR="00164199">
        <w:t>o</w:t>
      </w:r>
      <w:r w:rsidR="00164199" w:rsidRPr="003A12D2">
        <w:t xml:space="preserve">i de ratification du Protocole </w:t>
      </w:r>
      <w:r w:rsidR="00164199">
        <w:t>additionnel à la Convention des Nations Unies contre la criminalité transnationale organisée, visant à prévenir, réprimer et punir la traite des personnes, en particulier des femmes et des enfants</w:t>
      </w:r>
      <w:r w:rsidR="00164199" w:rsidRPr="003A12D2">
        <w:t xml:space="preserve">, </w:t>
      </w:r>
      <w:r w:rsidR="00164199" w:rsidRPr="003A12D2">
        <w:rPr>
          <w:i/>
          <w:iCs/>
        </w:rPr>
        <w:t>Uradni list RS</w:t>
      </w:r>
      <w:r w:rsidR="00164199" w:rsidRPr="003A12D2">
        <w:t xml:space="preserve"> N</w:t>
      </w:r>
      <w:r w:rsidR="00164199" w:rsidRPr="00CE0D20">
        <w:rPr>
          <w:vertAlign w:val="superscript"/>
        </w:rPr>
        <w:t>o</w:t>
      </w:r>
      <w:r w:rsidR="00CE0D20">
        <w:rPr>
          <w:vertAlign w:val="superscript"/>
        </w:rPr>
        <w:t> </w:t>
      </w:r>
      <w:r w:rsidR="00164199" w:rsidRPr="003A12D2">
        <w:t>MP-15/04.</w:t>
      </w:r>
    </w:p>
    <w:p w:rsidR="00164199" w:rsidRPr="003A12D2" w:rsidRDefault="00527026" w:rsidP="00527026">
      <w:pPr>
        <w:pStyle w:val="SingleTxt"/>
        <w:numPr>
          <w:ilvl w:val="0"/>
          <w:numId w:val="2"/>
        </w:numPr>
        <w:ind w:left="1800" w:hanging="533"/>
        <w:rPr>
          <w:i/>
          <w:iCs/>
        </w:rPr>
      </w:pPr>
      <w:r>
        <w:tab/>
      </w:r>
      <w:r w:rsidR="00164199">
        <w:t>Résolution</w:t>
      </w:r>
      <w:r w:rsidR="00164199" w:rsidRPr="003A12D2">
        <w:t xml:space="preserve"> sur le Plan-Cadre pour </w:t>
      </w:r>
      <w:r w:rsidR="00221C8A" w:rsidRPr="003A12D2">
        <w:t>É</w:t>
      </w:r>
      <w:r w:rsidR="00221C8A">
        <w:t>d</w:t>
      </w:r>
      <w:r w:rsidR="00221C8A" w:rsidRPr="003A12D2">
        <w:t>ucation</w:t>
      </w:r>
      <w:r w:rsidR="00164199" w:rsidRPr="003A12D2">
        <w:t xml:space="preserve"> des adultes en République de Slovénie jusqu</w:t>
      </w:r>
      <w:r w:rsidR="00CE0D20">
        <w:t>’</w:t>
      </w:r>
      <w:r w:rsidR="00164199" w:rsidRPr="003A12D2">
        <w:t xml:space="preserve">en 2010,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70/2004.</w:t>
      </w:r>
    </w:p>
    <w:p w:rsidR="00164199" w:rsidRPr="003A12D2" w:rsidRDefault="00527026" w:rsidP="00527026">
      <w:pPr>
        <w:pStyle w:val="SingleTxt"/>
        <w:numPr>
          <w:ilvl w:val="0"/>
          <w:numId w:val="2"/>
        </w:numPr>
        <w:ind w:left="1800" w:hanging="533"/>
      </w:pPr>
      <w:r>
        <w:rPr>
          <w:i/>
          <w:iCs/>
        </w:rPr>
        <w:tab/>
      </w:r>
      <w:r w:rsidR="00164199" w:rsidRPr="003A12D2">
        <w:rPr>
          <w:i/>
          <w:iCs/>
        </w:rPr>
        <w:t>Résolution sur le programme national de santé et de sécurité sur le lieu de travail, Uradni</w:t>
      </w:r>
      <w:r w:rsidR="00164199" w:rsidRPr="003A12D2">
        <w:t xml:space="preserve"> list RS N</w:t>
      </w:r>
      <w:r w:rsidR="00164199" w:rsidRPr="00CE0D20">
        <w:rPr>
          <w:vertAlign w:val="superscript"/>
        </w:rPr>
        <w:t>o</w:t>
      </w:r>
      <w:r w:rsidR="00BA4F2E">
        <w:rPr>
          <w:vertAlign w:val="superscript"/>
        </w:rPr>
        <w:t xml:space="preserve"> </w:t>
      </w:r>
      <w:r w:rsidR="00164199" w:rsidRPr="003A12D2">
        <w:t>126/03.</w:t>
      </w:r>
    </w:p>
    <w:p w:rsidR="00164199" w:rsidRPr="003A12D2" w:rsidRDefault="00164199" w:rsidP="00125E4B">
      <w:pPr>
        <w:pStyle w:val="SingleTxt"/>
        <w:numPr>
          <w:ilvl w:val="0"/>
          <w:numId w:val="2"/>
        </w:numPr>
        <w:rPr>
          <w:lang w:val="en-GB"/>
        </w:rPr>
      </w:pPr>
      <w:r w:rsidRPr="003A12D2">
        <w:rPr>
          <w:lang w:val="en-GB"/>
        </w:rPr>
        <w:t xml:space="preserve">Contrat social 2003-2005, </w:t>
      </w:r>
      <w:r w:rsidRPr="003A12D2">
        <w:rPr>
          <w:i/>
          <w:iCs/>
          <w:lang w:val="en-GB"/>
        </w:rPr>
        <w:t>Uradni list RS</w:t>
      </w:r>
      <w:r w:rsidRPr="003A12D2">
        <w:rPr>
          <w:lang w:val="en-GB"/>
        </w:rPr>
        <w:t xml:space="preserve"> N</w:t>
      </w:r>
      <w:r w:rsidRPr="00CE0D20">
        <w:rPr>
          <w:vertAlign w:val="superscript"/>
          <w:lang w:val="en-GB"/>
        </w:rPr>
        <w:t>o</w:t>
      </w:r>
      <w:r w:rsidR="00BA4F2E">
        <w:rPr>
          <w:vertAlign w:val="superscript"/>
          <w:lang w:val="en-GB"/>
        </w:rPr>
        <w:t xml:space="preserve"> </w:t>
      </w:r>
      <w:r w:rsidRPr="003A12D2">
        <w:rPr>
          <w:lang w:val="en-GB"/>
        </w:rPr>
        <w:t>40/03.</w:t>
      </w:r>
    </w:p>
    <w:p w:rsidR="00164199" w:rsidRPr="003A12D2" w:rsidRDefault="00527026" w:rsidP="00527026">
      <w:pPr>
        <w:pStyle w:val="SingleTxt"/>
        <w:numPr>
          <w:ilvl w:val="0"/>
          <w:numId w:val="2"/>
        </w:numPr>
        <w:ind w:left="1800" w:hanging="533"/>
      </w:pPr>
      <w:r>
        <w:tab/>
      </w:r>
      <w:r w:rsidR="00164199" w:rsidRPr="003A12D2">
        <w:t>Décret régissant les critères d</w:t>
      </w:r>
      <w:r w:rsidR="00CE0D20">
        <w:t>’</w:t>
      </w:r>
      <w:r w:rsidR="00164199" w:rsidRPr="003A12D2">
        <w:t xml:space="preserve">une représentation équilibrée effective des hommes et des femmes,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103/04.</w:t>
      </w:r>
    </w:p>
    <w:p w:rsidR="00164199" w:rsidRPr="003A12D2" w:rsidRDefault="00527026" w:rsidP="00527026">
      <w:pPr>
        <w:pStyle w:val="SingleTxt"/>
        <w:numPr>
          <w:ilvl w:val="0"/>
          <w:numId w:val="2"/>
        </w:numPr>
        <w:ind w:left="1800" w:hanging="533"/>
      </w:pPr>
      <w:r>
        <w:tab/>
      </w:r>
      <w:r w:rsidR="00164199" w:rsidRPr="003A12D2">
        <w:t xml:space="preserve">Règles liées </w:t>
      </w:r>
      <w:r w:rsidR="00164199">
        <w:t>aux ordonnances restrictives interdisant à un individu</w:t>
      </w:r>
      <w:r w:rsidR="00164199" w:rsidRPr="003A12D2">
        <w:t xml:space="preserve"> d</w:t>
      </w:r>
      <w:r w:rsidR="00CE0D20">
        <w:t>’</w:t>
      </w:r>
      <w:r w:rsidR="00164199" w:rsidRPr="003A12D2">
        <w:t xml:space="preserve">entretenir des relations proches avec une personne donnée ou de se rendre sur un lieu donné, </w:t>
      </w:r>
      <w:r w:rsidR="00164199" w:rsidRPr="003A12D2">
        <w:rPr>
          <w:i/>
          <w:iCs/>
        </w:rPr>
        <w:t xml:space="preserve">Uradni list RS </w:t>
      </w:r>
      <w:r w:rsidR="00164199" w:rsidRPr="003A12D2">
        <w:t>N</w:t>
      </w:r>
      <w:r w:rsidR="00164199" w:rsidRPr="00CE0D20">
        <w:rPr>
          <w:vertAlign w:val="superscript"/>
        </w:rPr>
        <w:t>o</w:t>
      </w:r>
      <w:r w:rsidR="00BA4F2E">
        <w:rPr>
          <w:vertAlign w:val="superscript"/>
        </w:rPr>
        <w:t xml:space="preserve"> </w:t>
      </w:r>
      <w:r w:rsidR="00164199" w:rsidRPr="003A12D2">
        <w:t>95/04.</w:t>
      </w:r>
    </w:p>
    <w:p w:rsidR="00164199" w:rsidRPr="003A12D2" w:rsidRDefault="00527026" w:rsidP="00527026">
      <w:pPr>
        <w:pStyle w:val="SingleTxt"/>
        <w:numPr>
          <w:ilvl w:val="0"/>
          <w:numId w:val="2"/>
        </w:numPr>
        <w:ind w:left="1800" w:hanging="533"/>
      </w:pPr>
      <w:r>
        <w:tab/>
      </w:r>
      <w:r w:rsidR="00164199" w:rsidRPr="003A12D2">
        <w:t xml:space="preserve">Règles de protection de la santé, sur le lieu de travail, des femmes enceintes ou ayant récemment accouché et allaitant leur enfant au sein,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82/03.</w:t>
      </w:r>
    </w:p>
    <w:p w:rsidR="00164199" w:rsidRPr="003A12D2" w:rsidRDefault="00527026" w:rsidP="00527026">
      <w:pPr>
        <w:pStyle w:val="SingleTxt"/>
        <w:numPr>
          <w:ilvl w:val="0"/>
          <w:numId w:val="2"/>
        </w:numPr>
        <w:ind w:left="1800" w:hanging="533"/>
      </w:pPr>
      <w:r>
        <w:tab/>
      </w:r>
      <w:r w:rsidR="00164199" w:rsidRPr="003A12D2">
        <w:t xml:space="preserve">Règles de location de logements à but non lucratif, </w:t>
      </w:r>
      <w:r w:rsidR="00164199" w:rsidRPr="003A12D2">
        <w:rPr>
          <w:i/>
          <w:iCs/>
        </w:rPr>
        <w:t>Uradni list RS</w:t>
      </w:r>
      <w:r w:rsidR="00164199" w:rsidRPr="003A12D2">
        <w:t xml:space="preserve"> N</w:t>
      </w:r>
      <w:r w:rsidR="00164199" w:rsidRPr="00CE0D20">
        <w:rPr>
          <w:vertAlign w:val="superscript"/>
        </w:rPr>
        <w:t>o</w:t>
      </w:r>
      <w:r w:rsidR="00BA4F2E">
        <w:rPr>
          <w:vertAlign w:val="superscript"/>
        </w:rPr>
        <w:t xml:space="preserve"> </w:t>
      </w:r>
      <w:r w:rsidR="00164199" w:rsidRPr="003A12D2">
        <w:t>14/04, 34/04.</w:t>
      </w:r>
    </w:p>
    <w:p w:rsidR="00D926D4" w:rsidRDefault="00D926D4" w:rsidP="00125E4B">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sidRPr="001303D2">
        <w:t>A</w:t>
      </w:r>
      <w:r>
        <w:t>nnexe</w:t>
      </w:r>
      <w:r w:rsidRPr="001303D2">
        <w:t xml:space="preserve"> 2</w:t>
      </w:r>
    </w:p>
    <w:p w:rsidR="00125E4B" w:rsidRPr="00125E4B" w:rsidRDefault="00125E4B" w:rsidP="00125E4B">
      <w:pPr>
        <w:spacing w:line="120" w:lineRule="exact"/>
        <w:rPr>
          <w:sz w:val="10"/>
        </w:rPr>
      </w:pPr>
    </w:p>
    <w:p w:rsidR="00125E4B" w:rsidRPr="00125E4B" w:rsidRDefault="00125E4B" w:rsidP="00125E4B">
      <w:pPr>
        <w:spacing w:line="120" w:lineRule="exact"/>
        <w:rPr>
          <w:sz w:val="10"/>
        </w:rPr>
      </w:pPr>
    </w:p>
    <w:p w:rsidR="00D926D4" w:rsidRPr="001303D2" w:rsidRDefault="00125E4B" w:rsidP="00125E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926D4">
        <w:t>Données statistiques</w:t>
      </w:r>
    </w:p>
    <w:p w:rsidR="00E20682" w:rsidRPr="000460CB" w:rsidRDefault="00E20682" w:rsidP="00E20682">
      <w:pPr>
        <w:spacing w:line="120" w:lineRule="exact"/>
        <w:rPr>
          <w:sz w:val="10"/>
          <w:lang w:val="fr-FR"/>
        </w:rPr>
      </w:pPr>
    </w:p>
    <w:p w:rsidR="00D926D4" w:rsidRDefault="00D926D4" w:rsidP="00125E4B">
      <w:pPr>
        <w:pStyle w:val="SingleTxt"/>
        <w:jc w:val="left"/>
        <w:rPr>
          <w:lang w:val="fr-FR"/>
        </w:rPr>
      </w:pPr>
      <w:r w:rsidRPr="00986F75">
        <w:rPr>
          <w:lang w:val="fr-FR"/>
        </w:rPr>
        <w:t>Tableau 1</w:t>
      </w:r>
      <w:r w:rsidR="00125E4B">
        <w:rPr>
          <w:lang w:val="fr-FR"/>
        </w:rPr>
        <w:br/>
      </w:r>
      <w:r w:rsidRPr="00125E4B">
        <w:rPr>
          <w:b/>
          <w:lang w:val="fr-FR"/>
        </w:rPr>
        <w:t>Population de la Slovénie, par sexe, en 2002, 2003 et 2004</w:t>
      </w:r>
    </w:p>
    <w:p w:rsidR="00125E4B" w:rsidRPr="00125E4B" w:rsidRDefault="00125E4B" w:rsidP="00125E4B">
      <w:pPr>
        <w:spacing w:line="120" w:lineRule="exact"/>
        <w:rPr>
          <w:sz w:val="10"/>
          <w:lang w:val="fr-FR"/>
        </w:rPr>
      </w:pPr>
    </w:p>
    <w:tbl>
      <w:tblPr>
        <w:tblW w:w="0" w:type="auto"/>
        <w:tblInd w:w="1267" w:type="dxa"/>
        <w:tblCellMar>
          <w:left w:w="70" w:type="dxa"/>
          <w:right w:w="70" w:type="dxa"/>
        </w:tblCellMar>
        <w:tblLook w:val="0000" w:firstRow="0" w:lastRow="0" w:firstColumn="0" w:lastColumn="0" w:noHBand="0" w:noVBand="0"/>
      </w:tblPr>
      <w:tblGrid>
        <w:gridCol w:w="963"/>
        <w:gridCol w:w="1282"/>
        <w:gridCol w:w="1283"/>
        <w:gridCol w:w="1282"/>
        <w:gridCol w:w="1283"/>
      </w:tblGrid>
      <w:tr w:rsidR="00D926D4" w:rsidRPr="00125E4B">
        <w:tblPrEx>
          <w:tblCellMar>
            <w:top w:w="0" w:type="dxa"/>
            <w:bottom w:w="0" w:type="dxa"/>
          </w:tblCellMar>
        </w:tblPrEx>
        <w:trPr>
          <w:tblHeader/>
        </w:trPr>
        <w:tc>
          <w:tcPr>
            <w:tcW w:w="963" w:type="dxa"/>
            <w:tcBorders>
              <w:top w:val="single" w:sz="4" w:space="0" w:color="auto"/>
              <w:bottom w:val="single" w:sz="12" w:space="0" w:color="auto"/>
            </w:tcBorders>
            <w:shd w:val="clear" w:color="auto" w:fill="auto"/>
            <w:vAlign w:val="bottom"/>
          </w:tcPr>
          <w:p w:rsidR="00D926D4" w:rsidRPr="00125E4B" w:rsidRDefault="00D926D4" w:rsidP="00125E4B">
            <w:pPr>
              <w:suppressAutoHyphens/>
              <w:spacing w:before="80" w:after="80" w:line="160" w:lineRule="exact"/>
              <w:ind w:right="43"/>
              <w:jc w:val="both"/>
              <w:rPr>
                <w:bCs/>
                <w:i/>
                <w:sz w:val="14"/>
              </w:rPr>
            </w:pPr>
            <w:r w:rsidRPr="00125E4B">
              <w:rPr>
                <w:bCs/>
                <w:i/>
                <w:sz w:val="14"/>
              </w:rPr>
              <w:t>Année</w:t>
            </w:r>
          </w:p>
        </w:tc>
        <w:tc>
          <w:tcPr>
            <w:tcW w:w="1282" w:type="dxa"/>
            <w:tcBorders>
              <w:top w:val="single" w:sz="4" w:space="0" w:color="auto"/>
              <w:bottom w:val="single" w:sz="12" w:space="0" w:color="auto"/>
            </w:tcBorders>
            <w:shd w:val="clear" w:color="auto" w:fill="auto"/>
            <w:vAlign w:val="bottom"/>
          </w:tcPr>
          <w:p w:rsidR="00D926D4" w:rsidRPr="00125E4B" w:rsidRDefault="00D926D4" w:rsidP="00125E4B">
            <w:pPr>
              <w:suppressAutoHyphens/>
              <w:spacing w:before="80" w:after="80" w:line="160" w:lineRule="exact"/>
              <w:ind w:right="43"/>
              <w:jc w:val="right"/>
              <w:rPr>
                <w:bCs/>
                <w:i/>
                <w:sz w:val="14"/>
              </w:rPr>
            </w:pPr>
            <w:r w:rsidRPr="00125E4B">
              <w:rPr>
                <w:bCs/>
                <w:i/>
                <w:sz w:val="14"/>
              </w:rPr>
              <w:t>Total</w:t>
            </w:r>
          </w:p>
        </w:tc>
        <w:tc>
          <w:tcPr>
            <w:tcW w:w="1283" w:type="dxa"/>
            <w:tcBorders>
              <w:top w:val="single" w:sz="4" w:space="0" w:color="auto"/>
              <w:bottom w:val="single" w:sz="12" w:space="0" w:color="auto"/>
            </w:tcBorders>
            <w:shd w:val="clear" w:color="auto" w:fill="auto"/>
            <w:vAlign w:val="bottom"/>
          </w:tcPr>
          <w:p w:rsidR="00D926D4" w:rsidRPr="00125E4B" w:rsidRDefault="00D926D4" w:rsidP="00125E4B">
            <w:pPr>
              <w:suppressAutoHyphens/>
              <w:spacing w:before="80" w:after="80" w:line="160" w:lineRule="exact"/>
              <w:ind w:right="43"/>
              <w:jc w:val="right"/>
              <w:rPr>
                <w:bCs/>
                <w:i/>
                <w:sz w:val="14"/>
              </w:rPr>
            </w:pPr>
            <w:r w:rsidRPr="00125E4B">
              <w:rPr>
                <w:bCs/>
                <w:i/>
                <w:sz w:val="14"/>
              </w:rPr>
              <w:t>Hommes</w:t>
            </w:r>
          </w:p>
        </w:tc>
        <w:tc>
          <w:tcPr>
            <w:tcW w:w="1282" w:type="dxa"/>
            <w:tcBorders>
              <w:top w:val="single" w:sz="4" w:space="0" w:color="auto"/>
              <w:bottom w:val="single" w:sz="12" w:space="0" w:color="auto"/>
            </w:tcBorders>
            <w:shd w:val="clear" w:color="auto" w:fill="auto"/>
            <w:vAlign w:val="bottom"/>
          </w:tcPr>
          <w:p w:rsidR="00D926D4" w:rsidRPr="00125E4B" w:rsidRDefault="00D926D4" w:rsidP="00125E4B">
            <w:pPr>
              <w:suppressAutoHyphens/>
              <w:spacing w:before="80" w:after="80" w:line="160" w:lineRule="exact"/>
              <w:ind w:right="43"/>
              <w:jc w:val="right"/>
              <w:rPr>
                <w:bCs/>
                <w:i/>
                <w:sz w:val="14"/>
              </w:rPr>
            </w:pPr>
            <w:r w:rsidRPr="00125E4B">
              <w:rPr>
                <w:bCs/>
                <w:i/>
                <w:sz w:val="14"/>
              </w:rPr>
              <w:t>Femmes</w:t>
            </w:r>
          </w:p>
        </w:tc>
        <w:tc>
          <w:tcPr>
            <w:tcW w:w="1283" w:type="dxa"/>
            <w:tcBorders>
              <w:top w:val="single" w:sz="4" w:space="0" w:color="auto"/>
              <w:bottom w:val="single" w:sz="12" w:space="0" w:color="auto"/>
            </w:tcBorders>
            <w:shd w:val="clear" w:color="auto" w:fill="auto"/>
            <w:vAlign w:val="bottom"/>
          </w:tcPr>
          <w:p w:rsidR="00D926D4" w:rsidRPr="00125E4B" w:rsidRDefault="00D926D4" w:rsidP="00125E4B">
            <w:pPr>
              <w:suppressAutoHyphens/>
              <w:spacing w:before="80" w:after="80" w:line="160" w:lineRule="exact"/>
              <w:ind w:right="43"/>
              <w:jc w:val="right"/>
              <w:rPr>
                <w:bCs/>
                <w:i/>
                <w:sz w:val="14"/>
              </w:rPr>
            </w:pPr>
            <w:r w:rsidRPr="00125E4B">
              <w:rPr>
                <w:bCs/>
                <w:i/>
                <w:sz w:val="14"/>
              </w:rPr>
              <w:t>% de femmes</w:t>
            </w:r>
          </w:p>
        </w:tc>
      </w:tr>
      <w:tr w:rsidR="00125E4B" w:rsidRPr="00125E4B">
        <w:tblPrEx>
          <w:tblCellMar>
            <w:top w:w="0" w:type="dxa"/>
            <w:bottom w:w="0" w:type="dxa"/>
          </w:tblCellMar>
        </w:tblPrEx>
        <w:trPr>
          <w:trHeight w:hRule="exact" w:val="115"/>
          <w:tblHeader/>
        </w:trPr>
        <w:tc>
          <w:tcPr>
            <w:tcW w:w="963" w:type="dxa"/>
            <w:tcBorders>
              <w:top w:val="single" w:sz="12" w:space="0" w:color="auto"/>
            </w:tcBorders>
            <w:shd w:val="clear" w:color="auto" w:fill="auto"/>
            <w:vAlign w:val="bottom"/>
          </w:tcPr>
          <w:p w:rsidR="00125E4B" w:rsidRPr="00125E4B" w:rsidRDefault="00125E4B" w:rsidP="00125E4B">
            <w:pPr>
              <w:suppressAutoHyphens/>
              <w:spacing w:before="40" w:after="40" w:line="210" w:lineRule="exact"/>
              <w:ind w:right="43"/>
              <w:jc w:val="both"/>
              <w:rPr>
                <w:sz w:val="17"/>
              </w:rPr>
            </w:pPr>
          </w:p>
        </w:tc>
        <w:tc>
          <w:tcPr>
            <w:tcW w:w="1282" w:type="dxa"/>
            <w:tcBorders>
              <w:top w:val="single" w:sz="12" w:space="0" w:color="auto"/>
            </w:tcBorders>
            <w:shd w:val="clear" w:color="auto" w:fill="auto"/>
            <w:vAlign w:val="bottom"/>
          </w:tcPr>
          <w:p w:rsidR="00125E4B" w:rsidRPr="00125E4B" w:rsidRDefault="00125E4B" w:rsidP="00125E4B">
            <w:pPr>
              <w:suppressAutoHyphens/>
              <w:spacing w:before="40" w:after="40" w:line="210" w:lineRule="exact"/>
              <w:ind w:right="43"/>
              <w:jc w:val="right"/>
              <w:rPr>
                <w:sz w:val="17"/>
              </w:rPr>
            </w:pPr>
          </w:p>
        </w:tc>
        <w:tc>
          <w:tcPr>
            <w:tcW w:w="1283" w:type="dxa"/>
            <w:tcBorders>
              <w:top w:val="single" w:sz="12" w:space="0" w:color="auto"/>
            </w:tcBorders>
            <w:shd w:val="clear" w:color="auto" w:fill="auto"/>
            <w:vAlign w:val="bottom"/>
          </w:tcPr>
          <w:p w:rsidR="00125E4B" w:rsidRPr="00125E4B" w:rsidRDefault="00125E4B" w:rsidP="00125E4B">
            <w:pPr>
              <w:suppressAutoHyphens/>
              <w:spacing w:before="40" w:after="40" w:line="210" w:lineRule="exact"/>
              <w:ind w:right="43"/>
              <w:jc w:val="right"/>
              <w:rPr>
                <w:sz w:val="17"/>
              </w:rPr>
            </w:pPr>
          </w:p>
        </w:tc>
        <w:tc>
          <w:tcPr>
            <w:tcW w:w="1282" w:type="dxa"/>
            <w:tcBorders>
              <w:top w:val="single" w:sz="12" w:space="0" w:color="auto"/>
            </w:tcBorders>
            <w:shd w:val="clear" w:color="auto" w:fill="auto"/>
            <w:vAlign w:val="bottom"/>
          </w:tcPr>
          <w:p w:rsidR="00125E4B" w:rsidRPr="00125E4B" w:rsidRDefault="00125E4B" w:rsidP="00125E4B">
            <w:pPr>
              <w:suppressAutoHyphens/>
              <w:spacing w:before="40" w:after="40" w:line="210" w:lineRule="exact"/>
              <w:ind w:right="43"/>
              <w:jc w:val="right"/>
              <w:rPr>
                <w:sz w:val="17"/>
              </w:rPr>
            </w:pPr>
          </w:p>
        </w:tc>
        <w:tc>
          <w:tcPr>
            <w:tcW w:w="1283" w:type="dxa"/>
            <w:tcBorders>
              <w:top w:val="single" w:sz="12" w:space="0" w:color="auto"/>
            </w:tcBorders>
            <w:shd w:val="clear" w:color="auto" w:fill="auto"/>
            <w:vAlign w:val="bottom"/>
          </w:tcPr>
          <w:p w:rsidR="00125E4B" w:rsidRPr="00125E4B" w:rsidRDefault="00125E4B" w:rsidP="00125E4B">
            <w:pPr>
              <w:suppressAutoHyphens/>
              <w:spacing w:before="40" w:after="40" w:line="210" w:lineRule="exact"/>
              <w:ind w:right="43"/>
              <w:jc w:val="right"/>
              <w:rPr>
                <w:sz w:val="17"/>
              </w:rPr>
            </w:pPr>
          </w:p>
        </w:tc>
      </w:tr>
      <w:tr w:rsidR="00D926D4" w:rsidRPr="00125E4B">
        <w:tblPrEx>
          <w:tblCellMar>
            <w:top w:w="0" w:type="dxa"/>
            <w:bottom w:w="0" w:type="dxa"/>
          </w:tblCellMar>
        </w:tblPrEx>
        <w:tc>
          <w:tcPr>
            <w:tcW w:w="963" w:type="dxa"/>
            <w:shd w:val="clear" w:color="auto" w:fill="auto"/>
            <w:vAlign w:val="bottom"/>
          </w:tcPr>
          <w:p w:rsidR="00D926D4" w:rsidRPr="00125E4B" w:rsidRDefault="00D926D4" w:rsidP="00125E4B">
            <w:pPr>
              <w:tabs>
                <w:tab w:val="left" w:pos="288"/>
                <w:tab w:val="left" w:pos="576"/>
                <w:tab w:val="left" w:pos="864"/>
                <w:tab w:val="left" w:pos="1152"/>
              </w:tabs>
              <w:suppressAutoHyphens/>
              <w:spacing w:before="40" w:after="40" w:line="210" w:lineRule="exact"/>
              <w:ind w:right="43"/>
              <w:jc w:val="both"/>
              <w:rPr>
                <w:sz w:val="17"/>
              </w:rPr>
            </w:pPr>
            <w:r w:rsidRPr="00125E4B">
              <w:rPr>
                <w:sz w:val="17"/>
              </w:rPr>
              <w:t>2002</w:t>
            </w:r>
          </w:p>
        </w:tc>
        <w:tc>
          <w:tcPr>
            <w:tcW w:w="1282" w:type="dxa"/>
            <w:shd w:val="clear" w:color="auto" w:fill="auto"/>
            <w:vAlign w:val="bottom"/>
          </w:tcPr>
          <w:p w:rsidR="00D926D4" w:rsidRPr="00125E4B" w:rsidRDefault="00D926D4" w:rsidP="00125E4B">
            <w:pPr>
              <w:tabs>
                <w:tab w:val="left" w:pos="288"/>
                <w:tab w:val="left" w:pos="576"/>
                <w:tab w:val="left" w:pos="864"/>
                <w:tab w:val="left" w:pos="1152"/>
              </w:tabs>
              <w:suppressAutoHyphens/>
              <w:spacing w:before="40" w:after="40" w:line="210" w:lineRule="exact"/>
              <w:ind w:right="43"/>
              <w:jc w:val="right"/>
              <w:rPr>
                <w:sz w:val="17"/>
              </w:rPr>
            </w:pPr>
            <w:r w:rsidRPr="00125E4B">
              <w:rPr>
                <w:sz w:val="17"/>
              </w:rPr>
              <w:t>1.995.033</w:t>
            </w:r>
          </w:p>
        </w:tc>
        <w:tc>
          <w:tcPr>
            <w:tcW w:w="1283" w:type="dxa"/>
            <w:shd w:val="clear" w:color="auto" w:fill="auto"/>
            <w:vAlign w:val="bottom"/>
          </w:tcPr>
          <w:p w:rsidR="00D926D4" w:rsidRPr="00125E4B" w:rsidRDefault="00D926D4" w:rsidP="00125E4B">
            <w:pPr>
              <w:tabs>
                <w:tab w:val="left" w:pos="288"/>
                <w:tab w:val="left" w:pos="576"/>
                <w:tab w:val="left" w:pos="864"/>
                <w:tab w:val="left" w:pos="1152"/>
              </w:tabs>
              <w:suppressAutoHyphens/>
              <w:spacing w:before="40" w:after="40" w:line="210" w:lineRule="exact"/>
              <w:ind w:right="43"/>
              <w:jc w:val="right"/>
              <w:rPr>
                <w:sz w:val="17"/>
              </w:rPr>
            </w:pPr>
            <w:r w:rsidRPr="00125E4B">
              <w:rPr>
                <w:sz w:val="17"/>
              </w:rPr>
              <w:t>975.598</w:t>
            </w:r>
          </w:p>
        </w:tc>
        <w:tc>
          <w:tcPr>
            <w:tcW w:w="1282" w:type="dxa"/>
            <w:shd w:val="clear" w:color="auto" w:fill="auto"/>
            <w:vAlign w:val="bottom"/>
          </w:tcPr>
          <w:p w:rsidR="00D926D4" w:rsidRPr="00125E4B" w:rsidRDefault="00D926D4" w:rsidP="00125E4B">
            <w:pPr>
              <w:tabs>
                <w:tab w:val="left" w:pos="288"/>
                <w:tab w:val="left" w:pos="576"/>
                <w:tab w:val="left" w:pos="864"/>
                <w:tab w:val="left" w:pos="1152"/>
              </w:tabs>
              <w:suppressAutoHyphens/>
              <w:spacing w:before="40" w:after="40" w:line="210" w:lineRule="exact"/>
              <w:ind w:right="43"/>
              <w:jc w:val="right"/>
              <w:rPr>
                <w:sz w:val="17"/>
              </w:rPr>
            </w:pPr>
            <w:r w:rsidRPr="00125E4B">
              <w:rPr>
                <w:sz w:val="17"/>
              </w:rPr>
              <w:t>1.019.446</w:t>
            </w:r>
          </w:p>
        </w:tc>
        <w:tc>
          <w:tcPr>
            <w:tcW w:w="1283" w:type="dxa"/>
            <w:shd w:val="clear" w:color="auto" w:fill="auto"/>
            <w:vAlign w:val="bottom"/>
          </w:tcPr>
          <w:p w:rsidR="00D926D4" w:rsidRPr="00125E4B" w:rsidRDefault="00D926D4" w:rsidP="00125E4B">
            <w:pPr>
              <w:tabs>
                <w:tab w:val="left" w:pos="288"/>
                <w:tab w:val="left" w:pos="576"/>
                <w:tab w:val="left" w:pos="864"/>
                <w:tab w:val="left" w:pos="1152"/>
              </w:tabs>
              <w:suppressAutoHyphens/>
              <w:spacing w:before="40" w:after="40" w:line="210" w:lineRule="exact"/>
              <w:ind w:right="43"/>
              <w:jc w:val="right"/>
              <w:rPr>
                <w:sz w:val="17"/>
              </w:rPr>
            </w:pPr>
            <w:r w:rsidRPr="00125E4B">
              <w:rPr>
                <w:sz w:val="17"/>
              </w:rPr>
              <w:t>51,10</w:t>
            </w:r>
          </w:p>
        </w:tc>
      </w:tr>
      <w:tr w:rsidR="00D926D4" w:rsidRPr="00125E4B">
        <w:tblPrEx>
          <w:tblCellMar>
            <w:top w:w="0" w:type="dxa"/>
            <w:bottom w:w="0" w:type="dxa"/>
          </w:tblCellMar>
        </w:tblPrEx>
        <w:tc>
          <w:tcPr>
            <w:tcW w:w="963" w:type="dxa"/>
            <w:shd w:val="clear" w:color="auto" w:fill="auto"/>
            <w:vAlign w:val="bottom"/>
          </w:tcPr>
          <w:p w:rsidR="00D926D4" w:rsidRPr="00125E4B" w:rsidRDefault="00D926D4" w:rsidP="00125E4B">
            <w:pPr>
              <w:tabs>
                <w:tab w:val="left" w:pos="288"/>
                <w:tab w:val="left" w:pos="576"/>
                <w:tab w:val="left" w:pos="864"/>
                <w:tab w:val="left" w:pos="1152"/>
              </w:tabs>
              <w:suppressAutoHyphens/>
              <w:spacing w:before="40" w:after="40" w:line="210" w:lineRule="exact"/>
              <w:ind w:right="43"/>
              <w:jc w:val="both"/>
              <w:rPr>
                <w:sz w:val="17"/>
              </w:rPr>
            </w:pPr>
            <w:r w:rsidRPr="00125E4B">
              <w:rPr>
                <w:sz w:val="17"/>
              </w:rPr>
              <w:t>2003</w:t>
            </w:r>
          </w:p>
        </w:tc>
        <w:tc>
          <w:tcPr>
            <w:tcW w:w="1282" w:type="dxa"/>
            <w:shd w:val="clear" w:color="auto" w:fill="auto"/>
            <w:vAlign w:val="bottom"/>
          </w:tcPr>
          <w:p w:rsidR="00D926D4" w:rsidRPr="00125E4B" w:rsidRDefault="00D926D4" w:rsidP="00125E4B">
            <w:pPr>
              <w:tabs>
                <w:tab w:val="left" w:pos="288"/>
                <w:tab w:val="left" w:pos="576"/>
                <w:tab w:val="left" w:pos="864"/>
                <w:tab w:val="left" w:pos="1152"/>
              </w:tabs>
              <w:suppressAutoHyphens/>
              <w:spacing w:before="40" w:after="40" w:line="210" w:lineRule="exact"/>
              <w:ind w:right="43"/>
              <w:jc w:val="right"/>
              <w:rPr>
                <w:sz w:val="17"/>
              </w:rPr>
            </w:pPr>
            <w:r w:rsidRPr="00125E4B">
              <w:rPr>
                <w:sz w:val="17"/>
              </w:rPr>
              <w:t>1.996.433</w:t>
            </w:r>
          </w:p>
        </w:tc>
        <w:tc>
          <w:tcPr>
            <w:tcW w:w="1283" w:type="dxa"/>
            <w:shd w:val="clear" w:color="auto" w:fill="auto"/>
            <w:vAlign w:val="bottom"/>
          </w:tcPr>
          <w:p w:rsidR="00D926D4" w:rsidRPr="00125E4B" w:rsidRDefault="00D926D4" w:rsidP="00125E4B">
            <w:pPr>
              <w:tabs>
                <w:tab w:val="left" w:pos="288"/>
                <w:tab w:val="left" w:pos="576"/>
                <w:tab w:val="left" w:pos="864"/>
                <w:tab w:val="left" w:pos="1152"/>
              </w:tabs>
              <w:suppressAutoHyphens/>
              <w:spacing w:before="40" w:after="40" w:line="210" w:lineRule="exact"/>
              <w:ind w:right="43"/>
              <w:jc w:val="right"/>
              <w:rPr>
                <w:sz w:val="17"/>
              </w:rPr>
            </w:pPr>
            <w:r w:rsidRPr="00125E4B">
              <w:rPr>
                <w:sz w:val="17"/>
              </w:rPr>
              <w:t>976.802</w:t>
            </w:r>
          </w:p>
        </w:tc>
        <w:tc>
          <w:tcPr>
            <w:tcW w:w="1282" w:type="dxa"/>
            <w:shd w:val="clear" w:color="auto" w:fill="auto"/>
            <w:vAlign w:val="bottom"/>
          </w:tcPr>
          <w:p w:rsidR="00D926D4" w:rsidRPr="00125E4B" w:rsidRDefault="00D926D4" w:rsidP="00125E4B">
            <w:pPr>
              <w:tabs>
                <w:tab w:val="left" w:pos="288"/>
                <w:tab w:val="left" w:pos="576"/>
                <w:tab w:val="left" w:pos="864"/>
                <w:tab w:val="left" w:pos="1152"/>
              </w:tabs>
              <w:suppressAutoHyphens/>
              <w:spacing w:before="40" w:after="40" w:line="210" w:lineRule="exact"/>
              <w:ind w:right="43"/>
              <w:jc w:val="right"/>
              <w:rPr>
                <w:sz w:val="17"/>
              </w:rPr>
            </w:pPr>
            <w:r w:rsidRPr="00125E4B">
              <w:rPr>
                <w:sz w:val="17"/>
              </w:rPr>
              <w:t>1.019.631</w:t>
            </w:r>
          </w:p>
        </w:tc>
        <w:tc>
          <w:tcPr>
            <w:tcW w:w="1283" w:type="dxa"/>
            <w:shd w:val="clear" w:color="auto" w:fill="auto"/>
            <w:vAlign w:val="bottom"/>
          </w:tcPr>
          <w:p w:rsidR="00D926D4" w:rsidRPr="00125E4B" w:rsidRDefault="00D926D4" w:rsidP="00125E4B">
            <w:pPr>
              <w:tabs>
                <w:tab w:val="left" w:pos="288"/>
                <w:tab w:val="left" w:pos="576"/>
                <w:tab w:val="left" w:pos="864"/>
                <w:tab w:val="left" w:pos="1152"/>
              </w:tabs>
              <w:suppressAutoHyphens/>
              <w:spacing w:before="40" w:after="40" w:line="210" w:lineRule="exact"/>
              <w:ind w:right="43"/>
              <w:jc w:val="right"/>
              <w:rPr>
                <w:sz w:val="17"/>
              </w:rPr>
            </w:pPr>
            <w:r w:rsidRPr="00125E4B">
              <w:rPr>
                <w:sz w:val="17"/>
              </w:rPr>
              <w:t>51,07</w:t>
            </w:r>
          </w:p>
        </w:tc>
      </w:tr>
      <w:tr w:rsidR="00D926D4" w:rsidRPr="00125E4B">
        <w:tblPrEx>
          <w:tblCellMar>
            <w:top w:w="0" w:type="dxa"/>
            <w:bottom w:w="0" w:type="dxa"/>
          </w:tblCellMar>
        </w:tblPrEx>
        <w:tc>
          <w:tcPr>
            <w:tcW w:w="963" w:type="dxa"/>
            <w:tcBorders>
              <w:bottom w:val="single" w:sz="12" w:space="0" w:color="auto"/>
            </w:tcBorders>
            <w:shd w:val="clear" w:color="auto" w:fill="auto"/>
            <w:vAlign w:val="bottom"/>
          </w:tcPr>
          <w:p w:rsidR="00D926D4" w:rsidRPr="00125E4B" w:rsidRDefault="00D926D4" w:rsidP="00125E4B">
            <w:pPr>
              <w:tabs>
                <w:tab w:val="left" w:pos="288"/>
                <w:tab w:val="left" w:pos="576"/>
                <w:tab w:val="left" w:pos="864"/>
                <w:tab w:val="left" w:pos="1152"/>
              </w:tabs>
              <w:suppressAutoHyphens/>
              <w:spacing w:before="40" w:after="40" w:line="210" w:lineRule="exact"/>
              <w:ind w:right="43"/>
              <w:jc w:val="both"/>
              <w:rPr>
                <w:sz w:val="17"/>
              </w:rPr>
            </w:pPr>
            <w:r w:rsidRPr="00125E4B">
              <w:rPr>
                <w:sz w:val="17"/>
              </w:rPr>
              <w:t>2004</w:t>
            </w:r>
          </w:p>
        </w:tc>
        <w:tc>
          <w:tcPr>
            <w:tcW w:w="1282" w:type="dxa"/>
            <w:tcBorders>
              <w:bottom w:val="single" w:sz="12" w:space="0" w:color="auto"/>
            </w:tcBorders>
            <w:shd w:val="clear" w:color="auto" w:fill="auto"/>
            <w:vAlign w:val="bottom"/>
          </w:tcPr>
          <w:p w:rsidR="00D926D4" w:rsidRPr="00125E4B" w:rsidRDefault="00D926D4" w:rsidP="00125E4B">
            <w:pPr>
              <w:tabs>
                <w:tab w:val="left" w:pos="288"/>
                <w:tab w:val="left" w:pos="576"/>
                <w:tab w:val="left" w:pos="864"/>
                <w:tab w:val="left" w:pos="1152"/>
              </w:tabs>
              <w:suppressAutoHyphens/>
              <w:spacing w:before="40" w:after="40" w:line="210" w:lineRule="exact"/>
              <w:ind w:right="43"/>
              <w:jc w:val="right"/>
              <w:rPr>
                <w:sz w:val="17"/>
              </w:rPr>
            </w:pPr>
            <w:r w:rsidRPr="00125E4B">
              <w:rPr>
                <w:sz w:val="17"/>
              </w:rPr>
              <w:t>1.997.590</w:t>
            </w:r>
          </w:p>
        </w:tc>
        <w:tc>
          <w:tcPr>
            <w:tcW w:w="1283" w:type="dxa"/>
            <w:tcBorders>
              <w:bottom w:val="single" w:sz="12" w:space="0" w:color="auto"/>
            </w:tcBorders>
            <w:shd w:val="clear" w:color="auto" w:fill="auto"/>
            <w:vAlign w:val="bottom"/>
          </w:tcPr>
          <w:p w:rsidR="00D926D4" w:rsidRPr="00125E4B" w:rsidRDefault="00D926D4" w:rsidP="00125E4B">
            <w:pPr>
              <w:tabs>
                <w:tab w:val="left" w:pos="288"/>
                <w:tab w:val="left" w:pos="576"/>
                <w:tab w:val="left" w:pos="864"/>
                <w:tab w:val="left" w:pos="1152"/>
              </w:tabs>
              <w:suppressAutoHyphens/>
              <w:spacing w:before="40" w:after="40" w:line="210" w:lineRule="exact"/>
              <w:ind w:right="43"/>
              <w:jc w:val="right"/>
              <w:rPr>
                <w:sz w:val="17"/>
              </w:rPr>
            </w:pPr>
            <w:r w:rsidRPr="00125E4B">
              <w:rPr>
                <w:sz w:val="17"/>
              </w:rPr>
              <w:t>977.052</w:t>
            </w:r>
          </w:p>
        </w:tc>
        <w:tc>
          <w:tcPr>
            <w:tcW w:w="1282" w:type="dxa"/>
            <w:tcBorders>
              <w:bottom w:val="single" w:sz="12" w:space="0" w:color="auto"/>
            </w:tcBorders>
            <w:shd w:val="clear" w:color="auto" w:fill="auto"/>
            <w:vAlign w:val="bottom"/>
          </w:tcPr>
          <w:p w:rsidR="00D926D4" w:rsidRPr="00125E4B" w:rsidRDefault="00D926D4" w:rsidP="00125E4B">
            <w:pPr>
              <w:tabs>
                <w:tab w:val="left" w:pos="288"/>
                <w:tab w:val="left" w:pos="576"/>
                <w:tab w:val="left" w:pos="864"/>
                <w:tab w:val="left" w:pos="1152"/>
              </w:tabs>
              <w:suppressAutoHyphens/>
              <w:spacing w:before="40" w:after="40" w:line="210" w:lineRule="exact"/>
              <w:ind w:right="43"/>
              <w:jc w:val="right"/>
              <w:rPr>
                <w:sz w:val="17"/>
              </w:rPr>
            </w:pPr>
            <w:r w:rsidRPr="00125E4B">
              <w:rPr>
                <w:sz w:val="17"/>
              </w:rPr>
              <w:t>1.020.538</w:t>
            </w:r>
          </w:p>
        </w:tc>
        <w:tc>
          <w:tcPr>
            <w:tcW w:w="1283" w:type="dxa"/>
            <w:tcBorders>
              <w:bottom w:val="single" w:sz="12" w:space="0" w:color="auto"/>
            </w:tcBorders>
            <w:shd w:val="clear" w:color="auto" w:fill="auto"/>
            <w:vAlign w:val="bottom"/>
          </w:tcPr>
          <w:p w:rsidR="00D926D4" w:rsidRPr="00125E4B" w:rsidRDefault="00D926D4" w:rsidP="00125E4B">
            <w:pPr>
              <w:tabs>
                <w:tab w:val="left" w:pos="288"/>
                <w:tab w:val="left" w:pos="576"/>
                <w:tab w:val="left" w:pos="864"/>
                <w:tab w:val="left" w:pos="1152"/>
              </w:tabs>
              <w:suppressAutoHyphens/>
              <w:spacing w:before="40" w:after="40" w:line="210" w:lineRule="exact"/>
              <w:ind w:right="43"/>
              <w:jc w:val="right"/>
              <w:rPr>
                <w:sz w:val="17"/>
              </w:rPr>
            </w:pPr>
            <w:r w:rsidRPr="00125E4B">
              <w:rPr>
                <w:sz w:val="17"/>
              </w:rPr>
              <w:t>51,09</w:t>
            </w:r>
          </w:p>
        </w:tc>
      </w:tr>
    </w:tbl>
    <w:p w:rsidR="00125E4B" w:rsidRPr="00125E4B" w:rsidRDefault="00125E4B" w:rsidP="00125E4B">
      <w:pPr>
        <w:spacing w:line="120" w:lineRule="exact"/>
        <w:jc w:val="both"/>
        <w:rPr>
          <w:color w:val="000000"/>
          <w:sz w:val="10"/>
        </w:rPr>
      </w:pPr>
    </w:p>
    <w:p w:rsidR="00D926D4" w:rsidRPr="00125E4B" w:rsidRDefault="00D926D4" w:rsidP="00125E4B">
      <w:pPr>
        <w:pStyle w:val="SingleTxt"/>
        <w:rPr>
          <w:sz w:val="17"/>
          <w:szCs w:val="17"/>
        </w:rPr>
      </w:pPr>
      <w:r w:rsidRPr="00125E4B">
        <w:rPr>
          <w:i/>
          <w:sz w:val="17"/>
          <w:szCs w:val="17"/>
        </w:rPr>
        <w:t>Source</w:t>
      </w:r>
      <w:r w:rsidRPr="00125E4B">
        <w:rPr>
          <w:sz w:val="17"/>
          <w:szCs w:val="17"/>
        </w:rPr>
        <w:t xml:space="preserve">: Annuaires statistiques 2003, 2005, Institut de la Statistique de la République de Slovénie. </w:t>
      </w:r>
    </w:p>
    <w:p w:rsidR="00125E4B" w:rsidRPr="00125E4B" w:rsidRDefault="00125E4B" w:rsidP="00125E4B">
      <w:pPr>
        <w:pStyle w:val="BodyText"/>
        <w:spacing w:line="120" w:lineRule="exact"/>
        <w:rPr>
          <w:sz w:val="10"/>
          <w:szCs w:val="24"/>
          <w:lang w:val="fr-FR"/>
        </w:rPr>
      </w:pPr>
    </w:p>
    <w:p w:rsidR="00D926D4" w:rsidRDefault="00D926D4" w:rsidP="00855655">
      <w:pPr>
        <w:pStyle w:val="SingleTxt"/>
        <w:jc w:val="left"/>
      </w:pPr>
      <w:r w:rsidRPr="00986F75">
        <w:t>Tableau 2</w:t>
      </w:r>
      <w:r w:rsidR="00855655">
        <w:br/>
      </w:r>
      <w:r w:rsidRPr="00855655">
        <w:rPr>
          <w:b/>
        </w:rPr>
        <w:t>Population et nombre de citoyens slovènes, Recensement de 2002</w:t>
      </w:r>
    </w:p>
    <w:p w:rsidR="00855655" w:rsidRPr="00855655" w:rsidRDefault="00855655" w:rsidP="00855655">
      <w:pPr>
        <w:spacing w:line="120" w:lineRule="exact"/>
        <w:rPr>
          <w:b/>
          <w:sz w:val="10"/>
        </w:rPr>
      </w:pPr>
    </w:p>
    <w:tbl>
      <w:tblPr>
        <w:tblW w:w="0" w:type="auto"/>
        <w:tblInd w:w="1330" w:type="dxa"/>
        <w:tblLayout w:type="fixed"/>
        <w:tblCellMar>
          <w:left w:w="70" w:type="dxa"/>
          <w:right w:w="70" w:type="dxa"/>
        </w:tblCellMar>
        <w:tblLook w:val="0000" w:firstRow="0" w:lastRow="0" w:firstColumn="0" w:lastColumn="0" w:noHBand="0" w:noVBand="0"/>
      </w:tblPr>
      <w:tblGrid>
        <w:gridCol w:w="810"/>
        <w:gridCol w:w="1080"/>
        <w:gridCol w:w="1170"/>
        <w:gridCol w:w="1170"/>
        <w:gridCol w:w="1080"/>
        <w:gridCol w:w="1170"/>
        <w:gridCol w:w="1170"/>
      </w:tblGrid>
      <w:tr w:rsidR="00855655" w:rsidRPr="00855655">
        <w:tblPrEx>
          <w:tblCellMar>
            <w:top w:w="0" w:type="dxa"/>
            <w:bottom w:w="0" w:type="dxa"/>
          </w:tblCellMar>
        </w:tblPrEx>
        <w:trPr>
          <w:cantSplit/>
          <w:tblHeader/>
        </w:trPr>
        <w:tc>
          <w:tcPr>
            <w:tcW w:w="810" w:type="dxa"/>
            <w:tcBorders>
              <w:top w:val="single" w:sz="4" w:space="0" w:color="auto"/>
            </w:tcBorders>
            <w:shd w:val="clear" w:color="auto" w:fill="auto"/>
            <w:vAlign w:val="bottom"/>
          </w:tcPr>
          <w:p w:rsidR="00855655" w:rsidRPr="000460CB" w:rsidRDefault="00855655" w:rsidP="00855655">
            <w:pPr>
              <w:pStyle w:val="Heading2"/>
              <w:suppressAutoHyphens/>
              <w:spacing w:before="80" w:after="80" w:line="160" w:lineRule="exact"/>
              <w:ind w:right="43"/>
              <w:jc w:val="center"/>
              <w:rPr>
                <w:b w:val="0"/>
                <w:bCs/>
                <w:i/>
                <w:sz w:val="14"/>
                <w:szCs w:val="24"/>
                <w:lang w:val="fr-FR"/>
              </w:rPr>
            </w:pPr>
          </w:p>
        </w:tc>
        <w:tc>
          <w:tcPr>
            <w:tcW w:w="3420" w:type="dxa"/>
            <w:gridSpan w:val="3"/>
            <w:tcBorders>
              <w:top w:val="single" w:sz="4" w:space="0" w:color="auto"/>
              <w:bottom w:val="single" w:sz="4" w:space="0" w:color="auto"/>
            </w:tcBorders>
            <w:shd w:val="clear" w:color="auto" w:fill="auto"/>
          </w:tcPr>
          <w:p w:rsidR="00855655" w:rsidRPr="00855655" w:rsidRDefault="00855655" w:rsidP="00855655">
            <w:pPr>
              <w:jc w:val="center"/>
              <w:rPr>
                <w:sz w:val="14"/>
                <w:szCs w:val="14"/>
              </w:rPr>
            </w:pPr>
            <w:r w:rsidRPr="00855655">
              <w:rPr>
                <w:sz w:val="14"/>
                <w:szCs w:val="14"/>
              </w:rPr>
              <w:t>Total</w:t>
            </w:r>
          </w:p>
        </w:tc>
        <w:tc>
          <w:tcPr>
            <w:tcW w:w="3420" w:type="dxa"/>
            <w:gridSpan w:val="3"/>
            <w:tcBorders>
              <w:top w:val="single" w:sz="4" w:space="0" w:color="auto"/>
              <w:bottom w:val="single" w:sz="4" w:space="0" w:color="auto"/>
            </w:tcBorders>
            <w:shd w:val="clear" w:color="auto" w:fill="auto"/>
          </w:tcPr>
          <w:p w:rsidR="00855655" w:rsidRPr="00855655" w:rsidRDefault="00855655" w:rsidP="00855655">
            <w:pPr>
              <w:jc w:val="center"/>
              <w:rPr>
                <w:sz w:val="14"/>
                <w:szCs w:val="14"/>
              </w:rPr>
            </w:pPr>
            <w:r w:rsidRPr="00855655">
              <w:rPr>
                <w:sz w:val="14"/>
                <w:szCs w:val="14"/>
              </w:rPr>
              <w:t>Citoyens slovènes</w:t>
            </w:r>
          </w:p>
        </w:tc>
      </w:tr>
      <w:tr w:rsidR="00855655" w:rsidRPr="00855655">
        <w:tblPrEx>
          <w:tblCellMar>
            <w:top w:w="0" w:type="dxa"/>
            <w:bottom w:w="0" w:type="dxa"/>
          </w:tblCellMar>
        </w:tblPrEx>
        <w:trPr>
          <w:cantSplit/>
          <w:tblHeader/>
        </w:trPr>
        <w:tc>
          <w:tcPr>
            <w:tcW w:w="810" w:type="dxa"/>
            <w:tcBorders>
              <w:bottom w:val="single" w:sz="12" w:space="0" w:color="auto"/>
            </w:tcBorders>
            <w:shd w:val="clear" w:color="auto" w:fill="auto"/>
            <w:vAlign w:val="bottom"/>
          </w:tcPr>
          <w:p w:rsidR="00855655" w:rsidRPr="00855655" w:rsidRDefault="00855655" w:rsidP="00855655">
            <w:pPr>
              <w:pStyle w:val="Heading2"/>
              <w:suppressAutoHyphens/>
              <w:spacing w:before="80" w:after="80" w:line="160" w:lineRule="exact"/>
              <w:ind w:right="43"/>
              <w:jc w:val="center"/>
              <w:rPr>
                <w:b w:val="0"/>
                <w:bCs/>
                <w:i/>
                <w:sz w:val="14"/>
                <w:szCs w:val="24"/>
              </w:rPr>
            </w:pPr>
          </w:p>
        </w:tc>
        <w:tc>
          <w:tcPr>
            <w:tcW w:w="1080" w:type="dxa"/>
            <w:tcBorders>
              <w:top w:val="single" w:sz="4" w:space="0" w:color="auto"/>
              <w:bottom w:val="single" w:sz="12" w:space="0" w:color="auto"/>
            </w:tcBorders>
            <w:shd w:val="clear" w:color="auto" w:fill="auto"/>
          </w:tcPr>
          <w:p w:rsidR="00855655" w:rsidRPr="00855655" w:rsidRDefault="00855655" w:rsidP="00855655">
            <w:pPr>
              <w:jc w:val="center"/>
              <w:rPr>
                <w:sz w:val="14"/>
                <w:szCs w:val="14"/>
              </w:rPr>
            </w:pPr>
            <w:r w:rsidRPr="00855655">
              <w:rPr>
                <w:sz w:val="14"/>
                <w:szCs w:val="14"/>
              </w:rPr>
              <w:t>Total</w:t>
            </w:r>
          </w:p>
        </w:tc>
        <w:tc>
          <w:tcPr>
            <w:tcW w:w="1170" w:type="dxa"/>
            <w:tcBorders>
              <w:top w:val="single" w:sz="4" w:space="0" w:color="auto"/>
              <w:bottom w:val="single" w:sz="12" w:space="0" w:color="auto"/>
            </w:tcBorders>
            <w:shd w:val="clear" w:color="auto" w:fill="auto"/>
          </w:tcPr>
          <w:p w:rsidR="00855655" w:rsidRPr="00855655" w:rsidRDefault="00855655" w:rsidP="00855655">
            <w:pPr>
              <w:jc w:val="center"/>
              <w:rPr>
                <w:sz w:val="14"/>
                <w:szCs w:val="14"/>
              </w:rPr>
            </w:pPr>
            <w:r w:rsidRPr="00855655">
              <w:rPr>
                <w:sz w:val="14"/>
                <w:szCs w:val="14"/>
              </w:rPr>
              <w:t>Femmes</w:t>
            </w:r>
          </w:p>
        </w:tc>
        <w:tc>
          <w:tcPr>
            <w:tcW w:w="1170" w:type="dxa"/>
            <w:tcBorders>
              <w:top w:val="single" w:sz="4" w:space="0" w:color="auto"/>
              <w:bottom w:val="single" w:sz="12" w:space="0" w:color="auto"/>
            </w:tcBorders>
            <w:shd w:val="clear" w:color="auto" w:fill="auto"/>
          </w:tcPr>
          <w:p w:rsidR="00855655" w:rsidRPr="00855655" w:rsidRDefault="00855655" w:rsidP="00855655">
            <w:pPr>
              <w:jc w:val="center"/>
              <w:rPr>
                <w:sz w:val="14"/>
                <w:szCs w:val="14"/>
              </w:rPr>
            </w:pPr>
            <w:r w:rsidRPr="00855655">
              <w:rPr>
                <w:sz w:val="14"/>
                <w:szCs w:val="14"/>
              </w:rPr>
              <w:t>% de femmes</w:t>
            </w:r>
          </w:p>
        </w:tc>
        <w:tc>
          <w:tcPr>
            <w:tcW w:w="1080" w:type="dxa"/>
            <w:tcBorders>
              <w:top w:val="single" w:sz="4" w:space="0" w:color="auto"/>
              <w:bottom w:val="single" w:sz="12" w:space="0" w:color="auto"/>
            </w:tcBorders>
            <w:shd w:val="clear" w:color="auto" w:fill="auto"/>
          </w:tcPr>
          <w:p w:rsidR="00855655" w:rsidRPr="00855655" w:rsidRDefault="00855655" w:rsidP="00855655">
            <w:pPr>
              <w:jc w:val="center"/>
              <w:rPr>
                <w:sz w:val="14"/>
                <w:szCs w:val="14"/>
              </w:rPr>
            </w:pPr>
            <w:r w:rsidRPr="00855655">
              <w:rPr>
                <w:sz w:val="14"/>
                <w:szCs w:val="14"/>
              </w:rPr>
              <w:t>Total</w:t>
            </w:r>
          </w:p>
        </w:tc>
        <w:tc>
          <w:tcPr>
            <w:tcW w:w="1170" w:type="dxa"/>
            <w:tcBorders>
              <w:top w:val="single" w:sz="4" w:space="0" w:color="auto"/>
              <w:bottom w:val="single" w:sz="12" w:space="0" w:color="auto"/>
            </w:tcBorders>
            <w:shd w:val="clear" w:color="auto" w:fill="auto"/>
          </w:tcPr>
          <w:p w:rsidR="00855655" w:rsidRPr="00855655" w:rsidRDefault="00855655" w:rsidP="00855655">
            <w:pPr>
              <w:jc w:val="center"/>
              <w:rPr>
                <w:sz w:val="14"/>
                <w:szCs w:val="14"/>
              </w:rPr>
            </w:pPr>
            <w:r w:rsidRPr="00855655">
              <w:rPr>
                <w:sz w:val="14"/>
                <w:szCs w:val="14"/>
              </w:rPr>
              <w:t>Femmes</w:t>
            </w:r>
          </w:p>
        </w:tc>
        <w:tc>
          <w:tcPr>
            <w:tcW w:w="1170" w:type="dxa"/>
            <w:tcBorders>
              <w:top w:val="single" w:sz="4" w:space="0" w:color="auto"/>
              <w:bottom w:val="single" w:sz="12" w:space="0" w:color="auto"/>
            </w:tcBorders>
            <w:shd w:val="clear" w:color="auto" w:fill="auto"/>
          </w:tcPr>
          <w:p w:rsidR="00855655" w:rsidRPr="00855655" w:rsidRDefault="00855655" w:rsidP="00855655">
            <w:pPr>
              <w:jc w:val="center"/>
              <w:rPr>
                <w:sz w:val="14"/>
                <w:szCs w:val="14"/>
              </w:rPr>
            </w:pPr>
            <w:r w:rsidRPr="00855655">
              <w:rPr>
                <w:sz w:val="14"/>
                <w:szCs w:val="14"/>
              </w:rPr>
              <w:t>% de femmes</w:t>
            </w:r>
          </w:p>
        </w:tc>
      </w:tr>
      <w:tr w:rsidR="00855655" w:rsidRPr="00855655">
        <w:tblPrEx>
          <w:tblCellMar>
            <w:top w:w="0" w:type="dxa"/>
            <w:bottom w:w="0" w:type="dxa"/>
          </w:tblCellMar>
        </w:tblPrEx>
        <w:trPr>
          <w:cantSplit/>
          <w:trHeight w:hRule="exact" w:val="115"/>
          <w:tblHeader/>
        </w:trPr>
        <w:tc>
          <w:tcPr>
            <w:tcW w:w="810" w:type="dxa"/>
            <w:tcBorders>
              <w:top w:val="single" w:sz="12" w:space="0" w:color="auto"/>
              <w:bottom w:val="single" w:sz="4" w:space="0" w:color="auto"/>
            </w:tcBorders>
            <w:shd w:val="clear" w:color="auto" w:fill="auto"/>
            <w:vAlign w:val="bottom"/>
          </w:tcPr>
          <w:p w:rsidR="00855655" w:rsidRPr="00855655" w:rsidRDefault="00855655" w:rsidP="00855655">
            <w:pPr>
              <w:pStyle w:val="Heading2"/>
              <w:suppressAutoHyphens/>
              <w:spacing w:before="40" w:after="81" w:line="210" w:lineRule="exact"/>
              <w:ind w:right="43"/>
              <w:jc w:val="center"/>
              <w:rPr>
                <w:b w:val="0"/>
                <w:bCs/>
                <w:sz w:val="17"/>
                <w:szCs w:val="24"/>
              </w:rPr>
            </w:pPr>
          </w:p>
        </w:tc>
        <w:tc>
          <w:tcPr>
            <w:tcW w:w="1080" w:type="dxa"/>
            <w:tcBorders>
              <w:top w:val="single" w:sz="12" w:space="0" w:color="auto"/>
              <w:bottom w:val="single" w:sz="4" w:space="0" w:color="auto"/>
            </w:tcBorders>
            <w:shd w:val="clear" w:color="auto" w:fill="auto"/>
            <w:vAlign w:val="bottom"/>
          </w:tcPr>
          <w:p w:rsidR="00855655" w:rsidRPr="00855655" w:rsidRDefault="00855655" w:rsidP="00855655">
            <w:pPr>
              <w:suppressAutoHyphens/>
              <w:spacing w:before="40" w:after="81" w:line="210" w:lineRule="exact"/>
              <w:ind w:right="43"/>
              <w:jc w:val="right"/>
              <w:rPr>
                <w:sz w:val="17"/>
              </w:rPr>
            </w:pPr>
          </w:p>
        </w:tc>
        <w:tc>
          <w:tcPr>
            <w:tcW w:w="1170" w:type="dxa"/>
            <w:tcBorders>
              <w:top w:val="single" w:sz="12" w:space="0" w:color="auto"/>
              <w:bottom w:val="single" w:sz="4" w:space="0" w:color="auto"/>
            </w:tcBorders>
            <w:shd w:val="clear" w:color="auto" w:fill="auto"/>
            <w:vAlign w:val="bottom"/>
          </w:tcPr>
          <w:p w:rsidR="00855655" w:rsidRPr="00855655" w:rsidRDefault="00855655" w:rsidP="00855655">
            <w:pPr>
              <w:suppressAutoHyphens/>
              <w:spacing w:before="40" w:after="81" w:line="210" w:lineRule="exact"/>
              <w:ind w:right="43"/>
              <w:jc w:val="right"/>
              <w:rPr>
                <w:sz w:val="17"/>
              </w:rPr>
            </w:pPr>
          </w:p>
        </w:tc>
        <w:tc>
          <w:tcPr>
            <w:tcW w:w="1170" w:type="dxa"/>
            <w:tcBorders>
              <w:top w:val="single" w:sz="12" w:space="0" w:color="auto"/>
              <w:bottom w:val="single" w:sz="4" w:space="0" w:color="auto"/>
            </w:tcBorders>
            <w:shd w:val="clear" w:color="auto" w:fill="auto"/>
            <w:vAlign w:val="bottom"/>
          </w:tcPr>
          <w:p w:rsidR="00855655" w:rsidRPr="00855655" w:rsidRDefault="00855655" w:rsidP="00855655">
            <w:pPr>
              <w:suppressAutoHyphens/>
              <w:spacing w:before="40" w:after="81" w:line="210" w:lineRule="exact"/>
              <w:ind w:right="43"/>
              <w:jc w:val="right"/>
              <w:rPr>
                <w:sz w:val="17"/>
              </w:rPr>
            </w:pPr>
          </w:p>
        </w:tc>
        <w:tc>
          <w:tcPr>
            <w:tcW w:w="1080" w:type="dxa"/>
            <w:tcBorders>
              <w:top w:val="single" w:sz="12" w:space="0" w:color="auto"/>
              <w:bottom w:val="single" w:sz="4" w:space="0" w:color="auto"/>
            </w:tcBorders>
            <w:shd w:val="clear" w:color="auto" w:fill="auto"/>
            <w:vAlign w:val="bottom"/>
          </w:tcPr>
          <w:p w:rsidR="00855655" w:rsidRPr="00855655" w:rsidRDefault="00855655" w:rsidP="00855655">
            <w:pPr>
              <w:suppressAutoHyphens/>
              <w:spacing w:before="40" w:after="81" w:line="210" w:lineRule="exact"/>
              <w:ind w:right="43"/>
              <w:jc w:val="right"/>
              <w:rPr>
                <w:sz w:val="17"/>
              </w:rPr>
            </w:pPr>
          </w:p>
        </w:tc>
        <w:tc>
          <w:tcPr>
            <w:tcW w:w="1170" w:type="dxa"/>
            <w:tcBorders>
              <w:top w:val="single" w:sz="12" w:space="0" w:color="auto"/>
              <w:bottom w:val="single" w:sz="4" w:space="0" w:color="auto"/>
            </w:tcBorders>
            <w:shd w:val="clear" w:color="auto" w:fill="auto"/>
            <w:vAlign w:val="bottom"/>
          </w:tcPr>
          <w:p w:rsidR="00855655" w:rsidRPr="00855655" w:rsidRDefault="00855655" w:rsidP="00855655">
            <w:pPr>
              <w:suppressAutoHyphens/>
              <w:spacing w:before="40" w:after="81" w:line="210" w:lineRule="exact"/>
              <w:ind w:right="43"/>
              <w:jc w:val="right"/>
              <w:rPr>
                <w:sz w:val="17"/>
              </w:rPr>
            </w:pPr>
          </w:p>
        </w:tc>
        <w:tc>
          <w:tcPr>
            <w:tcW w:w="1170" w:type="dxa"/>
            <w:tcBorders>
              <w:top w:val="single" w:sz="12" w:space="0" w:color="auto"/>
              <w:bottom w:val="single" w:sz="4" w:space="0" w:color="auto"/>
            </w:tcBorders>
            <w:shd w:val="clear" w:color="auto" w:fill="auto"/>
            <w:vAlign w:val="bottom"/>
          </w:tcPr>
          <w:p w:rsidR="00855655" w:rsidRPr="00855655" w:rsidRDefault="00855655" w:rsidP="00855655">
            <w:pPr>
              <w:suppressAutoHyphens/>
              <w:spacing w:before="40" w:after="81" w:line="210" w:lineRule="exact"/>
              <w:ind w:right="43"/>
              <w:jc w:val="right"/>
              <w:rPr>
                <w:sz w:val="17"/>
              </w:rPr>
            </w:pPr>
          </w:p>
        </w:tc>
      </w:tr>
      <w:tr w:rsidR="00855655" w:rsidRPr="00855655">
        <w:tblPrEx>
          <w:tblCellMar>
            <w:top w:w="0" w:type="dxa"/>
            <w:bottom w:w="0" w:type="dxa"/>
          </w:tblCellMar>
        </w:tblPrEx>
        <w:trPr>
          <w:cantSplit/>
        </w:trPr>
        <w:tc>
          <w:tcPr>
            <w:tcW w:w="810" w:type="dxa"/>
            <w:tcBorders>
              <w:top w:val="single" w:sz="4" w:space="0" w:color="auto"/>
              <w:bottom w:val="single" w:sz="12" w:space="0" w:color="auto"/>
            </w:tcBorders>
            <w:shd w:val="clear" w:color="auto" w:fill="auto"/>
            <w:vAlign w:val="bottom"/>
          </w:tcPr>
          <w:p w:rsidR="00D926D4" w:rsidRPr="00855655" w:rsidRDefault="00D926D4" w:rsidP="00855655">
            <w:pPr>
              <w:pStyle w:val="Heading2"/>
              <w:tabs>
                <w:tab w:val="left" w:pos="288"/>
                <w:tab w:val="left" w:pos="576"/>
                <w:tab w:val="left" w:pos="864"/>
                <w:tab w:val="left" w:pos="1152"/>
              </w:tabs>
              <w:suppressAutoHyphens/>
              <w:spacing w:before="81" w:after="81" w:line="210" w:lineRule="exact"/>
              <w:ind w:right="43"/>
              <w:jc w:val="left"/>
              <w:rPr>
                <w:bCs/>
                <w:sz w:val="17"/>
                <w:szCs w:val="24"/>
              </w:rPr>
            </w:pPr>
            <w:r w:rsidRPr="00855655">
              <w:rPr>
                <w:bCs/>
                <w:sz w:val="17"/>
                <w:szCs w:val="24"/>
              </w:rPr>
              <w:t>Total</w:t>
            </w:r>
          </w:p>
        </w:tc>
        <w:tc>
          <w:tcPr>
            <w:tcW w:w="1080" w:type="dxa"/>
            <w:tcBorders>
              <w:top w:val="single" w:sz="4" w:space="0" w:color="auto"/>
              <w:bottom w:val="single" w:sz="12" w:space="0" w:color="auto"/>
            </w:tcBorders>
            <w:shd w:val="clear" w:color="auto" w:fill="auto"/>
            <w:vAlign w:val="bottom"/>
          </w:tcPr>
          <w:p w:rsidR="00D926D4" w:rsidRPr="00855655" w:rsidRDefault="00D926D4" w:rsidP="00855655">
            <w:pPr>
              <w:tabs>
                <w:tab w:val="left" w:pos="288"/>
                <w:tab w:val="left" w:pos="576"/>
                <w:tab w:val="left" w:pos="864"/>
                <w:tab w:val="left" w:pos="1152"/>
              </w:tabs>
              <w:suppressAutoHyphens/>
              <w:spacing w:before="81" w:after="81" w:line="210" w:lineRule="exact"/>
              <w:ind w:right="43"/>
              <w:jc w:val="right"/>
              <w:rPr>
                <w:b/>
                <w:sz w:val="17"/>
              </w:rPr>
            </w:pPr>
            <w:r w:rsidRPr="00855655">
              <w:rPr>
                <w:b/>
                <w:sz w:val="17"/>
              </w:rPr>
              <w:t>1.964.036</w:t>
            </w:r>
          </w:p>
        </w:tc>
        <w:tc>
          <w:tcPr>
            <w:tcW w:w="1170" w:type="dxa"/>
            <w:tcBorders>
              <w:top w:val="single" w:sz="4" w:space="0" w:color="auto"/>
              <w:bottom w:val="single" w:sz="12" w:space="0" w:color="auto"/>
            </w:tcBorders>
            <w:shd w:val="clear" w:color="auto" w:fill="auto"/>
            <w:vAlign w:val="bottom"/>
          </w:tcPr>
          <w:p w:rsidR="00D926D4" w:rsidRPr="00855655" w:rsidRDefault="00D926D4" w:rsidP="00855655">
            <w:pPr>
              <w:tabs>
                <w:tab w:val="left" w:pos="288"/>
                <w:tab w:val="left" w:pos="576"/>
                <w:tab w:val="left" w:pos="864"/>
                <w:tab w:val="left" w:pos="1152"/>
              </w:tabs>
              <w:suppressAutoHyphens/>
              <w:spacing w:before="81" w:after="81" w:line="210" w:lineRule="exact"/>
              <w:ind w:right="43"/>
              <w:jc w:val="right"/>
              <w:rPr>
                <w:b/>
                <w:sz w:val="17"/>
              </w:rPr>
            </w:pPr>
            <w:r w:rsidRPr="00855655">
              <w:rPr>
                <w:b/>
                <w:sz w:val="17"/>
              </w:rPr>
              <w:t>1.005.460</w:t>
            </w:r>
          </w:p>
        </w:tc>
        <w:tc>
          <w:tcPr>
            <w:tcW w:w="1170" w:type="dxa"/>
            <w:tcBorders>
              <w:top w:val="single" w:sz="4" w:space="0" w:color="auto"/>
              <w:bottom w:val="single" w:sz="12" w:space="0" w:color="auto"/>
            </w:tcBorders>
            <w:shd w:val="clear" w:color="auto" w:fill="auto"/>
            <w:vAlign w:val="bottom"/>
          </w:tcPr>
          <w:p w:rsidR="00D926D4" w:rsidRPr="00855655" w:rsidRDefault="00D926D4" w:rsidP="00855655">
            <w:pPr>
              <w:tabs>
                <w:tab w:val="left" w:pos="288"/>
                <w:tab w:val="left" w:pos="576"/>
                <w:tab w:val="left" w:pos="864"/>
                <w:tab w:val="left" w:pos="1152"/>
              </w:tabs>
              <w:suppressAutoHyphens/>
              <w:spacing w:before="81" w:after="81" w:line="210" w:lineRule="exact"/>
              <w:ind w:right="43"/>
              <w:jc w:val="right"/>
              <w:rPr>
                <w:b/>
                <w:sz w:val="17"/>
              </w:rPr>
            </w:pPr>
            <w:r w:rsidRPr="00855655">
              <w:rPr>
                <w:b/>
                <w:sz w:val="17"/>
              </w:rPr>
              <w:t>51,2</w:t>
            </w:r>
          </w:p>
        </w:tc>
        <w:tc>
          <w:tcPr>
            <w:tcW w:w="1080" w:type="dxa"/>
            <w:tcBorders>
              <w:top w:val="single" w:sz="4" w:space="0" w:color="auto"/>
              <w:bottom w:val="single" w:sz="12" w:space="0" w:color="auto"/>
            </w:tcBorders>
            <w:shd w:val="clear" w:color="auto" w:fill="auto"/>
            <w:vAlign w:val="bottom"/>
          </w:tcPr>
          <w:p w:rsidR="00D926D4" w:rsidRPr="00855655" w:rsidRDefault="00D926D4" w:rsidP="00855655">
            <w:pPr>
              <w:tabs>
                <w:tab w:val="left" w:pos="288"/>
                <w:tab w:val="left" w:pos="576"/>
                <w:tab w:val="left" w:pos="864"/>
                <w:tab w:val="left" w:pos="1152"/>
              </w:tabs>
              <w:suppressAutoHyphens/>
              <w:spacing w:before="81" w:after="81" w:line="210" w:lineRule="exact"/>
              <w:ind w:right="43"/>
              <w:jc w:val="right"/>
              <w:rPr>
                <w:b/>
                <w:sz w:val="17"/>
              </w:rPr>
            </w:pPr>
            <w:r w:rsidRPr="00855655">
              <w:rPr>
                <w:b/>
                <w:sz w:val="17"/>
              </w:rPr>
              <w:t>1.924.677</w:t>
            </w:r>
          </w:p>
        </w:tc>
        <w:tc>
          <w:tcPr>
            <w:tcW w:w="1170" w:type="dxa"/>
            <w:tcBorders>
              <w:top w:val="single" w:sz="4" w:space="0" w:color="auto"/>
              <w:bottom w:val="single" w:sz="12" w:space="0" w:color="auto"/>
            </w:tcBorders>
            <w:shd w:val="clear" w:color="auto" w:fill="auto"/>
            <w:vAlign w:val="bottom"/>
          </w:tcPr>
          <w:p w:rsidR="00D926D4" w:rsidRPr="00855655" w:rsidRDefault="00D926D4" w:rsidP="00855655">
            <w:pPr>
              <w:tabs>
                <w:tab w:val="left" w:pos="288"/>
                <w:tab w:val="left" w:pos="576"/>
                <w:tab w:val="left" w:pos="864"/>
                <w:tab w:val="left" w:pos="1152"/>
              </w:tabs>
              <w:suppressAutoHyphens/>
              <w:spacing w:before="81" w:after="81" w:line="210" w:lineRule="exact"/>
              <w:ind w:right="43"/>
              <w:jc w:val="right"/>
              <w:rPr>
                <w:b/>
                <w:sz w:val="17"/>
              </w:rPr>
            </w:pPr>
            <w:r w:rsidRPr="00855655">
              <w:rPr>
                <w:b/>
                <w:sz w:val="17"/>
              </w:rPr>
              <w:t>992.281</w:t>
            </w:r>
          </w:p>
        </w:tc>
        <w:tc>
          <w:tcPr>
            <w:tcW w:w="1170" w:type="dxa"/>
            <w:tcBorders>
              <w:top w:val="single" w:sz="4" w:space="0" w:color="auto"/>
              <w:bottom w:val="single" w:sz="12" w:space="0" w:color="auto"/>
            </w:tcBorders>
            <w:shd w:val="clear" w:color="auto" w:fill="auto"/>
            <w:vAlign w:val="bottom"/>
          </w:tcPr>
          <w:p w:rsidR="00D926D4" w:rsidRPr="00855655" w:rsidRDefault="00D926D4" w:rsidP="00855655">
            <w:pPr>
              <w:tabs>
                <w:tab w:val="left" w:pos="288"/>
                <w:tab w:val="left" w:pos="576"/>
                <w:tab w:val="left" w:pos="864"/>
                <w:tab w:val="left" w:pos="1152"/>
              </w:tabs>
              <w:suppressAutoHyphens/>
              <w:spacing w:before="81" w:after="81" w:line="210" w:lineRule="exact"/>
              <w:ind w:right="43"/>
              <w:jc w:val="right"/>
              <w:rPr>
                <w:b/>
                <w:sz w:val="17"/>
              </w:rPr>
            </w:pPr>
            <w:r w:rsidRPr="00855655">
              <w:rPr>
                <w:b/>
                <w:sz w:val="17"/>
              </w:rPr>
              <w:t>51,6</w:t>
            </w:r>
          </w:p>
        </w:tc>
      </w:tr>
    </w:tbl>
    <w:p w:rsidR="00855655" w:rsidRPr="00855655" w:rsidRDefault="00855655" w:rsidP="00855655">
      <w:pPr>
        <w:pStyle w:val="BodyText"/>
        <w:spacing w:line="120" w:lineRule="exact"/>
        <w:jc w:val="both"/>
        <w:rPr>
          <w:b w:val="0"/>
          <w:bCs/>
          <w:sz w:val="10"/>
          <w:lang w:val="fr-FR"/>
        </w:rPr>
      </w:pPr>
    </w:p>
    <w:p w:rsidR="00D926D4" w:rsidRPr="00855655" w:rsidRDefault="00D926D4" w:rsidP="00855655">
      <w:pPr>
        <w:pStyle w:val="SingleTxt"/>
        <w:spacing w:after="0" w:line="240" w:lineRule="auto"/>
        <w:rPr>
          <w:sz w:val="17"/>
          <w:szCs w:val="17"/>
          <w:lang w:val="fr-FR"/>
        </w:rPr>
      </w:pPr>
      <w:r w:rsidRPr="00855655">
        <w:rPr>
          <w:i/>
          <w:sz w:val="17"/>
          <w:szCs w:val="17"/>
          <w:lang w:val="fr-FR"/>
        </w:rPr>
        <w:t>Source</w:t>
      </w:r>
      <w:r w:rsidRPr="00855655">
        <w:rPr>
          <w:sz w:val="17"/>
          <w:szCs w:val="17"/>
          <w:lang w:val="fr-FR"/>
        </w:rPr>
        <w:t>: Recensement de la Population, des Ménages et des Habitations, 31.03.2002, Institut de la Statistique de la République de Slovénie.</w:t>
      </w:r>
    </w:p>
    <w:p w:rsidR="00855655" w:rsidRPr="00855655" w:rsidRDefault="00855655" w:rsidP="00855655">
      <w:pPr>
        <w:pStyle w:val="BodyText"/>
        <w:spacing w:line="120" w:lineRule="exact"/>
        <w:jc w:val="both"/>
        <w:rPr>
          <w:b w:val="0"/>
          <w:bCs/>
          <w:sz w:val="10"/>
          <w:szCs w:val="24"/>
          <w:lang w:val="fr-FR"/>
        </w:rPr>
      </w:pPr>
    </w:p>
    <w:p w:rsidR="00D926D4" w:rsidRDefault="00D926D4" w:rsidP="00855655">
      <w:pPr>
        <w:pStyle w:val="SingleTxt"/>
        <w:jc w:val="left"/>
        <w:rPr>
          <w:bCs/>
        </w:rPr>
      </w:pPr>
      <w:r w:rsidRPr="00986F75">
        <w:t>Table</w:t>
      </w:r>
      <w:r>
        <w:t>au</w:t>
      </w:r>
      <w:r w:rsidRPr="00986F75">
        <w:t xml:space="preserve"> 3</w:t>
      </w:r>
      <w:r w:rsidR="00855655">
        <w:br/>
      </w:r>
      <w:r w:rsidRPr="00855655">
        <w:rPr>
          <w:b/>
        </w:rPr>
        <w:t>Population, différenciée par ethnie et par sexe, Recensement de 2002</w:t>
      </w:r>
      <w:r w:rsidRPr="00986F75">
        <w:t>*</w:t>
      </w:r>
      <w:r w:rsidRPr="00986F75">
        <w:rPr>
          <w:bCs/>
        </w:rPr>
        <w:t xml:space="preserve"> </w:t>
      </w:r>
    </w:p>
    <w:p w:rsidR="00E20682" w:rsidRPr="00E20682" w:rsidRDefault="00E20682" w:rsidP="00E20682">
      <w:pPr>
        <w:spacing w:line="120" w:lineRule="exact"/>
        <w:rPr>
          <w:b/>
          <w:sz w:val="10"/>
        </w:rPr>
      </w:pPr>
    </w:p>
    <w:tbl>
      <w:tblPr>
        <w:tblW w:w="0" w:type="auto"/>
        <w:tblInd w:w="1267" w:type="dxa"/>
        <w:tblCellMar>
          <w:left w:w="70" w:type="dxa"/>
          <w:right w:w="70" w:type="dxa"/>
        </w:tblCellMar>
        <w:tblLook w:val="0000" w:firstRow="0" w:lastRow="0" w:firstColumn="0" w:lastColumn="0" w:noHBand="0" w:noVBand="0"/>
      </w:tblPr>
      <w:tblGrid>
        <w:gridCol w:w="2313"/>
        <w:gridCol w:w="1260"/>
        <w:gridCol w:w="1440"/>
        <w:gridCol w:w="1260"/>
        <w:gridCol w:w="1260"/>
      </w:tblGrid>
      <w:tr w:rsidR="00D926D4" w:rsidRPr="00855655">
        <w:tblPrEx>
          <w:tblCellMar>
            <w:top w:w="0" w:type="dxa"/>
            <w:bottom w:w="0" w:type="dxa"/>
          </w:tblCellMar>
        </w:tblPrEx>
        <w:trPr>
          <w:tblHeader/>
        </w:trPr>
        <w:tc>
          <w:tcPr>
            <w:tcW w:w="2313" w:type="dxa"/>
            <w:tcBorders>
              <w:top w:val="single" w:sz="4" w:space="0" w:color="auto"/>
              <w:bottom w:val="single" w:sz="12" w:space="0" w:color="auto"/>
            </w:tcBorders>
            <w:shd w:val="clear" w:color="auto" w:fill="auto"/>
            <w:vAlign w:val="bottom"/>
          </w:tcPr>
          <w:p w:rsidR="00D926D4" w:rsidRPr="00855655" w:rsidRDefault="00D926D4" w:rsidP="00855655">
            <w:pPr>
              <w:suppressAutoHyphens/>
              <w:spacing w:before="80" w:after="80" w:line="160" w:lineRule="exact"/>
              <w:ind w:right="43"/>
              <w:rPr>
                <w:b/>
                <w:i/>
                <w:sz w:val="14"/>
              </w:rPr>
            </w:pPr>
          </w:p>
        </w:tc>
        <w:tc>
          <w:tcPr>
            <w:tcW w:w="1260" w:type="dxa"/>
            <w:tcBorders>
              <w:top w:val="single" w:sz="4" w:space="0" w:color="auto"/>
              <w:bottom w:val="single" w:sz="12" w:space="0" w:color="auto"/>
            </w:tcBorders>
            <w:shd w:val="clear" w:color="auto" w:fill="auto"/>
            <w:vAlign w:val="bottom"/>
          </w:tcPr>
          <w:p w:rsidR="00D926D4" w:rsidRPr="00855655" w:rsidRDefault="00D926D4" w:rsidP="00855655">
            <w:pPr>
              <w:suppressAutoHyphens/>
              <w:spacing w:before="80" w:after="80" w:line="160" w:lineRule="exact"/>
              <w:ind w:right="43"/>
              <w:jc w:val="right"/>
              <w:rPr>
                <w:i/>
                <w:sz w:val="14"/>
              </w:rPr>
            </w:pPr>
            <w:r w:rsidRPr="00855655">
              <w:rPr>
                <w:i/>
                <w:sz w:val="14"/>
              </w:rPr>
              <w:t>Total</w:t>
            </w:r>
          </w:p>
        </w:tc>
        <w:tc>
          <w:tcPr>
            <w:tcW w:w="1440" w:type="dxa"/>
            <w:tcBorders>
              <w:top w:val="single" w:sz="4" w:space="0" w:color="auto"/>
              <w:bottom w:val="single" w:sz="12" w:space="0" w:color="auto"/>
            </w:tcBorders>
            <w:shd w:val="clear" w:color="auto" w:fill="auto"/>
            <w:vAlign w:val="bottom"/>
          </w:tcPr>
          <w:p w:rsidR="00D926D4" w:rsidRPr="00855655" w:rsidRDefault="00D926D4" w:rsidP="00855655">
            <w:pPr>
              <w:suppressAutoHyphens/>
              <w:spacing w:before="80" w:after="80" w:line="160" w:lineRule="exact"/>
              <w:ind w:right="43"/>
              <w:jc w:val="right"/>
              <w:rPr>
                <w:i/>
                <w:sz w:val="14"/>
              </w:rPr>
            </w:pPr>
            <w:r w:rsidRPr="00855655">
              <w:rPr>
                <w:i/>
                <w:sz w:val="14"/>
              </w:rPr>
              <w:t>Pourcentage (%)</w:t>
            </w:r>
          </w:p>
        </w:tc>
        <w:tc>
          <w:tcPr>
            <w:tcW w:w="1260" w:type="dxa"/>
            <w:tcBorders>
              <w:top w:val="single" w:sz="4" w:space="0" w:color="auto"/>
              <w:bottom w:val="single" w:sz="12" w:space="0" w:color="auto"/>
            </w:tcBorders>
            <w:shd w:val="clear" w:color="auto" w:fill="auto"/>
            <w:vAlign w:val="bottom"/>
          </w:tcPr>
          <w:p w:rsidR="00D926D4" w:rsidRPr="00855655" w:rsidRDefault="00D926D4" w:rsidP="00855655">
            <w:pPr>
              <w:suppressAutoHyphens/>
              <w:spacing w:before="80" w:after="80" w:line="160" w:lineRule="exact"/>
              <w:ind w:right="43"/>
              <w:jc w:val="right"/>
              <w:rPr>
                <w:i/>
                <w:sz w:val="14"/>
              </w:rPr>
            </w:pPr>
            <w:r w:rsidRPr="00855655">
              <w:rPr>
                <w:i/>
                <w:sz w:val="14"/>
              </w:rPr>
              <w:t>Femmes</w:t>
            </w:r>
          </w:p>
        </w:tc>
        <w:tc>
          <w:tcPr>
            <w:tcW w:w="1260" w:type="dxa"/>
            <w:tcBorders>
              <w:top w:val="single" w:sz="4" w:space="0" w:color="auto"/>
              <w:bottom w:val="single" w:sz="12" w:space="0" w:color="auto"/>
            </w:tcBorders>
            <w:shd w:val="clear" w:color="auto" w:fill="auto"/>
            <w:vAlign w:val="bottom"/>
          </w:tcPr>
          <w:p w:rsidR="00D926D4" w:rsidRPr="00855655" w:rsidRDefault="00D926D4" w:rsidP="00855655">
            <w:pPr>
              <w:suppressAutoHyphens/>
              <w:spacing w:before="80" w:after="80" w:line="160" w:lineRule="exact"/>
              <w:ind w:right="43"/>
              <w:jc w:val="right"/>
              <w:rPr>
                <w:i/>
                <w:sz w:val="14"/>
              </w:rPr>
            </w:pPr>
            <w:r w:rsidRPr="00855655">
              <w:rPr>
                <w:i/>
                <w:sz w:val="14"/>
              </w:rPr>
              <w:t xml:space="preserve">% de femmes </w:t>
            </w:r>
          </w:p>
        </w:tc>
      </w:tr>
      <w:tr w:rsidR="00855655" w:rsidRPr="00855655">
        <w:tblPrEx>
          <w:tblCellMar>
            <w:top w:w="0" w:type="dxa"/>
            <w:bottom w:w="0" w:type="dxa"/>
          </w:tblCellMar>
        </w:tblPrEx>
        <w:trPr>
          <w:trHeight w:hRule="exact" w:val="115"/>
          <w:tblHeader/>
        </w:trPr>
        <w:tc>
          <w:tcPr>
            <w:tcW w:w="2313" w:type="dxa"/>
            <w:tcBorders>
              <w:top w:val="single" w:sz="12" w:space="0" w:color="auto"/>
            </w:tcBorders>
            <w:shd w:val="clear" w:color="auto" w:fill="auto"/>
            <w:vAlign w:val="bottom"/>
          </w:tcPr>
          <w:p w:rsidR="00855655" w:rsidRPr="00855655" w:rsidRDefault="00855655" w:rsidP="00855655">
            <w:pPr>
              <w:suppressAutoHyphens/>
              <w:spacing w:before="40" w:after="40" w:line="210" w:lineRule="exact"/>
              <w:ind w:right="43"/>
              <w:rPr>
                <w:b/>
                <w:sz w:val="17"/>
              </w:rPr>
            </w:pPr>
          </w:p>
        </w:tc>
        <w:tc>
          <w:tcPr>
            <w:tcW w:w="1260" w:type="dxa"/>
            <w:tcBorders>
              <w:top w:val="single" w:sz="12" w:space="0" w:color="auto"/>
            </w:tcBorders>
            <w:shd w:val="clear" w:color="auto" w:fill="auto"/>
            <w:vAlign w:val="bottom"/>
          </w:tcPr>
          <w:p w:rsidR="00855655" w:rsidRPr="00855655" w:rsidRDefault="00855655" w:rsidP="00855655">
            <w:pPr>
              <w:suppressAutoHyphens/>
              <w:spacing w:before="40" w:after="40" w:line="210" w:lineRule="exact"/>
              <w:ind w:right="43"/>
              <w:jc w:val="right"/>
              <w:rPr>
                <w:b/>
                <w:sz w:val="17"/>
              </w:rPr>
            </w:pPr>
          </w:p>
        </w:tc>
        <w:tc>
          <w:tcPr>
            <w:tcW w:w="1440" w:type="dxa"/>
            <w:tcBorders>
              <w:top w:val="single" w:sz="12" w:space="0" w:color="auto"/>
            </w:tcBorders>
            <w:shd w:val="clear" w:color="auto" w:fill="auto"/>
            <w:vAlign w:val="bottom"/>
          </w:tcPr>
          <w:p w:rsidR="00855655" w:rsidRPr="00855655" w:rsidRDefault="00855655" w:rsidP="00855655">
            <w:pPr>
              <w:suppressAutoHyphens/>
              <w:spacing w:before="40" w:after="40" w:line="210" w:lineRule="exact"/>
              <w:ind w:right="43"/>
              <w:jc w:val="right"/>
              <w:rPr>
                <w:b/>
                <w:sz w:val="17"/>
              </w:rPr>
            </w:pPr>
          </w:p>
        </w:tc>
        <w:tc>
          <w:tcPr>
            <w:tcW w:w="1260" w:type="dxa"/>
            <w:tcBorders>
              <w:top w:val="single" w:sz="12" w:space="0" w:color="auto"/>
            </w:tcBorders>
            <w:shd w:val="clear" w:color="auto" w:fill="auto"/>
            <w:vAlign w:val="bottom"/>
          </w:tcPr>
          <w:p w:rsidR="00855655" w:rsidRPr="00855655" w:rsidRDefault="00855655" w:rsidP="00855655">
            <w:pPr>
              <w:suppressAutoHyphens/>
              <w:spacing w:before="40" w:after="40" w:line="210" w:lineRule="exact"/>
              <w:ind w:right="43"/>
              <w:jc w:val="right"/>
              <w:rPr>
                <w:b/>
                <w:sz w:val="17"/>
              </w:rPr>
            </w:pPr>
          </w:p>
        </w:tc>
        <w:tc>
          <w:tcPr>
            <w:tcW w:w="1260" w:type="dxa"/>
            <w:tcBorders>
              <w:top w:val="single" w:sz="12" w:space="0" w:color="auto"/>
            </w:tcBorders>
            <w:shd w:val="clear" w:color="auto" w:fill="auto"/>
            <w:vAlign w:val="bottom"/>
          </w:tcPr>
          <w:p w:rsidR="00855655" w:rsidRPr="00855655" w:rsidRDefault="00855655" w:rsidP="00855655">
            <w:pPr>
              <w:suppressAutoHyphens/>
              <w:spacing w:before="40" w:after="40" w:line="210" w:lineRule="exact"/>
              <w:ind w:right="43"/>
              <w:jc w:val="center"/>
              <w:rPr>
                <w:b/>
                <w:sz w:val="17"/>
              </w:rPr>
            </w:pPr>
          </w:p>
        </w:tc>
      </w:tr>
      <w:tr w:rsidR="00D926D4" w:rsidRPr="00855655">
        <w:tblPrEx>
          <w:tblCellMar>
            <w:top w:w="0" w:type="dxa"/>
            <w:bottom w:w="0" w:type="dxa"/>
          </w:tblCellMar>
        </w:tblPrEx>
        <w:tc>
          <w:tcPr>
            <w:tcW w:w="2313"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rPr>
                <w:b/>
                <w:sz w:val="17"/>
              </w:rPr>
            </w:pPr>
            <w:r w:rsidRPr="00855655">
              <w:rPr>
                <w:b/>
                <w:sz w:val="17"/>
              </w:rPr>
              <w:t xml:space="preserve">Total </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1.964.036</w:t>
            </w:r>
          </w:p>
        </w:tc>
        <w:tc>
          <w:tcPr>
            <w:tcW w:w="144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100,00</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1.005.460</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51,2</w:t>
            </w:r>
          </w:p>
        </w:tc>
      </w:tr>
      <w:tr w:rsidR="00D926D4" w:rsidRPr="00855655">
        <w:tblPrEx>
          <w:tblCellMar>
            <w:top w:w="0" w:type="dxa"/>
            <w:bottom w:w="0" w:type="dxa"/>
          </w:tblCellMar>
        </w:tblPrEx>
        <w:tc>
          <w:tcPr>
            <w:tcW w:w="2313"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rPr>
                <w:b/>
                <w:sz w:val="17"/>
              </w:rPr>
            </w:pPr>
            <w:r w:rsidRPr="00855655">
              <w:rPr>
                <w:b/>
                <w:sz w:val="17"/>
              </w:rPr>
              <w:t>Personnes déclarées</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1.766.982</w:t>
            </w:r>
          </w:p>
        </w:tc>
        <w:tc>
          <w:tcPr>
            <w:tcW w:w="144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90,00</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920.187</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52,1</w:t>
            </w:r>
          </w:p>
        </w:tc>
      </w:tr>
      <w:tr w:rsidR="00D926D4" w:rsidRPr="00855655">
        <w:tblPrEx>
          <w:tblCellMar>
            <w:top w:w="0" w:type="dxa"/>
            <w:bottom w:w="0" w:type="dxa"/>
          </w:tblCellMar>
        </w:tblPrEx>
        <w:tc>
          <w:tcPr>
            <w:tcW w:w="2313"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rPr>
                <w:bCs/>
                <w:sz w:val="17"/>
              </w:rPr>
            </w:pPr>
            <w:r w:rsidRPr="00855655">
              <w:rPr>
                <w:bCs/>
                <w:sz w:val="17"/>
              </w:rPr>
              <w:t>Slovènes</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1.631.363</w:t>
            </w:r>
          </w:p>
        </w:tc>
        <w:tc>
          <w:tcPr>
            <w:tcW w:w="144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83,06</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858.750</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52,6</w:t>
            </w:r>
          </w:p>
        </w:tc>
      </w:tr>
      <w:tr w:rsidR="00D926D4" w:rsidRPr="00855655">
        <w:tblPrEx>
          <w:tblCellMar>
            <w:top w:w="0" w:type="dxa"/>
            <w:bottom w:w="0" w:type="dxa"/>
          </w:tblCellMar>
        </w:tblPrEx>
        <w:tc>
          <w:tcPr>
            <w:tcW w:w="2313"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rPr>
                <w:bCs/>
                <w:sz w:val="17"/>
              </w:rPr>
            </w:pPr>
            <w:r w:rsidRPr="00855655">
              <w:rPr>
                <w:bCs/>
                <w:sz w:val="17"/>
              </w:rPr>
              <w:t>Italiens</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2.258</w:t>
            </w:r>
          </w:p>
        </w:tc>
        <w:tc>
          <w:tcPr>
            <w:tcW w:w="144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0,11</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1.173</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51,9</w:t>
            </w:r>
          </w:p>
        </w:tc>
      </w:tr>
      <w:tr w:rsidR="00D926D4" w:rsidRPr="00855655">
        <w:tblPrEx>
          <w:tblCellMar>
            <w:top w:w="0" w:type="dxa"/>
            <w:bottom w:w="0" w:type="dxa"/>
          </w:tblCellMar>
        </w:tblPrEx>
        <w:tc>
          <w:tcPr>
            <w:tcW w:w="2313"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rPr>
                <w:bCs/>
                <w:sz w:val="17"/>
              </w:rPr>
            </w:pPr>
            <w:r w:rsidRPr="00855655">
              <w:rPr>
                <w:bCs/>
                <w:sz w:val="17"/>
              </w:rPr>
              <w:t>Hongrois</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6.243</w:t>
            </w:r>
          </w:p>
        </w:tc>
        <w:tc>
          <w:tcPr>
            <w:tcW w:w="144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0,32</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3.360</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53,8</w:t>
            </w:r>
          </w:p>
        </w:tc>
      </w:tr>
      <w:tr w:rsidR="00D926D4" w:rsidRPr="00855655">
        <w:tblPrEx>
          <w:tblCellMar>
            <w:top w:w="0" w:type="dxa"/>
            <w:bottom w:w="0" w:type="dxa"/>
          </w:tblCellMar>
        </w:tblPrEx>
        <w:tc>
          <w:tcPr>
            <w:tcW w:w="2313"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rPr>
                <w:bCs/>
                <w:sz w:val="17"/>
              </w:rPr>
            </w:pPr>
            <w:r w:rsidRPr="00855655">
              <w:rPr>
                <w:bCs/>
                <w:sz w:val="17"/>
              </w:rPr>
              <w:t>Roms</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3.246</w:t>
            </w:r>
          </w:p>
        </w:tc>
        <w:tc>
          <w:tcPr>
            <w:tcW w:w="144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0,17</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1.601</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49,3</w:t>
            </w:r>
          </w:p>
        </w:tc>
      </w:tr>
      <w:tr w:rsidR="00D926D4" w:rsidRPr="00855655">
        <w:tblPrEx>
          <w:tblCellMar>
            <w:top w:w="0" w:type="dxa"/>
            <w:bottom w:w="0" w:type="dxa"/>
          </w:tblCellMar>
        </w:tblPrEx>
        <w:tc>
          <w:tcPr>
            <w:tcW w:w="2313"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rPr>
                <w:bCs/>
                <w:sz w:val="17"/>
              </w:rPr>
            </w:pPr>
            <w:r w:rsidRPr="00855655">
              <w:rPr>
                <w:bCs/>
                <w:sz w:val="17"/>
              </w:rPr>
              <w:t>Albanais</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6.186</w:t>
            </w:r>
          </w:p>
        </w:tc>
        <w:tc>
          <w:tcPr>
            <w:tcW w:w="144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0,31</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2.057</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33,2</w:t>
            </w:r>
          </w:p>
        </w:tc>
      </w:tr>
      <w:tr w:rsidR="00D926D4" w:rsidRPr="00855655">
        <w:tblPrEx>
          <w:tblCellMar>
            <w:top w:w="0" w:type="dxa"/>
            <w:bottom w:w="0" w:type="dxa"/>
          </w:tblCellMar>
        </w:tblPrEx>
        <w:tc>
          <w:tcPr>
            <w:tcW w:w="2313"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rPr>
                <w:bCs/>
                <w:sz w:val="17"/>
              </w:rPr>
            </w:pPr>
            <w:r w:rsidRPr="00855655">
              <w:rPr>
                <w:bCs/>
                <w:sz w:val="17"/>
              </w:rPr>
              <w:t>Bosniaques</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21.542</w:t>
            </w:r>
          </w:p>
        </w:tc>
        <w:tc>
          <w:tcPr>
            <w:tcW w:w="144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1,10</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9.191</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42,7</w:t>
            </w:r>
          </w:p>
        </w:tc>
      </w:tr>
      <w:tr w:rsidR="00D926D4" w:rsidRPr="00855655">
        <w:tblPrEx>
          <w:tblCellMar>
            <w:top w:w="0" w:type="dxa"/>
            <w:bottom w:w="0" w:type="dxa"/>
          </w:tblCellMar>
        </w:tblPrEx>
        <w:tc>
          <w:tcPr>
            <w:tcW w:w="2313"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rPr>
                <w:bCs/>
                <w:sz w:val="17"/>
              </w:rPr>
            </w:pPr>
            <w:r w:rsidRPr="00855655">
              <w:rPr>
                <w:bCs/>
                <w:sz w:val="17"/>
              </w:rPr>
              <w:t>Monténégrins</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2.667</w:t>
            </w:r>
          </w:p>
        </w:tc>
        <w:tc>
          <w:tcPr>
            <w:tcW w:w="144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0,14</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1.143</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42,9</w:t>
            </w:r>
          </w:p>
        </w:tc>
      </w:tr>
      <w:tr w:rsidR="00D926D4" w:rsidRPr="00855655">
        <w:tblPrEx>
          <w:tblCellMar>
            <w:top w:w="0" w:type="dxa"/>
            <w:bottom w:w="0" w:type="dxa"/>
          </w:tblCellMar>
        </w:tblPrEx>
        <w:tc>
          <w:tcPr>
            <w:tcW w:w="2313"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rPr>
                <w:bCs/>
                <w:sz w:val="17"/>
              </w:rPr>
            </w:pPr>
            <w:r w:rsidRPr="00855655">
              <w:rPr>
                <w:bCs/>
                <w:sz w:val="17"/>
              </w:rPr>
              <w:t>Croates</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35.642</w:t>
            </w:r>
          </w:p>
        </w:tc>
        <w:tc>
          <w:tcPr>
            <w:tcW w:w="144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1,81</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17.086</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47,9</w:t>
            </w:r>
          </w:p>
        </w:tc>
      </w:tr>
      <w:tr w:rsidR="00D926D4" w:rsidRPr="00855655">
        <w:tblPrEx>
          <w:tblCellMar>
            <w:top w:w="0" w:type="dxa"/>
            <w:bottom w:w="0" w:type="dxa"/>
          </w:tblCellMar>
        </w:tblPrEx>
        <w:tc>
          <w:tcPr>
            <w:tcW w:w="2313"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rPr>
                <w:bCs/>
                <w:sz w:val="17"/>
              </w:rPr>
            </w:pPr>
            <w:r w:rsidRPr="00855655">
              <w:rPr>
                <w:bCs/>
                <w:sz w:val="17"/>
              </w:rPr>
              <w:t>Macédoniens</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3.972</w:t>
            </w:r>
          </w:p>
        </w:tc>
        <w:tc>
          <w:tcPr>
            <w:tcW w:w="144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0,20</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1.507</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37,9</w:t>
            </w:r>
          </w:p>
        </w:tc>
      </w:tr>
      <w:tr w:rsidR="00D926D4" w:rsidRPr="00855655">
        <w:tblPrEx>
          <w:tblCellMar>
            <w:top w:w="0" w:type="dxa"/>
            <w:bottom w:w="0" w:type="dxa"/>
          </w:tblCellMar>
        </w:tblPrEx>
        <w:tc>
          <w:tcPr>
            <w:tcW w:w="2313"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rPr>
                <w:bCs/>
                <w:sz w:val="17"/>
              </w:rPr>
            </w:pPr>
            <w:r w:rsidRPr="00855655">
              <w:rPr>
                <w:bCs/>
                <w:sz w:val="17"/>
              </w:rPr>
              <w:t>Musulmans**</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10.467</w:t>
            </w:r>
          </w:p>
        </w:tc>
        <w:tc>
          <w:tcPr>
            <w:tcW w:w="144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0,53</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4.671</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44,6</w:t>
            </w:r>
          </w:p>
        </w:tc>
      </w:tr>
      <w:tr w:rsidR="00D926D4" w:rsidRPr="00855655">
        <w:tblPrEx>
          <w:tblCellMar>
            <w:top w:w="0" w:type="dxa"/>
            <w:bottom w:w="0" w:type="dxa"/>
          </w:tblCellMar>
        </w:tblPrEx>
        <w:tc>
          <w:tcPr>
            <w:tcW w:w="2313"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rPr>
                <w:bCs/>
                <w:sz w:val="17"/>
              </w:rPr>
            </w:pPr>
            <w:r w:rsidRPr="00855655">
              <w:rPr>
                <w:bCs/>
                <w:sz w:val="17"/>
              </w:rPr>
              <w:t>Serbes</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38.964</w:t>
            </w:r>
          </w:p>
        </w:tc>
        <w:tc>
          <w:tcPr>
            <w:tcW w:w="144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1,98</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17.372</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44,6</w:t>
            </w:r>
          </w:p>
        </w:tc>
      </w:tr>
      <w:tr w:rsidR="00D926D4" w:rsidRPr="00855655">
        <w:tblPrEx>
          <w:tblCellMar>
            <w:top w:w="0" w:type="dxa"/>
            <w:bottom w:w="0" w:type="dxa"/>
          </w:tblCellMar>
        </w:tblPrEx>
        <w:tc>
          <w:tcPr>
            <w:tcW w:w="2313"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rPr>
                <w:b/>
                <w:sz w:val="17"/>
              </w:rPr>
            </w:pPr>
            <w:r w:rsidRPr="00855655">
              <w:rPr>
                <w:b/>
                <w:sz w:val="17"/>
              </w:rPr>
              <w:t>Personnes non déclarées</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22.141</w:t>
            </w:r>
          </w:p>
        </w:tc>
        <w:tc>
          <w:tcPr>
            <w:tcW w:w="144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1,13</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10.847</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49,0</w:t>
            </w:r>
          </w:p>
        </w:tc>
      </w:tr>
      <w:tr w:rsidR="00D926D4" w:rsidRPr="00855655">
        <w:tblPrEx>
          <w:tblCellMar>
            <w:top w:w="0" w:type="dxa"/>
            <w:bottom w:w="0" w:type="dxa"/>
          </w:tblCellMar>
        </w:tblPrEx>
        <w:tc>
          <w:tcPr>
            <w:tcW w:w="2313"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rPr>
                <w:bCs/>
                <w:sz w:val="17"/>
              </w:rPr>
            </w:pPr>
            <w:r w:rsidRPr="00855655">
              <w:rPr>
                <w:bCs/>
                <w:sz w:val="17"/>
              </w:rPr>
              <w:t>Déclarées en tant que Bosniaques</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8.062</w:t>
            </w:r>
          </w:p>
        </w:tc>
        <w:tc>
          <w:tcPr>
            <w:tcW w:w="144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0,41</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3.869</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48,0</w:t>
            </w:r>
          </w:p>
        </w:tc>
      </w:tr>
      <w:tr w:rsidR="00D926D4" w:rsidRPr="00855655">
        <w:tblPrEx>
          <w:tblCellMar>
            <w:top w:w="0" w:type="dxa"/>
            <w:bottom w:w="0" w:type="dxa"/>
          </w:tblCellMar>
        </w:tblPrEx>
        <w:tc>
          <w:tcPr>
            <w:tcW w:w="2313"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rPr>
                <w:bCs/>
                <w:sz w:val="17"/>
              </w:rPr>
            </w:pPr>
            <w:r w:rsidRPr="00855655">
              <w:rPr>
                <w:bCs/>
                <w:sz w:val="17"/>
              </w:rPr>
              <w:t>Autres***</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12.085</w:t>
            </w:r>
          </w:p>
        </w:tc>
        <w:tc>
          <w:tcPr>
            <w:tcW w:w="144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0,62</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6.173</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Cs/>
                <w:sz w:val="17"/>
              </w:rPr>
            </w:pPr>
            <w:r w:rsidRPr="00855655">
              <w:rPr>
                <w:bCs/>
                <w:sz w:val="17"/>
              </w:rPr>
              <w:t>51,1</w:t>
            </w:r>
          </w:p>
        </w:tc>
      </w:tr>
      <w:tr w:rsidR="00D926D4" w:rsidRPr="00855655">
        <w:tblPrEx>
          <w:tblCellMar>
            <w:top w:w="0" w:type="dxa"/>
            <w:bottom w:w="0" w:type="dxa"/>
          </w:tblCellMar>
        </w:tblPrEx>
        <w:tc>
          <w:tcPr>
            <w:tcW w:w="2313" w:type="dxa"/>
            <w:shd w:val="clear" w:color="auto" w:fill="auto"/>
            <w:vAlign w:val="bottom"/>
          </w:tcPr>
          <w:p w:rsidR="00D926D4" w:rsidRPr="00855655" w:rsidRDefault="00D926D4" w:rsidP="00855655">
            <w:pPr>
              <w:pStyle w:val="BodyText22"/>
              <w:widowControl/>
              <w:tabs>
                <w:tab w:val="left" w:pos="288"/>
                <w:tab w:val="left" w:pos="576"/>
                <w:tab w:val="left" w:pos="864"/>
                <w:tab w:val="left" w:pos="1152"/>
              </w:tabs>
              <w:suppressAutoHyphens/>
              <w:spacing w:before="40" w:after="40" w:line="210" w:lineRule="exact"/>
              <w:ind w:right="43"/>
              <w:rPr>
                <w:sz w:val="17"/>
                <w:szCs w:val="20"/>
              </w:rPr>
            </w:pPr>
            <w:r w:rsidRPr="00855655">
              <w:rPr>
                <w:sz w:val="17"/>
                <w:szCs w:val="20"/>
              </w:rPr>
              <w:t>N’ont pas répondu</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48.588</w:t>
            </w:r>
          </w:p>
        </w:tc>
        <w:tc>
          <w:tcPr>
            <w:tcW w:w="144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2,47</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24.356</w:t>
            </w:r>
          </w:p>
        </w:tc>
        <w:tc>
          <w:tcPr>
            <w:tcW w:w="1260" w:type="dxa"/>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50,1</w:t>
            </w:r>
          </w:p>
        </w:tc>
      </w:tr>
      <w:tr w:rsidR="00D926D4" w:rsidRPr="00855655">
        <w:tblPrEx>
          <w:tblCellMar>
            <w:top w:w="0" w:type="dxa"/>
            <w:bottom w:w="0" w:type="dxa"/>
          </w:tblCellMar>
        </w:tblPrEx>
        <w:tc>
          <w:tcPr>
            <w:tcW w:w="2313" w:type="dxa"/>
            <w:tcBorders>
              <w:bottom w:val="single" w:sz="12" w:space="0" w:color="auto"/>
            </w:tcBorders>
            <w:shd w:val="clear" w:color="auto" w:fill="auto"/>
            <w:vAlign w:val="bottom"/>
          </w:tcPr>
          <w:p w:rsidR="00D926D4" w:rsidRPr="00855655" w:rsidRDefault="00D926D4" w:rsidP="00855655">
            <w:pPr>
              <w:pStyle w:val="BodyText22"/>
              <w:widowControl/>
              <w:tabs>
                <w:tab w:val="left" w:pos="288"/>
                <w:tab w:val="left" w:pos="576"/>
                <w:tab w:val="left" w:pos="864"/>
                <w:tab w:val="left" w:pos="1152"/>
              </w:tabs>
              <w:suppressAutoHyphens/>
              <w:spacing w:before="40" w:after="40" w:line="210" w:lineRule="exact"/>
              <w:ind w:right="43"/>
              <w:rPr>
                <w:sz w:val="17"/>
              </w:rPr>
            </w:pPr>
            <w:r w:rsidRPr="00855655">
              <w:rPr>
                <w:sz w:val="17"/>
              </w:rPr>
              <w:t>Données inconnues</w:t>
            </w:r>
          </w:p>
        </w:tc>
        <w:tc>
          <w:tcPr>
            <w:tcW w:w="1260" w:type="dxa"/>
            <w:tcBorders>
              <w:bottom w:val="single" w:sz="12" w:space="0" w:color="auto"/>
            </w:tcBorders>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126.325</w:t>
            </w:r>
          </w:p>
        </w:tc>
        <w:tc>
          <w:tcPr>
            <w:tcW w:w="1440" w:type="dxa"/>
            <w:tcBorders>
              <w:bottom w:val="single" w:sz="12" w:space="0" w:color="auto"/>
            </w:tcBorders>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6,43</w:t>
            </w:r>
          </w:p>
        </w:tc>
        <w:tc>
          <w:tcPr>
            <w:tcW w:w="1260" w:type="dxa"/>
            <w:tcBorders>
              <w:bottom w:val="single" w:sz="12" w:space="0" w:color="auto"/>
            </w:tcBorders>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50.070</w:t>
            </w:r>
          </w:p>
        </w:tc>
        <w:tc>
          <w:tcPr>
            <w:tcW w:w="1260" w:type="dxa"/>
            <w:tcBorders>
              <w:bottom w:val="single" w:sz="12" w:space="0" w:color="auto"/>
            </w:tcBorders>
            <w:shd w:val="clear" w:color="auto" w:fill="auto"/>
            <w:vAlign w:val="bottom"/>
          </w:tcPr>
          <w:p w:rsidR="00D926D4" w:rsidRPr="00855655" w:rsidRDefault="00D926D4" w:rsidP="00855655">
            <w:pPr>
              <w:tabs>
                <w:tab w:val="left" w:pos="288"/>
                <w:tab w:val="left" w:pos="576"/>
                <w:tab w:val="left" w:pos="864"/>
                <w:tab w:val="left" w:pos="1152"/>
              </w:tabs>
              <w:suppressAutoHyphens/>
              <w:spacing w:before="40" w:after="40" w:line="210" w:lineRule="exact"/>
              <w:ind w:right="43"/>
              <w:jc w:val="right"/>
              <w:rPr>
                <w:b/>
                <w:sz w:val="17"/>
              </w:rPr>
            </w:pPr>
            <w:r w:rsidRPr="00855655">
              <w:rPr>
                <w:b/>
                <w:sz w:val="17"/>
              </w:rPr>
              <w:t>39,6</w:t>
            </w:r>
          </w:p>
        </w:tc>
      </w:tr>
    </w:tbl>
    <w:p w:rsidR="00E20682" w:rsidRPr="00E20682" w:rsidRDefault="00E20682" w:rsidP="00E20682">
      <w:pPr>
        <w:spacing w:line="120" w:lineRule="exact"/>
        <w:rPr>
          <w:bCs/>
          <w:sz w:val="10"/>
        </w:rPr>
      </w:pPr>
    </w:p>
    <w:p w:rsidR="00D926D4" w:rsidRPr="00732A5A" w:rsidRDefault="00D926D4" w:rsidP="00B12AFA">
      <w:pPr>
        <w:pStyle w:val="SingleTxt"/>
        <w:spacing w:after="0" w:line="240" w:lineRule="auto"/>
      </w:pPr>
      <w:r w:rsidRPr="00732A5A">
        <w:t xml:space="preserve">* </w:t>
      </w:r>
      <w:r w:rsidR="00B12AFA">
        <w:tab/>
      </w:r>
      <w:r w:rsidRPr="00732A5A">
        <w:t xml:space="preserve">Groupes ethniques représentant plus de 0,1% de la population totale. </w:t>
      </w:r>
    </w:p>
    <w:p w:rsidR="00D926D4" w:rsidRPr="00732A5A" w:rsidRDefault="00D926D4" w:rsidP="00B12AFA">
      <w:pPr>
        <w:pStyle w:val="SingleTxt"/>
        <w:spacing w:after="0" w:line="240" w:lineRule="auto"/>
      </w:pPr>
      <w:r w:rsidRPr="00732A5A">
        <w:t xml:space="preserve">** </w:t>
      </w:r>
      <w:r w:rsidR="00B12AFA">
        <w:tab/>
      </w:r>
      <w:r w:rsidRPr="00732A5A">
        <w:t>En termes ethniques et non pas religieux.</w:t>
      </w:r>
    </w:p>
    <w:p w:rsidR="00D926D4" w:rsidRPr="00732A5A" w:rsidRDefault="00D926D4" w:rsidP="00B12AFA">
      <w:pPr>
        <w:pStyle w:val="SingleTxt"/>
        <w:spacing w:after="0" w:line="240" w:lineRule="auto"/>
        <w:rPr>
          <w:lang w:val="fr-FR"/>
        </w:rPr>
      </w:pPr>
      <w:r w:rsidRPr="00732A5A">
        <w:rPr>
          <w:lang w:val="fr-FR"/>
        </w:rPr>
        <w:t xml:space="preserve">*** </w:t>
      </w:r>
      <w:r w:rsidR="00B12AFA">
        <w:rPr>
          <w:lang w:val="fr-FR"/>
        </w:rPr>
        <w:tab/>
      </w:r>
      <w:r w:rsidRPr="00732A5A">
        <w:rPr>
          <w:lang w:val="fr-FR"/>
        </w:rPr>
        <w:t xml:space="preserve">Personnes ayant souhaité ne pas déclarer leur ethnie. </w:t>
      </w:r>
    </w:p>
    <w:p w:rsidR="00B12AFA" w:rsidRPr="00B12AFA" w:rsidRDefault="00B12AFA" w:rsidP="00B12AFA">
      <w:pPr>
        <w:pStyle w:val="SingleTxt"/>
        <w:spacing w:after="0" w:line="120" w:lineRule="exact"/>
        <w:rPr>
          <w:sz w:val="10"/>
          <w:szCs w:val="24"/>
          <w:lang w:val="fr-FR"/>
        </w:rPr>
      </w:pPr>
    </w:p>
    <w:p w:rsidR="00D926D4" w:rsidRPr="00527026" w:rsidRDefault="00D926D4" w:rsidP="00B12AFA">
      <w:pPr>
        <w:pStyle w:val="SingleTxt"/>
        <w:spacing w:after="0" w:line="240" w:lineRule="auto"/>
        <w:rPr>
          <w:sz w:val="17"/>
          <w:szCs w:val="17"/>
          <w:lang w:val="fr-FR"/>
        </w:rPr>
      </w:pPr>
      <w:r w:rsidRPr="00527026">
        <w:rPr>
          <w:i/>
          <w:sz w:val="17"/>
          <w:szCs w:val="17"/>
          <w:lang w:val="fr-FR"/>
        </w:rPr>
        <w:t>Source</w:t>
      </w:r>
      <w:r w:rsidRPr="00527026">
        <w:rPr>
          <w:sz w:val="17"/>
          <w:szCs w:val="17"/>
          <w:lang w:val="fr-FR"/>
        </w:rPr>
        <w:t>: Recensement de la Population, des Ménages et des Habitations, 31.03.2002, Institut de la Statistique de la République de Slovénie.</w:t>
      </w:r>
    </w:p>
    <w:p w:rsidR="00E20682" w:rsidRPr="00E20682" w:rsidRDefault="00E20682" w:rsidP="00E20682">
      <w:pPr>
        <w:pStyle w:val="BodyText"/>
        <w:spacing w:line="120" w:lineRule="exact"/>
        <w:jc w:val="both"/>
        <w:rPr>
          <w:b w:val="0"/>
          <w:bCs/>
          <w:sz w:val="10"/>
          <w:szCs w:val="24"/>
          <w:lang w:val="fr-FR"/>
        </w:rPr>
      </w:pPr>
    </w:p>
    <w:p w:rsidR="00D926D4" w:rsidRDefault="00D926D4" w:rsidP="00E20682">
      <w:pPr>
        <w:pStyle w:val="SingleTxt"/>
        <w:jc w:val="left"/>
        <w:rPr>
          <w:lang w:val="fr-FR"/>
        </w:rPr>
      </w:pPr>
      <w:r w:rsidRPr="00A720EA">
        <w:rPr>
          <w:lang w:val="fr-FR"/>
        </w:rPr>
        <w:t>Table</w:t>
      </w:r>
      <w:r>
        <w:rPr>
          <w:lang w:val="fr-FR"/>
        </w:rPr>
        <w:t>au</w:t>
      </w:r>
      <w:r w:rsidRPr="00A720EA">
        <w:rPr>
          <w:lang w:val="fr-FR"/>
        </w:rPr>
        <w:t xml:space="preserve"> 4</w:t>
      </w:r>
      <w:r w:rsidR="00E20682">
        <w:rPr>
          <w:lang w:val="fr-FR"/>
        </w:rPr>
        <w:br/>
      </w:r>
      <w:r w:rsidRPr="00E20682">
        <w:rPr>
          <w:b/>
          <w:lang w:val="fr-FR"/>
        </w:rPr>
        <w:t>Naissances (enfants vivants), par sexe (2000 – 2004)</w:t>
      </w:r>
    </w:p>
    <w:p w:rsidR="00E20682" w:rsidRPr="00E20682" w:rsidRDefault="00E20682" w:rsidP="00E20682">
      <w:pPr>
        <w:spacing w:line="120" w:lineRule="exact"/>
        <w:rPr>
          <w:sz w:val="10"/>
          <w:lang w:val="fr-FR"/>
        </w:rPr>
      </w:pPr>
    </w:p>
    <w:tbl>
      <w:tblPr>
        <w:tblW w:w="0" w:type="auto"/>
        <w:tblInd w:w="1267" w:type="dxa"/>
        <w:tblCellMar>
          <w:left w:w="70" w:type="dxa"/>
          <w:right w:w="70" w:type="dxa"/>
        </w:tblCellMar>
        <w:tblLook w:val="0000" w:firstRow="0" w:lastRow="0" w:firstColumn="0" w:lastColumn="0" w:noHBand="0" w:noVBand="0"/>
      </w:tblPr>
      <w:tblGrid>
        <w:gridCol w:w="970"/>
        <w:gridCol w:w="1440"/>
        <w:gridCol w:w="1440"/>
        <w:gridCol w:w="1440"/>
        <w:gridCol w:w="1440"/>
      </w:tblGrid>
      <w:tr w:rsidR="00D926D4" w:rsidRPr="00E20682">
        <w:tblPrEx>
          <w:tblCellMar>
            <w:top w:w="0" w:type="dxa"/>
            <w:bottom w:w="0" w:type="dxa"/>
          </w:tblCellMar>
        </w:tblPrEx>
        <w:trPr>
          <w:tblHeader/>
        </w:trPr>
        <w:tc>
          <w:tcPr>
            <w:tcW w:w="970" w:type="dxa"/>
            <w:tcBorders>
              <w:top w:val="single" w:sz="4" w:space="0" w:color="auto"/>
              <w:bottom w:val="single" w:sz="12" w:space="0" w:color="auto"/>
            </w:tcBorders>
            <w:shd w:val="clear" w:color="auto" w:fill="auto"/>
            <w:vAlign w:val="bottom"/>
          </w:tcPr>
          <w:p w:rsidR="00D926D4" w:rsidRPr="00E20682" w:rsidRDefault="00D926D4" w:rsidP="00E20682">
            <w:pPr>
              <w:suppressAutoHyphens/>
              <w:spacing w:before="80" w:after="80" w:line="160" w:lineRule="exact"/>
              <w:ind w:right="43"/>
              <w:jc w:val="both"/>
              <w:rPr>
                <w:bCs/>
                <w:i/>
                <w:sz w:val="14"/>
              </w:rPr>
            </w:pPr>
            <w:r w:rsidRPr="00E20682">
              <w:rPr>
                <w:bCs/>
                <w:i/>
                <w:sz w:val="14"/>
              </w:rPr>
              <w:t>Année</w:t>
            </w:r>
          </w:p>
        </w:tc>
        <w:tc>
          <w:tcPr>
            <w:tcW w:w="1440" w:type="dxa"/>
            <w:tcBorders>
              <w:top w:val="single" w:sz="4" w:space="0" w:color="auto"/>
              <w:bottom w:val="single" w:sz="12" w:space="0" w:color="auto"/>
            </w:tcBorders>
            <w:shd w:val="clear" w:color="auto" w:fill="auto"/>
            <w:vAlign w:val="bottom"/>
          </w:tcPr>
          <w:p w:rsidR="00D926D4" w:rsidRPr="00E20682" w:rsidRDefault="00D926D4" w:rsidP="00E20682">
            <w:pPr>
              <w:suppressAutoHyphens/>
              <w:spacing w:before="80" w:after="80" w:line="160" w:lineRule="exact"/>
              <w:ind w:right="43"/>
              <w:jc w:val="right"/>
              <w:rPr>
                <w:bCs/>
                <w:i/>
                <w:sz w:val="14"/>
              </w:rPr>
            </w:pPr>
            <w:r w:rsidRPr="00E20682">
              <w:rPr>
                <w:bCs/>
                <w:i/>
                <w:sz w:val="14"/>
              </w:rPr>
              <w:t>Total</w:t>
            </w:r>
          </w:p>
        </w:tc>
        <w:tc>
          <w:tcPr>
            <w:tcW w:w="1440" w:type="dxa"/>
            <w:tcBorders>
              <w:top w:val="single" w:sz="4" w:space="0" w:color="auto"/>
              <w:bottom w:val="single" w:sz="12" w:space="0" w:color="auto"/>
            </w:tcBorders>
            <w:shd w:val="clear" w:color="auto" w:fill="auto"/>
            <w:vAlign w:val="bottom"/>
          </w:tcPr>
          <w:p w:rsidR="00D926D4" w:rsidRPr="00E20682" w:rsidRDefault="00D926D4" w:rsidP="00E20682">
            <w:pPr>
              <w:suppressAutoHyphens/>
              <w:spacing w:before="80" w:after="80" w:line="160" w:lineRule="exact"/>
              <w:ind w:right="43"/>
              <w:jc w:val="right"/>
              <w:rPr>
                <w:bCs/>
                <w:i/>
                <w:sz w:val="14"/>
              </w:rPr>
            </w:pPr>
            <w:r w:rsidRPr="00E20682">
              <w:rPr>
                <w:bCs/>
                <w:i/>
                <w:sz w:val="14"/>
              </w:rPr>
              <w:t>Garçons</w:t>
            </w:r>
          </w:p>
        </w:tc>
        <w:tc>
          <w:tcPr>
            <w:tcW w:w="1440" w:type="dxa"/>
            <w:tcBorders>
              <w:top w:val="single" w:sz="4" w:space="0" w:color="auto"/>
              <w:bottom w:val="single" w:sz="12" w:space="0" w:color="auto"/>
            </w:tcBorders>
            <w:shd w:val="clear" w:color="auto" w:fill="auto"/>
            <w:vAlign w:val="bottom"/>
          </w:tcPr>
          <w:p w:rsidR="00D926D4" w:rsidRPr="00E20682" w:rsidRDefault="00D926D4" w:rsidP="00E20682">
            <w:pPr>
              <w:suppressAutoHyphens/>
              <w:spacing w:before="80" w:after="80" w:line="160" w:lineRule="exact"/>
              <w:ind w:right="43"/>
              <w:jc w:val="right"/>
              <w:rPr>
                <w:bCs/>
                <w:i/>
                <w:sz w:val="14"/>
              </w:rPr>
            </w:pPr>
            <w:r w:rsidRPr="00E20682">
              <w:rPr>
                <w:bCs/>
                <w:i/>
                <w:sz w:val="14"/>
              </w:rPr>
              <w:t>Filles</w:t>
            </w:r>
          </w:p>
        </w:tc>
        <w:tc>
          <w:tcPr>
            <w:tcW w:w="1440" w:type="dxa"/>
            <w:tcBorders>
              <w:top w:val="single" w:sz="4" w:space="0" w:color="auto"/>
              <w:bottom w:val="single" w:sz="12" w:space="0" w:color="auto"/>
            </w:tcBorders>
            <w:shd w:val="clear" w:color="auto" w:fill="auto"/>
            <w:vAlign w:val="bottom"/>
          </w:tcPr>
          <w:p w:rsidR="00D926D4" w:rsidRPr="00E20682" w:rsidRDefault="00D926D4" w:rsidP="00E20682">
            <w:pPr>
              <w:suppressAutoHyphens/>
              <w:spacing w:before="80" w:after="80" w:line="160" w:lineRule="exact"/>
              <w:ind w:right="43"/>
              <w:jc w:val="right"/>
              <w:rPr>
                <w:bCs/>
                <w:i/>
                <w:sz w:val="14"/>
              </w:rPr>
            </w:pPr>
            <w:r w:rsidRPr="00E20682">
              <w:rPr>
                <w:bCs/>
                <w:i/>
                <w:sz w:val="14"/>
              </w:rPr>
              <w:t>% de filles</w:t>
            </w:r>
          </w:p>
        </w:tc>
      </w:tr>
      <w:tr w:rsidR="00E20682" w:rsidRPr="00E20682">
        <w:tblPrEx>
          <w:tblCellMar>
            <w:top w:w="0" w:type="dxa"/>
            <w:bottom w:w="0" w:type="dxa"/>
          </w:tblCellMar>
        </w:tblPrEx>
        <w:trPr>
          <w:trHeight w:hRule="exact" w:val="115"/>
          <w:tblHeader/>
        </w:trPr>
        <w:tc>
          <w:tcPr>
            <w:tcW w:w="970"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both"/>
              <w:rPr>
                <w:sz w:val="17"/>
              </w:rPr>
            </w:pPr>
          </w:p>
        </w:tc>
        <w:tc>
          <w:tcPr>
            <w:tcW w:w="1440"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right"/>
              <w:rPr>
                <w:sz w:val="17"/>
              </w:rPr>
            </w:pPr>
          </w:p>
        </w:tc>
        <w:tc>
          <w:tcPr>
            <w:tcW w:w="1440"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right"/>
              <w:rPr>
                <w:sz w:val="17"/>
              </w:rPr>
            </w:pPr>
          </w:p>
        </w:tc>
        <w:tc>
          <w:tcPr>
            <w:tcW w:w="1440"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right"/>
              <w:rPr>
                <w:sz w:val="17"/>
              </w:rPr>
            </w:pPr>
          </w:p>
        </w:tc>
        <w:tc>
          <w:tcPr>
            <w:tcW w:w="1440"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right"/>
              <w:rPr>
                <w:sz w:val="17"/>
              </w:rPr>
            </w:pPr>
          </w:p>
        </w:tc>
      </w:tr>
      <w:tr w:rsidR="00D926D4" w:rsidRPr="00E20682">
        <w:tblPrEx>
          <w:tblCellMar>
            <w:top w:w="0" w:type="dxa"/>
            <w:bottom w:w="0" w:type="dxa"/>
          </w:tblCellMar>
        </w:tblPrEx>
        <w:tc>
          <w:tcPr>
            <w:tcW w:w="97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2000</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18.180</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9.368</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8.812</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48,47</w:t>
            </w:r>
          </w:p>
        </w:tc>
      </w:tr>
      <w:tr w:rsidR="00D926D4" w:rsidRPr="00E20682">
        <w:tblPrEx>
          <w:tblCellMar>
            <w:top w:w="0" w:type="dxa"/>
            <w:bottom w:w="0" w:type="dxa"/>
          </w:tblCellMar>
        </w:tblPrEx>
        <w:tc>
          <w:tcPr>
            <w:tcW w:w="97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2001</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17.477</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9.064</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8.413</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48,14</w:t>
            </w:r>
          </w:p>
        </w:tc>
      </w:tr>
      <w:tr w:rsidR="00D926D4" w:rsidRPr="00E20682">
        <w:tblPrEx>
          <w:tblCellMar>
            <w:top w:w="0" w:type="dxa"/>
            <w:bottom w:w="0" w:type="dxa"/>
          </w:tblCellMar>
        </w:tblPrEx>
        <w:tc>
          <w:tcPr>
            <w:tcW w:w="97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2002</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17.501</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9.025</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8.476</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48,43</w:t>
            </w:r>
          </w:p>
        </w:tc>
      </w:tr>
      <w:tr w:rsidR="00D926D4" w:rsidRPr="00E20682">
        <w:tblPrEx>
          <w:tblCellMar>
            <w:top w:w="0" w:type="dxa"/>
            <w:bottom w:w="0" w:type="dxa"/>
          </w:tblCellMar>
        </w:tblPrEx>
        <w:tc>
          <w:tcPr>
            <w:tcW w:w="97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2003</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17.321</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8.930</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8.391</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48,44</w:t>
            </w:r>
          </w:p>
        </w:tc>
      </w:tr>
      <w:tr w:rsidR="00D926D4" w:rsidRPr="00E20682">
        <w:tblPrEx>
          <w:tblCellMar>
            <w:top w:w="0" w:type="dxa"/>
            <w:bottom w:w="0" w:type="dxa"/>
          </w:tblCellMar>
        </w:tblPrEx>
        <w:tc>
          <w:tcPr>
            <w:tcW w:w="970"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2004</w:t>
            </w:r>
          </w:p>
        </w:tc>
        <w:tc>
          <w:tcPr>
            <w:tcW w:w="1440"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17.961</w:t>
            </w:r>
          </w:p>
        </w:tc>
        <w:tc>
          <w:tcPr>
            <w:tcW w:w="1440"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9.101</w:t>
            </w:r>
          </w:p>
        </w:tc>
        <w:tc>
          <w:tcPr>
            <w:tcW w:w="1440"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8.860</w:t>
            </w:r>
          </w:p>
        </w:tc>
        <w:tc>
          <w:tcPr>
            <w:tcW w:w="1440"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49,33</w:t>
            </w:r>
          </w:p>
        </w:tc>
      </w:tr>
    </w:tbl>
    <w:p w:rsidR="00E20682" w:rsidRPr="00E20682" w:rsidRDefault="00E20682" w:rsidP="00E20682">
      <w:pPr>
        <w:pStyle w:val="BodyText"/>
        <w:spacing w:line="120" w:lineRule="exact"/>
        <w:jc w:val="both"/>
        <w:rPr>
          <w:b w:val="0"/>
          <w:bCs/>
          <w:color w:val="000000"/>
          <w:sz w:val="10"/>
          <w:lang w:val="fr-FR"/>
        </w:rPr>
      </w:pPr>
    </w:p>
    <w:p w:rsidR="00D926D4" w:rsidRDefault="00D926D4" w:rsidP="00E20682">
      <w:pPr>
        <w:pStyle w:val="SingleTxt"/>
        <w:spacing w:after="0" w:line="240" w:lineRule="auto"/>
        <w:rPr>
          <w:sz w:val="17"/>
          <w:szCs w:val="17"/>
          <w:lang w:val="fr-FR"/>
        </w:rPr>
      </w:pPr>
      <w:r w:rsidRPr="00E20682">
        <w:rPr>
          <w:i/>
          <w:sz w:val="17"/>
          <w:szCs w:val="17"/>
          <w:lang w:val="fr-FR"/>
        </w:rPr>
        <w:t>Source</w:t>
      </w:r>
      <w:r w:rsidRPr="00E20682">
        <w:rPr>
          <w:sz w:val="17"/>
          <w:szCs w:val="17"/>
          <w:lang w:val="fr-FR"/>
        </w:rPr>
        <w:t>: Annuaire statistique 2005, Institut de la Statistique de la République de Slovénie.</w:t>
      </w:r>
    </w:p>
    <w:p w:rsidR="00E20682" w:rsidRPr="00E20682" w:rsidRDefault="00E20682" w:rsidP="00E20682">
      <w:pPr>
        <w:pStyle w:val="SingleTxt"/>
        <w:spacing w:after="0" w:line="120" w:lineRule="exact"/>
        <w:rPr>
          <w:sz w:val="10"/>
          <w:szCs w:val="17"/>
          <w:lang w:val="fr-FR"/>
        </w:rPr>
      </w:pPr>
    </w:p>
    <w:p w:rsidR="00D926D4" w:rsidRDefault="00D926D4" w:rsidP="00E20682">
      <w:pPr>
        <w:pStyle w:val="SingleTxt"/>
        <w:jc w:val="left"/>
        <w:rPr>
          <w:lang w:val="fr-FR"/>
        </w:rPr>
      </w:pPr>
      <w:r w:rsidRPr="00A720EA">
        <w:rPr>
          <w:lang w:val="fr-FR"/>
        </w:rPr>
        <w:t>Tableau 5</w:t>
      </w:r>
      <w:r w:rsidR="00E20682">
        <w:rPr>
          <w:lang w:val="fr-FR"/>
        </w:rPr>
        <w:br/>
      </w:r>
      <w:r w:rsidR="00E20682" w:rsidRPr="00E20682">
        <w:rPr>
          <w:b/>
          <w:lang w:val="fr-FR"/>
        </w:rPr>
        <w:t>Â</w:t>
      </w:r>
      <w:r w:rsidRPr="00E20682">
        <w:rPr>
          <w:b/>
          <w:lang w:val="fr-FR"/>
        </w:rPr>
        <w:t xml:space="preserve">ge moyen des mères lors de la naissance de leur enfant (vivant) - et notamment leur premier enfant, 2000 </w:t>
      </w:r>
      <w:r w:rsidR="00E20682" w:rsidRPr="00E20682">
        <w:rPr>
          <w:b/>
          <w:lang w:val="fr-FR"/>
        </w:rPr>
        <w:t>–</w:t>
      </w:r>
      <w:r w:rsidRPr="00E20682">
        <w:rPr>
          <w:b/>
          <w:lang w:val="fr-FR"/>
        </w:rPr>
        <w:t xml:space="preserve"> 2004</w:t>
      </w:r>
    </w:p>
    <w:p w:rsidR="00E20682" w:rsidRPr="00E20682" w:rsidRDefault="00E20682" w:rsidP="00E20682">
      <w:pPr>
        <w:pStyle w:val="BodyText2"/>
        <w:spacing w:line="120" w:lineRule="exact"/>
        <w:rPr>
          <w:sz w:val="10"/>
          <w:szCs w:val="24"/>
          <w:lang w:val="fr-FR"/>
        </w:rPr>
      </w:pPr>
    </w:p>
    <w:tbl>
      <w:tblPr>
        <w:tblW w:w="0" w:type="auto"/>
        <w:tblInd w:w="1267" w:type="dxa"/>
        <w:tblCellMar>
          <w:left w:w="70" w:type="dxa"/>
          <w:right w:w="70" w:type="dxa"/>
        </w:tblCellMar>
        <w:tblLook w:val="0000" w:firstRow="0" w:lastRow="0" w:firstColumn="0" w:lastColumn="0" w:noHBand="0" w:noVBand="0"/>
      </w:tblPr>
      <w:tblGrid>
        <w:gridCol w:w="1842"/>
        <w:gridCol w:w="2361"/>
        <w:gridCol w:w="2520"/>
      </w:tblGrid>
      <w:tr w:rsidR="00D926D4" w:rsidRPr="00E20682">
        <w:tblPrEx>
          <w:tblCellMar>
            <w:top w:w="0" w:type="dxa"/>
            <w:bottom w:w="0" w:type="dxa"/>
          </w:tblCellMar>
        </w:tblPrEx>
        <w:trPr>
          <w:tblHeader/>
        </w:trPr>
        <w:tc>
          <w:tcPr>
            <w:tcW w:w="1842" w:type="dxa"/>
            <w:tcBorders>
              <w:top w:val="single" w:sz="4" w:space="0" w:color="auto"/>
              <w:bottom w:val="single" w:sz="12" w:space="0" w:color="auto"/>
            </w:tcBorders>
            <w:shd w:val="clear" w:color="auto" w:fill="auto"/>
            <w:vAlign w:val="bottom"/>
          </w:tcPr>
          <w:p w:rsidR="00D926D4" w:rsidRPr="00E20682" w:rsidRDefault="00D926D4" w:rsidP="00E20682">
            <w:pPr>
              <w:suppressAutoHyphens/>
              <w:spacing w:before="80" w:after="80" w:line="160" w:lineRule="exact"/>
              <w:ind w:right="43"/>
              <w:jc w:val="both"/>
              <w:rPr>
                <w:b/>
                <w:bCs/>
                <w:i/>
                <w:sz w:val="14"/>
              </w:rPr>
            </w:pPr>
            <w:r w:rsidRPr="00E20682">
              <w:rPr>
                <w:b/>
                <w:bCs/>
                <w:i/>
                <w:sz w:val="14"/>
              </w:rPr>
              <w:t>Année</w:t>
            </w:r>
          </w:p>
        </w:tc>
        <w:tc>
          <w:tcPr>
            <w:tcW w:w="2361" w:type="dxa"/>
            <w:tcBorders>
              <w:top w:val="single" w:sz="4" w:space="0" w:color="auto"/>
              <w:bottom w:val="single" w:sz="12" w:space="0" w:color="auto"/>
            </w:tcBorders>
            <w:shd w:val="clear" w:color="auto" w:fill="auto"/>
            <w:vAlign w:val="bottom"/>
          </w:tcPr>
          <w:p w:rsidR="00D926D4" w:rsidRPr="00E20682" w:rsidRDefault="00D926D4" w:rsidP="00E20682">
            <w:pPr>
              <w:suppressAutoHyphens/>
              <w:spacing w:before="80" w:after="80" w:line="160" w:lineRule="exact"/>
              <w:ind w:right="43"/>
              <w:jc w:val="right"/>
              <w:rPr>
                <w:b/>
                <w:bCs/>
                <w:i/>
                <w:sz w:val="14"/>
              </w:rPr>
            </w:pPr>
            <w:r w:rsidRPr="00E20682">
              <w:rPr>
                <w:b/>
                <w:bCs/>
                <w:i/>
                <w:sz w:val="14"/>
              </w:rPr>
              <w:t>Age des mères lors de la naissance de leur enfant (vivant)</w:t>
            </w:r>
          </w:p>
        </w:tc>
        <w:tc>
          <w:tcPr>
            <w:tcW w:w="2520" w:type="dxa"/>
            <w:tcBorders>
              <w:top w:val="single" w:sz="4" w:space="0" w:color="auto"/>
              <w:bottom w:val="single" w:sz="12" w:space="0" w:color="auto"/>
            </w:tcBorders>
            <w:shd w:val="clear" w:color="auto" w:fill="auto"/>
            <w:vAlign w:val="bottom"/>
          </w:tcPr>
          <w:p w:rsidR="00D926D4" w:rsidRPr="00E20682" w:rsidRDefault="00D926D4" w:rsidP="00E20682">
            <w:pPr>
              <w:suppressAutoHyphens/>
              <w:spacing w:before="80" w:after="80" w:line="160" w:lineRule="exact"/>
              <w:ind w:right="43"/>
              <w:jc w:val="right"/>
              <w:rPr>
                <w:b/>
                <w:bCs/>
                <w:i/>
                <w:sz w:val="14"/>
              </w:rPr>
            </w:pPr>
            <w:r w:rsidRPr="00E20682">
              <w:rPr>
                <w:b/>
                <w:bCs/>
                <w:i/>
                <w:sz w:val="14"/>
              </w:rPr>
              <w:t>Age des mères lors de la naissance de leur premier enfant</w:t>
            </w:r>
          </w:p>
        </w:tc>
      </w:tr>
      <w:tr w:rsidR="00E20682" w:rsidRPr="00E20682">
        <w:tblPrEx>
          <w:tblCellMar>
            <w:top w:w="0" w:type="dxa"/>
            <w:bottom w:w="0" w:type="dxa"/>
          </w:tblCellMar>
        </w:tblPrEx>
        <w:trPr>
          <w:trHeight w:hRule="exact" w:val="115"/>
          <w:tblHeader/>
        </w:trPr>
        <w:tc>
          <w:tcPr>
            <w:tcW w:w="1842"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both"/>
              <w:rPr>
                <w:sz w:val="17"/>
              </w:rPr>
            </w:pPr>
          </w:p>
        </w:tc>
        <w:tc>
          <w:tcPr>
            <w:tcW w:w="2361"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right"/>
              <w:rPr>
                <w:sz w:val="17"/>
              </w:rPr>
            </w:pPr>
          </w:p>
        </w:tc>
        <w:tc>
          <w:tcPr>
            <w:tcW w:w="2520"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right"/>
              <w:rPr>
                <w:sz w:val="17"/>
              </w:rPr>
            </w:pPr>
          </w:p>
        </w:tc>
      </w:tr>
      <w:tr w:rsidR="00D926D4" w:rsidRPr="00E20682">
        <w:tblPrEx>
          <w:tblCellMar>
            <w:top w:w="0" w:type="dxa"/>
            <w:bottom w:w="0" w:type="dxa"/>
          </w:tblCellMar>
        </w:tblPrEx>
        <w:tc>
          <w:tcPr>
            <w:tcW w:w="1842"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2000</w:t>
            </w:r>
          </w:p>
        </w:tc>
        <w:tc>
          <w:tcPr>
            <w:tcW w:w="2361"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28,3</w:t>
            </w:r>
          </w:p>
        </w:tc>
        <w:tc>
          <w:tcPr>
            <w:tcW w:w="252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26,5</w:t>
            </w:r>
          </w:p>
        </w:tc>
      </w:tr>
      <w:tr w:rsidR="00D926D4" w:rsidRPr="00E20682">
        <w:tblPrEx>
          <w:tblCellMar>
            <w:top w:w="0" w:type="dxa"/>
            <w:bottom w:w="0" w:type="dxa"/>
          </w:tblCellMar>
        </w:tblPrEx>
        <w:tc>
          <w:tcPr>
            <w:tcW w:w="1842"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2001</w:t>
            </w:r>
          </w:p>
        </w:tc>
        <w:tc>
          <w:tcPr>
            <w:tcW w:w="2361"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28,5</w:t>
            </w:r>
          </w:p>
        </w:tc>
        <w:tc>
          <w:tcPr>
            <w:tcW w:w="252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26,7</w:t>
            </w:r>
          </w:p>
        </w:tc>
      </w:tr>
      <w:tr w:rsidR="00D926D4" w:rsidRPr="00E20682">
        <w:tblPrEx>
          <w:tblCellMar>
            <w:top w:w="0" w:type="dxa"/>
            <w:bottom w:w="0" w:type="dxa"/>
          </w:tblCellMar>
        </w:tblPrEx>
        <w:tc>
          <w:tcPr>
            <w:tcW w:w="1842"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2002</w:t>
            </w:r>
          </w:p>
        </w:tc>
        <w:tc>
          <w:tcPr>
            <w:tcW w:w="2361"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28,8</w:t>
            </w:r>
          </w:p>
        </w:tc>
        <w:tc>
          <w:tcPr>
            <w:tcW w:w="252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27,2</w:t>
            </w:r>
          </w:p>
        </w:tc>
      </w:tr>
      <w:tr w:rsidR="00D926D4" w:rsidRPr="00E20682">
        <w:tblPrEx>
          <w:tblCellMar>
            <w:top w:w="0" w:type="dxa"/>
            <w:bottom w:w="0" w:type="dxa"/>
          </w:tblCellMar>
        </w:tblPrEx>
        <w:tc>
          <w:tcPr>
            <w:tcW w:w="1842"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2003</w:t>
            </w:r>
          </w:p>
        </w:tc>
        <w:tc>
          <w:tcPr>
            <w:tcW w:w="2361"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29,0</w:t>
            </w:r>
          </w:p>
        </w:tc>
        <w:tc>
          <w:tcPr>
            <w:tcW w:w="252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27,3</w:t>
            </w:r>
          </w:p>
        </w:tc>
      </w:tr>
      <w:tr w:rsidR="00D926D4" w:rsidRPr="00E20682">
        <w:tblPrEx>
          <w:tblCellMar>
            <w:top w:w="0" w:type="dxa"/>
            <w:bottom w:w="0" w:type="dxa"/>
          </w:tblCellMar>
        </w:tblPrEx>
        <w:tc>
          <w:tcPr>
            <w:tcW w:w="1842"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2004</w:t>
            </w:r>
          </w:p>
        </w:tc>
        <w:tc>
          <w:tcPr>
            <w:tcW w:w="2361"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29,2</w:t>
            </w:r>
          </w:p>
        </w:tc>
        <w:tc>
          <w:tcPr>
            <w:tcW w:w="2520"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27,5</w:t>
            </w:r>
          </w:p>
        </w:tc>
      </w:tr>
    </w:tbl>
    <w:p w:rsidR="00E20682" w:rsidRPr="00E20682" w:rsidRDefault="00E20682" w:rsidP="00E20682">
      <w:pPr>
        <w:pStyle w:val="BodyText"/>
        <w:spacing w:line="120" w:lineRule="exact"/>
        <w:jc w:val="both"/>
        <w:rPr>
          <w:b w:val="0"/>
          <w:bCs/>
          <w:color w:val="000000"/>
          <w:sz w:val="10"/>
          <w:lang w:val="fr-FR"/>
        </w:rPr>
      </w:pPr>
    </w:p>
    <w:p w:rsidR="00D926D4" w:rsidRPr="00A720EA" w:rsidRDefault="00D926D4" w:rsidP="00E20682">
      <w:pPr>
        <w:pStyle w:val="SingleTxt"/>
        <w:rPr>
          <w:sz w:val="24"/>
          <w:szCs w:val="24"/>
          <w:lang w:val="fr-FR"/>
        </w:rPr>
      </w:pPr>
      <w:r w:rsidRPr="00E20682">
        <w:rPr>
          <w:i/>
          <w:sz w:val="17"/>
          <w:szCs w:val="17"/>
          <w:lang w:val="fr-FR"/>
        </w:rPr>
        <w:t>Source</w:t>
      </w:r>
      <w:r w:rsidRPr="00E20682">
        <w:rPr>
          <w:sz w:val="17"/>
          <w:szCs w:val="17"/>
          <w:lang w:val="fr-FR"/>
        </w:rPr>
        <w:t>: Annuaire statistique 2005, Institut de la Statistique de la République de Slovénie</w:t>
      </w:r>
      <w:r w:rsidRPr="00A720EA">
        <w:rPr>
          <w:sz w:val="24"/>
          <w:szCs w:val="24"/>
          <w:lang w:val="fr-FR"/>
        </w:rPr>
        <w:t>.</w:t>
      </w:r>
    </w:p>
    <w:p w:rsidR="00E20682" w:rsidRPr="00E20682" w:rsidRDefault="00E20682" w:rsidP="00E20682">
      <w:pPr>
        <w:pStyle w:val="BodyText"/>
        <w:spacing w:line="120" w:lineRule="exact"/>
        <w:jc w:val="both"/>
        <w:rPr>
          <w:b w:val="0"/>
          <w:bCs/>
          <w:sz w:val="10"/>
          <w:szCs w:val="24"/>
          <w:lang w:val="fr-FR"/>
        </w:rPr>
      </w:pPr>
    </w:p>
    <w:p w:rsidR="00D926D4" w:rsidRDefault="00D926D4" w:rsidP="00E20682">
      <w:pPr>
        <w:pStyle w:val="SingleTxt"/>
        <w:jc w:val="left"/>
        <w:rPr>
          <w:b/>
        </w:rPr>
      </w:pPr>
      <w:r w:rsidRPr="001303D2">
        <w:t>Table</w:t>
      </w:r>
      <w:r>
        <w:t>au</w:t>
      </w:r>
      <w:r w:rsidRPr="001303D2">
        <w:t xml:space="preserve"> 6</w:t>
      </w:r>
      <w:r w:rsidR="00E20682">
        <w:br/>
      </w:r>
      <w:r w:rsidR="00E20682" w:rsidRPr="00E20682">
        <w:rPr>
          <w:b/>
        </w:rPr>
        <w:t>M</w:t>
      </w:r>
      <w:r w:rsidRPr="00E20682">
        <w:rPr>
          <w:b/>
        </w:rPr>
        <w:t xml:space="preserve">ariages et divorces, 2000 </w:t>
      </w:r>
      <w:r w:rsidR="00E20682">
        <w:rPr>
          <w:b/>
        </w:rPr>
        <w:t>–</w:t>
      </w:r>
      <w:r w:rsidRPr="00E20682">
        <w:rPr>
          <w:b/>
        </w:rPr>
        <w:t xml:space="preserve"> 2004</w:t>
      </w:r>
    </w:p>
    <w:p w:rsidR="00E20682" w:rsidRPr="00E20682" w:rsidRDefault="00E20682" w:rsidP="00E20682">
      <w:pPr>
        <w:pStyle w:val="SingleTxt"/>
        <w:spacing w:after="0" w:line="120" w:lineRule="exact"/>
        <w:jc w:val="left"/>
        <w:rPr>
          <w:b/>
          <w:sz w:val="10"/>
        </w:rPr>
      </w:pPr>
    </w:p>
    <w:tbl>
      <w:tblPr>
        <w:tblW w:w="0" w:type="auto"/>
        <w:tblInd w:w="1267" w:type="dxa"/>
        <w:tblCellMar>
          <w:left w:w="70" w:type="dxa"/>
          <w:right w:w="70" w:type="dxa"/>
        </w:tblCellMar>
        <w:tblLook w:val="0000" w:firstRow="0" w:lastRow="0" w:firstColumn="0" w:lastColumn="0" w:noHBand="0" w:noVBand="0"/>
      </w:tblPr>
      <w:tblGrid>
        <w:gridCol w:w="1143"/>
        <w:gridCol w:w="1260"/>
        <w:gridCol w:w="1440"/>
      </w:tblGrid>
      <w:tr w:rsidR="00D926D4" w:rsidRPr="00E20682">
        <w:tblPrEx>
          <w:tblCellMar>
            <w:top w:w="0" w:type="dxa"/>
            <w:bottom w:w="0" w:type="dxa"/>
          </w:tblCellMar>
        </w:tblPrEx>
        <w:trPr>
          <w:tblHeader/>
        </w:trPr>
        <w:tc>
          <w:tcPr>
            <w:tcW w:w="1143" w:type="dxa"/>
            <w:tcBorders>
              <w:top w:val="single" w:sz="4" w:space="0" w:color="auto"/>
              <w:bottom w:val="single" w:sz="12" w:space="0" w:color="auto"/>
            </w:tcBorders>
            <w:shd w:val="clear" w:color="auto" w:fill="auto"/>
            <w:vAlign w:val="bottom"/>
          </w:tcPr>
          <w:p w:rsidR="00D926D4" w:rsidRPr="00E20682" w:rsidRDefault="00D926D4" w:rsidP="00E20682">
            <w:pPr>
              <w:suppressAutoHyphens/>
              <w:spacing w:before="80" w:after="80" w:line="160" w:lineRule="exact"/>
              <w:ind w:right="43"/>
              <w:jc w:val="both"/>
              <w:rPr>
                <w:bCs/>
                <w:i/>
                <w:sz w:val="14"/>
              </w:rPr>
            </w:pPr>
            <w:r w:rsidRPr="00E20682">
              <w:rPr>
                <w:bCs/>
                <w:i/>
                <w:sz w:val="14"/>
              </w:rPr>
              <w:t>Année</w:t>
            </w:r>
          </w:p>
        </w:tc>
        <w:tc>
          <w:tcPr>
            <w:tcW w:w="1260" w:type="dxa"/>
            <w:tcBorders>
              <w:top w:val="single" w:sz="4" w:space="0" w:color="auto"/>
              <w:bottom w:val="single" w:sz="12" w:space="0" w:color="auto"/>
            </w:tcBorders>
            <w:shd w:val="clear" w:color="auto" w:fill="auto"/>
            <w:vAlign w:val="bottom"/>
          </w:tcPr>
          <w:p w:rsidR="00D926D4" w:rsidRPr="00E20682" w:rsidRDefault="00D926D4" w:rsidP="00E20682">
            <w:pPr>
              <w:suppressAutoHyphens/>
              <w:spacing w:before="80" w:after="80" w:line="160" w:lineRule="exact"/>
              <w:ind w:right="43"/>
              <w:jc w:val="right"/>
              <w:rPr>
                <w:bCs/>
                <w:i/>
                <w:sz w:val="14"/>
              </w:rPr>
            </w:pPr>
            <w:r w:rsidRPr="00E20682">
              <w:rPr>
                <w:bCs/>
                <w:i/>
                <w:sz w:val="14"/>
              </w:rPr>
              <w:t>Mariages</w:t>
            </w:r>
          </w:p>
        </w:tc>
        <w:tc>
          <w:tcPr>
            <w:tcW w:w="1440" w:type="dxa"/>
            <w:tcBorders>
              <w:top w:val="single" w:sz="4" w:space="0" w:color="auto"/>
              <w:bottom w:val="single" w:sz="12" w:space="0" w:color="auto"/>
            </w:tcBorders>
            <w:shd w:val="clear" w:color="auto" w:fill="auto"/>
            <w:vAlign w:val="bottom"/>
          </w:tcPr>
          <w:p w:rsidR="00D926D4" w:rsidRPr="00E20682" w:rsidRDefault="00D926D4" w:rsidP="00E20682">
            <w:pPr>
              <w:suppressAutoHyphens/>
              <w:spacing w:before="80" w:after="80" w:line="160" w:lineRule="exact"/>
              <w:ind w:right="43"/>
              <w:jc w:val="right"/>
              <w:rPr>
                <w:bCs/>
                <w:i/>
                <w:sz w:val="14"/>
              </w:rPr>
            </w:pPr>
            <w:r w:rsidRPr="00E20682">
              <w:rPr>
                <w:bCs/>
                <w:i/>
                <w:sz w:val="14"/>
              </w:rPr>
              <w:t>Divorces</w:t>
            </w:r>
          </w:p>
        </w:tc>
      </w:tr>
      <w:tr w:rsidR="00E20682" w:rsidRPr="00E20682">
        <w:tblPrEx>
          <w:tblCellMar>
            <w:top w:w="0" w:type="dxa"/>
            <w:bottom w:w="0" w:type="dxa"/>
          </w:tblCellMar>
        </w:tblPrEx>
        <w:trPr>
          <w:trHeight w:hRule="exact" w:val="115"/>
          <w:tblHeader/>
        </w:trPr>
        <w:tc>
          <w:tcPr>
            <w:tcW w:w="1143"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both"/>
              <w:rPr>
                <w:sz w:val="17"/>
              </w:rPr>
            </w:pPr>
          </w:p>
        </w:tc>
        <w:tc>
          <w:tcPr>
            <w:tcW w:w="1260"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right"/>
              <w:rPr>
                <w:sz w:val="17"/>
              </w:rPr>
            </w:pPr>
          </w:p>
        </w:tc>
        <w:tc>
          <w:tcPr>
            <w:tcW w:w="1440"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right"/>
              <w:rPr>
                <w:sz w:val="17"/>
              </w:rPr>
            </w:pPr>
          </w:p>
        </w:tc>
      </w:tr>
      <w:tr w:rsidR="00D926D4" w:rsidRPr="00E20682">
        <w:tblPrEx>
          <w:tblCellMar>
            <w:top w:w="0" w:type="dxa"/>
            <w:bottom w:w="0" w:type="dxa"/>
          </w:tblCellMar>
        </w:tblPrEx>
        <w:tc>
          <w:tcPr>
            <w:tcW w:w="1143"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2000</w:t>
            </w:r>
          </w:p>
        </w:tc>
        <w:tc>
          <w:tcPr>
            <w:tcW w:w="126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7.201</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2.125</w:t>
            </w:r>
          </w:p>
        </w:tc>
      </w:tr>
      <w:tr w:rsidR="00D926D4" w:rsidRPr="00E20682">
        <w:tblPrEx>
          <w:tblCellMar>
            <w:top w:w="0" w:type="dxa"/>
            <w:bottom w:w="0" w:type="dxa"/>
          </w:tblCellMar>
        </w:tblPrEx>
        <w:tc>
          <w:tcPr>
            <w:tcW w:w="1143"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2001</w:t>
            </w:r>
          </w:p>
        </w:tc>
        <w:tc>
          <w:tcPr>
            <w:tcW w:w="126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6.935</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2.274</w:t>
            </w:r>
          </w:p>
        </w:tc>
      </w:tr>
      <w:tr w:rsidR="00D926D4" w:rsidRPr="00E20682">
        <w:tblPrEx>
          <w:tblCellMar>
            <w:top w:w="0" w:type="dxa"/>
            <w:bottom w:w="0" w:type="dxa"/>
          </w:tblCellMar>
        </w:tblPrEx>
        <w:tc>
          <w:tcPr>
            <w:tcW w:w="1143"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2002</w:t>
            </w:r>
          </w:p>
        </w:tc>
        <w:tc>
          <w:tcPr>
            <w:tcW w:w="126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7.064</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2.457</w:t>
            </w:r>
          </w:p>
        </w:tc>
      </w:tr>
      <w:tr w:rsidR="00D926D4" w:rsidRPr="00E20682">
        <w:tblPrEx>
          <w:tblCellMar>
            <w:top w:w="0" w:type="dxa"/>
            <w:bottom w:w="0" w:type="dxa"/>
          </w:tblCellMar>
        </w:tblPrEx>
        <w:tc>
          <w:tcPr>
            <w:tcW w:w="1143"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2003</w:t>
            </w:r>
          </w:p>
        </w:tc>
        <w:tc>
          <w:tcPr>
            <w:tcW w:w="126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6.756</w:t>
            </w:r>
          </w:p>
        </w:tc>
        <w:tc>
          <w:tcPr>
            <w:tcW w:w="144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2.461</w:t>
            </w:r>
          </w:p>
        </w:tc>
      </w:tr>
      <w:tr w:rsidR="00D926D4" w:rsidRPr="00E20682">
        <w:tblPrEx>
          <w:tblCellMar>
            <w:top w:w="0" w:type="dxa"/>
            <w:bottom w:w="0" w:type="dxa"/>
          </w:tblCellMar>
        </w:tblPrEx>
        <w:tc>
          <w:tcPr>
            <w:tcW w:w="1143"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2004</w:t>
            </w:r>
          </w:p>
        </w:tc>
        <w:tc>
          <w:tcPr>
            <w:tcW w:w="1260"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6.558</w:t>
            </w:r>
          </w:p>
        </w:tc>
        <w:tc>
          <w:tcPr>
            <w:tcW w:w="1440"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2.411</w:t>
            </w:r>
          </w:p>
        </w:tc>
      </w:tr>
    </w:tbl>
    <w:p w:rsidR="00E20682" w:rsidRPr="00E20682" w:rsidRDefault="00E20682" w:rsidP="00E20682">
      <w:pPr>
        <w:pStyle w:val="SingleTxt"/>
        <w:spacing w:after="0" w:line="120" w:lineRule="exact"/>
        <w:rPr>
          <w:i/>
          <w:sz w:val="10"/>
          <w:szCs w:val="17"/>
        </w:rPr>
      </w:pPr>
    </w:p>
    <w:p w:rsidR="00D926D4" w:rsidRPr="00E20682" w:rsidRDefault="00D926D4" w:rsidP="00E20682">
      <w:pPr>
        <w:pStyle w:val="SingleTxt"/>
        <w:spacing w:after="0" w:line="240" w:lineRule="auto"/>
        <w:rPr>
          <w:sz w:val="17"/>
          <w:szCs w:val="17"/>
        </w:rPr>
      </w:pPr>
      <w:r w:rsidRPr="00E20682">
        <w:rPr>
          <w:i/>
          <w:sz w:val="17"/>
          <w:szCs w:val="17"/>
        </w:rPr>
        <w:t>Source</w:t>
      </w:r>
      <w:r w:rsidRPr="00E20682">
        <w:rPr>
          <w:sz w:val="17"/>
          <w:szCs w:val="17"/>
        </w:rPr>
        <w:t>: Annuaire statistique 2005, Institut de la Statistique de la République de Slovénie.</w:t>
      </w:r>
    </w:p>
    <w:p w:rsidR="00D926D4" w:rsidRDefault="00D926D4" w:rsidP="00E20682">
      <w:pPr>
        <w:pStyle w:val="SingleTxt"/>
        <w:jc w:val="left"/>
        <w:rPr>
          <w:b/>
          <w:lang w:val="fr-FR"/>
        </w:rPr>
      </w:pPr>
      <w:r w:rsidRPr="00A720EA">
        <w:rPr>
          <w:lang w:val="fr-FR"/>
        </w:rPr>
        <w:t>Tableau 7</w:t>
      </w:r>
      <w:r w:rsidR="00E20682">
        <w:rPr>
          <w:lang w:val="fr-FR"/>
        </w:rPr>
        <w:br/>
      </w:r>
      <w:r w:rsidRPr="00E20682">
        <w:rPr>
          <w:b/>
          <w:lang w:val="fr-FR"/>
        </w:rPr>
        <w:t xml:space="preserve">Age moyen des époux, 2000 </w:t>
      </w:r>
      <w:r w:rsidR="00E20682">
        <w:rPr>
          <w:b/>
          <w:lang w:val="fr-FR"/>
        </w:rPr>
        <w:t>–</w:t>
      </w:r>
      <w:r w:rsidRPr="00E20682">
        <w:rPr>
          <w:b/>
          <w:lang w:val="fr-FR"/>
        </w:rPr>
        <w:t xml:space="preserve"> 2004</w:t>
      </w:r>
    </w:p>
    <w:p w:rsidR="00E20682" w:rsidRPr="00E20682" w:rsidRDefault="00E20682" w:rsidP="00E20682">
      <w:pPr>
        <w:pStyle w:val="SingleTxt"/>
        <w:spacing w:after="0" w:line="120" w:lineRule="exact"/>
        <w:jc w:val="left"/>
        <w:rPr>
          <w:b/>
          <w:sz w:val="10"/>
          <w:lang w:val="fr-FR"/>
        </w:rPr>
      </w:pPr>
    </w:p>
    <w:tbl>
      <w:tblPr>
        <w:tblW w:w="0" w:type="auto"/>
        <w:tblInd w:w="1267" w:type="dxa"/>
        <w:tblCellMar>
          <w:left w:w="70" w:type="dxa"/>
          <w:right w:w="70" w:type="dxa"/>
        </w:tblCellMar>
        <w:tblLook w:val="0000" w:firstRow="0" w:lastRow="0" w:firstColumn="0" w:lastColumn="0" w:noHBand="0" w:noVBand="0"/>
      </w:tblPr>
      <w:tblGrid>
        <w:gridCol w:w="1842"/>
        <w:gridCol w:w="2008"/>
        <w:gridCol w:w="1980"/>
      </w:tblGrid>
      <w:tr w:rsidR="00D926D4" w:rsidRPr="00E20682">
        <w:tblPrEx>
          <w:tblCellMar>
            <w:top w:w="0" w:type="dxa"/>
            <w:bottom w:w="0" w:type="dxa"/>
          </w:tblCellMar>
        </w:tblPrEx>
        <w:trPr>
          <w:tblHeader/>
        </w:trPr>
        <w:tc>
          <w:tcPr>
            <w:tcW w:w="1842" w:type="dxa"/>
            <w:tcBorders>
              <w:top w:val="single" w:sz="4" w:space="0" w:color="auto"/>
              <w:bottom w:val="single" w:sz="12" w:space="0" w:color="auto"/>
            </w:tcBorders>
            <w:shd w:val="clear" w:color="auto" w:fill="auto"/>
            <w:vAlign w:val="bottom"/>
          </w:tcPr>
          <w:p w:rsidR="00D926D4" w:rsidRPr="00E20682" w:rsidRDefault="00D926D4" w:rsidP="00E20682">
            <w:pPr>
              <w:suppressAutoHyphens/>
              <w:spacing w:before="80" w:after="80" w:line="160" w:lineRule="exact"/>
              <w:ind w:right="43"/>
              <w:jc w:val="both"/>
              <w:rPr>
                <w:bCs/>
                <w:i/>
                <w:sz w:val="14"/>
              </w:rPr>
            </w:pPr>
            <w:r w:rsidRPr="00E20682">
              <w:rPr>
                <w:bCs/>
                <w:i/>
                <w:sz w:val="14"/>
              </w:rPr>
              <w:t>Année</w:t>
            </w:r>
          </w:p>
        </w:tc>
        <w:tc>
          <w:tcPr>
            <w:tcW w:w="2008" w:type="dxa"/>
            <w:tcBorders>
              <w:top w:val="single" w:sz="4" w:space="0" w:color="auto"/>
              <w:bottom w:val="single" w:sz="12" w:space="0" w:color="auto"/>
            </w:tcBorders>
            <w:shd w:val="clear" w:color="auto" w:fill="auto"/>
            <w:vAlign w:val="bottom"/>
          </w:tcPr>
          <w:p w:rsidR="00D926D4" w:rsidRPr="00E20682" w:rsidRDefault="00D926D4" w:rsidP="00E20682">
            <w:pPr>
              <w:suppressAutoHyphens/>
              <w:spacing w:before="80" w:after="80" w:line="160" w:lineRule="exact"/>
              <w:ind w:right="43"/>
              <w:jc w:val="right"/>
              <w:rPr>
                <w:bCs/>
                <w:i/>
                <w:sz w:val="14"/>
              </w:rPr>
            </w:pPr>
            <w:r w:rsidRPr="00E20682">
              <w:rPr>
                <w:bCs/>
                <w:i/>
                <w:sz w:val="14"/>
              </w:rPr>
              <w:t>Mari</w:t>
            </w:r>
          </w:p>
        </w:tc>
        <w:tc>
          <w:tcPr>
            <w:tcW w:w="1980" w:type="dxa"/>
            <w:tcBorders>
              <w:top w:val="single" w:sz="4" w:space="0" w:color="auto"/>
              <w:bottom w:val="single" w:sz="12" w:space="0" w:color="auto"/>
            </w:tcBorders>
            <w:shd w:val="clear" w:color="auto" w:fill="auto"/>
            <w:vAlign w:val="bottom"/>
          </w:tcPr>
          <w:p w:rsidR="00D926D4" w:rsidRPr="00E20682" w:rsidRDefault="00D926D4" w:rsidP="00E20682">
            <w:pPr>
              <w:suppressAutoHyphens/>
              <w:spacing w:before="80" w:after="80" w:line="160" w:lineRule="exact"/>
              <w:ind w:right="43"/>
              <w:jc w:val="right"/>
              <w:rPr>
                <w:bCs/>
                <w:i/>
                <w:sz w:val="14"/>
              </w:rPr>
            </w:pPr>
            <w:r w:rsidRPr="00E20682">
              <w:rPr>
                <w:bCs/>
                <w:i/>
                <w:sz w:val="14"/>
              </w:rPr>
              <w:t>Femme</w:t>
            </w:r>
          </w:p>
        </w:tc>
      </w:tr>
      <w:tr w:rsidR="00E20682" w:rsidRPr="00E20682">
        <w:tblPrEx>
          <w:tblCellMar>
            <w:top w:w="0" w:type="dxa"/>
            <w:bottom w:w="0" w:type="dxa"/>
          </w:tblCellMar>
        </w:tblPrEx>
        <w:trPr>
          <w:trHeight w:hRule="exact" w:val="115"/>
          <w:tblHeader/>
        </w:trPr>
        <w:tc>
          <w:tcPr>
            <w:tcW w:w="1842"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both"/>
              <w:rPr>
                <w:sz w:val="17"/>
              </w:rPr>
            </w:pPr>
          </w:p>
        </w:tc>
        <w:tc>
          <w:tcPr>
            <w:tcW w:w="2008"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right"/>
              <w:rPr>
                <w:sz w:val="17"/>
              </w:rPr>
            </w:pPr>
          </w:p>
        </w:tc>
        <w:tc>
          <w:tcPr>
            <w:tcW w:w="1980"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right"/>
              <w:rPr>
                <w:sz w:val="17"/>
              </w:rPr>
            </w:pPr>
          </w:p>
        </w:tc>
      </w:tr>
      <w:tr w:rsidR="00D926D4" w:rsidRPr="00E20682">
        <w:tblPrEx>
          <w:tblCellMar>
            <w:top w:w="0" w:type="dxa"/>
            <w:bottom w:w="0" w:type="dxa"/>
          </w:tblCellMar>
        </w:tblPrEx>
        <w:tc>
          <w:tcPr>
            <w:tcW w:w="1842"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2000</w:t>
            </w:r>
          </w:p>
        </w:tc>
        <w:tc>
          <w:tcPr>
            <w:tcW w:w="2008"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31,4</w:t>
            </w:r>
          </w:p>
        </w:tc>
        <w:tc>
          <w:tcPr>
            <w:tcW w:w="19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28,4</w:t>
            </w:r>
          </w:p>
        </w:tc>
      </w:tr>
      <w:tr w:rsidR="00D926D4" w:rsidRPr="00E20682">
        <w:tblPrEx>
          <w:tblCellMar>
            <w:top w:w="0" w:type="dxa"/>
            <w:bottom w:w="0" w:type="dxa"/>
          </w:tblCellMar>
        </w:tblPrEx>
        <w:tc>
          <w:tcPr>
            <w:tcW w:w="1842"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2001</w:t>
            </w:r>
          </w:p>
        </w:tc>
        <w:tc>
          <w:tcPr>
            <w:tcW w:w="2008"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31,8</w:t>
            </w:r>
          </w:p>
        </w:tc>
        <w:tc>
          <w:tcPr>
            <w:tcW w:w="19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28,8</w:t>
            </w:r>
          </w:p>
        </w:tc>
      </w:tr>
      <w:tr w:rsidR="00D926D4" w:rsidRPr="00E20682">
        <w:tblPrEx>
          <w:tblCellMar>
            <w:top w:w="0" w:type="dxa"/>
            <w:bottom w:w="0" w:type="dxa"/>
          </w:tblCellMar>
        </w:tblPrEx>
        <w:tc>
          <w:tcPr>
            <w:tcW w:w="1842"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2002</w:t>
            </w:r>
          </w:p>
        </w:tc>
        <w:tc>
          <w:tcPr>
            <w:tcW w:w="2008"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32,3</w:t>
            </w:r>
          </w:p>
        </w:tc>
        <w:tc>
          <w:tcPr>
            <w:tcW w:w="19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29,2</w:t>
            </w:r>
          </w:p>
        </w:tc>
      </w:tr>
      <w:tr w:rsidR="00D926D4" w:rsidRPr="00E20682">
        <w:tblPrEx>
          <w:tblCellMar>
            <w:top w:w="0" w:type="dxa"/>
            <w:bottom w:w="0" w:type="dxa"/>
          </w:tblCellMar>
        </w:tblPrEx>
        <w:tc>
          <w:tcPr>
            <w:tcW w:w="1842"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2003</w:t>
            </w:r>
          </w:p>
        </w:tc>
        <w:tc>
          <w:tcPr>
            <w:tcW w:w="2008"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32,3</w:t>
            </w:r>
          </w:p>
        </w:tc>
        <w:tc>
          <w:tcPr>
            <w:tcW w:w="19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29,2</w:t>
            </w:r>
          </w:p>
        </w:tc>
      </w:tr>
      <w:tr w:rsidR="00D926D4" w:rsidRPr="00E20682">
        <w:tblPrEx>
          <w:tblCellMar>
            <w:top w:w="0" w:type="dxa"/>
            <w:bottom w:w="0" w:type="dxa"/>
          </w:tblCellMar>
        </w:tblPrEx>
        <w:tc>
          <w:tcPr>
            <w:tcW w:w="1842"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2004</w:t>
            </w:r>
          </w:p>
        </w:tc>
        <w:tc>
          <w:tcPr>
            <w:tcW w:w="2008"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32,6</w:t>
            </w:r>
          </w:p>
        </w:tc>
        <w:tc>
          <w:tcPr>
            <w:tcW w:w="1980"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29,6</w:t>
            </w:r>
          </w:p>
        </w:tc>
      </w:tr>
    </w:tbl>
    <w:p w:rsidR="00E20682" w:rsidRPr="00E20682" w:rsidRDefault="00E20682" w:rsidP="00E20682">
      <w:pPr>
        <w:pStyle w:val="BodyText"/>
        <w:spacing w:line="120" w:lineRule="exact"/>
        <w:jc w:val="both"/>
        <w:rPr>
          <w:b w:val="0"/>
          <w:bCs/>
          <w:color w:val="000000"/>
          <w:sz w:val="10"/>
          <w:lang w:val="fr-FR"/>
        </w:rPr>
      </w:pPr>
    </w:p>
    <w:p w:rsidR="00D926D4" w:rsidRPr="00E20682" w:rsidRDefault="00D926D4" w:rsidP="00E20682">
      <w:pPr>
        <w:pStyle w:val="SingleTxt"/>
        <w:rPr>
          <w:sz w:val="17"/>
          <w:szCs w:val="17"/>
          <w:lang w:val="fr-FR"/>
        </w:rPr>
      </w:pPr>
      <w:r w:rsidRPr="00E20682">
        <w:rPr>
          <w:i/>
          <w:sz w:val="17"/>
          <w:szCs w:val="17"/>
          <w:lang w:val="fr-FR"/>
        </w:rPr>
        <w:t>Source</w:t>
      </w:r>
      <w:r w:rsidRPr="00E20682">
        <w:rPr>
          <w:sz w:val="17"/>
          <w:szCs w:val="17"/>
          <w:lang w:val="fr-FR"/>
        </w:rPr>
        <w:t>: Annuaire statistique 2005, Institut de la Statistique de la République de Slovénie.</w:t>
      </w:r>
    </w:p>
    <w:p w:rsidR="00E20682" w:rsidRPr="00E20682" w:rsidRDefault="00E20682" w:rsidP="00E20682">
      <w:pPr>
        <w:pStyle w:val="BodyText"/>
        <w:spacing w:line="120" w:lineRule="exact"/>
        <w:jc w:val="both"/>
        <w:rPr>
          <w:sz w:val="10"/>
          <w:szCs w:val="24"/>
          <w:lang w:val="fr-FR"/>
        </w:rPr>
      </w:pPr>
    </w:p>
    <w:p w:rsidR="00D926D4" w:rsidRDefault="00D926D4" w:rsidP="00E20682">
      <w:pPr>
        <w:pStyle w:val="SingleTxt"/>
        <w:jc w:val="left"/>
        <w:rPr>
          <w:b/>
          <w:bCs/>
          <w:szCs w:val="24"/>
        </w:rPr>
      </w:pPr>
      <w:r w:rsidRPr="00A720EA">
        <w:rPr>
          <w:lang w:val="fr-FR"/>
        </w:rPr>
        <w:t>Tableau 8</w:t>
      </w:r>
      <w:r w:rsidR="00E20682">
        <w:rPr>
          <w:lang w:val="fr-FR"/>
        </w:rPr>
        <w:br/>
      </w:r>
      <w:r w:rsidRPr="00E20682">
        <w:rPr>
          <w:b/>
          <w:lang w:val="fr-FR"/>
        </w:rPr>
        <w:t>Espérance de vie à la naissance, par sexe</w:t>
      </w:r>
      <w:r w:rsidR="00E20682" w:rsidRPr="00E20682">
        <w:rPr>
          <w:b/>
          <w:lang w:val="fr-FR"/>
        </w:rPr>
        <w:br/>
      </w:r>
      <w:r w:rsidRPr="00E20682">
        <w:rPr>
          <w:b/>
          <w:bCs/>
          <w:szCs w:val="24"/>
        </w:rPr>
        <w:t>(2000/2001 à 2003/2004)</w:t>
      </w:r>
    </w:p>
    <w:p w:rsidR="00E20682" w:rsidRPr="00E20682" w:rsidRDefault="00E20682" w:rsidP="00E20682">
      <w:pPr>
        <w:pStyle w:val="SingleTxt"/>
        <w:spacing w:after="0" w:line="120" w:lineRule="exact"/>
        <w:jc w:val="left"/>
        <w:rPr>
          <w:b/>
          <w:bCs/>
          <w:sz w:val="10"/>
          <w:szCs w:val="24"/>
        </w:rPr>
      </w:pPr>
    </w:p>
    <w:tbl>
      <w:tblPr>
        <w:tblW w:w="0" w:type="auto"/>
        <w:tblInd w:w="1267" w:type="dxa"/>
        <w:tblCellMar>
          <w:left w:w="70" w:type="dxa"/>
          <w:right w:w="70" w:type="dxa"/>
        </w:tblCellMar>
        <w:tblLook w:val="0000" w:firstRow="0" w:lastRow="0" w:firstColumn="0" w:lastColumn="0" w:noHBand="0" w:noVBand="0"/>
      </w:tblPr>
      <w:tblGrid>
        <w:gridCol w:w="1800"/>
        <w:gridCol w:w="1980"/>
        <w:gridCol w:w="1980"/>
      </w:tblGrid>
      <w:tr w:rsidR="00D926D4" w:rsidRPr="00E20682">
        <w:tblPrEx>
          <w:tblCellMar>
            <w:top w:w="0" w:type="dxa"/>
            <w:bottom w:w="0" w:type="dxa"/>
          </w:tblCellMar>
        </w:tblPrEx>
        <w:trPr>
          <w:tblHeader/>
        </w:trPr>
        <w:tc>
          <w:tcPr>
            <w:tcW w:w="1800" w:type="dxa"/>
            <w:tcBorders>
              <w:top w:val="single" w:sz="4" w:space="0" w:color="auto"/>
              <w:bottom w:val="single" w:sz="12" w:space="0" w:color="auto"/>
            </w:tcBorders>
            <w:shd w:val="clear" w:color="auto" w:fill="auto"/>
            <w:vAlign w:val="bottom"/>
          </w:tcPr>
          <w:p w:rsidR="00D926D4" w:rsidRPr="00E20682" w:rsidRDefault="00D926D4" w:rsidP="00E20682">
            <w:pPr>
              <w:suppressAutoHyphens/>
              <w:spacing w:before="80" w:after="80" w:line="160" w:lineRule="exact"/>
              <w:ind w:right="43"/>
              <w:jc w:val="both"/>
              <w:rPr>
                <w:i/>
                <w:sz w:val="14"/>
              </w:rPr>
            </w:pPr>
          </w:p>
        </w:tc>
        <w:tc>
          <w:tcPr>
            <w:tcW w:w="1980" w:type="dxa"/>
            <w:tcBorders>
              <w:top w:val="single" w:sz="4" w:space="0" w:color="auto"/>
              <w:bottom w:val="single" w:sz="12" w:space="0" w:color="auto"/>
            </w:tcBorders>
            <w:shd w:val="clear" w:color="auto" w:fill="auto"/>
            <w:vAlign w:val="bottom"/>
          </w:tcPr>
          <w:p w:rsidR="00D926D4" w:rsidRPr="00E20682" w:rsidRDefault="00D926D4" w:rsidP="00E20682">
            <w:pPr>
              <w:suppressAutoHyphens/>
              <w:spacing w:before="80" w:after="80" w:line="160" w:lineRule="exact"/>
              <w:ind w:right="43"/>
              <w:jc w:val="right"/>
              <w:rPr>
                <w:b/>
                <w:bCs/>
                <w:i/>
                <w:sz w:val="14"/>
              </w:rPr>
            </w:pPr>
            <w:r w:rsidRPr="00E20682">
              <w:rPr>
                <w:b/>
                <w:bCs/>
                <w:i/>
                <w:sz w:val="14"/>
              </w:rPr>
              <w:t>Hommes</w:t>
            </w:r>
          </w:p>
        </w:tc>
        <w:tc>
          <w:tcPr>
            <w:tcW w:w="1980" w:type="dxa"/>
            <w:tcBorders>
              <w:top w:val="single" w:sz="4" w:space="0" w:color="auto"/>
              <w:bottom w:val="single" w:sz="12" w:space="0" w:color="auto"/>
            </w:tcBorders>
            <w:shd w:val="clear" w:color="auto" w:fill="auto"/>
            <w:vAlign w:val="bottom"/>
          </w:tcPr>
          <w:p w:rsidR="00D926D4" w:rsidRPr="00E20682" w:rsidRDefault="00D926D4" w:rsidP="00E20682">
            <w:pPr>
              <w:suppressAutoHyphens/>
              <w:spacing w:before="80" w:after="80" w:line="160" w:lineRule="exact"/>
              <w:ind w:right="43"/>
              <w:jc w:val="right"/>
              <w:rPr>
                <w:b/>
                <w:bCs/>
                <w:i/>
                <w:sz w:val="14"/>
              </w:rPr>
            </w:pPr>
            <w:r w:rsidRPr="00E20682">
              <w:rPr>
                <w:b/>
                <w:bCs/>
                <w:i/>
                <w:sz w:val="14"/>
              </w:rPr>
              <w:t>Femmes</w:t>
            </w:r>
          </w:p>
        </w:tc>
      </w:tr>
      <w:tr w:rsidR="00E20682" w:rsidRPr="00E20682">
        <w:tblPrEx>
          <w:tblCellMar>
            <w:top w:w="0" w:type="dxa"/>
            <w:bottom w:w="0" w:type="dxa"/>
          </w:tblCellMar>
        </w:tblPrEx>
        <w:trPr>
          <w:trHeight w:hRule="exact" w:val="115"/>
          <w:tblHeader/>
        </w:trPr>
        <w:tc>
          <w:tcPr>
            <w:tcW w:w="1800"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both"/>
              <w:rPr>
                <w:sz w:val="17"/>
              </w:rPr>
            </w:pPr>
          </w:p>
        </w:tc>
        <w:tc>
          <w:tcPr>
            <w:tcW w:w="1980"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right"/>
              <w:rPr>
                <w:sz w:val="17"/>
              </w:rPr>
            </w:pPr>
          </w:p>
        </w:tc>
        <w:tc>
          <w:tcPr>
            <w:tcW w:w="1980"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right"/>
              <w:rPr>
                <w:sz w:val="17"/>
              </w:rPr>
            </w:pPr>
          </w:p>
        </w:tc>
      </w:tr>
      <w:tr w:rsidR="00D926D4" w:rsidRPr="00E20682">
        <w:tblPrEx>
          <w:tblCellMar>
            <w:top w:w="0" w:type="dxa"/>
            <w:bottom w:w="0" w:type="dxa"/>
          </w:tblCellMar>
        </w:tblPrEx>
        <w:tc>
          <w:tcPr>
            <w:tcW w:w="180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2000/2001</w:t>
            </w:r>
          </w:p>
        </w:tc>
        <w:tc>
          <w:tcPr>
            <w:tcW w:w="19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72,1</w:t>
            </w:r>
          </w:p>
        </w:tc>
        <w:tc>
          <w:tcPr>
            <w:tcW w:w="19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79,6</w:t>
            </w:r>
          </w:p>
        </w:tc>
      </w:tr>
      <w:tr w:rsidR="00D926D4" w:rsidRPr="00E20682">
        <w:tblPrEx>
          <w:tblCellMar>
            <w:top w:w="0" w:type="dxa"/>
            <w:bottom w:w="0" w:type="dxa"/>
          </w:tblCellMar>
        </w:tblPrEx>
        <w:tc>
          <w:tcPr>
            <w:tcW w:w="180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2001/2002</w:t>
            </w:r>
          </w:p>
        </w:tc>
        <w:tc>
          <w:tcPr>
            <w:tcW w:w="19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72,3</w:t>
            </w:r>
          </w:p>
        </w:tc>
        <w:tc>
          <w:tcPr>
            <w:tcW w:w="19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79,9</w:t>
            </w:r>
          </w:p>
        </w:tc>
      </w:tr>
      <w:tr w:rsidR="00D926D4" w:rsidRPr="00E20682">
        <w:tblPrEx>
          <w:tblCellMar>
            <w:top w:w="0" w:type="dxa"/>
            <w:bottom w:w="0" w:type="dxa"/>
          </w:tblCellMar>
        </w:tblPrEx>
        <w:tc>
          <w:tcPr>
            <w:tcW w:w="180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2002/2003</w:t>
            </w:r>
          </w:p>
        </w:tc>
        <w:tc>
          <w:tcPr>
            <w:tcW w:w="19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73,2</w:t>
            </w:r>
          </w:p>
        </w:tc>
        <w:tc>
          <w:tcPr>
            <w:tcW w:w="19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80,7</w:t>
            </w:r>
          </w:p>
        </w:tc>
      </w:tr>
      <w:tr w:rsidR="00D926D4" w:rsidRPr="00E20682">
        <w:tblPrEx>
          <w:tblCellMar>
            <w:top w:w="0" w:type="dxa"/>
            <w:bottom w:w="0" w:type="dxa"/>
          </w:tblCellMar>
        </w:tblPrEx>
        <w:tc>
          <w:tcPr>
            <w:tcW w:w="1800"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sz w:val="17"/>
              </w:rPr>
            </w:pPr>
            <w:r w:rsidRPr="00E20682">
              <w:rPr>
                <w:sz w:val="17"/>
              </w:rPr>
              <w:t>2003/2004</w:t>
            </w:r>
          </w:p>
        </w:tc>
        <w:tc>
          <w:tcPr>
            <w:tcW w:w="1980"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73,5</w:t>
            </w:r>
          </w:p>
        </w:tc>
        <w:tc>
          <w:tcPr>
            <w:tcW w:w="1980"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sz w:val="17"/>
              </w:rPr>
            </w:pPr>
            <w:r w:rsidRPr="00E20682">
              <w:rPr>
                <w:sz w:val="17"/>
              </w:rPr>
              <w:t>81,1</w:t>
            </w:r>
          </w:p>
        </w:tc>
      </w:tr>
    </w:tbl>
    <w:p w:rsidR="00E20682" w:rsidRPr="00E20682" w:rsidRDefault="00E20682" w:rsidP="00E20682">
      <w:pPr>
        <w:pStyle w:val="BodyText"/>
        <w:spacing w:line="120" w:lineRule="exact"/>
        <w:jc w:val="both"/>
        <w:rPr>
          <w:b w:val="0"/>
          <w:bCs/>
          <w:color w:val="000000"/>
          <w:sz w:val="10"/>
          <w:lang w:val="fr-FR"/>
        </w:rPr>
      </w:pPr>
    </w:p>
    <w:p w:rsidR="00D926D4" w:rsidRPr="00E20682" w:rsidRDefault="00D926D4" w:rsidP="00E20682">
      <w:pPr>
        <w:pStyle w:val="SingleTxt"/>
        <w:rPr>
          <w:sz w:val="17"/>
          <w:szCs w:val="17"/>
          <w:lang w:val="fr-FR"/>
        </w:rPr>
      </w:pPr>
      <w:r w:rsidRPr="00E20682">
        <w:rPr>
          <w:i/>
          <w:sz w:val="17"/>
          <w:szCs w:val="17"/>
          <w:lang w:val="fr-FR"/>
        </w:rPr>
        <w:t>Source</w:t>
      </w:r>
      <w:r w:rsidRPr="00E20682">
        <w:rPr>
          <w:sz w:val="17"/>
          <w:szCs w:val="17"/>
          <w:lang w:val="fr-FR"/>
        </w:rPr>
        <w:t>: Annuaire statistique 2005, Institut de la Statistique de la République de Slovénie.</w:t>
      </w:r>
    </w:p>
    <w:p w:rsidR="00E20682" w:rsidRPr="00E20682" w:rsidRDefault="00E20682" w:rsidP="00E20682">
      <w:pPr>
        <w:pStyle w:val="BodyText"/>
        <w:spacing w:line="120" w:lineRule="exact"/>
        <w:jc w:val="both"/>
        <w:rPr>
          <w:b w:val="0"/>
          <w:bCs/>
          <w:sz w:val="10"/>
          <w:szCs w:val="24"/>
          <w:lang w:val="fr-FR"/>
        </w:rPr>
      </w:pPr>
    </w:p>
    <w:p w:rsidR="00D926D4" w:rsidRDefault="00D926D4" w:rsidP="00407999">
      <w:pPr>
        <w:pStyle w:val="SingleTxt"/>
        <w:tabs>
          <w:tab w:val="left" w:pos="1440"/>
        </w:tabs>
        <w:jc w:val="left"/>
        <w:rPr>
          <w:b/>
          <w:lang w:val="fr-FR"/>
        </w:rPr>
      </w:pPr>
      <w:r w:rsidRPr="004316C8">
        <w:rPr>
          <w:lang w:val="fr-FR"/>
        </w:rPr>
        <w:t>Tableau 9</w:t>
      </w:r>
      <w:r w:rsidR="00407999">
        <w:rPr>
          <w:lang w:val="fr-FR"/>
        </w:rPr>
        <w:br/>
      </w:r>
      <w:r w:rsidRPr="00407999">
        <w:rPr>
          <w:b/>
          <w:lang w:val="fr-FR"/>
        </w:rPr>
        <w:t>Nombre de décès, par sexe (1999 – 2004)</w:t>
      </w:r>
    </w:p>
    <w:p w:rsidR="00407999" w:rsidRPr="00407999" w:rsidRDefault="00407999" w:rsidP="00407999">
      <w:pPr>
        <w:pStyle w:val="SingleTxt"/>
        <w:tabs>
          <w:tab w:val="left" w:pos="1440"/>
        </w:tabs>
        <w:spacing w:after="0" w:line="120" w:lineRule="exact"/>
        <w:jc w:val="left"/>
        <w:rPr>
          <w:b/>
          <w:sz w:val="10"/>
          <w:lang w:val="fr-FR"/>
        </w:rPr>
      </w:pPr>
    </w:p>
    <w:tbl>
      <w:tblPr>
        <w:tblW w:w="0" w:type="auto"/>
        <w:tblInd w:w="1267" w:type="dxa"/>
        <w:tblCellMar>
          <w:left w:w="70" w:type="dxa"/>
          <w:right w:w="70" w:type="dxa"/>
        </w:tblCellMar>
        <w:tblLook w:val="0000" w:firstRow="0" w:lastRow="0" w:firstColumn="0" w:lastColumn="0" w:noHBand="0" w:noVBand="0"/>
      </w:tblPr>
      <w:tblGrid>
        <w:gridCol w:w="1053"/>
        <w:gridCol w:w="1080"/>
        <w:gridCol w:w="1260"/>
        <w:gridCol w:w="1080"/>
        <w:gridCol w:w="1260"/>
      </w:tblGrid>
      <w:tr w:rsidR="00D926D4" w:rsidRPr="00E20682">
        <w:tblPrEx>
          <w:tblCellMar>
            <w:top w:w="0" w:type="dxa"/>
            <w:bottom w:w="0" w:type="dxa"/>
          </w:tblCellMar>
        </w:tblPrEx>
        <w:trPr>
          <w:tblHeader/>
        </w:trPr>
        <w:tc>
          <w:tcPr>
            <w:tcW w:w="1053" w:type="dxa"/>
            <w:tcBorders>
              <w:top w:val="single" w:sz="4" w:space="0" w:color="auto"/>
              <w:bottom w:val="single" w:sz="12" w:space="0" w:color="auto"/>
            </w:tcBorders>
            <w:shd w:val="clear" w:color="auto" w:fill="auto"/>
            <w:vAlign w:val="bottom"/>
          </w:tcPr>
          <w:p w:rsidR="00D926D4" w:rsidRPr="00407999" w:rsidRDefault="00D926D4" w:rsidP="00E20682">
            <w:pPr>
              <w:suppressAutoHyphens/>
              <w:spacing w:before="80" w:after="80" w:line="160" w:lineRule="exact"/>
              <w:ind w:right="43"/>
              <w:jc w:val="both"/>
              <w:rPr>
                <w:i/>
                <w:sz w:val="14"/>
              </w:rPr>
            </w:pPr>
            <w:r w:rsidRPr="00407999">
              <w:rPr>
                <w:i/>
                <w:sz w:val="14"/>
              </w:rPr>
              <w:t>Année</w:t>
            </w:r>
          </w:p>
        </w:tc>
        <w:tc>
          <w:tcPr>
            <w:tcW w:w="1080" w:type="dxa"/>
            <w:tcBorders>
              <w:top w:val="single" w:sz="4" w:space="0" w:color="auto"/>
              <w:bottom w:val="single" w:sz="12" w:space="0" w:color="auto"/>
            </w:tcBorders>
            <w:shd w:val="clear" w:color="auto" w:fill="auto"/>
            <w:vAlign w:val="bottom"/>
          </w:tcPr>
          <w:p w:rsidR="00D926D4" w:rsidRPr="00407999" w:rsidRDefault="00D926D4" w:rsidP="00E20682">
            <w:pPr>
              <w:suppressAutoHyphens/>
              <w:spacing w:before="80" w:after="80" w:line="160" w:lineRule="exact"/>
              <w:ind w:right="43"/>
              <w:jc w:val="right"/>
              <w:rPr>
                <w:i/>
                <w:sz w:val="14"/>
              </w:rPr>
            </w:pPr>
            <w:r w:rsidRPr="00407999">
              <w:rPr>
                <w:i/>
                <w:sz w:val="14"/>
              </w:rPr>
              <w:t>Total</w:t>
            </w:r>
          </w:p>
        </w:tc>
        <w:tc>
          <w:tcPr>
            <w:tcW w:w="1260" w:type="dxa"/>
            <w:tcBorders>
              <w:top w:val="single" w:sz="4" w:space="0" w:color="auto"/>
              <w:bottom w:val="single" w:sz="12" w:space="0" w:color="auto"/>
            </w:tcBorders>
            <w:shd w:val="clear" w:color="auto" w:fill="auto"/>
            <w:vAlign w:val="bottom"/>
          </w:tcPr>
          <w:p w:rsidR="00D926D4" w:rsidRPr="00407999" w:rsidRDefault="00D926D4" w:rsidP="00E20682">
            <w:pPr>
              <w:suppressAutoHyphens/>
              <w:spacing w:before="80" w:after="80" w:line="160" w:lineRule="exact"/>
              <w:ind w:right="43"/>
              <w:jc w:val="right"/>
              <w:rPr>
                <w:i/>
                <w:sz w:val="14"/>
              </w:rPr>
            </w:pPr>
            <w:r w:rsidRPr="00407999">
              <w:rPr>
                <w:i/>
                <w:sz w:val="14"/>
              </w:rPr>
              <w:t>Hommes</w:t>
            </w:r>
          </w:p>
        </w:tc>
        <w:tc>
          <w:tcPr>
            <w:tcW w:w="1080" w:type="dxa"/>
            <w:tcBorders>
              <w:top w:val="single" w:sz="4" w:space="0" w:color="auto"/>
              <w:bottom w:val="single" w:sz="12" w:space="0" w:color="auto"/>
            </w:tcBorders>
            <w:shd w:val="clear" w:color="auto" w:fill="auto"/>
            <w:vAlign w:val="bottom"/>
          </w:tcPr>
          <w:p w:rsidR="00D926D4" w:rsidRPr="00407999" w:rsidRDefault="00D926D4" w:rsidP="00E20682">
            <w:pPr>
              <w:suppressAutoHyphens/>
              <w:spacing w:before="80" w:after="80" w:line="160" w:lineRule="exact"/>
              <w:ind w:right="43"/>
              <w:jc w:val="right"/>
              <w:rPr>
                <w:i/>
                <w:sz w:val="14"/>
              </w:rPr>
            </w:pPr>
            <w:r w:rsidRPr="00407999">
              <w:rPr>
                <w:i/>
                <w:sz w:val="14"/>
              </w:rPr>
              <w:t>Femmes</w:t>
            </w:r>
          </w:p>
        </w:tc>
        <w:tc>
          <w:tcPr>
            <w:tcW w:w="1260" w:type="dxa"/>
            <w:tcBorders>
              <w:top w:val="single" w:sz="4" w:space="0" w:color="auto"/>
              <w:bottom w:val="single" w:sz="12" w:space="0" w:color="auto"/>
            </w:tcBorders>
            <w:shd w:val="clear" w:color="auto" w:fill="auto"/>
            <w:vAlign w:val="bottom"/>
          </w:tcPr>
          <w:p w:rsidR="00D926D4" w:rsidRPr="00407999" w:rsidRDefault="00D926D4" w:rsidP="00E20682">
            <w:pPr>
              <w:suppressAutoHyphens/>
              <w:spacing w:before="80" w:after="80" w:line="160" w:lineRule="exact"/>
              <w:ind w:right="43"/>
              <w:jc w:val="right"/>
              <w:rPr>
                <w:i/>
                <w:sz w:val="14"/>
              </w:rPr>
            </w:pPr>
            <w:r w:rsidRPr="00407999">
              <w:rPr>
                <w:i/>
                <w:sz w:val="14"/>
              </w:rPr>
              <w:t xml:space="preserve">% de femmes </w:t>
            </w:r>
          </w:p>
        </w:tc>
      </w:tr>
      <w:tr w:rsidR="00E20682" w:rsidRPr="00E20682">
        <w:tblPrEx>
          <w:tblCellMar>
            <w:top w:w="0" w:type="dxa"/>
            <w:bottom w:w="0" w:type="dxa"/>
          </w:tblCellMar>
        </w:tblPrEx>
        <w:trPr>
          <w:trHeight w:hRule="exact" w:val="115"/>
          <w:tblHeader/>
        </w:trPr>
        <w:tc>
          <w:tcPr>
            <w:tcW w:w="1053"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both"/>
              <w:rPr>
                <w:bCs/>
                <w:sz w:val="17"/>
              </w:rPr>
            </w:pPr>
          </w:p>
        </w:tc>
        <w:tc>
          <w:tcPr>
            <w:tcW w:w="1080"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right"/>
              <w:rPr>
                <w:bCs/>
                <w:sz w:val="17"/>
              </w:rPr>
            </w:pPr>
          </w:p>
        </w:tc>
        <w:tc>
          <w:tcPr>
            <w:tcW w:w="1260"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right"/>
              <w:rPr>
                <w:bCs/>
                <w:sz w:val="17"/>
              </w:rPr>
            </w:pPr>
          </w:p>
        </w:tc>
        <w:tc>
          <w:tcPr>
            <w:tcW w:w="1080"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right"/>
              <w:rPr>
                <w:bCs/>
                <w:sz w:val="17"/>
              </w:rPr>
            </w:pPr>
          </w:p>
        </w:tc>
        <w:tc>
          <w:tcPr>
            <w:tcW w:w="1260" w:type="dxa"/>
            <w:tcBorders>
              <w:top w:val="single" w:sz="12" w:space="0" w:color="auto"/>
            </w:tcBorders>
            <w:shd w:val="clear" w:color="auto" w:fill="auto"/>
            <w:vAlign w:val="bottom"/>
          </w:tcPr>
          <w:p w:rsidR="00E20682" w:rsidRPr="00E20682" w:rsidRDefault="00E20682" w:rsidP="00E20682">
            <w:pPr>
              <w:suppressAutoHyphens/>
              <w:spacing w:before="40" w:after="40" w:line="210" w:lineRule="exact"/>
              <w:ind w:right="43"/>
              <w:jc w:val="right"/>
              <w:rPr>
                <w:bCs/>
                <w:sz w:val="17"/>
              </w:rPr>
            </w:pPr>
          </w:p>
        </w:tc>
      </w:tr>
      <w:tr w:rsidR="00D926D4" w:rsidRPr="00E20682">
        <w:tblPrEx>
          <w:tblCellMar>
            <w:top w:w="0" w:type="dxa"/>
            <w:bottom w:w="0" w:type="dxa"/>
          </w:tblCellMar>
        </w:tblPrEx>
        <w:tc>
          <w:tcPr>
            <w:tcW w:w="1053"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bCs/>
                <w:sz w:val="17"/>
              </w:rPr>
            </w:pPr>
            <w:r w:rsidRPr="00E20682">
              <w:rPr>
                <w:bCs/>
                <w:sz w:val="17"/>
              </w:rPr>
              <w:t>1999</w:t>
            </w:r>
          </w:p>
        </w:tc>
        <w:tc>
          <w:tcPr>
            <w:tcW w:w="10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18.885</w:t>
            </w:r>
          </w:p>
        </w:tc>
        <w:tc>
          <w:tcPr>
            <w:tcW w:w="126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9.671</w:t>
            </w:r>
          </w:p>
        </w:tc>
        <w:tc>
          <w:tcPr>
            <w:tcW w:w="10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9.214</w:t>
            </w:r>
          </w:p>
        </w:tc>
        <w:tc>
          <w:tcPr>
            <w:tcW w:w="126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48,8</w:t>
            </w:r>
          </w:p>
        </w:tc>
      </w:tr>
      <w:tr w:rsidR="00D926D4" w:rsidRPr="00E20682">
        <w:tblPrEx>
          <w:tblCellMar>
            <w:top w:w="0" w:type="dxa"/>
            <w:bottom w:w="0" w:type="dxa"/>
          </w:tblCellMar>
        </w:tblPrEx>
        <w:tc>
          <w:tcPr>
            <w:tcW w:w="1053"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bCs/>
                <w:sz w:val="17"/>
              </w:rPr>
            </w:pPr>
            <w:r w:rsidRPr="00E20682">
              <w:rPr>
                <w:bCs/>
                <w:sz w:val="17"/>
              </w:rPr>
              <w:t>2000</w:t>
            </w:r>
          </w:p>
        </w:tc>
        <w:tc>
          <w:tcPr>
            <w:tcW w:w="10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18.588</w:t>
            </w:r>
          </w:p>
        </w:tc>
        <w:tc>
          <w:tcPr>
            <w:tcW w:w="126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9.557</w:t>
            </w:r>
          </w:p>
        </w:tc>
        <w:tc>
          <w:tcPr>
            <w:tcW w:w="10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9.031</w:t>
            </w:r>
          </w:p>
        </w:tc>
        <w:tc>
          <w:tcPr>
            <w:tcW w:w="126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48,6</w:t>
            </w:r>
          </w:p>
        </w:tc>
      </w:tr>
      <w:tr w:rsidR="00D926D4" w:rsidRPr="00E20682">
        <w:tblPrEx>
          <w:tblCellMar>
            <w:top w:w="0" w:type="dxa"/>
            <w:bottom w:w="0" w:type="dxa"/>
          </w:tblCellMar>
        </w:tblPrEx>
        <w:tc>
          <w:tcPr>
            <w:tcW w:w="1053"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bCs/>
                <w:sz w:val="17"/>
              </w:rPr>
            </w:pPr>
            <w:r w:rsidRPr="00E20682">
              <w:rPr>
                <w:bCs/>
                <w:sz w:val="17"/>
              </w:rPr>
              <w:t>2001</w:t>
            </w:r>
          </w:p>
        </w:tc>
        <w:tc>
          <w:tcPr>
            <w:tcW w:w="10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18.508</w:t>
            </w:r>
          </w:p>
        </w:tc>
        <w:tc>
          <w:tcPr>
            <w:tcW w:w="126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9.654</w:t>
            </w:r>
          </w:p>
        </w:tc>
        <w:tc>
          <w:tcPr>
            <w:tcW w:w="10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8.854</w:t>
            </w:r>
          </w:p>
        </w:tc>
        <w:tc>
          <w:tcPr>
            <w:tcW w:w="126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47,8</w:t>
            </w:r>
          </w:p>
        </w:tc>
      </w:tr>
      <w:tr w:rsidR="00D926D4" w:rsidRPr="00E20682">
        <w:tblPrEx>
          <w:tblCellMar>
            <w:top w:w="0" w:type="dxa"/>
            <w:bottom w:w="0" w:type="dxa"/>
          </w:tblCellMar>
        </w:tblPrEx>
        <w:tc>
          <w:tcPr>
            <w:tcW w:w="1053"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bCs/>
                <w:sz w:val="17"/>
              </w:rPr>
            </w:pPr>
            <w:r w:rsidRPr="00E20682">
              <w:rPr>
                <w:bCs/>
                <w:sz w:val="17"/>
              </w:rPr>
              <w:t>2002</w:t>
            </w:r>
          </w:p>
        </w:tc>
        <w:tc>
          <w:tcPr>
            <w:tcW w:w="10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18.701</w:t>
            </w:r>
          </w:p>
        </w:tc>
        <w:tc>
          <w:tcPr>
            <w:tcW w:w="126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9.696</w:t>
            </w:r>
          </w:p>
        </w:tc>
        <w:tc>
          <w:tcPr>
            <w:tcW w:w="10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9.005</w:t>
            </w:r>
          </w:p>
        </w:tc>
        <w:tc>
          <w:tcPr>
            <w:tcW w:w="126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48,2</w:t>
            </w:r>
          </w:p>
        </w:tc>
      </w:tr>
      <w:tr w:rsidR="00D926D4" w:rsidRPr="00E20682">
        <w:tblPrEx>
          <w:tblCellMar>
            <w:top w:w="0" w:type="dxa"/>
            <w:bottom w:w="0" w:type="dxa"/>
          </w:tblCellMar>
        </w:tblPrEx>
        <w:tc>
          <w:tcPr>
            <w:tcW w:w="1053"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bCs/>
                <w:sz w:val="17"/>
              </w:rPr>
            </w:pPr>
            <w:r w:rsidRPr="00E20682">
              <w:rPr>
                <w:bCs/>
                <w:sz w:val="17"/>
              </w:rPr>
              <w:t>2003</w:t>
            </w:r>
          </w:p>
        </w:tc>
        <w:tc>
          <w:tcPr>
            <w:tcW w:w="10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19.451</w:t>
            </w:r>
          </w:p>
        </w:tc>
        <w:tc>
          <w:tcPr>
            <w:tcW w:w="126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10.075</w:t>
            </w:r>
          </w:p>
        </w:tc>
        <w:tc>
          <w:tcPr>
            <w:tcW w:w="108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9.376</w:t>
            </w:r>
          </w:p>
        </w:tc>
        <w:tc>
          <w:tcPr>
            <w:tcW w:w="1260" w:type="dxa"/>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48,2</w:t>
            </w:r>
          </w:p>
        </w:tc>
      </w:tr>
      <w:tr w:rsidR="00D926D4" w:rsidRPr="00E20682">
        <w:tblPrEx>
          <w:tblCellMar>
            <w:top w:w="0" w:type="dxa"/>
            <w:bottom w:w="0" w:type="dxa"/>
          </w:tblCellMar>
        </w:tblPrEx>
        <w:tc>
          <w:tcPr>
            <w:tcW w:w="1053"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both"/>
              <w:rPr>
                <w:bCs/>
                <w:sz w:val="17"/>
              </w:rPr>
            </w:pPr>
            <w:r w:rsidRPr="00E20682">
              <w:rPr>
                <w:bCs/>
                <w:sz w:val="17"/>
              </w:rPr>
              <w:t>2004</w:t>
            </w:r>
          </w:p>
        </w:tc>
        <w:tc>
          <w:tcPr>
            <w:tcW w:w="1080"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18.523</w:t>
            </w:r>
          </w:p>
        </w:tc>
        <w:tc>
          <w:tcPr>
            <w:tcW w:w="1260"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9.479</w:t>
            </w:r>
          </w:p>
        </w:tc>
        <w:tc>
          <w:tcPr>
            <w:tcW w:w="1080"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9.044</w:t>
            </w:r>
          </w:p>
        </w:tc>
        <w:tc>
          <w:tcPr>
            <w:tcW w:w="1260" w:type="dxa"/>
            <w:tcBorders>
              <w:bottom w:val="single" w:sz="12" w:space="0" w:color="auto"/>
            </w:tcBorders>
            <w:shd w:val="clear" w:color="auto" w:fill="auto"/>
            <w:vAlign w:val="bottom"/>
          </w:tcPr>
          <w:p w:rsidR="00D926D4" w:rsidRPr="00E20682" w:rsidRDefault="00D926D4" w:rsidP="00E20682">
            <w:pPr>
              <w:tabs>
                <w:tab w:val="left" w:pos="288"/>
                <w:tab w:val="left" w:pos="576"/>
                <w:tab w:val="left" w:pos="864"/>
                <w:tab w:val="left" w:pos="1152"/>
              </w:tabs>
              <w:suppressAutoHyphens/>
              <w:spacing w:before="40" w:after="40" w:line="210" w:lineRule="exact"/>
              <w:ind w:right="43"/>
              <w:jc w:val="right"/>
              <w:rPr>
                <w:bCs/>
                <w:sz w:val="17"/>
              </w:rPr>
            </w:pPr>
            <w:r w:rsidRPr="00E20682">
              <w:rPr>
                <w:bCs/>
                <w:sz w:val="17"/>
              </w:rPr>
              <w:t>48,8</w:t>
            </w:r>
          </w:p>
        </w:tc>
      </w:tr>
    </w:tbl>
    <w:p w:rsidR="00407999" w:rsidRPr="00407999" w:rsidRDefault="00407999" w:rsidP="00407999">
      <w:pPr>
        <w:pStyle w:val="BodyText"/>
        <w:spacing w:line="120" w:lineRule="exact"/>
        <w:jc w:val="both"/>
        <w:rPr>
          <w:b w:val="0"/>
          <w:bCs/>
          <w:color w:val="000000"/>
          <w:sz w:val="10"/>
          <w:lang w:val="fr-FR"/>
        </w:rPr>
      </w:pPr>
    </w:p>
    <w:p w:rsidR="00D926D4" w:rsidRPr="00407999" w:rsidRDefault="00D926D4" w:rsidP="00407999">
      <w:pPr>
        <w:pStyle w:val="SingleTxt"/>
        <w:rPr>
          <w:sz w:val="17"/>
          <w:szCs w:val="17"/>
          <w:lang w:val="fr-FR"/>
        </w:rPr>
      </w:pPr>
      <w:r w:rsidRPr="00407999">
        <w:rPr>
          <w:i/>
          <w:sz w:val="17"/>
          <w:szCs w:val="17"/>
          <w:lang w:val="fr-FR"/>
        </w:rPr>
        <w:t>Source</w:t>
      </w:r>
      <w:r w:rsidRPr="00407999">
        <w:rPr>
          <w:sz w:val="17"/>
          <w:szCs w:val="17"/>
          <w:lang w:val="fr-FR"/>
        </w:rPr>
        <w:t>: Annuaire statistique 2005, Institut de la Statistique de la République de Slovénie.</w:t>
      </w:r>
    </w:p>
    <w:p w:rsidR="00407999" w:rsidRPr="00407999" w:rsidRDefault="00407999" w:rsidP="00407999">
      <w:pPr>
        <w:pStyle w:val="BodyText"/>
        <w:spacing w:line="120" w:lineRule="exact"/>
        <w:jc w:val="both"/>
        <w:rPr>
          <w:b w:val="0"/>
          <w:bCs/>
          <w:sz w:val="10"/>
          <w:szCs w:val="24"/>
          <w:lang w:val="fr-FR"/>
        </w:rPr>
      </w:pPr>
    </w:p>
    <w:p w:rsidR="00D926D4" w:rsidRDefault="00407999" w:rsidP="00407999">
      <w:pPr>
        <w:pStyle w:val="SingleTxt"/>
        <w:jc w:val="left"/>
        <w:rPr>
          <w:b/>
          <w:lang w:val="fr-FR"/>
        </w:rPr>
      </w:pPr>
      <w:r>
        <w:rPr>
          <w:lang w:val="fr-FR"/>
        </w:rPr>
        <w:br w:type="page"/>
      </w:r>
      <w:r w:rsidR="00D926D4" w:rsidRPr="004316C8">
        <w:rPr>
          <w:lang w:val="fr-FR"/>
        </w:rPr>
        <w:t>Tableau 10</w:t>
      </w:r>
      <w:r>
        <w:rPr>
          <w:lang w:val="fr-FR"/>
        </w:rPr>
        <w:br/>
      </w:r>
      <w:r w:rsidR="00D926D4" w:rsidRPr="00407999">
        <w:rPr>
          <w:b/>
          <w:lang w:val="fr-FR"/>
        </w:rPr>
        <w:t>Décès d’enfants, par sexe (2000 – 2004)</w:t>
      </w:r>
    </w:p>
    <w:p w:rsidR="00407999" w:rsidRPr="00407999" w:rsidRDefault="00407999" w:rsidP="00407999">
      <w:pPr>
        <w:pStyle w:val="SingleTxt"/>
        <w:spacing w:after="0" w:line="120" w:lineRule="exact"/>
        <w:jc w:val="left"/>
        <w:rPr>
          <w:b/>
          <w:sz w:val="10"/>
          <w:lang w:val="fr-FR"/>
        </w:rPr>
      </w:pPr>
    </w:p>
    <w:tbl>
      <w:tblPr>
        <w:tblW w:w="0" w:type="auto"/>
        <w:tblInd w:w="1267" w:type="dxa"/>
        <w:tblCellMar>
          <w:left w:w="70" w:type="dxa"/>
          <w:right w:w="70" w:type="dxa"/>
        </w:tblCellMar>
        <w:tblLook w:val="0000" w:firstRow="0" w:lastRow="0" w:firstColumn="0" w:lastColumn="0" w:noHBand="0" w:noVBand="0"/>
      </w:tblPr>
      <w:tblGrid>
        <w:gridCol w:w="970"/>
        <w:gridCol w:w="1280"/>
        <w:gridCol w:w="1281"/>
        <w:gridCol w:w="1281"/>
        <w:gridCol w:w="1281"/>
        <w:gridCol w:w="2077"/>
      </w:tblGrid>
      <w:tr w:rsidR="00D926D4" w:rsidRPr="00407999">
        <w:tblPrEx>
          <w:tblCellMar>
            <w:top w:w="0" w:type="dxa"/>
            <w:bottom w:w="0" w:type="dxa"/>
          </w:tblCellMar>
        </w:tblPrEx>
        <w:trPr>
          <w:tblHeader/>
        </w:trPr>
        <w:tc>
          <w:tcPr>
            <w:tcW w:w="970" w:type="dxa"/>
            <w:tcBorders>
              <w:top w:val="single" w:sz="4" w:space="0" w:color="auto"/>
              <w:bottom w:val="single" w:sz="12" w:space="0" w:color="auto"/>
            </w:tcBorders>
            <w:shd w:val="clear" w:color="auto" w:fill="auto"/>
            <w:vAlign w:val="bottom"/>
          </w:tcPr>
          <w:p w:rsidR="00D926D4" w:rsidRPr="00407999" w:rsidRDefault="00D926D4" w:rsidP="00407999">
            <w:pPr>
              <w:suppressAutoHyphens/>
              <w:spacing w:before="80" w:after="80" w:line="160" w:lineRule="exact"/>
              <w:ind w:right="43"/>
              <w:jc w:val="both"/>
              <w:rPr>
                <w:bCs/>
                <w:i/>
                <w:sz w:val="14"/>
              </w:rPr>
            </w:pPr>
            <w:r w:rsidRPr="00407999">
              <w:rPr>
                <w:bCs/>
                <w:i/>
                <w:sz w:val="14"/>
              </w:rPr>
              <w:t>Année</w:t>
            </w:r>
          </w:p>
        </w:tc>
        <w:tc>
          <w:tcPr>
            <w:tcW w:w="1280" w:type="dxa"/>
            <w:tcBorders>
              <w:top w:val="single" w:sz="4" w:space="0" w:color="auto"/>
              <w:bottom w:val="single" w:sz="12" w:space="0" w:color="auto"/>
            </w:tcBorders>
            <w:shd w:val="clear" w:color="auto" w:fill="auto"/>
            <w:vAlign w:val="bottom"/>
          </w:tcPr>
          <w:p w:rsidR="00D926D4" w:rsidRPr="00527026" w:rsidRDefault="00D926D4" w:rsidP="00407999">
            <w:pPr>
              <w:suppressAutoHyphens/>
              <w:spacing w:before="80" w:after="80" w:line="160" w:lineRule="exact"/>
              <w:ind w:right="43"/>
              <w:jc w:val="right"/>
              <w:rPr>
                <w:b/>
                <w:bCs/>
                <w:i/>
                <w:sz w:val="14"/>
              </w:rPr>
            </w:pPr>
            <w:r w:rsidRPr="00527026">
              <w:rPr>
                <w:b/>
                <w:bCs/>
                <w:i/>
                <w:sz w:val="14"/>
              </w:rPr>
              <w:t>Total</w:t>
            </w:r>
          </w:p>
        </w:tc>
        <w:tc>
          <w:tcPr>
            <w:tcW w:w="1281" w:type="dxa"/>
            <w:tcBorders>
              <w:top w:val="single" w:sz="4" w:space="0" w:color="auto"/>
              <w:bottom w:val="single" w:sz="12" w:space="0" w:color="auto"/>
            </w:tcBorders>
            <w:shd w:val="clear" w:color="auto" w:fill="auto"/>
            <w:vAlign w:val="bottom"/>
          </w:tcPr>
          <w:p w:rsidR="00D926D4" w:rsidRPr="00407999" w:rsidRDefault="00D926D4" w:rsidP="00407999">
            <w:pPr>
              <w:suppressAutoHyphens/>
              <w:spacing w:before="80" w:after="80" w:line="160" w:lineRule="exact"/>
              <w:ind w:right="43"/>
              <w:jc w:val="right"/>
              <w:rPr>
                <w:bCs/>
                <w:i/>
                <w:sz w:val="14"/>
              </w:rPr>
            </w:pPr>
            <w:r w:rsidRPr="00407999">
              <w:rPr>
                <w:bCs/>
                <w:i/>
                <w:sz w:val="14"/>
              </w:rPr>
              <w:t>Garçons</w:t>
            </w:r>
          </w:p>
        </w:tc>
        <w:tc>
          <w:tcPr>
            <w:tcW w:w="1281" w:type="dxa"/>
            <w:tcBorders>
              <w:top w:val="single" w:sz="4" w:space="0" w:color="auto"/>
              <w:bottom w:val="single" w:sz="12" w:space="0" w:color="auto"/>
            </w:tcBorders>
            <w:shd w:val="clear" w:color="auto" w:fill="auto"/>
            <w:vAlign w:val="bottom"/>
          </w:tcPr>
          <w:p w:rsidR="00D926D4" w:rsidRPr="00407999" w:rsidRDefault="00D926D4" w:rsidP="00407999">
            <w:pPr>
              <w:suppressAutoHyphens/>
              <w:spacing w:before="80" w:after="80" w:line="160" w:lineRule="exact"/>
              <w:ind w:right="43"/>
              <w:jc w:val="right"/>
              <w:rPr>
                <w:bCs/>
                <w:i/>
                <w:sz w:val="14"/>
              </w:rPr>
            </w:pPr>
            <w:r w:rsidRPr="00407999">
              <w:rPr>
                <w:bCs/>
                <w:i/>
                <w:sz w:val="14"/>
              </w:rPr>
              <w:t>Filles</w:t>
            </w:r>
          </w:p>
        </w:tc>
        <w:tc>
          <w:tcPr>
            <w:tcW w:w="1281" w:type="dxa"/>
            <w:tcBorders>
              <w:top w:val="single" w:sz="4" w:space="0" w:color="auto"/>
              <w:bottom w:val="single" w:sz="12" w:space="0" w:color="auto"/>
            </w:tcBorders>
            <w:shd w:val="clear" w:color="auto" w:fill="auto"/>
            <w:vAlign w:val="bottom"/>
          </w:tcPr>
          <w:p w:rsidR="00D926D4" w:rsidRPr="00407999" w:rsidRDefault="00D926D4" w:rsidP="00407999">
            <w:pPr>
              <w:suppressAutoHyphens/>
              <w:spacing w:before="80" w:after="80" w:line="160" w:lineRule="exact"/>
              <w:ind w:right="43"/>
              <w:jc w:val="right"/>
              <w:rPr>
                <w:bCs/>
                <w:i/>
                <w:sz w:val="14"/>
              </w:rPr>
            </w:pPr>
            <w:r w:rsidRPr="00407999">
              <w:rPr>
                <w:bCs/>
                <w:i/>
                <w:sz w:val="14"/>
              </w:rPr>
              <w:t>% de filles</w:t>
            </w:r>
          </w:p>
        </w:tc>
        <w:tc>
          <w:tcPr>
            <w:tcW w:w="2077" w:type="dxa"/>
            <w:tcBorders>
              <w:top w:val="single" w:sz="4" w:space="0" w:color="auto"/>
              <w:bottom w:val="single" w:sz="12" w:space="0" w:color="auto"/>
            </w:tcBorders>
            <w:shd w:val="clear" w:color="auto" w:fill="auto"/>
            <w:vAlign w:val="bottom"/>
          </w:tcPr>
          <w:p w:rsidR="00D926D4" w:rsidRPr="00407999" w:rsidRDefault="00D926D4" w:rsidP="00407999">
            <w:pPr>
              <w:suppressAutoHyphens/>
              <w:spacing w:before="80" w:after="80" w:line="160" w:lineRule="exact"/>
              <w:ind w:right="43"/>
              <w:jc w:val="right"/>
              <w:rPr>
                <w:bCs/>
                <w:i/>
                <w:sz w:val="14"/>
              </w:rPr>
            </w:pPr>
            <w:r w:rsidRPr="00407999">
              <w:rPr>
                <w:bCs/>
                <w:i/>
                <w:sz w:val="14"/>
              </w:rPr>
              <w:t xml:space="preserve">Mortalité infantile pour 1000 naissances </w:t>
            </w:r>
          </w:p>
        </w:tc>
      </w:tr>
      <w:tr w:rsidR="00407999" w:rsidRPr="00407999">
        <w:tblPrEx>
          <w:tblCellMar>
            <w:top w:w="0" w:type="dxa"/>
            <w:bottom w:w="0" w:type="dxa"/>
          </w:tblCellMar>
        </w:tblPrEx>
        <w:trPr>
          <w:trHeight w:hRule="exact" w:val="115"/>
          <w:tblHeader/>
        </w:trPr>
        <w:tc>
          <w:tcPr>
            <w:tcW w:w="970" w:type="dxa"/>
            <w:tcBorders>
              <w:top w:val="single" w:sz="12" w:space="0" w:color="auto"/>
            </w:tcBorders>
            <w:shd w:val="clear" w:color="auto" w:fill="auto"/>
            <w:vAlign w:val="bottom"/>
          </w:tcPr>
          <w:p w:rsidR="00407999" w:rsidRPr="00407999" w:rsidRDefault="00407999" w:rsidP="00407999">
            <w:pPr>
              <w:suppressAutoHyphens/>
              <w:spacing w:before="40" w:after="40" w:line="210" w:lineRule="exact"/>
              <w:ind w:right="43"/>
              <w:jc w:val="both"/>
              <w:rPr>
                <w:sz w:val="17"/>
              </w:rPr>
            </w:pPr>
          </w:p>
        </w:tc>
        <w:tc>
          <w:tcPr>
            <w:tcW w:w="1280" w:type="dxa"/>
            <w:tcBorders>
              <w:top w:val="single" w:sz="12" w:space="0" w:color="auto"/>
            </w:tcBorders>
            <w:shd w:val="clear" w:color="auto" w:fill="auto"/>
            <w:vAlign w:val="bottom"/>
          </w:tcPr>
          <w:p w:rsidR="00407999" w:rsidRPr="00527026" w:rsidRDefault="00407999" w:rsidP="00407999">
            <w:pPr>
              <w:suppressAutoHyphens/>
              <w:spacing w:before="40" w:after="40" w:line="210" w:lineRule="exact"/>
              <w:ind w:right="43"/>
              <w:jc w:val="right"/>
              <w:rPr>
                <w:b/>
                <w:sz w:val="17"/>
              </w:rPr>
            </w:pPr>
          </w:p>
        </w:tc>
        <w:tc>
          <w:tcPr>
            <w:tcW w:w="1281" w:type="dxa"/>
            <w:tcBorders>
              <w:top w:val="single" w:sz="12" w:space="0" w:color="auto"/>
            </w:tcBorders>
            <w:shd w:val="clear" w:color="auto" w:fill="auto"/>
            <w:vAlign w:val="bottom"/>
          </w:tcPr>
          <w:p w:rsidR="00407999" w:rsidRPr="00407999" w:rsidRDefault="00407999" w:rsidP="00407999">
            <w:pPr>
              <w:suppressAutoHyphens/>
              <w:spacing w:before="40" w:after="40" w:line="210" w:lineRule="exact"/>
              <w:ind w:right="43"/>
              <w:jc w:val="right"/>
              <w:rPr>
                <w:sz w:val="17"/>
              </w:rPr>
            </w:pPr>
          </w:p>
        </w:tc>
        <w:tc>
          <w:tcPr>
            <w:tcW w:w="1281" w:type="dxa"/>
            <w:tcBorders>
              <w:top w:val="single" w:sz="12" w:space="0" w:color="auto"/>
            </w:tcBorders>
            <w:shd w:val="clear" w:color="auto" w:fill="auto"/>
            <w:vAlign w:val="bottom"/>
          </w:tcPr>
          <w:p w:rsidR="00407999" w:rsidRPr="00407999" w:rsidRDefault="00407999" w:rsidP="00407999">
            <w:pPr>
              <w:suppressAutoHyphens/>
              <w:spacing w:before="40" w:after="40" w:line="210" w:lineRule="exact"/>
              <w:ind w:right="43"/>
              <w:jc w:val="right"/>
              <w:rPr>
                <w:sz w:val="17"/>
              </w:rPr>
            </w:pPr>
          </w:p>
        </w:tc>
        <w:tc>
          <w:tcPr>
            <w:tcW w:w="1281" w:type="dxa"/>
            <w:tcBorders>
              <w:top w:val="single" w:sz="12" w:space="0" w:color="auto"/>
            </w:tcBorders>
            <w:shd w:val="clear" w:color="auto" w:fill="auto"/>
            <w:vAlign w:val="bottom"/>
          </w:tcPr>
          <w:p w:rsidR="00407999" w:rsidRPr="00407999" w:rsidRDefault="00407999" w:rsidP="00407999">
            <w:pPr>
              <w:suppressAutoHyphens/>
              <w:spacing w:before="40" w:after="40" w:line="210" w:lineRule="exact"/>
              <w:ind w:right="43"/>
              <w:jc w:val="right"/>
              <w:rPr>
                <w:sz w:val="17"/>
              </w:rPr>
            </w:pPr>
          </w:p>
        </w:tc>
        <w:tc>
          <w:tcPr>
            <w:tcW w:w="2077" w:type="dxa"/>
            <w:tcBorders>
              <w:top w:val="single" w:sz="12" w:space="0" w:color="auto"/>
            </w:tcBorders>
            <w:shd w:val="clear" w:color="auto" w:fill="auto"/>
            <w:vAlign w:val="bottom"/>
          </w:tcPr>
          <w:p w:rsidR="00407999" w:rsidRPr="00407999" w:rsidRDefault="00407999" w:rsidP="00407999">
            <w:pPr>
              <w:suppressAutoHyphens/>
              <w:spacing w:before="40" w:after="40" w:line="210" w:lineRule="exact"/>
              <w:ind w:right="43"/>
              <w:jc w:val="right"/>
              <w:rPr>
                <w:sz w:val="17"/>
              </w:rPr>
            </w:pPr>
          </w:p>
        </w:tc>
      </w:tr>
      <w:tr w:rsidR="00D926D4" w:rsidRPr="00407999">
        <w:tblPrEx>
          <w:tblCellMar>
            <w:top w:w="0" w:type="dxa"/>
            <w:bottom w:w="0" w:type="dxa"/>
          </w:tblCellMar>
        </w:tblPrEx>
        <w:tc>
          <w:tcPr>
            <w:tcW w:w="970"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both"/>
              <w:rPr>
                <w:sz w:val="17"/>
              </w:rPr>
            </w:pPr>
            <w:r w:rsidRPr="00407999">
              <w:rPr>
                <w:sz w:val="17"/>
              </w:rPr>
              <w:t>2000</w:t>
            </w:r>
          </w:p>
        </w:tc>
        <w:tc>
          <w:tcPr>
            <w:tcW w:w="1280" w:type="dxa"/>
            <w:shd w:val="clear" w:color="auto" w:fill="auto"/>
            <w:vAlign w:val="bottom"/>
          </w:tcPr>
          <w:p w:rsidR="00D926D4" w:rsidRPr="00527026" w:rsidRDefault="00D926D4" w:rsidP="00407999">
            <w:pPr>
              <w:tabs>
                <w:tab w:val="left" w:pos="288"/>
                <w:tab w:val="left" w:pos="576"/>
                <w:tab w:val="left" w:pos="864"/>
                <w:tab w:val="left" w:pos="1152"/>
              </w:tabs>
              <w:suppressAutoHyphens/>
              <w:spacing w:before="40" w:after="40" w:line="210" w:lineRule="exact"/>
              <w:ind w:right="43"/>
              <w:jc w:val="right"/>
              <w:rPr>
                <w:b/>
                <w:sz w:val="17"/>
              </w:rPr>
            </w:pPr>
            <w:r w:rsidRPr="00527026">
              <w:rPr>
                <w:b/>
                <w:sz w:val="17"/>
              </w:rPr>
              <w:t>89</w:t>
            </w:r>
          </w:p>
        </w:tc>
        <w:tc>
          <w:tcPr>
            <w:tcW w:w="1281"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52</w:t>
            </w:r>
          </w:p>
        </w:tc>
        <w:tc>
          <w:tcPr>
            <w:tcW w:w="1281"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37</w:t>
            </w:r>
          </w:p>
        </w:tc>
        <w:tc>
          <w:tcPr>
            <w:tcW w:w="1281"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41,6</w:t>
            </w:r>
          </w:p>
        </w:tc>
        <w:tc>
          <w:tcPr>
            <w:tcW w:w="2077"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4,9</w:t>
            </w:r>
          </w:p>
        </w:tc>
      </w:tr>
      <w:tr w:rsidR="00D926D4" w:rsidRPr="00407999">
        <w:tblPrEx>
          <w:tblCellMar>
            <w:top w:w="0" w:type="dxa"/>
            <w:bottom w:w="0" w:type="dxa"/>
          </w:tblCellMar>
        </w:tblPrEx>
        <w:tc>
          <w:tcPr>
            <w:tcW w:w="970"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both"/>
              <w:rPr>
                <w:sz w:val="17"/>
              </w:rPr>
            </w:pPr>
            <w:r w:rsidRPr="00407999">
              <w:rPr>
                <w:sz w:val="17"/>
              </w:rPr>
              <w:t>2001</w:t>
            </w:r>
          </w:p>
        </w:tc>
        <w:tc>
          <w:tcPr>
            <w:tcW w:w="1280" w:type="dxa"/>
            <w:shd w:val="clear" w:color="auto" w:fill="auto"/>
            <w:vAlign w:val="bottom"/>
          </w:tcPr>
          <w:p w:rsidR="00D926D4" w:rsidRPr="00527026" w:rsidRDefault="00D926D4" w:rsidP="00407999">
            <w:pPr>
              <w:tabs>
                <w:tab w:val="left" w:pos="288"/>
                <w:tab w:val="left" w:pos="576"/>
                <w:tab w:val="left" w:pos="864"/>
                <w:tab w:val="left" w:pos="1152"/>
              </w:tabs>
              <w:suppressAutoHyphens/>
              <w:spacing w:before="40" w:after="40" w:line="210" w:lineRule="exact"/>
              <w:ind w:right="43"/>
              <w:jc w:val="right"/>
              <w:rPr>
                <w:b/>
                <w:sz w:val="17"/>
              </w:rPr>
            </w:pPr>
            <w:r w:rsidRPr="00527026">
              <w:rPr>
                <w:b/>
                <w:sz w:val="17"/>
              </w:rPr>
              <w:t>74</w:t>
            </w:r>
          </w:p>
        </w:tc>
        <w:tc>
          <w:tcPr>
            <w:tcW w:w="1281"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44</w:t>
            </w:r>
          </w:p>
        </w:tc>
        <w:tc>
          <w:tcPr>
            <w:tcW w:w="1281"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30</w:t>
            </w:r>
          </w:p>
        </w:tc>
        <w:tc>
          <w:tcPr>
            <w:tcW w:w="1281"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40,5</w:t>
            </w:r>
          </w:p>
        </w:tc>
        <w:tc>
          <w:tcPr>
            <w:tcW w:w="2077"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4,2</w:t>
            </w:r>
          </w:p>
        </w:tc>
      </w:tr>
      <w:tr w:rsidR="00D926D4" w:rsidRPr="00407999">
        <w:tblPrEx>
          <w:tblCellMar>
            <w:top w:w="0" w:type="dxa"/>
            <w:bottom w:w="0" w:type="dxa"/>
          </w:tblCellMar>
        </w:tblPrEx>
        <w:tc>
          <w:tcPr>
            <w:tcW w:w="970"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both"/>
              <w:rPr>
                <w:sz w:val="17"/>
              </w:rPr>
            </w:pPr>
            <w:r w:rsidRPr="00407999">
              <w:rPr>
                <w:sz w:val="17"/>
              </w:rPr>
              <w:t>2002</w:t>
            </w:r>
          </w:p>
        </w:tc>
        <w:tc>
          <w:tcPr>
            <w:tcW w:w="1280" w:type="dxa"/>
            <w:shd w:val="clear" w:color="auto" w:fill="auto"/>
            <w:vAlign w:val="bottom"/>
          </w:tcPr>
          <w:p w:rsidR="00D926D4" w:rsidRPr="00527026" w:rsidRDefault="00D926D4" w:rsidP="00407999">
            <w:pPr>
              <w:tabs>
                <w:tab w:val="left" w:pos="288"/>
                <w:tab w:val="left" w:pos="576"/>
                <w:tab w:val="left" w:pos="864"/>
                <w:tab w:val="left" w:pos="1152"/>
              </w:tabs>
              <w:suppressAutoHyphens/>
              <w:spacing w:before="40" w:after="40" w:line="210" w:lineRule="exact"/>
              <w:ind w:right="43"/>
              <w:jc w:val="right"/>
              <w:rPr>
                <w:b/>
                <w:sz w:val="17"/>
              </w:rPr>
            </w:pPr>
            <w:r w:rsidRPr="00527026">
              <w:rPr>
                <w:b/>
                <w:sz w:val="17"/>
              </w:rPr>
              <w:t>67</w:t>
            </w:r>
          </w:p>
        </w:tc>
        <w:tc>
          <w:tcPr>
            <w:tcW w:w="1281"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44</w:t>
            </w:r>
          </w:p>
        </w:tc>
        <w:tc>
          <w:tcPr>
            <w:tcW w:w="1281"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23</w:t>
            </w:r>
          </w:p>
        </w:tc>
        <w:tc>
          <w:tcPr>
            <w:tcW w:w="1281"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34,3</w:t>
            </w:r>
          </w:p>
        </w:tc>
        <w:tc>
          <w:tcPr>
            <w:tcW w:w="2077"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3,8</w:t>
            </w:r>
          </w:p>
        </w:tc>
      </w:tr>
      <w:tr w:rsidR="00D926D4" w:rsidRPr="00407999">
        <w:tblPrEx>
          <w:tblCellMar>
            <w:top w:w="0" w:type="dxa"/>
            <w:bottom w:w="0" w:type="dxa"/>
          </w:tblCellMar>
        </w:tblPrEx>
        <w:tc>
          <w:tcPr>
            <w:tcW w:w="970"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both"/>
              <w:rPr>
                <w:sz w:val="17"/>
              </w:rPr>
            </w:pPr>
            <w:r w:rsidRPr="00407999">
              <w:rPr>
                <w:sz w:val="17"/>
              </w:rPr>
              <w:t>2003</w:t>
            </w:r>
          </w:p>
        </w:tc>
        <w:tc>
          <w:tcPr>
            <w:tcW w:w="1280" w:type="dxa"/>
            <w:shd w:val="clear" w:color="auto" w:fill="auto"/>
            <w:vAlign w:val="bottom"/>
          </w:tcPr>
          <w:p w:rsidR="00D926D4" w:rsidRPr="00527026" w:rsidRDefault="00D926D4" w:rsidP="00407999">
            <w:pPr>
              <w:tabs>
                <w:tab w:val="left" w:pos="288"/>
                <w:tab w:val="left" w:pos="576"/>
                <w:tab w:val="left" w:pos="864"/>
                <w:tab w:val="left" w:pos="1152"/>
              </w:tabs>
              <w:suppressAutoHyphens/>
              <w:spacing w:before="40" w:after="40" w:line="210" w:lineRule="exact"/>
              <w:ind w:right="43"/>
              <w:jc w:val="right"/>
              <w:rPr>
                <w:b/>
                <w:sz w:val="17"/>
              </w:rPr>
            </w:pPr>
            <w:r w:rsidRPr="00527026">
              <w:rPr>
                <w:b/>
                <w:sz w:val="17"/>
              </w:rPr>
              <w:t>69</w:t>
            </w:r>
          </w:p>
        </w:tc>
        <w:tc>
          <w:tcPr>
            <w:tcW w:w="1281"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37</w:t>
            </w:r>
          </w:p>
        </w:tc>
        <w:tc>
          <w:tcPr>
            <w:tcW w:w="1281"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32</w:t>
            </w:r>
          </w:p>
        </w:tc>
        <w:tc>
          <w:tcPr>
            <w:tcW w:w="1281"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46,4</w:t>
            </w:r>
          </w:p>
        </w:tc>
        <w:tc>
          <w:tcPr>
            <w:tcW w:w="2077"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4,0</w:t>
            </w:r>
          </w:p>
        </w:tc>
      </w:tr>
      <w:tr w:rsidR="00D926D4" w:rsidRPr="00407999">
        <w:tblPrEx>
          <w:tblCellMar>
            <w:top w:w="0" w:type="dxa"/>
            <w:bottom w:w="0" w:type="dxa"/>
          </w:tblCellMar>
        </w:tblPrEx>
        <w:tc>
          <w:tcPr>
            <w:tcW w:w="970" w:type="dxa"/>
            <w:tcBorders>
              <w:bottom w:val="single" w:sz="12" w:space="0" w:color="auto"/>
            </w:tcBorders>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both"/>
              <w:rPr>
                <w:sz w:val="17"/>
              </w:rPr>
            </w:pPr>
            <w:r w:rsidRPr="00407999">
              <w:rPr>
                <w:sz w:val="17"/>
              </w:rPr>
              <w:t>2004</w:t>
            </w:r>
          </w:p>
        </w:tc>
        <w:tc>
          <w:tcPr>
            <w:tcW w:w="1280" w:type="dxa"/>
            <w:tcBorders>
              <w:bottom w:val="single" w:sz="12" w:space="0" w:color="auto"/>
            </w:tcBorders>
            <w:shd w:val="clear" w:color="auto" w:fill="auto"/>
            <w:vAlign w:val="bottom"/>
          </w:tcPr>
          <w:p w:rsidR="00D926D4" w:rsidRPr="00527026" w:rsidRDefault="00D926D4" w:rsidP="00407999">
            <w:pPr>
              <w:tabs>
                <w:tab w:val="left" w:pos="288"/>
                <w:tab w:val="left" w:pos="576"/>
                <w:tab w:val="left" w:pos="864"/>
                <w:tab w:val="left" w:pos="1152"/>
              </w:tabs>
              <w:suppressAutoHyphens/>
              <w:spacing w:before="40" w:after="40" w:line="210" w:lineRule="exact"/>
              <w:ind w:right="43"/>
              <w:jc w:val="right"/>
              <w:rPr>
                <w:b/>
                <w:sz w:val="17"/>
              </w:rPr>
            </w:pPr>
            <w:r w:rsidRPr="00527026">
              <w:rPr>
                <w:b/>
                <w:sz w:val="17"/>
              </w:rPr>
              <w:t>66</w:t>
            </w:r>
          </w:p>
        </w:tc>
        <w:tc>
          <w:tcPr>
            <w:tcW w:w="1281" w:type="dxa"/>
            <w:tcBorders>
              <w:bottom w:val="single" w:sz="12" w:space="0" w:color="auto"/>
            </w:tcBorders>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32</w:t>
            </w:r>
          </w:p>
        </w:tc>
        <w:tc>
          <w:tcPr>
            <w:tcW w:w="1281" w:type="dxa"/>
            <w:tcBorders>
              <w:bottom w:val="single" w:sz="12" w:space="0" w:color="auto"/>
            </w:tcBorders>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34</w:t>
            </w:r>
          </w:p>
        </w:tc>
        <w:tc>
          <w:tcPr>
            <w:tcW w:w="1281" w:type="dxa"/>
            <w:tcBorders>
              <w:bottom w:val="single" w:sz="12" w:space="0" w:color="auto"/>
            </w:tcBorders>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51,5</w:t>
            </w:r>
          </w:p>
        </w:tc>
        <w:tc>
          <w:tcPr>
            <w:tcW w:w="2077" w:type="dxa"/>
            <w:tcBorders>
              <w:bottom w:val="single" w:sz="12" w:space="0" w:color="auto"/>
            </w:tcBorders>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sz w:val="17"/>
              </w:rPr>
            </w:pPr>
            <w:r w:rsidRPr="00407999">
              <w:rPr>
                <w:sz w:val="17"/>
              </w:rPr>
              <w:t>3,7</w:t>
            </w:r>
          </w:p>
        </w:tc>
      </w:tr>
    </w:tbl>
    <w:p w:rsidR="00407999" w:rsidRPr="00407999" w:rsidRDefault="00407999" w:rsidP="00407999">
      <w:pPr>
        <w:pStyle w:val="BodyText"/>
        <w:spacing w:line="120" w:lineRule="exact"/>
        <w:jc w:val="both"/>
        <w:rPr>
          <w:b w:val="0"/>
          <w:bCs/>
          <w:color w:val="000000"/>
          <w:sz w:val="10"/>
          <w:lang w:val="fr-FR"/>
        </w:rPr>
      </w:pPr>
    </w:p>
    <w:p w:rsidR="00D926D4" w:rsidRPr="00407999" w:rsidRDefault="00D926D4" w:rsidP="00407999">
      <w:pPr>
        <w:pStyle w:val="SingleTxt"/>
        <w:rPr>
          <w:sz w:val="17"/>
          <w:szCs w:val="17"/>
          <w:lang w:val="fr-FR"/>
        </w:rPr>
      </w:pPr>
      <w:r w:rsidRPr="00407999">
        <w:rPr>
          <w:i/>
          <w:sz w:val="17"/>
          <w:szCs w:val="17"/>
          <w:lang w:val="fr-FR"/>
        </w:rPr>
        <w:t>Source</w:t>
      </w:r>
      <w:r w:rsidRPr="00407999">
        <w:rPr>
          <w:sz w:val="17"/>
          <w:szCs w:val="17"/>
          <w:lang w:val="fr-FR"/>
        </w:rPr>
        <w:t>: Annuaire statistique 2005, Institut de la Statistique de la République de Slovénie.</w:t>
      </w:r>
    </w:p>
    <w:p w:rsidR="00407999" w:rsidRPr="00407999" w:rsidRDefault="00407999" w:rsidP="00407999">
      <w:pPr>
        <w:pStyle w:val="BodyText"/>
        <w:spacing w:line="120" w:lineRule="exact"/>
        <w:jc w:val="both"/>
        <w:rPr>
          <w:b w:val="0"/>
          <w:bCs/>
          <w:sz w:val="10"/>
          <w:szCs w:val="24"/>
          <w:lang w:val="fr-FR"/>
        </w:rPr>
      </w:pPr>
    </w:p>
    <w:p w:rsidR="00D926D4" w:rsidRDefault="00D926D4" w:rsidP="00407999">
      <w:pPr>
        <w:pStyle w:val="SingleTxt"/>
        <w:jc w:val="left"/>
        <w:rPr>
          <w:b/>
          <w:lang w:val="fr-FR"/>
        </w:rPr>
      </w:pPr>
      <w:r w:rsidRPr="004316C8">
        <w:rPr>
          <w:lang w:val="fr-FR"/>
        </w:rPr>
        <w:t>Tableau 11</w:t>
      </w:r>
      <w:r w:rsidR="00407999">
        <w:rPr>
          <w:lang w:val="fr-FR"/>
        </w:rPr>
        <w:br/>
      </w:r>
      <w:r w:rsidRPr="00407999">
        <w:rPr>
          <w:b/>
          <w:lang w:val="fr-FR"/>
        </w:rPr>
        <w:t>Taux de chômage, par sexe (2000 – 2004)</w:t>
      </w:r>
    </w:p>
    <w:p w:rsidR="00407999" w:rsidRPr="00407999" w:rsidRDefault="00407999" w:rsidP="00407999">
      <w:pPr>
        <w:pStyle w:val="SingleTxt"/>
        <w:spacing w:after="0" w:line="120" w:lineRule="exact"/>
        <w:jc w:val="left"/>
        <w:rPr>
          <w:b/>
          <w:sz w:val="10"/>
          <w:lang w:val="fr-FR"/>
        </w:rPr>
      </w:pPr>
    </w:p>
    <w:tbl>
      <w:tblPr>
        <w:tblW w:w="0" w:type="auto"/>
        <w:tblInd w:w="1267" w:type="dxa"/>
        <w:tblCellMar>
          <w:left w:w="70" w:type="dxa"/>
          <w:right w:w="70" w:type="dxa"/>
        </w:tblCellMar>
        <w:tblLook w:val="0000" w:firstRow="0" w:lastRow="0" w:firstColumn="0" w:lastColumn="0" w:noHBand="0" w:noVBand="0"/>
      </w:tblPr>
      <w:tblGrid>
        <w:gridCol w:w="1150"/>
        <w:gridCol w:w="1080"/>
        <w:gridCol w:w="1080"/>
        <w:gridCol w:w="1080"/>
        <w:gridCol w:w="1080"/>
        <w:gridCol w:w="1260"/>
      </w:tblGrid>
      <w:tr w:rsidR="00D926D4" w:rsidRPr="00407999">
        <w:tblPrEx>
          <w:tblCellMar>
            <w:top w:w="0" w:type="dxa"/>
            <w:bottom w:w="0" w:type="dxa"/>
          </w:tblCellMar>
        </w:tblPrEx>
        <w:trPr>
          <w:tblHeader/>
        </w:trPr>
        <w:tc>
          <w:tcPr>
            <w:tcW w:w="1150" w:type="dxa"/>
            <w:tcBorders>
              <w:top w:val="single" w:sz="4" w:space="0" w:color="auto"/>
              <w:bottom w:val="single" w:sz="12" w:space="0" w:color="auto"/>
            </w:tcBorders>
            <w:shd w:val="clear" w:color="auto" w:fill="auto"/>
            <w:vAlign w:val="bottom"/>
          </w:tcPr>
          <w:p w:rsidR="00D926D4" w:rsidRPr="00407999" w:rsidRDefault="00D926D4" w:rsidP="00407999">
            <w:pPr>
              <w:pStyle w:val="telo"/>
              <w:suppressAutoHyphens/>
              <w:spacing w:before="80" w:after="80" w:line="160" w:lineRule="exact"/>
              <w:ind w:right="43"/>
              <w:rPr>
                <w:rFonts w:ascii="Times New Roman" w:hAnsi="Times New Roman"/>
                <w:bCs/>
                <w:i/>
                <w:sz w:val="14"/>
                <w:szCs w:val="24"/>
              </w:rPr>
            </w:pPr>
            <w:r w:rsidRPr="00407999">
              <w:rPr>
                <w:rFonts w:ascii="Times New Roman" w:hAnsi="Times New Roman"/>
                <w:bCs/>
                <w:i/>
                <w:sz w:val="14"/>
                <w:szCs w:val="24"/>
              </w:rPr>
              <w:t>Année</w:t>
            </w:r>
          </w:p>
        </w:tc>
        <w:tc>
          <w:tcPr>
            <w:tcW w:w="1080" w:type="dxa"/>
            <w:tcBorders>
              <w:top w:val="single" w:sz="4" w:space="0" w:color="auto"/>
              <w:bottom w:val="single" w:sz="12" w:space="0" w:color="auto"/>
            </w:tcBorders>
            <w:shd w:val="clear" w:color="auto" w:fill="auto"/>
            <w:vAlign w:val="bottom"/>
          </w:tcPr>
          <w:p w:rsidR="00D926D4" w:rsidRPr="00407999" w:rsidRDefault="00D926D4" w:rsidP="00407999">
            <w:pPr>
              <w:pStyle w:val="telo"/>
              <w:suppressAutoHyphens/>
              <w:spacing w:before="80" w:after="80" w:line="160" w:lineRule="exact"/>
              <w:ind w:right="43"/>
              <w:jc w:val="right"/>
              <w:rPr>
                <w:rFonts w:ascii="Times New Roman" w:hAnsi="Times New Roman"/>
                <w:bCs/>
                <w:i/>
                <w:sz w:val="14"/>
                <w:szCs w:val="24"/>
              </w:rPr>
            </w:pPr>
            <w:r w:rsidRPr="00407999">
              <w:rPr>
                <w:rFonts w:ascii="Times New Roman" w:hAnsi="Times New Roman"/>
                <w:bCs/>
                <w:i/>
                <w:sz w:val="14"/>
                <w:szCs w:val="24"/>
              </w:rPr>
              <w:t>2000</w:t>
            </w:r>
          </w:p>
        </w:tc>
        <w:tc>
          <w:tcPr>
            <w:tcW w:w="1080" w:type="dxa"/>
            <w:tcBorders>
              <w:top w:val="single" w:sz="4" w:space="0" w:color="auto"/>
              <w:bottom w:val="single" w:sz="12" w:space="0" w:color="auto"/>
            </w:tcBorders>
            <w:shd w:val="clear" w:color="auto" w:fill="auto"/>
            <w:vAlign w:val="bottom"/>
          </w:tcPr>
          <w:p w:rsidR="00D926D4" w:rsidRPr="00407999" w:rsidRDefault="00D926D4" w:rsidP="00407999">
            <w:pPr>
              <w:pStyle w:val="telo"/>
              <w:suppressAutoHyphens/>
              <w:spacing w:before="80" w:after="80" w:line="160" w:lineRule="exact"/>
              <w:ind w:right="43"/>
              <w:jc w:val="right"/>
              <w:rPr>
                <w:rFonts w:ascii="Times New Roman" w:hAnsi="Times New Roman"/>
                <w:bCs/>
                <w:i/>
                <w:sz w:val="14"/>
                <w:szCs w:val="24"/>
              </w:rPr>
            </w:pPr>
            <w:r w:rsidRPr="00407999">
              <w:rPr>
                <w:rFonts w:ascii="Times New Roman" w:hAnsi="Times New Roman"/>
                <w:bCs/>
                <w:i/>
                <w:sz w:val="14"/>
                <w:szCs w:val="24"/>
              </w:rPr>
              <w:t>2001</w:t>
            </w:r>
          </w:p>
        </w:tc>
        <w:tc>
          <w:tcPr>
            <w:tcW w:w="1080" w:type="dxa"/>
            <w:tcBorders>
              <w:top w:val="single" w:sz="4" w:space="0" w:color="auto"/>
              <w:bottom w:val="single" w:sz="12" w:space="0" w:color="auto"/>
            </w:tcBorders>
            <w:shd w:val="clear" w:color="auto" w:fill="auto"/>
            <w:vAlign w:val="bottom"/>
          </w:tcPr>
          <w:p w:rsidR="00D926D4" w:rsidRPr="00407999" w:rsidRDefault="00D926D4" w:rsidP="00407999">
            <w:pPr>
              <w:pStyle w:val="telo"/>
              <w:suppressAutoHyphens/>
              <w:spacing w:before="80" w:after="80" w:line="160" w:lineRule="exact"/>
              <w:ind w:right="43"/>
              <w:jc w:val="right"/>
              <w:rPr>
                <w:rFonts w:ascii="Times New Roman" w:hAnsi="Times New Roman"/>
                <w:bCs/>
                <w:i/>
                <w:sz w:val="14"/>
                <w:szCs w:val="24"/>
              </w:rPr>
            </w:pPr>
            <w:r w:rsidRPr="00407999">
              <w:rPr>
                <w:rFonts w:ascii="Times New Roman" w:hAnsi="Times New Roman"/>
                <w:bCs/>
                <w:i/>
                <w:sz w:val="14"/>
                <w:szCs w:val="24"/>
              </w:rPr>
              <w:t>2002</w:t>
            </w:r>
          </w:p>
        </w:tc>
        <w:tc>
          <w:tcPr>
            <w:tcW w:w="1080" w:type="dxa"/>
            <w:tcBorders>
              <w:top w:val="single" w:sz="4" w:space="0" w:color="auto"/>
              <w:bottom w:val="single" w:sz="12" w:space="0" w:color="auto"/>
            </w:tcBorders>
            <w:shd w:val="clear" w:color="auto" w:fill="auto"/>
            <w:vAlign w:val="bottom"/>
          </w:tcPr>
          <w:p w:rsidR="00D926D4" w:rsidRPr="00407999" w:rsidRDefault="00D926D4" w:rsidP="00407999">
            <w:pPr>
              <w:pStyle w:val="telo"/>
              <w:suppressAutoHyphens/>
              <w:spacing w:before="80" w:after="80" w:line="160" w:lineRule="exact"/>
              <w:ind w:right="43"/>
              <w:jc w:val="right"/>
              <w:rPr>
                <w:rFonts w:ascii="Times New Roman" w:hAnsi="Times New Roman"/>
                <w:bCs/>
                <w:i/>
                <w:sz w:val="14"/>
                <w:szCs w:val="24"/>
              </w:rPr>
            </w:pPr>
            <w:r w:rsidRPr="00407999">
              <w:rPr>
                <w:rFonts w:ascii="Times New Roman" w:hAnsi="Times New Roman"/>
                <w:bCs/>
                <w:i/>
                <w:sz w:val="14"/>
                <w:szCs w:val="24"/>
              </w:rPr>
              <w:t>2003</w:t>
            </w:r>
          </w:p>
        </w:tc>
        <w:tc>
          <w:tcPr>
            <w:tcW w:w="1260" w:type="dxa"/>
            <w:tcBorders>
              <w:top w:val="single" w:sz="4" w:space="0" w:color="auto"/>
              <w:bottom w:val="single" w:sz="12" w:space="0" w:color="auto"/>
            </w:tcBorders>
            <w:shd w:val="clear" w:color="auto" w:fill="auto"/>
            <w:vAlign w:val="bottom"/>
          </w:tcPr>
          <w:p w:rsidR="00D926D4" w:rsidRPr="00407999" w:rsidRDefault="00D926D4" w:rsidP="00407999">
            <w:pPr>
              <w:pStyle w:val="telo"/>
              <w:suppressAutoHyphens/>
              <w:spacing w:before="80" w:after="80" w:line="160" w:lineRule="exact"/>
              <w:ind w:right="43"/>
              <w:jc w:val="right"/>
              <w:rPr>
                <w:rFonts w:ascii="Times New Roman" w:hAnsi="Times New Roman"/>
                <w:bCs/>
                <w:i/>
                <w:sz w:val="14"/>
                <w:szCs w:val="24"/>
              </w:rPr>
            </w:pPr>
            <w:r w:rsidRPr="00407999">
              <w:rPr>
                <w:rFonts w:ascii="Times New Roman" w:hAnsi="Times New Roman"/>
                <w:bCs/>
                <w:i/>
                <w:sz w:val="14"/>
                <w:szCs w:val="24"/>
              </w:rPr>
              <w:t>2004</w:t>
            </w:r>
          </w:p>
        </w:tc>
      </w:tr>
      <w:tr w:rsidR="00407999" w:rsidRPr="00407999">
        <w:tblPrEx>
          <w:tblCellMar>
            <w:top w:w="0" w:type="dxa"/>
            <w:bottom w:w="0" w:type="dxa"/>
          </w:tblCellMar>
        </w:tblPrEx>
        <w:trPr>
          <w:trHeight w:hRule="exact" w:val="115"/>
          <w:tblHeader/>
        </w:trPr>
        <w:tc>
          <w:tcPr>
            <w:tcW w:w="1150" w:type="dxa"/>
            <w:tcBorders>
              <w:top w:val="single" w:sz="12" w:space="0" w:color="auto"/>
            </w:tcBorders>
            <w:shd w:val="clear" w:color="auto" w:fill="auto"/>
            <w:vAlign w:val="bottom"/>
          </w:tcPr>
          <w:p w:rsidR="00407999" w:rsidRPr="00407999" w:rsidRDefault="00407999" w:rsidP="00407999">
            <w:pPr>
              <w:pStyle w:val="telo"/>
              <w:suppressAutoHyphens/>
              <w:spacing w:before="40" w:after="40" w:line="210" w:lineRule="exact"/>
              <w:ind w:right="43"/>
              <w:rPr>
                <w:rFonts w:ascii="Times New Roman" w:hAnsi="Times New Roman"/>
                <w:sz w:val="17"/>
                <w:szCs w:val="24"/>
              </w:rPr>
            </w:pPr>
          </w:p>
        </w:tc>
        <w:tc>
          <w:tcPr>
            <w:tcW w:w="1080" w:type="dxa"/>
            <w:tcBorders>
              <w:top w:val="single" w:sz="12" w:space="0" w:color="auto"/>
            </w:tcBorders>
            <w:shd w:val="clear" w:color="auto" w:fill="auto"/>
            <w:vAlign w:val="bottom"/>
          </w:tcPr>
          <w:p w:rsidR="00407999" w:rsidRPr="00407999" w:rsidRDefault="00407999" w:rsidP="00407999">
            <w:pPr>
              <w:pStyle w:val="telo"/>
              <w:suppressAutoHyphens/>
              <w:spacing w:before="40" w:after="40" w:line="210" w:lineRule="exact"/>
              <w:ind w:right="43"/>
              <w:jc w:val="right"/>
              <w:rPr>
                <w:rFonts w:ascii="Times New Roman" w:hAnsi="Times New Roman"/>
                <w:sz w:val="17"/>
                <w:szCs w:val="24"/>
              </w:rPr>
            </w:pPr>
          </w:p>
        </w:tc>
        <w:tc>
          <w:tcPr>
            <w:tcW w:w="1080" w:type="dxa"/>
            <w:tcBorders>
              <w:top w:val="single" w:sz="12" w:space="0" w:color="auto"/>
            </w:tcBorders>
            <w:shd w:val="clear" w:color="auto" w:fill="auto"/>
            <w:vAlign w:val="bottom"/>
          </w:tcPr>
          <w:p w:rsidR="00407999" w:rsidRPr="00407999" w:rsidRDefault="00407999" w:rsidP="00407999">
            <w:pPr>
              <w:pStyle w:val="telo"/>
              <w:suppressAutoHyphens/>
              <w:spacing w:before="40" w:after="40" w:line="210" w:lineRule="exact"/>
              <w:ind w:right="43"/>
              <w:jc w:val="right"/>
              <w:rPr>
                <w:rFonts w:ascii="Times New Roman" w:hAnsi="Times New Roman"/>
                <w:sz w:val="17"/>
                <w:szCs w:val="24"/>
              </w:rPr>
            </w:pPr>
          </w:p>
        </w:tc>
        <w:tc>
          <w:tcPr>
            <w:tcW w:w="1080" w:type="dxa"/>
            <w:tcBorders>
              <w:top w:val="single" w:sz="12" w:space="0" w:color="auto"/>
            </w:tcBorders>
            <w:shd w:val="clear" w:color="auto" w:fill="auto"/>
            <w:vAlign w:val="bottom"/>
          </w:tcPr>
          <w:p w:rsidR="00407999" w:rsidRPr="00407999" w:rsidRDefault="00407999" w:rsidP="00407999">
            <w:pPr>
              <w:pStyle w:val="telo"/>
              <w:suppressAutoHyphens/>
              <w:spacing w:before="40" w:after="40" w:line="210" w:lineRule="exact"/>
              <w:ind w:right="43"/>
              <w:jc w:val="right"/>
              <w:rPr>
                <w:rFonts w:ascii="Times New Roman" w:hAnsi="Times New Roman"/>
                <w:sz w:val="17"/>
                <w:szCs w:val="24"/>
              </w:rPr>
            </w:pPr>
          </w:p>
        </w:tc>
        <w:tc>
          <w:tcPr>
            <w:tcW w:w="1080" w:type="dxa"/>
            <w:tcBorders>
              <w:top w:val="single" w:sz="12" w:space="0" w:color="auto"/>
            </w:tcBorders>
            <w:shd w:val="clear" w:color="auto" w:fill="auto"/>
            <w:vAlign w:val="bottom"/>
          </w:tcPr>
          <w:p w:rsidR="00407999" w:rsidRPr="00407999" w:rsidRDefault="00407999" w:rsidP="00407999">
            <w:pPr>
              <w:pStyle w:val="telo"/>
              <w:suppressAutoHyphens/>
              <w:spacing w:before="40" w:after="40" w:line="210" w:lineRule="exact"/>
              <w:ind w:right="43"/>
              <w:jc w:val="right"/>
              <w:rPr>
                <w:rFonts w:ascii="Times New Roman" w:hAnsi="Times New Roman"/>
                <w:sz w:val="17"/>
                <w:szCs w:val="24"/>
              </w:rPr>
            </w:pPr>
          </w:p>
        </w:tc>
        <w:tc>
          <w:tcPr>
            <w:tcW w:w="1260" w:type="dxa"/>
            <w:tcBorders>
              <w:top w:val="single" w:sz="12" w:space="0" w:color="auto"/>
            </w:tcBorders>
            <w:shd w:val="clear" w:color="auto" w:fill="auto"/>
            <w:vAlign w:val="bottom"/>
          </w:tcPr>
          <w:p w:rsidR="00407999" w:rsidRPr="00407999" w:rsidRDefault="00407999" w:rsidP="00407999">
            <w:pPr>
              <w:pStyle w:val="telo"/>
              <w:suppressAutoHyphens/>
              <w:spacing w:before="40" w:after="40" w:line="210" w:lineRule="exact"/>
              <w:ind w:right="43"/>
              <w:jc w:val="right"/>
              <w:rPr>
                <w:rFonts w:ascii="Times New Roman" w:hAnsi="Times New Roman"/>
                <w:sz w:val="17"/>
                <w:szCs w:val="24"/>
              </w:rPr>
            </w:pPr>
          </w:p>
        </w:tc>
      </w:tr>
      <w:tr w:rsidR="00D926D4" w:rsidRPr="00407999">
        <w:tblPrEx>
          <w:tblCellMar>
            <w:top w:w="0" w:type="dxa"/>
            <w:bottom w:w="0" w:type="dxa"/>
          </w:tblCellMar>
        </w:tblPrEx>
        <w:tc>
          <w:tcPr>
            <w:tcW w:w="1150" w:type="dxa"/>
            <w:shd w:val="clear" w:color="auto" w:fill="auto"/>
            <w:vAlign w:val="bottom"/>
          </w:tcPr>
          <w:p w:rsidR="00D926D4" w:rsidRPr="00527026" w:rsidRDefault="00D926D4" w:rsidP="00407999">
            <w:pPr>
              <w:pStyle w:val="telo"/>
              <w:tabs>
                <w:tab w:val="left" w:pos="288"/>
                <w:tab w:val="left" w:pos="576"/>
                <w:tab w:val="left" w:pos="864"/>
                <w:tab w:val="left" w:pos="1152"/>
              </w:tabs>
              <w:suppressAutoHyphens/>
              <w:spacing w:before="40" w:after="40" w:line="210" w:lineRule="exact"/>
              <w:ind w:right="43"/>
              <w:rPr>
                <w:rFonts w:ascii="Times New Roman" w:hAnsi="Times New Roman"/>
                <w:b/>
                <w:sz w:val="17"/>
                <w:szCs w:val="24"/>
              </w:rPr>
            </w:pPr>
            <w:r w:rsidRPr="00527026">
              <w:rPr>
                <w:rFonts w:ascii="Times New Roman" w:hAnsi="Times New Roman"/>
                <w:b/>
                <w:sz w:val="17"/>
                <w:szCs w:val="24"/>
              </w:rPr>
              <w:t>Total</w:t>
            </w:r>
          </w:p>
        </w:tc>
        <w:tc>
          <w:tcPr>
            <w:tcW w:w="1080" w:type="dxa"/>
            <w:shd w:val="clear" w:color="auto" w:fill="auto"/>
            <w:vAlign w:val="bottom"/>
          </w:tcPr>
          <w:p w:rsidR="00D926D4" w:rsidRPr="00527026" w:rsidRDefault="00D926D4" w:rsidP="00407999">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b/>
                <w:sz w:val="17"/>
                <w:szCs w:val="24"/>
              </w:rPr>
            </w:pPr>
            <w:r w:rsidRPr="00527026">
              <w:rPr>
                <w:rFonts w:ascii="Times New Roman" w:hAnsi="Times New Roman"/>
                <w:b/>
                <w:sz w:val="17"/>
                <w:szCs w:val="24"/>
              </w:rPr>
              <w:t>7,7</w:t>
            </w:r>
          </w:p>
        </w:tc>
        <w:tc>
          <w:tcPr>
            <w:tcW w:w="1080" w:type="dxa"/>
            <w:shd w:val="clear" w:color="auto" w:fill="auto"/>
            <w:vAlign w:val="bottom"/>
          </w:tcPr>
          <w:p w:rsidR="00D926D4" w:rsidRPr="00527026" w:rsidRDefault="00D926D4" w:rsidP="00407999">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b/>
                <w:sz w:val="17"/>
                <w:szCs w:val="24"/>
              </w:rPr>
            </w:pPr>
            <w:r w:rsidRPr="00527026">
              <w:rPr>
                <w:rFonts w:ascii="Times New Roman" w:hAnsi="Times New Roman"/>
                <w:b/>
                <w:sz w:val="17"/>
                <w:szCs w:val="24"/>
              </w:rPr>
              <w:t>5,9</w:t>
            </w:r>
          </w:p>
        </w:tc>
        <w:tc>
          <w:tcPr>
            <w:tcW w:w="1080" w:type="dxa"/>
            <w:shd w:val="clear" w:color="auto" w:fill="auto"/>
            <w:vAlign w:val="bottom"/>
          </w:tcPr>
          <w:p w:rsidR="00D926D4" w:rsidRPr="00527026" w:rsidRDefault="00D926D4" w:rsidP="00407999">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b/>
                <w:sz w:val="17"/>
                <w:szCs w:val="24"/>
              </w:rPr>
            </w:pPr>
            <w:r w:rsidRPr="00527026">
              <w:rPr>
                <w:rFonts w:ascii="Times New Roman" w:hAnsi="Times New Roman"/>
                <w:b/>
                <w:sz w:val="17"/>
                <w:szCs w:val="24"/>
              </w:rPr>
              <w:t>5,9</w:t>
            </w:r>
          </w:p>
        </w:tc>
        <w:tc>
          <w:tcPr>
            <w:tcW w:w="1080" w:type="dxa"/>
            <w:shd w:val="clear" w:color="auto" w:fill="auto"/>
            <w:vAlign w:val="bottom"/>
          </w:tcPr>
          <w:p w:rsidR="00D926D4" w:rsidRPr="00527026" w:rsidRDefault="00D926D4" w:rsidP="00407999">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b/>
                <w:sz w:val="17"/>
                <w:szCs w:val="24"/>
              </w:rPr>
            </w:pPr>
            <w:r w:rsidRPr="00527026">
              <w:rPr>
                <w:rFonts w:ascii="Times New Roman" w:hAnsi="Times New Roman"/>
                <w:b/>
                <w:sz w:val="17"/>
                <w:szCs w:val="24"/>
              </w:rPr>
              <w:t>6,6</w:t>
            </w:r>
          </w:p>
        </w:tc>
        <w:tc>
          <w:tcPr>
            <w:tcW w:w="1260" w:type="dxa"/>
            <w:shd w:val="clear" w:color="auto" w:fill="auto"/>
            <w:vAlign w:val="bottom"/>
          </w:tcPr>
          <w:p w:rsidR="00D926D4" w:rsidRPr="00527026" w:rsidRDefault="00D926D4" w:rsidP="00407999">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b/>
                <w:sz w:val="17"/>
                <w:szCs w:val="24"/>
              </w:rPr>
            </w:pPr>
            <w:r w:rsidRPr="00527026">
              <w:rPr>
                <w:rFonts w:ascii="Times New Roman" w:hAnsi="Times New Roman"/>
                <w:b/>
                <w:sz w:val="17"/>
                <w:szCs w:val="24"/>
              </w:rPr>
              <w:t>6,1</w:t>
            </w:r>
          </w:p>
        </w:tc>
      </w:tr>
      <w:tr w:rsidR="00D926D4" w:rsidRPr="00407999">
        <w:tblPrEx>
          <w:tblCellMar>
            <w:top w:w="0" w:type="dxa"/>
            <w:bottom w:w="0" w:type="dxa"/>
          </w:tblCellMar>
        </w:tblPrEx>
        <w:tc>
          <w:tcPr>
            <w:tcW w:w="1150" w:type="dxa"/>
            <w:shd w:val="clear" w:color="auto" w:fill="auto"/>
            <w:vAlign w:val="bottom"/>
          </w:tcPr>
          <w:p w:rsidR="00D926D4" w:rsidRPr="00407999" w:rsidRDefault="00D926D4" w:rsidP="00407999">
            <w:pPr>
              <w:pStyle w:val="telo"/>
              <w:tabs>
                <w:tab w:val="left" w:pos="288"/>
                <w:tab w:val="left" w:pos="576"/>
                <w:tab w:val="left" w:pos="864"/>
                <w:tab w:val="left" w:pos="1152"/>
              </w:tabs>
              <w:suppressAutoHyphens/>
              <w:spacing w:before="40" w:after="40" w:line="210" w:lineRule="exact"/>
              <w:ind w:right="43"/>
              <w:rPr>
                <w:rFonts w:ascii="Times New Roman" w:hAnsi="Times New Roman"/>
                <w:sz w:val="17"/>
                <w:szCs w:val="24"/>
              </w:rPr>
            </w:pPr>
            <w:r w:rsidRPr="00407999">
              <w:rPr>
                <w:rFonts w:ascii="Times New Roman" w:hAnsi="Times New Roman"/>
                <w:sz w:val="17"/>
                <w:szCs w:val="24"/>
              </w:rPr>
              <w:t>Femmes</w:t>
            </w:r>
          </w:p>
        </w:tc>
        <w:tc>
          <w:tcPr>
            <w:tcW w:w="1080" w:type="dxa"/>
            <w:shd w:val="clear" w:color="auto" w:fill="auto"/>
            <w:vAlign w:val="bottom"/>
          </w:tcPr>
          <w:p w:rsidR="00D926D4" w:rsidRPr="00407999" w:rsidRDefault="00D926D4" w:rsidP="00407999">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407999">
              <w:rPr>
                <w:rFonts w:ascii="Times New Roman" w:hAnsi="Times New Roman"/>
                <w:sz w:val="17"/>
                <w:szCs w:val="24"/>
              </w:rPr>
              <w:t>7,7</w:t>
            </w:r>
          </w:p>
        </w:tc>
        <w:tc>
          <w:tcPr>
            <w:tcW w:w="1080" w:type="dxa"/>
            <w:shd w:val="clear" w:color="auto" w:fill="auto"/>
            <w:vAlign w:val="bottom"/>
          </w:tcPr>
          <w:p w:rsidR="00D926D4" w:rsidRPr="00407999" w:rsidRDefault="00D926D4" w:rsidP="00407999">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407999">
              <w:rPr>
                <w:rFonts w:ascii="Times New Roman" w:hAnsi="Times New Roman"/>
                <w:sz w:val="17"/>
                <w:szCs w:val="24"/>
              </w:rPr>
              <w:t>6,3</w:t>
            </w:r>
          </w:p>
        </w:tc>
        <w:tc>
          <w:tcPr>
            <w:tcW w:w="1080" w:type="dxa"/>
            <w:shd w:val="clear" w:color="auto" w:fill="auto"/>
            <w:vAlign w:val="bottom"/>
          </w:tcPr>
          <w:p w:rsidR="00D926D4" w:rsidRPr="00407999" w:rsidRDefault="00D926D4" w:rsidP="00407999">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407999">
              <w:rPr>
                <w:rFonts w:ascii="Times New Roman" w:hAnsi="Times New Roman"/>
                <w:sz w:val="17"/>
                <w:szCs w:val="24"/>
              </w:rPr>
              <w:t>6,3</w:t>
            </w:r>
          </w:p>
        </w:tc>
        <w:tc>
          <w:tcPr>
            <w:tcW w:w="1080" w:type="dxa"/>
            <w:shd w:val="clear" w:color="auto" w:fill="auto"/>
            <w:vAlign w:val="bottom"/>
          </w:tcPr>
          <w:p w:rsidR="00D926D4" w:rsidRPr="00407999" w:rsidRDefault="00D926D4" w:rsidP="00407999">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407999">
              <w:rPr>
                <w:rFonts w:ascii="Times New Roman" w:hAnsi="Times New Roman"/>
                <w:sz w:val="17"/>
                <w:szCs w:val="24"/>
              </w:rPr>
              <w:t>7,1</w:t>
            </w:r>
          </w:p>
        </w:tc>
        <w:tc>
          <w:tcPr>
            <w:tcW w:w="1260" w:type="dxa"/>
            <w:shd w:val="clear" w:color="auto" w:fill="auto"/>
            <w:vAlign w:val="bottom"/>
          </w:tcPr>
          <w:p w:rsidR="00D926D4" w:rsidRPr="00407999" w:rsidRDefault="00D926D4" w:rsidP="00407999">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407999">
              <w:rPr>
                <w:rFonts w:ascii="Times New Roman" w:hAnsi="Times New Roman"/>
                <w:sz w:val="17"/>
                <w:szCs w:val="24"/>
              </w:rPr>
              <w:t>6,4</w:t>
            </w:r>
          </w:p>
        </w:tc>
      </w:tr>
      <w:tr w:rsidR="00D926D4" w:rsidRPr="00407999">
        <w:tblPrEx>
          <w:tblCellMar>
            <w:top w:w="0" w:type="dxa"/>
            <w:bottom w:w="0" w:type="dxa"/>
          </w:tblCellMar>
        </w:tblPrEx>
        <w:tc>
          <w:tcPr>
            <w:tcW w:w="1150" w:type="dxa"/>
            <w:tcBorders>
              <w:bottom w:val="single" w:sz="12" w:space="0" w:color="auto"/>
            </w:tcBorders>
            <w:shd w:val="clear" w:color="auto" w:fill="auto"/>
            <w:vAlign w:val="bottom"/>
          </w:tcPr>
          <w:p w:rsidR="00D926D4" w:rsidRPr="00407999" w:rsidRDefault="00D926D4" w:rsidP="00407999">
            <w:pPr>
              <w:pStyle w:val="telo"/>
              <w:tabs>
                <w:tab w:val="left" w:pos="288"/>
                <w:tab w:val="left" w:pos="576"/>
                <w:tab w:val="left" w:pos="864"/>
                <w:tab w:val="left" w:pos="1152"/>
              </w:tabs>
              <w:suppressAutoHyphens/>
              <w:spacing w:before="40" w:after="40" w:line="210" w:lineRule="exact"/>
              <w:ind w:right="43"/>
              <w:rPr>
                <w:rFonts w:ascii="Times New Roman" w:hAnsi="Times New Roman"/>
                <w:sz w:val="17"/>
                <w:szCs w:val="24"/>
              </w:rPr>
            </w:pPr>
            <w:r w:rsidRPr="00407999">
              <w:rPr>
                <w:rFonts w:ascii="Times New Roman" w:hAnsi="Times New Roman"/>
                <w:sz w:val="17"/>
                <w:szCs w:val="24"/>
              </w:rPr>
              <w:t>Hommes</w:t>
            </w:r>
          </w:p>
        </w:tc>
        <w:tc>
          <w:tcPr>
            <w:tcW w:w="1080" w:type="dxa"/>
            <w:tcBorders>
              <w:bottom w:val="single" w:sz="12" w:space="0" w:color="auto"/>
            </w:tcBorders>
            <w:shd w:val="clear" w:color="auto" w:fill="auto"/>
            <w:vAlign w:val="bottom"/>
          </w:tcPr>
          <w:p w:rsidR="00D926D4" w:rsidRPr="00407999" w:rsidRDefault="00D926D4" w:rsidP="00407999">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407999">
              <w:rPr>
                <w:rFonts w:ascii="Times New Roman" w:hAnsi="Times New Roman"/>
                <w:sz w:val="17"/>
                <w:szCs w:val="24"/>
              </w:rPr>
              <w:t>7,6</w:t>
            </w:r>
          </w:p>
        </w:tc>
        <w:tc>
          <w:tcPr>
            <w:tcW w:w="1080" w:type="dxa"/>
            <w:tcBorders>
              <w:bottom w:val="single" w:sz="12" w:space="0" w:color="auto"/>
            </w:tcBorders>
            <w:shd w:val="clear" w:color="auto" w:fill="auto"/>
            <w:vAlign w:val="bottom"/>
          </w:tcPr>
          <w:p w:rsidR="00D926D4" w:rsidRPr="00407999" w:rsidRDefault="00D926D4" w:rsidP="00407999">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407999">
              <w:rPr>
                <w:rFonts w:ascii="Times New Roman" w:hAnsi="Times New Roman"/>
                <w:sz w:val="17"/>
                <w:szCs w:val="24"/>
              </w:rPr>
              <w:t>5,6</w:t>
            </w:r>
          </w:p>
        </w:tc>
        <w:tc>
          <w:tcPr>
            <w:tcW w:w="1080" w:type="dxa"/>
            <w:tcBorders>
              <w:bottom w:val="single" w:sz="12" w:space="0" w:color="auto"/>
            </w:tcBorders>
            <w:shd w:val="clear" w:color="auto" w:fill="auto"/>
            <w:vAlign w:val="bottom"/>
          </w:tcPr>
          <w:p w:rsidR="00D926D4" w:rsidRPr="00407999" w:rsidRDefault="00D926D4" w:rsidP="00407999">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407999">
              <w:rPr>
                <w:rFonts w:ascii="Times New Roman" w:hAnsi="Times New Roman"/>
                <w:sz w:val="17"/>
                <w:szCs w:val="24"/>
              </w:rPr>
              <w:t>7,0</w:t>
            </w:r>
          </w:p>
        </w:tc>
        <w:tc>
          <w:tcPr>
            <w:tcW w:w="1080" w:type="dxa"/>
            <w:tcBorders>
              <w:bottom w:val="single" w:sz="12" w:space="0" w:color="auto"/>
            </w:tcBorders>
            <w:shd w:val="clear" w:color="auto" w:fill="auto"/>
            <w:vAlign w:val="bottom"/>
          </w:tcPr>
          <w:p w:rsidR="00D926D4" w:rsidRPr="00407999" w:rsidRDefault="00D926D4" w:rsidP="00407999">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407999">
              <w:rPr>
                <w:rFonts w:ascii="Times New Roman" w:hAnsi="Times New Roman"/>
                <w:sz w:val="17"/>
                <w:szCs w:val="24"/>
              </w:rPr>
              <w:t>6,1</w:t>
            </w:r>
          </w:p>
        </w:tc>
        <w:tc>
          <w:tcPr>
            <w:tcW w:w="1260" w:type="dxa"/>
            <w:tcBorders>
              <w:bottom w:val="single" w:sz="12" w:space="0" w:color="auto"/>
            </w:tcBorders>
            <w:shd w:val="clear" w:color="auto" w:fill="auto"/>
            <w:vAlign w:val="bottom"/>
          </w:tcPr>
          <w:p w:rsidR="00D926D4" w:rsidRPr="00407999" w:rsidRDefault="00D926D4" w:rsidP="00407999">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407999">
              <w:rPr>
                <w:rFonts w:ascii="Times New Roman" w:hAnsi="Times New Roman"/>
                <w:sz w:val="17"/>
                <w:szCs w:val="24"/>
              </w:rPr>
              <w:t>5,7</w:t>
            </w:r>
          </w:p>
        </w:tc>
      </w:tr>
    </w:tbl>
    <w:p w:rsidR="00407999" w:rsidRPr="00407999" w:rsidRDefault="00407999" w:rsidP="00407999">
      <w:pPr>
        <w:pStyle w:val="telo"/>
        <w:spacing w:after="0" w:line="120" w:lineRule="exact"/>
        <w:rPr>
          <w:rFonts w:ascii="Times New Roman" w:hAnsi="Times New Roman"/>
          <w:sz w:val="10"/>
          <w:lang w:val="fr-FR"/>
        </w:rPr>
      </w:pPr>
    </w:p>
    <w:p w:rsidR="00D926D4" w:rsidRPr="004316C8" w:rsidRDefault="00D926D4" w:rsidP="00407999">
      <w:pPr>
        <w:pStyle w:val="SingleTxt"/>
        <w:rPr>
          <w:sz w:val="24"/>
          <w:szCs w:val="24"/>
          <w:lang w:val="fr-FR"/>
        </w:rPr>
      </w:pPr>
      <w:r w:rsidRPr="00407999">
        <w:rPr>
          <w:i/>
          <w:sz w:val="17"/>
          <w:szCs w:val="17"/>
          <w:lang w:val="fr-FR"/>
        </w:rPr>
        <w:t>Source</w:t>
      </w:r>
      <w:r w:rsidRPr="00407999">
        <w:rPr>
          <w:sz w:val="17"/>
          <w:szCs w:val="17"/>
          <w:lang w:val="fr-FR"/>
        </w:rPr>
        <w:t>: Rapport annuel 2005, Bureau national de l’Emploi</w:t>
      </w:r>
      <w:r>
        <w:rPr>
          <w:sz w:val="24"/>
          <w:szCs w:val="24"/>
          <w:lang w:val="fr-FR"/>
        </w:rPr>
        <w:t>.</w:t>
      </w:r>
    </w:p>
    <w:p w:rsidR="00D926D4" w:rsidRDefault="00D926D4" w:rsidP="00D926D4">
      <w:pPr>
        <w:pStyle w:val="BodyText2"/>
        <w:ind w:left="1410"/>
        <w:rPr>
          <w:b/>
          <w:sz w:val="20"/>
          <w:lang w:val="fr-FR"/>
        </w:rPr>
      </w:pPr>
      <w:r w:rsidRPr="00407999">
        <w:rPr>
          <w:sz w:val="20"/>
          <w:lang w:val="fr-FR"/>
        </w:rPr>
        <w:t>Tableau 12</w:t>
      </w:r>
      <w:r w:rsidR="00407999">
        <w:rPr>
          <w:b/>
          <w:sz w:val="20"/>
          <w:lang w:val="fr-FR"/>
        </w:rPr>
        <w:br/>
      </w:r>
      <w:r w:rsidRPr="00407999">
        <w:rPr>
          <w:b/>
          <w:sz w:val="20"/>
          <w:lang w:val="fr-FR"/>
        </w:rPr>
        <w:t>Initiatives revendiquant l’</w:t>
      </w:r>
      <w:r w:rsidR="00407999">
        <w:rPr>
          <w:b/>
          <w:sz w:val="20"/>
          <w:lang w:val="fr-FR"/>
        </w:rPr>
        <w:t>É</w:t>
      </w:r>
      <w:r w:rsidRPr="00407999">
        <w:rPr>
          <w:b/>
          <w:sz w:val="20"/>
          <w:lang w:val="fr-FR"/>
        </w:rPr>
        <w:t xml:space="preserve">galité des chances des femmes et des hommes, </w:t>
      </w:r>
      <w:r w:rsidR="00407999">
        <w:rPr>
          <w:b/>
          <w:sz w:val="20"/>
          <w:lang w:val="fr-FR"/>
        </w:rPr>
        <w:br/>
      </w:r>
      <w:r w:rsidRPr="00407999">
        <w:rPr>
          <w:b/>
          <w:sz w:val="20"/>
          <w:lang w:val="fr-FR"/>
        </w:rPr>
        <w:t xml:space="preserve">2003, 2004 et 2005 </w:t>
      </w:r>
    </w:p>
    <w:p w:rsidR="00407999" w:rsidRPr="00407999" w:rsidRDefault="00407999" w:rsidP="00407999">
      <w:pPr>
        <w:pStyle w:val="BodyText2"/>
        <w:spacing w:line="120" w:lineRule="exact"/>
        <w:ind w:left="1410"/>
        <w:rPr>
          <w:b/>
          <w:sz w:val="10"/>
          <w:lang w:val="fr-FR"/>
        </w:rPr>
      </w:pPr>
    </w:p>
    <w:tbl>
      <w:tblPr>
        <w:tblW w:w="0" w:type="auto"/>
        <w:tblInd w:w="1267" w:type="dxa"/>
        <w:tblLayout w:type="fixed"/>
        <w:tblCellMar>
          <w:left w:w="30" w:type="dxa"/>
          <w:right w:w="30" w:type="dxa"/>
        </w:tblCellMar>
        <w:tblLook w:val="0000" w:firstRow="0" w:lastRow="0" w:firstColumn="0" w:lastColumn="0" w:noHBand="0" w:noVBand="0"/>
      </w:tblPr>
      <w:tblGrid>
        <w:gridCol w:w="1373"/>
        <w:gridCol w:w="1170"/>
        <w:gridCol w:w="1350"/>
        <w:gridCol w:w="1350"/>
      </w:tblGrid>
      <w:tr w:rsidR="00D926D4" w:rsidRPr="00407999">
        <w:tblPrEx>
          <w:tblCellMar>
            <w:top w:w="0" w:type="dxa"/>
            <w:bottom w:w="0" w:type="dxa"/>
          </w:tblCellMar>
        </w:tblPrEx>
        <w:trPr>
          <w:cantSplit/>
          <w:trHeight w:val="276"/>
          <w:tblHeader/>
        </w:trPr>
        <w:tc>
          <w:tcPr>
            <w:tcW w:w="1373" w:type="dxa"/>
            <w:tcBorders>
              <w:top w:val="single" w:sz="4" w:space="0" w:color="auto"/>
              <w:bottom w:val="single" w:sz="12" w:space="0" w:color="auto"/>
            </w:tcBorders>
            <w:shd w:val="clear" w:color="auto" w:fill="auto"/>
            <w:vAlign w:val="bottom"/>
          </w:tcPr>
          <w:p w:rsidR="00D926D4" w:rsidRPr="00407999" w:rsidRDefault="00D926D4" w:rsidP="00407999">
            <w:pPr>
              <w:suppressAutoHyphens/>
              <w:spacing w:before="80" w:after="80" w:line="160" w:lineRule="exact"/>
              <w:ind w:right="43"/>
              <w:rPr>
                <w:bCs/>
                <w:i/>
                <w:color w:val="000000"/>
                <w:sz w:val="14"/>
              </w:rPr>
            </w:pPr>
            <w:r w:rsidRPr="00407999">
              <w:rPr>
                <w:bCs/>
                <w:i/>
                <w:color w:val="000000"/>
                <w:sz w:val="14"/>
              </w:rPr>
              <w:t>Année</w:t>
            </w:r>
          </w:p>
        </w:tc>
        <w:tc>
          <w:tcPr>
            <w:tcW w:w="1170" w:type="dxa"/>
            <w:tcBorders>
              <w:top w:val="single" w:sz="4" w:space="0" w:color="auto"/>
              <w:bottom w:val="single" w:sz="12" w:space="0" w:color="auto"/>
            </w:tcBorders>
            <w:shd w:val="clear" w:color="auto" w:fill="auto"/>
            <w:vAlign w:val="bottom"/>
          </w:tcPr>
          <w:p w:rsidR="00D926D4" w:rsidRPr="00407999" w:rsidRDefault="00D926D4" w:rsidP="00407999">
            <w:pPr>
              <w:suppressAutoHyphens/>
              <w:spacing w:before="80" w:after="80" w:line="160" w:lineRule="exact"/>
              <w:ind w:right="43"/>
              <w:jc w:val="right"/>
              <w:rPr>
                <w:i/>
                <w:color w:val="000000"/>
                <w:sz w:val="14"/>
              </w:rPr>
            </w:pPr>
            <w:r w:rsidRPr="00407999">
              <w:rPr>
                <w:i/>
                <w:color w:val="000000"/>
                <w:sz w:val="14"/>
              </w:rPr>
              <w:t>2003</w:t>
            </w:r>
          </w:p>
        </w:tc>
        <w:tc>
          <w:tcPr>
            <w:tcW w:w="1350" w:type="dxa"/>
            <w:tcBorders>
              <w:top w:val="single" w:sz="4" w:space="0" w:color="auto"/>
              <w:bottom w:val="single" w:sz="12" w:space="0" w:color="auto"/>
            </w:tcBorders>
            <w:shd w:val="clear" w:color="auto" w:fill="auto"/>
            <w:vAlign w:val="bottom"/>
          </w:tcPr>
          <w:p w:rsidR="00D926D4" w:rsidRPr="00407999" w:rsidRDefault="00D926D4" w:rsidP="00407999">
            <w:pPr>
              <w:suppressAutoHyphens/>
              <w:spacing w:before="80" w:after="80" w:line="160" w:lineRule="exact"/>
              <w:ind w:right="43"/>
              <w:jc w:val="right"/>
              <w:rPr>
                <w:i/>
                <w:color w:val="000000"/>
                <w:sz w:val="14"/>
              </w:rPr>
            </w:pPr>
            <w:r w:rsidRPr="00407999">
              <w:rPr>
                <w:i/>
                <w:color w:val="000000"/>
                <w:sz w:val="14"/>
              </w:rPr>
              <w:t>2004</w:t>
            </w:r>
          </w:p>
        </w:tc>
        <w:tc>
          <w:tcPr>
            <w:tcW w:w="1350" w:type="dxa"/>
            <w:tcBorders>
              <w:top w:val="single" w:sz="4" w:space="0" w:color="auto"/>
              <w:bottom w:val="single" w:sz="12" w:space="0" w:color="auto"/>
            </w:tcBorders>
            <w:shd w:val="clear" w:color="auto" w:fill="auto"/>
            <w:vAlign w:val="bottom"/>
          </w:tcPr>
          <w:p w:rsidR="00D926D4" w:rsidRPr="00407999" w:rsidRDefault="00D926D4" w:rsidP="00407999">
            <w:pPr>
              <w:suppressAutoHyphens/>
              <w:spacing w:before="80" w:after="80" w:line="160" w:lineRule="exact"/>
              <w:ind w:right="43"/>
              <w:jc w:val="right"/>
              <w:rPr>
                <w:i/>
                <w:color w:val="000000"/>
                <w:sz w:val="14"/>
              </w:rPr>
            </w:pPr>
            <w:r w:rsidRPr="00407999">
              <w:rPr>
                <w:i/>
                <w:color w:val="000000"/>
                <w:sz w:val="14"/>
              </w:rPr>
              <w:t>2005*</w:t>
            </w:r>
          </w:p>
        </w:tc>
      </w:tr>
      <w:tr w:rsidR="00407999" w:rsidRPr="00407999">
        <w:tblPrEx>
          <w:tblCellMar>
            <w:top w:w="0" w:type="dxa"/>
            <w:bottom w:w="0" w:type="dxa"/>
          </w:tblCellMar>
        </w:tblPrEx>
        <w:trPr>
          <w:cantSplit/>
          <w:trHeight w:hRule="exact" w:val="115"/>
          <w:tblHeader/>
        </w:trPr>
        <w:tc>
          <w:tcPr>
            <w:tcW w:w="1373" w:type="dxa"/>
            <w:tcBorders>
              <w:top w:val="single" w:sz="12" w:space="0" w:color="auto"/>
            </w:tcBorders>
            <w:shd w:val="clear" w:color="auto" w:fill="auto"/>
            <w:vAlign w:val="bottom"/>
          </w:tcPr>
          <w:p w:rsidR="00407999" w:rsidRPr="00407999" w:rsidRDefault="00407999" w:rsidP="00407999">
            <w:pPr>
              <w:suppressAutoHyphens/>
              <w:spacing w:before="40" w:after="40" w:line="210" w:lineRule="exact"/>
              <w:ind w:right="43"/>
              <w:rPr>
                <w:bCs/>
                <w:color w:val="000000"/>
                <w:sz w:val="17"/>
              </w:rPr>
            </w:pPr>
          </w:p>
        </w:tc>
        <w:tc>
          <w:tcPr>
            <w:tcW w:w="1170" w:type="dxa"/>
            <w:tcBorders>
              <w:top w:val="single" w:sz="12" w:space="0" w:color="auto"/>
            </w:tcBorders>
            <w:shd w:val="clear" w:color="auto" w:fill="auto"/>
            <w:vAlign w:val="bottom"/>
          </w:tcPr>
          <w:p w:rsidR="00407999" w:rsidRPr="00407999" w:rsidRDefault="00407999" w:rsidP="00407999">
            <w:pPr>
              <w:suppressAutoHyphens/>
              <w:spacing w:before="40" w:after="40" w:line="210" w:lineRule="exact"/>
              <w:ind w:right="43"/>
              <w:jc w:val="right"/>
              <w:rPr>
                <w:bCs/>
                <w:color w:val="000000"/>
                <w:sz w:val="17"/>
              </w:rPr>
            </w:pPr>
          </w:p>
        </w:tc>
        <w:tc>
          <w:tcPr>
            <w:tcW w:w="1350" w:type="dxa"/>
            <w:tcBorders>
              <w:top w:val="single" w:sz="12" w:space="0" w:color="auto"/>
            </w:tcBorders>
            <w:shd w:val="clear" w:color="auto" w:fill="auto"/>
            <w:vAlign w:val="bottom"/>
          </w:tcPr>
          <w:p w:rsidR="00407999" w:rsidRPr="00407999" w:rsidRDefault="00407999" w:rsidP="00407999">
            <w:pPr>
              <w:suppressAutoHyphens/>
              <w:spacing w:before="40" w:after="40" w:line="210" w:lineRule="exact"/>
              <w:ind w:right="43"/>
              <w:jc w:val="right"/>
              <w:rPr>
                <w:bCs/>
                <w:color w:val="000000"/>
                <w:sz w:val="17"/>
              </w:rPr>
            </w:pPr>
          </w:p>
        </w:tc>
        <w:tc>
          <w:tcPr>
            <w:tcW w:w="1350" w:type="dxa"/>
            <w:tcBorders>
              <w:top w:val="single" w:sz="12" w:space="0" w:color="auto"/>
            </w:tcBorders>
            <w:shd w:val="clear" w:color="auto" w:fill="auto"/>
            <w:vAlign w:val="bottom"/>
          </w:tcPr>
          <w:p w:rsidR="00407999" w:rsidRPr="00407999" w:rsidRDefault="00407999" w:rsidP="00407999">
            <w:pPr>
              <w:suppressAutoHyphens/>
              <w:spacing w:before="40" w:after="40" w:line="210" w:lineRule="exact"/>
              <w:ind w:right="43"/>
              <w:jc w:val="right"/>
              <w:rPr>
                <w:bCs/>
                <w:color w:val="000000"/>
                <w:sz w:val="17"/>
              </w:rPr>
            </w:pPr>
          </w:p>
        </w:tc>
      </w:tr>
      <w:tr w:rsidR="00D926D4" w:rsidRPr="00407999">
        <w:tblPrEx>
          <w:tblCellMar>
            <w:top w:w="0" w:type="dxa"/>
            <w:bottom w:w="0" w:type="dxa"/>
          </w:tblCellMar>
        </w:tblPrEx>
        <w:trPr>
          <w:cantSplit/>
          <w:trHeight w:val="276"/>
        </w:trPr>
        <w:tc>
          <w:tcPr>
            <w:tcW w:w="1373" w:type="dxa"/>
            <w:shd w:val="clear" w:color="auto" w:fill="auto"/>
            <w:vAlign w:val="bottom"/>
          </w:tcPr>
          <w:p w:rsidR="00D926D4" w:rsidRPr="00527026" w:rsidRDefault="00D926D4" w:rsidP="00407999">
            <w:pPr>
              <w:tabs>
                <w:tab w:val="left" w:pos="288"/>
                <w:tab w:val="left" w:pos="576"/>
                <w:tab w:val="left" w:pos="864"/>
                <w:tab w:val="left" w:pos="1152"/>
              </w:tabs>
              <w:suppressAutoHyphens/>
              <w:spacing w:before="40" w:after="40" w:line="210" w:lineRule="exact"/>
              <w:ind w:right="43"/>
              <w:rPr>
                <w:b/>
                <w:bCs/>
                <w:color w:val="000000"/>
                <w:sz w:val="17"/>
              </w:rPr>
            </w:pPr>
            <w:r w:rsidRPr="00527026">
              <w:rPr>
                <w:b/>
                <w:bCs/>
                <w:color w:val="000000"/>
                <w:sz w:val="17"/>
              </w:rPr>
              <w:t>Total</w:t>
            </w:r>
          </w:p>
        </w:tc>
        <w:tc>
          <w:tcPr>
            <w:tcW w:w="1170" w:type="dxa"/>
            <w:shd w:val="clear" w:color="auto" w:fill="auto"/>
            <w:vAlign w:val="bottom"/>
          </w:tcPr>
          <w:p w:rsidR="00D926D4" w:rsidRPr="00527026" w:rsidRDefault="00D926D4" w:rsidP="00407999">
            <w:pPr>
              <w:tabs>
                <w:tab w:val="left" w:pos="288"/>
                <w:tab w:val="left" w:pos="576"/>
                <w:tab w:val="left" w:pos="864"/>
                <w:tab w:val="left" w:pos="1152"/>
              </w:tabs>
              <w:suppressAutoHyphens/>
              <w:spacing w:before="40" w:after="40" w:line="210" w:lineRule="exact"/>
              <w:ind w:right="43"/>
              <w:jc w:val="right"/>
              <w:rPr>
                <w:b/>
                <w:bCs/>
                <w:color w:val="000000"/>
                <w:sz w:val="17"/>
              </w:rPr>
            </w:pPr>
            <w:r w:rsidRPr="00527026">
              <w:rPr>
                <w:b/>
                <w:bCs/>
                <w:color w:val="000000"/>
                <w:sz w:val="17"/>
              </w:rPr>
              <w:t>13</w:t>
            </w:r>
          </w:p>
        </w:tc>
        <w:tc>
          <w:tcPr>
            <w:tcW w:w="1350" w:type="dxa"/>
            <w:shd w:val="clear" w:color="auto" w:fill="auto"/>
            <w:vAlign w:val="bottom"/>
          </w:tcPr>
          <w:p w:rsidR="00D926D4" w:rsidRPr="00527026" w:rsidRDefault="00D926D4" w:rsidP="00407999">
            <w:pPr>
              <w:tabs>
                <w:tab w:val="left" w:pos="288"/>
                <w:tab w:val="left" w:pos="576"/>
                <w:tab w:val="left" w:pos="864"/>
                <w:tab w:val="left" w:pos="1152"/>
              </w:tabs>
              <w:suppressAutoHyphens/>
              <w:spacing w:before="40" w:after="40" w:line="210" w:lineRule="exact"/>
              <w:ind w:right="43"/>
              <w:jc w:val="right"/>
              <w:rPr>
                <w:b/>
                <w:bCs/>
                <w:color w:val="000000"/>
                <w:sz w:val="17"/>
              </w:rPr>
            </w:pPr>
            <w:r w:rsidRPr="00527026">
              <w:rPr>
                <w:b/>
                <w:bCs/>
                <w:color w:val="000000"/>
                <w:sz w:val="17"/>
              </w:rPr>
              <w:t>8</w:t>
            </w:r>
          </w:p>
        </w:tc>
        <w:tc>
          <w:tcPr>
            <w:tcW w:w="1350" w:type="dxa"/>
            <w:shd w:val="clear" w:color="auto" w:fill="auto"/>
            <w:vAlign w:val="bottom"/>
          </w:tcPr>
          <w:p w:rsidR="00D926D4" w:rsidRPr="00527026" w:rsidRDefault="00D926D4" w:rsidP="00407999">
            <w:pPr>
              <w:tabs>
                <w:tab w:val="left" w:pos="288"/>
                <w:tab w:val="left" w:pos="576"/>
                <w:tab w:val="left" w:pos="864"/>
                <w:tab w:val="left" w:pos="1152"/>
              </w:tabs>
              <w:suppressAutoHyphens/>
              <w:spacing w:before="40" w:after="40" w:line="210" w:lineRule="exact"/>
              <w:ind w:right="43"/>
              <w:jc w:val="right"/>
              <w:rPr>
                <w:b/>
                <w:bCs/>
                <w:color w:val="000000"/>
                <w:sz w:val="17"/>
              </w:rPr>
            </w:pPr>
            <w:r w:rsidRPr="00527026">
              <w:rPr>
                <w:b/>
                <w:bCs/>
                <w:color w:val="000000"/>
                <w:sz w:val="17"/>
              </w:rPr>
              <w:t>7</w:t>
            </w:r>
          </w:p>
        </w:tc>
      </w:tr>
      <w:tr w:rsidR="00D926D4" w:rsidRPr="00407999">
        <w:tblPrEx>
          <w:tblCellMar>
            <w:top w:w="0" w:type="dxa"/>
            <w:bottom w:w="0" w:type="dxa"/>
          </w:tblCellMar>
        </w:tblPrEx>
        <w:trPr>
          <w:cantSplit/>
          <w:trHeight w:val="262"/>
        </w:trPr>
        <w:tc>
          <w:tcPr>
            <w:tcW w:w="1373"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rPr>
                <w:color w:val="000000"/>
                <w:sz w:val="17"/>
              </w:rPr>
            </w:pPr>
            <w:r w:rsidRPr="00407999">
              <w:rPr>
                <w:color w:val="000000"/>
                <w:sz w:val="17"/>
              </w:rPr>
              <w:t>Femmes</w:t>
            </w:r>
          </w:p>
        </w:tc>
        <w:tc>
          <w:tcPr>
            <w:tcW w:w="1170"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color w:val="000000"/>
                <w:sz w:val="17"/>
              </w:rPr>
            </w:pPr>
            <w:r w:rsidRPr="00407999">
              <w:rPr>
                <w:color w:val="000000"/>
                <w:sz w:val="17"/>
              </w:rPr>
              <w:t>9</w:t>
            </w:r>
          </w:p>
        </w:tc>
        <w:tc>
          <w:tcPr>
            <w:tcW w:w="1350"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color w:val="000000"/>
                <w:sz w:val="17"/>
              </w:rPr>
            </w:pPr>
            <w:r w:rsidRPr="00407999">
              <w:rPr>
                <w:color w:val="000000"/>
                <w:sz w:val="17"/>
              </w:rPr>
              <w:t>5</w:t>
            </w:r>
          </w:p>
        </w:tc>
        <w:tc>
          <w:tcPr>
            <w:tcW w:w="1350"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color w:val="000000"/>
                <w:sz w:val="17"/>
              </w:rPr>
            </w:pPr>
            <w:r w:rsidRPr="00407999">
              <w:rPr>
                <w:color w:val="000000"/>
                <w:sz w:val="17"/>
              </w:rPr>
              <w:t>3</w:t>
            </w:r>
          </w:p>
        </w:tc>
      </w:tr>
      <w:tr w:rsidR="00D926D4" w:rsidRPr="00407999">
        <w:tblPrEx>
          <w:tblCellMar>
            <w:top w:w="0" w:type="dxa"/>
            <w:bottom w:w="0" w:type="dxa"/>
          </w:tblCellMar>
        </w:tblPrEx>
        <w:trPr>
          <w:cantSplit/>
          <w:trHeight w:val="247"/>
        </w:trPr>
        <w:tc>
          <w:tcPr>
            <w:tcW w:w="1373"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rPr>
                <w:color w:val="000000"/>
                <w:sz w:val="17"/>
              </w:rPr>
            </w:pPr>
            <w:r w:rsidRPr="00407999">
              <w:rPr>
                <w:color w:val="000000"/>
                <w:sz w:val="17"/>
              </w:rPr>
              <w:t>Hommes</w:t>
            </w:r>
          </w:p>
        </w:tc>
        <w:tc>
          <w:tcPr>
            <w:tcW w:w="1170"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color w:val="000000"/>
                <w:sz w:val="17"/>
              </w:rPr>
            </w:pPr>
            <w:r w:rsidRPr="00407999">
              <w:rPr>
                <w:color w:val="000000"/>
                <w:sz w:val="17"/>
              </w:rPr>
              <w:t>3</w:t>
            </w:r>
          </w:p>
        </w:tc>
        <w:tc>
          <w:tcPr>
            <w:tcW w:w="1350"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color w:val="000000"/>
                <w:sz w:val="17"/>
              </w:rPr>
            </w:pPr>
            <w:r w:rsidRPr="00407999">
              <w:rPr>
                <w:color w:val="000000"/>
                <w:sz w:val="17"/>
              </w:rPr>
              <w:t>1</w:t>
            </w:r>
          </w:p>
        </w:tc>
        <w:tc>
          <w:tcPr>
            <w:tcW w:w="1350"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color w:val="000000"/>
                <w:sz w:val="17"/>
              </w:rPr>
            </w:pPr>
            <w:r w:rsidRPr="00407999">
              <w:rPr>
                <w:color w:val="000000"/>
                <w:sz w:val="17"/>
              </w:rPr>
              <w:t>3</w:t>
            </w:r>
          </w:p>
        </w:tc>
      </w:tr>
      <w:tr w:rsidR="00D926D4" w:rsidRPr="00407999">
        <w:tblPrEx>
          <w:tblCellMar>
            <w:top w:w="0" w:type="dxa"/>
            <w:bottom w:w="0" w:type="dxa"/>
          </w:tblCellMar>
        </w:tblPrEx>
        <w:trPr>
          <w:cantSplit/>
          <w:trHeight w:val="262"/>
        </w:trPr>
        <w:tc>
          <w:tcPr>
            <w:tcW w:w="1373"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rPr>
                <w:color w:val="000000"/>
                <w:sz w:val="17"/>
              </w:rPr>
            </w:pPr>
            <w:r w:rsidRPr="00407999">
              <w:rPr>
                <w:color w:val="000000"/>
                <w:sz w:val="17"/>
              </w:rPr>
              <w:t>Institutions</w:t>
            </w:r>
          </w:p>
        </w:tc>
        <w:tc>
          <w:tcPr>
            <w:tcW w:w="1170"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color w:val="000000"/>
                <w:sz w:val="17"/>
              </w:rPr>
            </w:pPr>
            <w:r w:rsidRPr="00407999">
              <w:rPr>
                <w:color w:val="000000"/>
                <w:sz w:val="17"/>
              </w:rPr>
              <w:t>1</w:t>
            </w:r>
          </w:p>
        </w:tc>
        <w:tc>
          <w:tcPr>
            <w:tcW w:w="1350"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color w:val="000000"/>
                <w:sz w:val="17"/>
              </w:rPr>
            </w:pPr>
            <w:r w:rsidRPr="00407999">
              <w:rPr>
                <w:color w:val="000000"/>
                <w:sz w:val="17"/>
              </w:rPr>
              <w:t>2</w:t>
            </w:r>
          </w:p>
        </w:tc>
        <w:tc>
          <w:tcPr>
            <w:tcW w:w="1350" w:type="dxa"/>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color w:val="000000"/>
                <w:sz w:val="17"/>
              </w:rPr>
            </w:pPr>
            <w:r w:rsidRPr="00407999">
              <w:rPr>
                <w:color w:val="000000"/>
                <w:sz w:val="17"/>
              </w:rPr>
              <w:t>1</w:t>
            </w:r>
          </w:p>
        </w:tc>
      </w:tr>
      <w:tr w:rsidR="00D926D4" w:rsidRPr="00407999">
        <w:tblPrEx>
          <w:tblCellMar>
            <w:top w:w="0" w:type="dxa"/>
            <w:bottom w:w="0" w:type="dxa"/>
          </w:tblCellMar>
        </w:tblPrEx>
        <w:trPr>
          <w:cantSplit/>
          <w:trHeight w:val="262"/>
        </w:trPr>
        <w:tc>
          <w:tcPr>
            <w:tcW w:w="1373" w:type="dxa"/>
            <w:tcBorders>
              <w:bottom w:val="single" w:sz="12" w:space="0" w:color="auto"/>
            </w:tcBorders>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rPr>
                <w:color w:val="000000"/>
                <w:sz w:val="17"/>
              </w:rPr>
            </w:pPr>
            <w:r w:rsidRPr="00407999">
              <w:rPr>
                <w:color w:val="000000"/>
                <w:sz w:val="17"/>
              </w:rPr>
              <w:t>% de femmes</w:t>
            </w:r>
          </w:p>
        </w:tc>
        <w:tc>
          <w:tcPr>
            <w:tcW w:w="1170" w:type="dxa"/>
            <w:tcBorders>
              <w:bottom w:val="single" w:sz="12" w:space="0" w:color="auto"/>
            </w:tcBorders>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color w:val="000000"/>
                <w:sz w:val="17"/>
              </w:rPr>
            </w:pPr>
            <w:r w:rsidRPr="00407999">
              <w:rPr>
                <w:color w:val="000000"/>
                <w:sz w:val="17"/>
              </w:rPr>
              <w:t>69,2</w:t>
            </w:r>
          </w:p>
        </w:tc>
        <w:tc>
          <w:tcPr>
            <w:tcW w:w="1350" w:type="dxa"/>
            <w:tcBorders>
              <w:bottom w:val="single" w:sz="12" w:space="0" w:color="auto"/>
            </w:tcBorders>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color w:val="000000"/>
                <w:sz w:val="17"/>
              </w:rPr>
            </w:pPr>
            <w:r w:rsidRPr="00407999">
              <w:rPr>
                <w:color w:val="000000"/>
                <w:sz w:val="17"/>
              </w:rPr>
              <w:t>62,5</w:t>
            </w:r>
          </w:p>
        </w:tc>
        <w:tc>
          <w:tcPr>
            <w:tcW w:w="1350" w:type="dxa"/>
            <w:tcBorders>
              <w:bottom w:val="single" w:sz="12" w:space="0" w:color="auto"/>
            </w:tcBorders>
            <w:shd w:val="clear" w:color="auto" w:fill="auto"/>
            <w:vAlign w:val="bottom"/>
          </w:tcPr>
          <w:p w:rsidR="00D926D4" w:rsidRPr="00407999" w:rsidRDefault="00D926D4" w:rsidP="00407999">
            <w:pPr>
              <w:tabs>
                <w:tab w:val="left" w:pos="288"/>
                <w:tab w:val="left" w:pos="576"/>
                <w:tab w:val="left" w:pos="864"/>
                <w:tab w:val="left" w:pos="1152"/>
              </w:tabs>
              <w:suppressAutoHyphens/>
              <w:spacing w:before="40" w:after="40" w:line="210" w:lineRule="exact"/>
              <w:ind w:right="43"/>
              <w:jc w:val="right"/>
              <w:rPr>
                <w:color w:val="000000"/>
                <w:sz w:val="17"/>
              </w:rPr>
            </w:pPr>
            <w:r w:rsidRPr="00407999">
              <w:rPr>
                <w:color w:val="000000"/>
                <w:sz w:val="17"/>
              </w:rPr>
              <w:t>42,9</w:t>
            </w:r>
          </w:p>
        </w:tc>
      </w:tr>
    </w:tbl>
    <w:p w:rsidR="00407999" w:rsidRPr="00407999" w:rsidRDefault="00407999" w:rsidP="00407999">
      <w:pPr>
        <w:spacing w:line="120" w:lineRule="exact"/>
        <w:jc w:val="both"/>
        <w:rPr>
          <w:sz w:val="10"/>
        </w:rPr>
      </w:pPr>
    </w:p>
    <w:p w:rsidR="00D926D4" w:rsidRPr="00407999" w:rsidRDefault="00D926D4" w:rsidP="00407999">
      <w:pPr>
        <w:pStyle w:val="SingleTxt"/>
        <w:rPr>
          <w:sz w:val="17"/>
          <w:szCs w:val="17"/>
        </w:rPr>
      </w:pPr>
      <w:r w:rsidRPr="004316C8">
        <w:t>*</w:t>
      </w:r>
      <w:r w:rsidR="00BA4F2E">
        <w:t xml:space="preserve"> </w:t>
      </w:r>
      <w:r w:rsidRPr="00407999">
        <w:rPr>
          <w:sz w:val="17"/>
          <w:szCs w:val="17"/>
        </w:rPr>
        <w:t>Données concernant le premier semestre 2005.</w:t>
      </w:r>
    </w:p>
    <w:p w:rsidR="00D926D4" w:rsidRPr="00407999" w:rsidRDefault="00D926D4" w:rsidP="00407999">
      <w:pPr>
        <w:pStyle w:val="SingleTxt"/>
        <w:rPr>
          <w:sz w:val="17"/>
          <w:szCs w:val="17"/>
        </w:rPr>
      </w:pPr>
      <w:r w:rsidRPr="00407999">
        <w:rPr>
          <w:i/>
          <w:sz w:val="17"/>
          <w:szCs w:val="17"/>
        </w:rPr>
        <w:t>Source</w:t>
      </w:r>
      <w:r w:rsidRPr="00407999">
        <w:rPr>
          <w:sz w:val="17"/>
          <w:szCs w:val="17"/>
        </w:rPr>
        <w:t xml:space="preserve">: Bureau pour </w:t>
      </w:r>
      <w:r w:rsidR="00247191">
        <w:rPr>
          <w:sz w:val="17"/>
          <w:szCs w:val="17"/>
        </w:rPr>
        <w:t>L’Égalité</w:t>
      </w:r>
      <w:r w:rsidRPr="00407999">
        <w:rPr>
          <w:sz w:val="17"/>
          <w:szCs w:val="17"/>
        </w:rPr>
        <w:t xml:space="preserve"> des chances, 2005.</w:t>
      </w:r>
    </w:p>
    <w:p w:rsidR="00D926D4" w:rsidRDefault="00011F33" w:rsidP="00011F33">
      <w:pPr>
        <w:pStyle w:val="SingleTxt"/>
        <w:jc w:val="left"/>
        <w:rPr>
          <w:lang w:val="fr-FR"/>
        </w:rPr>
      </w:pPr>
      <w:r>
        <w:br w:type="page"/>
      </w:r>
      <w:r w:rsidR="00D926D4" w:rsidRPr="0014372C">
        <w:rPr>
          <w:lang w:val="fr-FR"/>
        </w:rPr>
        <w:t>Tableau 13</w:t>
      </w:r>
      <w:r>
        <w:rPr>
          <w:lang w:val="fr-FR"/>
        </w:rPr>
        <w:br/>
      </w:r>
      <w:r w:rsidR="00D926D4" w:rsidRPr="00011F33">
        <w:rPr>
          <w:b/>
          <w:lang w:val="fr-FR"/>
        </w:rPr>
        <w:t>Atteintes criminelles à la vie et aux personnes, et pourcentage de femmes victimes, 2002-2004</w:t>
      </w:r>
    </w:p>
    <w:p w:rsidR="00011F33" w:rsidRPr="00011F33" w:rsidRDefault="00011F33" w:rsidP="00011F33">
      <w:pPr>
        <w:pStyle w:val="SingleTxt"/>
        <w:spacing w:after="0" w:line="120" w:lineRule="exact"/>
        <w:jc w:val="left"/>
        <w:rPr>
          <w:sz w:val="10"/>
          <w:lang w:val="fr-FR"/>
        </w:rPr>
      </w:pPr>
    </w:p>
    <w:tbl>
      <w:tblPr>
        <w:tblW w:w="9790" w:type="dxa"/>
        <w:tblLayout w:type="fixed"/>
        <w:tblCellMar>
          <w:left w:w="70" w:type="dxa"/>
          <w:right w:w="70" w:type="dxa"/>
        </w:tblCellMar>
        <w:tblLook w:val="0000" w:firstRow="0" w:lastRow="0" w:firstColumn="0" w:lastColumn="0" w:noHBand="0" w:noVBand="0"/>
      </w:tblPr>
      <w:tblGrid>
        <w:gridCol w:w="790"/>
        <w:gridCol w:w="1440"/>
        <w:gridCol w:w="1080"/>
        <w:gridCol w:w="1620"/>
        <w:gridCol w:w="1440"/>
        <w:gridCol w:w="1440"/>
        <w:gridCol w:w="1980"/>
      </w:tblGrid>
      <w:tr w:rsidR="00D926D4" w:rsidRPr="00011F33">
        <w:tblPrEx>
          <w:tblCellMar>
            <w:top w:w="0" w:type="dxa"/>
            <w:bottom w:w="0" w:type="dxa"/>
          </w:tblCellMar>
        </w:tblPrEx>
        <w:trPr>
          <w:tblHeader/>
        </w:trPr>
        <w:tc>
          <w:tcPr>
            <w:tcW w:w="790" w:type="dxa"/>
            <w:tcBorders>
              <w:top w:val="single" w:sz="4" w:space="0" w:color="auto"/>
              <w:bottom w:val="single" w:sz="12" w:space="0" w:color="auto"/>
            </w:tcBorders>
            <w:shd w:val="clear" w:color="auto" w:fill="auto"/>
            <w:vAlign w:val="bottom"/>
          </w:tcPr>
          <w:p w:rsidR="00D926D4" w:rsidRPr="00011F33" w:rsidRDefault="00D926D4" w:rsidP="00011F33">
            <w:pPr>
              <w:suppressAutoHyphens/>
              <w:spacing w:before="80" w:after="80" w:line="160" w:lineRule="exact"/>
              <w:ind w:right="43"/>
              <w:rPr>
                <w:bCs/>
                <w:i/>
                <w:sz w:val="14"/>
              </w:rPr>
            </w:pPr>
            <w:r w:rsidRPr="00011F33">
              <w:rPr>
                <w:bCs/>
                <w:i/>
                <w:sz w:val="14"/>
              </w:rPr>
              <w:t>Année</w:t>
            </w:r>
          </w:p>
        </w:tc>
        <w:tc>
          <w:tcPr>
            <w:tcW w:w="1440" w:type="dxa"/>
            <w:tcBorders>
              <w:top w:val="single" w:sz="4" w:space="0" w:color="auto"/>
              <w:bottom w:val="single" w:sz="12" w:space="0" w:color="auto"/>
            </w:tcBorders>
            <w:shd w:val="clear" w:color="auto" w:fill="auto"/>
            <w:vAlign w:val="bottom"/>
          </w:tcPr>
          <w:p w:rsidR="00D926D4" w:rsidRPr="00011F33" w:rsidRDefault="00D926D4" w:rsidP="00011F33">
            <w:pPr>
              <w:suppressAutoHyphens/>
              <w:spacing w:before="80" w:after="80" w:line="160" w:lineRule="exact"/>
              <w:ind w:right="43"/>
              <w:jc w:val="right"/>
              <w:rPr>
                <w:bCs/>
                <w:i/>
                <w:sz w:val="14"/>
              </w:rPr>
            </w:pPr>
          </w:p>
        </w:tc>
        <w:tc>
          <w:tcPr>
            <w:tcW w:w="1080" w:type="dxa"/>
            <w:tcBorders>
              <w:top w:val="single" w:sz="4" w:space="0" w:color="auto"/>
              <w:bottom w:val="single" w:sz="12" w:space="0" w:color="auto"/>
            </w:tcBorders>
            <w:shd w:val="clear" w:color="auto" w:fill="auto"/>
            <w:vAlign w:val="bottom"/>
          </w:tcPr>
          <w:p w:rsidR="00D926D4" w:rsidRPr="00011F33" w:rsidRDefault="00D926D4" w:rsidP="00011F33">
            <w:pPr>
              <w:suppressAutoHyphens/>
              <w:spacing w:before="80" w:after="80" w:line="160" w:lineRule="exact"/>
              <w:ind w:right="43"/>
              <w:jc w:val="right"/>
              <w:rPr>
                <w:bCs/>
                <w:i/>
                <w:sz w:val="14"/>
              </w:rPr>
            </w:pPr>
            <w:r w:rsidRPr="00011F33">
              <w:rPr>
                <w:bCs/>
                <w:i/>
                <w:sz w:val="14"/>
              </w:rPr>
              <w:t>Meurtre</w:t>
            </w:r>
          </w:p>
        </w:tc>
        <w:tc>
          <w:tcPr>
            <w:tcW w:w="1620" w:type="dxa"/>
            <w:tcBorders>
              <w:top w:val="single" w:sz="4" w:space="0" w:color="auto"/>
              <w:bottom w:val="single" w:sz="12" w:space="0" w:color="auto"/>
            </w:tcBorders>
            <w:shd w:val="clear" w:color="auto" w:fill="auto"/>
            <w:vAlign w:val="bottom"/>
          </w:tcPr>
          <w:p w:rsidR="00D926D4" w:rsidRPr="00011F33" w:rsidRDefault="00D926D4" w:rsidP="00011F33">
            <w:pPr>
              <w:suppressAutoHyphens/>
              <w:spacing w:before="80" w:after="80" w:line="160" w:lineRule="exact"/>
              <w:ind w:right="43"/>
              <w:jc w:val="right"/>
              <w:rPr>
                <w:bCs/>
                <w:i/>
                <w:sz w:val="14"/>
              </w:rPr>
            </w:pPr>
            <w:r w:rsidRPr="00011F33">
              <w:rPr>
                <w:bCs/>
                <w:i/>
                <w:sz w:val="14"/>
              </w:rPr>
              <w:t xml:space="preserve">Blessures physiques </w:t>
            </w:r>
            <w:r w:rsidR="00221C8A">
              <w:rPr>
                <w:bCs/>
                <w:i/>
                <w:sz w:val="14"/>
              </w:rPr>
              <w:t>particulièrem</w:t>
            </w:r>
            <w:r w:rsidR="00221C8A" w:rsidRPr="00011F33">
              <w:rPr>
                <w:bCs/>
                <w:i/>
                <w:sz w:val="14"/>
              </w:rPr>
              <w:t>ent</w:t>
            </w:r>
            <w:r w:rsidRPr="00011F33">
              <w:rPr>
                <w:bCs/>
                <w:i/>
                <w:sz w:val="14"/>
              </w:rPr>
              <w:t xml:space="preserve"> graves</w:t>
            </w:r>
          </w:p>
        </w:tc>
        <w:tc>
          <w:tcPr>
            <w:tcW w:w="1440" w:type="dxa"/>
            <w:tcBorders>
              <w:top w:val="single" w:sz="4" w:space="0" w:color="auto"/>
              <w:bottom w:val="single" w:sz="12" w:space="0" w:color="auto"/>
            </w:tcBorders>
            <w:shd w:val="clear" w:color="auto" w:fill="auto"/>
            <w:vAlign w:val="bottom"/>
          </w:tcPr>
          <w:p w:rsidR="00D926D4" w:rsidRPr="00011F33" w:rsidRDefault="00D926D4" w:rsidP="00011F33">
            <w:pPr>
              <w:suppressAutoHyphens/>
              <w:spacing w:before="80" w:after="80" w:line="160" w:lineRule="exact"/>
              <w:ind w:right="43"/>
              <w:jc w:val="right"/>
              <w:rPr>
                <w:bCs/>
                <w:i/>
                <w:sz w:val="14"/>
              </w:rPr>
            </w:pPr>
            <w:r w:rsidRPr="00011F33">
              <w:rPr>
                <w:bCs/>
                <w:i/>
                <w:sz w:val="14"/>
              </w:rPr>
              <w:t>Blessures physiques graves</w:t>
            </w:r>
          </w:p>
        </w:tc>
        <w:tc>
          <w:tcPr>
            <w:tcW w:w="1440" w:type="dxa"/>
            <w:tcBorders>
              <w:top w:val="single" w:sz="4" w:space="0" w:color="auto"/>
              <w:bottom w:val="single" w:sz="12" w:space="0" w:color="auto"/>
            </w:tcBorders>
            <w:shd w:val="clear" w:color="auto" w:fill="auto"/>
            <w:vAlign w:val="bottom"/>
          </w:tcPr>
          <w:p w:rsidR="00D926D4" w:rsidRPr="00011F33" w:rsidRDefault="00D926D4" w:rsidP="00011F33">
            <w:pPr>
              <w:suppressAutoHyphens/>
              <w:spacing w:before="80" w:after="80" w:line="160" w:lineRule="exact"/>
              <w:ind w:right="43"/>
              <w:jc w:val="right"/>
              <w:rPr>
                <w:bCs/>
                <w:i/>
                <w:sz w:val="14"/>
              </w:rPr>
            </w:pPr>
            <w:r w:rsidRPr="00011F33">
              <w:rPr>
                <w:bCs/>
                <w:i/>
                <w:sz w:val="14"/>
              </w:rPr>
              <w:t>Blessures physiques légères</w:t>
            </w:r>
          </w:p>
        </w:tc>
        <w:tc>
          <w:tcPr>
            <w:tcW w:w="1980" w:type="dxa"/>
            <w:tcBorders>
              <w:top w:val="single" w:sz="4" w:space="0" w:color="auto"/>
              <w:bottom w:val="single" w:sz="12" w:space="0" w:color="auto"/>
            </w:tcBorders>
            <w:shd w:val="clear" w:color="auto" w:fill="auto"/>
            <w:vAlign w:val="bottom"/>
          </w:tcPr>
          <w:p w:rsidR="00D926D4" w:rsidRPr="00011F33" w:rsidRDefault="00D926D4" w:rsidP="00011F33">
            <w:pPr>
              <w:suppressAutoHyphens/>
              <w:spacing w:before="80" w:after="80" w:line="160" w:lineRule="exact"/>
              <w:ind w:right="43"/>
              <w:jc w:val="right"/>
              <w:rPr>
                <w:bCs/>
                <w:i/>
                <w:sz w:val="14"/>
              </w:rPr>
            </w:pPr>
            <w:r w:rsidRPr="00011F33">
              <w:rPr>
                <w:bCs/>
                <w:i/>
                <w:sz w:val="14"/>
              </w:rPr>
              <w:t>Menace au moyen d’une arme dangereuse</w:t>
            </w:r>
          </w:p>
        </w:tc>
      </w:tr>
      <w:tr w:rsidR="00011F33" w:rsidRPr="00011F33">
        <w:tblPrEx>
          <w:tblCellMar>
            <w:top w:w="0" w:type="dxa"/>
            <w:bottom w:w="0" w:type="dxa"/>
          </w:tblCellMar>
        </w:tblPrEx>
        <w:trPr>
          <w:trHeight w:hRule="exact" w:val="115"/>
          <w:tblHeader/>
        </w:trPr>
        <w:tc>
          <w:tcPr>
            <w:tcW w:w="790" w:type="dxa"/>
            <w:tcBorders>
              <w:top w:val="single" w:sz="12" w:space="0" w:color="auto"/>
            </w:tcBorders>
            <w:shd w:val="clear" w:color="auto" w:fill="auto"/>
            <w:vAlign w:val="bottom"/>
          </w:tcPr>
          <w:p w:rsidR="00011F33" w:rsidRPr="00011F33" w:rsidRDefault="00011F33" w:rsidP="00011F33">
            <w:pPr>
              <w:suppressAutoHyphens/>
              <w:spacing w:before="40" w:after="40" w:line="210" w:lineRule="exact"/>
              <w:ind w:right="43"/>
              <w:rPr>
                <w:sz w:val="17"/>
              </w:rPr>
            </w:pPr>
          </w:p>
        </w:tc>
        <w:tc>
          <w:tcPr>
            <w:tcW w:w="1440" w:type="dxa"/>
            <w:tcBorders>
              <w:top w:val="single" w:sz="12" w:space="0" w:color="auto"/>
            </w:tcBorders>
            <w:shd w:val="clear" w:color="auto" w:fill="auto"/>
            <w:vAlign w:val="bottom"/>
          </w:tcPr>
          <w:p w:rsidR="00011F33" w:rsidRPr="000460CB" w:rsidRDefault="00011F33" w:rsidP="00011F33">
            <w:pPr>
              <w:suppressAutoHyphens/>
              <w:spacing w:before="40" w:after="40" w:line="210" w:lineRule="exact"/>
              <w:ind w:right="43"/>
              <w:jc w:val="right"/>
              <w:rPr>
                <w:sz w:val="17"/>
                <w:lang w:val="fr-FR"/>
              </w:rPr>
            </w:pPr>
          </w:p>
        </w:tc>
        <w:tc>
          <w:tcPr>
            <w:tcW w:w="1080" w:type="dxa"/>
            <w:tcBorders>
              <w:top w:val="single" w:sz="12" w:space="0" w:color="auto"/>
            </w:tcBorders>
            <w:shd w:val="clear" w:color="auto" w:fill="auto"/>
            <w:vAlign w:val="bottom"/>
          </w:tcPr>
          <w:p w:rsidR="00011F33" w:rsidRPr="00011F33" w:rsidRDefault="00011F33" w:rsidP="00011F33">
            <w:pPr>
              <w:suppressAutoHyphens/>
              <w:spacing w:before="40" w:after="40" w:line="210" w:lineRule="exact"/>
              <w:ind w:right="43"/>
              <w:jc w:val="right"/>
              <w:rPr>
                <w:sz w:val="17"/>
              </w:rPr>
            </w:pPr>
          </w:p>
        </w:tc>
        <w:tc>
          <w:tcPr>
            <w:tcW w:w="1620" w:type="dxa"/>
            <w:tcBorders>
              <w:top w:val="single" w:sz="12" w:space="0" w:color="auto"/>
            </w:tcBorders>
            <w:shd w:val="clear" w:color="auto" w:fill="auto"/>
            <w:vAlign w:val="bottom"/>
          </w:tcPr>
          <w:p w:rsidR="00011F33" w:rsidRPr="00011F33" w:rsidRDefault="00011F33" w:rsidP="00011F33">
            <w:pPr>
              <w:suppressAutoHyphens/>
              <w:spacing w:before="40" w:after="40" w:line="210" w:lineRule="exact"/>
              <w:ind w:right="43"/>
              <w:jc w:val="right"/>
              <w:rPr>
                <w:sz w:val="17"/>
              </w:rPr>
            </w:pPr>
          </w:p>
        </w:tc>
        <w:tc>
          <w:tcPr>
            <w:tcW w:w="1440" w:type="dxa"/>
            <w:tcBorders>
              <w:top w:val="single" w:sz="12" w:space="0" w:color="auto"/>
            </w:tcBorders>
            <w:shd w:val="clear" w:color="auto" w:fill="auto"/>
            <w:vAlign w:val="bottom"/>
          </w:tcPr>
          <w:p w:rsidR="00011F33" w:rsidRPr="00011F33" w:rsidRDefault="00011F33" w:rsidP="00011F33">
            <w:pPr>
              <w:suppressAutoHyphens/>
              <w:spacing w:before="40" w:after="40" w:line="210" w:lineRule="exact"/>
              <w:ind w:right="43"/>
              <w:jc w:val="right"/>
              <w:rPr>
                <w:sz w:val="17"/>
              </w:rPr>
            </w:pPr>
          </w:p>
        </w:tc>
        <w:tc>
          <w:tcPr>
            <w:tcW w:w="1440" w:type="dxa"/>
            <w:tcBorders>
              <w:top w:val="single" w:sz="12" w:space="0" w:color="auto"/>
            </w:tcBorders>
            <w:shd w:val="clear" w:color="auto" w:fill="auto"/>
            <w:vAlign w:val="bottom"/>
          </w:tcPr>
          <w:p w:rsidR="00011F33" w:rsidRPr="00011F33" w:rsidRDefault="00011F33" w:rsidP="00011F33">
            <w:pPr>
              <w:suppressAutoHyphens/>
              <w:spacing w:before="40" w:after="40" w:line="210" w:lineRule="exact"/>
              <w:ind w:right="43"/>
              <w:jc w:val="right"/>
              <w:rPr>
                <w:sz w:val="17"/>
              </w:rPr>
            </w:pPr>
          </w:p>
        </w:tc>
        <w:tc>
          <w:tcPr>
            <w:tcW w:w="1980" w:type="dxa"/>
            <w:tcBorders>
              <w:top w:val="single" w:sz="12" w:space="0" w:color="auto"/>
            </w:tcBorders>
            <w:shd w:val="clear" w:color="auto" w:fill="auto"/>
            <w:vAlign w:val="bottom"/>
          </w:tcPr>
          <w:p w:rsidR="00011F33" w:rsidRPr="00011F33" w:rsidRDefault="00011F33" w:rsidP="00011F33">
            <w:pPr>
              <w:suppressAutoHyphens/>
              <w:spacing w:before="40" w:after="40" w:line="210" w:lineRule="exact"/>
              <w:ind w:right="43"/>
              <w:jc w:val="right"/>
              <w:rPr>
                <w:sz w:val="17"/>
              </w:rPr>
            </w:pPr>
          </w:p>
        </w:tc>
      </w:tr>
      <w:tr w:rsidR="00D926D4" w:rsidRPr="00011F33">
        <w:tblPrEx>
          <w:tblCellMar>
            <w:top w:w="0" w:type="dxa"/>
            <w:bottom w:w="0" w:type="dxa"/>
          </w:tblCellMar>
        </w:tblPrEx>
        <w:tc>
          <w:tcPr>
            <w:tcW w:w="790"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rPr>
                <w:sz w:val="17"/>
              </w:rPr>
            </w:pPr>
            <w:r w:rsidRPr="00011F33">
              <w:rPr>
                <w:sz w:val="17"/>
              </w:rPr>
              <w:t>2002</w:t>
            </w:r>
          </w:p>
        </w:tc>
        <w:tc>
          <w:tcPr>
            <w:tcW w:w="1440" w:type="dxa"/>
            <w:shd w:val="clear" w:color="auto" w:fill="auto"/>
            <w:vAlign w:val="bottom"/>
          </w:tcPr>
          <w:p w:rsidR="00D926D4" w:rsidRPr="000460CB" w:rsidRDefault="00D926D4" w:rsidP="00011F33">
            <w:pPr>
              <w:tabs>
                <w:tab w:val="left" w:pos="288"/>
                <w:tab w:val="left" w:pos="576"/>
                <w:tab w:val="left" w:pos="864"/>
                <w:tab w:val="left" w:pos="1152"/>
              </w:tabs>
              <w:suppressAutoHyphens/>
              <w:spacing w:before="40" w:after="40" w:line="210" w:lineRule="exact"/>
              <w:ind w:right="43"/>
              <w:jc w:val="right"/>
              <w:rPr>
                <w:sz w:val="17"/>
                <w:lang w:val="fr-FR"/>
              </w:rPr>
            </w:pPr>
            <w:r w:rsidRPr="000460CB">
              <w:rPr>
                <w:sz w:val="17"/>
                <w:lang w:val="fr-FR"/>
              </w:rPr>
              <w:t>Total</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 Contre des femmes</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 Pourcentage de femmes</w:t>
            </w:r>
          </w:p>
        </w:tc>
        <w:tc>
          <w:tcPr>
            <w:tcW w:w="1080"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78</w:t>
            </w:r>
            <w:r w:rsidR="00BA4F2E">
              <w:rPr>
                <w:sz w:val="17"/>
              </w:rPr>
              <w:t xml:space="preserve">          </w:t>
            </w:r>
            <w:r w:rsidRPr="00011F33">
              <w:rPr>
                <w:sz w:val="17"/>
              </w:rPr>
              <w:t>22</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28,2</w:t>
            </w:r>
          </w:p>
        </w:tc>
        <w:tc>
          <w:tcPr>
            <w:tcW w:w="1620"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21</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6</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28,6</w:t>
            </w:r>
          </w:p>
        </w:tc>
        <w:tc>
          <w:tcPr>
            <w:tcW w:w="1440"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389</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69</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17,7</w:t>
            </w:r>
          </w:p>
        </w:tc>
        <w:tc>
          <w:tcPr>
            <w:tcW w:w="1440"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2.043</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496</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24,3</w:t>
            </w:r>
          </w:p>
        </w:tc>
        <w:tc>
          <w:tcPr>
            <w:tcW w:w="1980"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341</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80</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23,5</w:t>
            </w:r>
          </w:p>
        </w:tc>
      </w:tr>
      <w:tr w:rsidR="00D926D4" w:rsidRPr="00011F33">
        <w:tblPrEx>
          <w:tblCellMar>
            <w:top w:w="0" w:type="dxa"/>
            <w:bottom w:w="0" w:type="dxa"/>
          </w:tblCellMar>
        </w:tblPrEx>
        <w:tc>
          <w:tcPr>
            <w:tcW w:w="790"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rPr>
                <w:sz w:val="17"/>
              </w:rPr>
            </w:pPr>
            <w:r w:rsidRPr="00011F33">
              <w:rPr>
                <w:sz w:val="17"/>
              </w:rPr>
              <w:t>2003</w:t>
            </w:r>
          </w:p>
        </w:tc>
        <w:tc>
          <w:tcPr>
            <w:tcW w:w="1440" w:type="dxa"/>
            <w:shd w:val="clear" w:color="auto" w:fill="auto"/>
            <w:vAlign w:val="bottom"/>
          </w:tcPr>
          <w:p w:rsidR="00D926D4" w:rsidRPr="000460CB" w:rsidRDefault="00D926D4" w:rsidP="00011F33">
            <w:pPr>
              <w:tabs>
                <w:tab w:val="left" w:pos="288"/>
                <w:tab w:val="left" w:pos="576"/>
                <w:tab w:val="left" w:pos="864"/>
                <w:tab w:val="left" w:pos="1152"/>
              </w:tabs>
              <w:suppressAutoHyphens/>
              <w:spacing w:before="40" w:after="40" w:line="210" w:lineRule="exact"/>
              <w:ind w:right="43"/>
              <w:jc w:val="right"/>
              <w:rPr>
                <w:sz w:val="17"/>
                <w:lang w:val="fr-FR"/>
              </w:rPr>
            </w:pPr>
            <w:r w:rsidRPr="000460CB">
              <w:rPr>
                <w:sz w:val="17"/>
                <w:lang w:val="fr-FR"/>
              </w:rPr>
              <w:t>Total</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 Contre des femmes</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 Pourcentage de femmes</w:t>
            </w:r>
          </w:p>
        </w:tc>
        <w:tc>
          <w:tcPr>
            <w:tcW w:w="1080"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57</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23</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40,4</w:t>
            </w:r>
          </w:p>
        </w:tc>
        <w:tc>
          <w:tcPr>
            <w:tcW w:w="1620"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18</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11,1</w:t>
            </w:r>
          </w:p>
        </w:tc>
        <w:tc>
          <w:tcPr>
            <w:tcW w:w="1440"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295</w:t>
            </w:r>
            <w:r w:rsidR="00BA4F2E">
              <w:rPr>
                <w:sz w:val="17"/>
              </w:rPr>
              <w:t xml:space="preserve">          </w:t>
            </w:r>
            <w:r w:rsidRPr="00011F33">
              <w:rPr>
                <w:sz w:val="17"/>
              </w:rPr>
              <w:t>43</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14,5</w:t>
            </w:r>
          </w:p>
        </w:tc>
        <w:tc>
          <w:tcPr>
            <w:tcW w:w="1440"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2.084</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483</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23,2</w:t>
            </w:r>
          </w:p>
        </w:tc>
        <w:tc>
          <w:tcPr>
            <w:tcW w:w="1980"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353</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87</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24,7</w:t>
            </w:r>
          </w:p>
        </w:tc>
      </w:tr>
      <w:tr w:rsidR="00D926D4" w:rsidRPr="00011F33">
        <w:tblPrEx>
          <w:tblCellMar>
            <w:top w:w="0" w:type="dxa"/>
            <w:bottom w:w="0" w:type="dxa"/>
          </w:tblCellMar>
        </w:tblPrEx>
        <w:tc>
          <w:tcPr>
            <w:tcW w:w="790" w:type="dxa"/>
            <w:tcBorders>
              <w:bottom w:val="single" w:sz="12" w:space="0" w:color="auto"/>
            </w:tcBorders>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rPr>
                <w:sz w:val="17"/>
              </w:rPr>
            </w:pPr>
            <w:r w:rsidRPr="00011F33">
              <w:rPr>
                <w:sz w:val="17"/>
              </w:rPr>
              <w:t>2004</w:t>
            </w:r>
          </w:p>
        </w:tc>
        <w:tc>
          <w:tcPr>
            <w:tcW w:w="1440" w:type="dxa"/>
            <w:tcBorders>
              <w:bottom w:val="single" w:sz="12" w:space="0" w:color="auto"/>
            </w:tcBorders>
            <w:shd w:val="clear" w:color="auto" w:fill="auto"/>
            <w:vAlign w:val="bottom"/>
          </w:tcPr>
          <w:p w:rsidR="00D926D4" w:rsidRPr="000460CB" w:rsidRDefault="00D926D4" w:rsidP="00011F33">
            <w:pPr>
              <w:tabs>
                <w:tab w:val="left" w:pos="288"/>
                <w:tab w:val="left" w:pos="576"/>
                <w:tab w:val="left" w:pos="864"/>
                <w:tab w:val="left" w:pos="1152"/>
              </w:tabs>
              <w:suppressAutoHyphens/>
              <w:spacing w:before="40" w:after="40" w:line="210" w:lineRule="exact"/>
              <w:ind w:right="43"/>
              <w:jc w:val="right"/>
              <w:rPr>
                <w:sz w:val="17"/>
                <w:lang w:val="fr-FR"/>
              </w:rPr>
            </w:pPr>
            <w:r w:rsidRPr="000460CB">
              <w:rPr>
                <w:sz w:val="17"/>
                <w:lang w:val="fr-FR"/>
              </w:rPr>
              <w:t>Total</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 Contre des femmes</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 Pourcentage de femmes</w:t>
            </w:r>
          </w:p>
        </w:tc>
        <w:tc>
          <w:tcPr>
            <w:tcW w:w="1080" w:type="dxa"/>
            <w:tcBorders>
              <w:bottom w:val="single" w:sz="12" w:space="0" w:color="auto"/>
            </w:tcBorders>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 xml:space="preserve"> 95</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25</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26,3</w:t>
            </w:r>
          </w:p>
        </w:tc>
        <w:tc>
          <w:tcPr>
            <w:tcW w:w="1620" w:type="dxa"/>
            <w:tcBorders>
              <w:bottom w:val="single" w:sz="12" w:space="0" w:color="auto"/>
            </w:tcBorders>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10</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0</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0</w:t>
            </w:r>
          </w:p>
        </w:tc>
        <w:tc>
          <w:tcPr>
            <w:tcW w:w="1440" w:type="dxa"/>
            <w:tcBorders>
              <w:bottom w:val="single" w:sz="12" w:space="0" w:color="auto"/>
            </w:tcBorders>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306</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45</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14,7</w:t>
            </w:r>
          </w:p>
        </w:tc>
        <w:tc>
          <w:tcPr>
            <w:tcW w:w="1440" w:type="dxa"/>
            <w:tcBorders>
              <w:bottom w:val="single" w:sz="12" w:space="0" w:color="auto"/>
            </w:tcBorders>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2.331</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562</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24,1</w:t>
            </w:r>
          </w:p>
        </w:tc>
        <w:tc>
          <w:tcPr>
            <w:tcW w:w="1980" w:type="dxa"/>
            <w:tcBorders>
              <w:bottom w:val="single" w:sz="12" w:space="0" w:color="auto"/>
            </w:tcBorders>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365</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88</w:t>
            </w:r>
          </w:p>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24,1</w:t>
            </w:r>
          </w:p>
        </w:tc>
      </w:tr>
    </w:tbl>
    <w:p w:rsidR="00011F33" w:rsidRPr="00011F33" w:rsidRDefault="00011F33" w:rsidP="00011F33">
      <w:pPr>
        <w:spacing w:line="120" w:lineRule="exact"/>
        <w:jc w:val="both"/>
        <w:rPr>
          <w:sz w:val="10"/>
          <w:lang w:val="en-GB"/>
        </w:rPr>
      </w:pPr>
    </w:p>
    <w:p w:rsidR="00D926D4" w:rsidRPr="00011F33" w:rsidRDefault="00D926D4" w:rsidP="00D926D4">
      <w:pPr>
        <w:jc w:val="both"/>
        <w:rPr>
          <w:sz w:val="17"/>
          <w:szCs w:val="17"/>
          <w:lang w:val="en-GB"/>
        </w:rPr>
      </w:pPr>
      <w:r w:rsidRPr="00011F33">
        <w:rPr>
          <w:i/>
          <w:sz w:val="17"/>
          <w:szCs w:val="17"/>
          <w:lang w:val="en-GB"/>
        </w:rPr>
        <w:t>Source</w:t>
      </w:r>
      <w:r w:rsidRPr="00011F33">
        <w:rPr>
          <w:sz w:val="17"/>
          <w:szCs w:val="17"/>
          <w:lang w:val="en-GB"/>
        </w:rPr>
        <w:t>:</w:t>
      </w:r>
      <w:r w:rsidRPr="00221C8A">
        <w:rPr>
          <w:sz w:val="17"/>
          <w:szCs w:val="17"/>
        </w:rPr>
        <w:t xml:space="preserve"> Ministère</w:t>
      </w:r>
      <w:r w:rsidRPr="00011F33">
        <w:rPr>
          <w:sz w:val="17"/>
          <w:szCs w:val="17"/>
          <w:lang w:val="en-GB"/>
        </w:rPr>
        <w:t xml:space="preserve"> de l’Intérieur, 2005.</w:t>
      </w:r>
    </w:p>
    <w:p w:rsidR="00011F33" w:rsidRPr="00011F33" w:rsidRDefault="00011F33" w:rsidP="00011F33">
      <w:pPr>
        <w:spacing w:line="120" w:lineRule="exact"/>
        <w:jc w:val="both"/>
        <w:rPr>
          <w:sz w:val="10"/>
          <w:lang w:val="en-GB"/>
        </w:rPr>
      </w:pPr>
    </w:p>
    <w:p w:rsidR="00D926D4" w:rsidRPr="0014372C" w:rsidRDefault="00D926D4" w:rsidP="00011F33">
      <w:pPr>
        <w:pStyle w:val="SingleTxt"/>
        <w:jc w:val="left"/>
        <w:rPr>
          <w:lang w:val="fr-FR"/>
        </w:rPr>
      </w:pPr>
      <w:r w:rsidRPr="0014372C">
        <w:rPr>
          <w:lang w:val="fr-FR"/>
        </w:rPr>
        <w:t>Tableau 14</w:t>
      </w:r>
      <w:r w:rsidR="00011F33">
        <w:rPr>
          <w:lang w:val="fr-FR"/>
        </w:rPr>
        <w:br/>
      </w:r>
      <w:r w:rsidRPr="00011F33">
        <w:rPr>
          <w:b/>
          <w:lang w:val="fr-FR"/>
        </w:rPr>
        <w:t xml:space="preserve">Atteintes à l’ordre et à la paix publics, nombre et pourcentage de femmes victimes, nombre et pourcentage de délits avec violences domestiques, </w:t>
      </w:r>
      <w:r w:rsidR="00011F33">
        <w:rPr>
          <w:b/>
          <w:lang w:val="fr-FR"/>
        </w:rPr>
        <w:br/>
      </w:r>
      <w:r w:rsidRPr="00011F33">
        <w:rPr>
          <w:b/>
          <w:lang w:val="fr-FR"/>
        </w:rPr>
        <w:t>2001 – 2004, par lieu</w:t>
      </w:r>
    </w:p>
    <w:p w:rsidR="00011F33" w:rsidRPr="00011F33" w:rsidRDefault="00011F33" w:rsidP="00011F33">
      <w:pPr>
        <w:spacing w:line="120" w:lineRule="exact"/>
        <w:rPr>
          <w:sz w:val="10"/>
        </w:rPr>
      </w:pPr>
    </w:p>
    <w:tbl>
      <w:tblPr>
        <w:tblW w:w="0" w:type="auto"/>
        <w:tblCellMar>
          <w:left w:w="70" w:type="dxa"/>
          <w:right w:w="70" w:type="dxa"/>
        </w:tblCellMar>
        <w:tblLook w:val="0000" w:firstRow="0" w:lastRow="0" w:firstColumn="0" w:lastColumn="0" w:noHBand="0" w:noVBand="0"/>
      </w:tblPr>
      <w:tblGrid>
        <w:gridCol w:w="1150"/>
        <w:gridCol w:w="17"/>
        <w:gridCol w:w="1729"/>
        <w:gridCol w:w="13"/>
        <w:gridCol w:w="1733"/>
        <w:gridCol w:w="10"/>
        <w:gridCol w:w="1736"/>
        <w:gridCol w:w="6"/>
        <w:gridCol w:w="1743"/>
        <w:gridCol w:w="1746"/>
      </w:tblGrid>
      <w:tr w:rsidR="00D926D4" w:rsidRPr="000460CB">
        <w:tblPrEx>
          <w:tblCellMar>
            <w:top w:w="0" w:type="dxa"/>
            <w:bottom w:w="0" w:type="dxa"/>
          </w:tblCellMar>
        </w:tblPrEx>
        <w:trPr>
          <w:tblHeader/>
        </w:trPr>
        <w:tc>
          <w:tcPr>
            <w:tcW w:w="1150" w:type="dxa"/>
            <w:tcBorders>
              <w:top w:val="single" w:sz="4" w:space="0" w:color="auto"/>
              <w:bottom w:val="single" w:sz="12" w:space="0" w:color="auto"/>
            </w:tcBorders>
            <w:shd w:val="clear" w:color="auto" w:fill="auto"/>
            <w:vAlign w:val="bottom"/>
          </w:tcPr>
          <w:p w:rsidR="00D926D4" w:rsidRPr="00011F33" w:rsidRDefault="00D926D4" w:rsidP="00011F33">
            <w:pPr>
              <w:suppressAutoHyphens/>
              <w:spacing w:before="80" w:after="80" w:line="160" w:lineRule="exact"/>
              <w:ind w:right="43"/>
              <w:rPr>
                <w:bCs/>
                <w:i/>
                <w:sz w:val="14"/>
              </w:rPr>
            </w:pPr>
            <w:r w:rsidRPr="00011F33">
              <w:rPr>
                <w:bCs/>
                <w:i/>
                <w:sz w:val="14"/>
              </w:rPr>
              <w:t>Année et lieu</w:t>
            </w:r>
          </w:p>
        </w:tc>
        <w:tc>
          <w:tcPr>
            <w:tcW w:w="1746" w:type="dxa"/>
            <w:gridSpan w:val="2"/>
            <w:tcBorders>
              <w:top w:val="single" w:sz="4" w:space="0" w:color="auto"/>
              <w:bottom w:val="single" w:sz="12" w:space="0" w:color="auto"/>
            </w:tcBorders>
            <w:shd w:val="clear" w:color="auto" w:fill="auto"/>
            <w:vAlign w:val="bottom"/>
          </w:tcPr>
          <w:p w:rsidR="00D926D4" w:rsidRPr="00011F33" w:rsidRDefault="00D926D4" w:rsidP="00011F33">
            <w:pPr>
              <w:suppressAutoHyphens/>
              <w:spacing w:before="80" w:after="80" w:line="160" w:lineRule="exact"/>
              <w:ind w:right="43"/>
              <w:jc w:val="right"/>
              <w:rPr>
                <w:bCs/>
                <w:i/>
                <w:sz w:val="14"/>
              </w:rPr>
            </w:pPr>
            <w:r w:rsidRPr="00011F33">
              <w:rPr>
                <w:bCs/>
                <w:i/>
                <w:sz w:val="14"/>
              </w:rPr>
              <w:t>Nombre d’atteintes à l’ordre et à la paix publics</w:t>
            </w:r>
          </w:p>
        </w:tc>
        <w:tc>
          <w:tcPr>
            <w:tcW w:w="1746" w:type="dxa"/>
            <w:gridSpan w:val="2"/>
            <w:tcBorders>
              <w:top w:val="single" w:sz="4" w:space="0" w:color="auto"/>
              <w:bottom w:val="single" w:sz="12" w:space="0" w:color="auto"/>
            </w:tcBorders>
            <w:shd w:val="clear" w:color="auto" w:fill="auto"/>
            <w:vAlign w:val="bottom"/>
          </w:tcPr>
          <w:p w:rsidR="00D926D4" w:rsidRPr="00011F33" w:rsidRDefault="00D926D4" w:rsidP="00011F33">
            <w:pPr>
              <w:suppressAutoHyphens/>
              <w:spacing w:before="80" w:after="80" w:line="160" w:lineRule="exact"/>
              <w:ind w:right="43"/>
              <w:jc w:val="right"/>
              <w:rPr>
                <w:bCs/>
                <w:i/>
                <w:sz w:val="14"/>
              </w:rPr>
            </w:pPr>
            <w:r w:rsidRPr="00011F33">
              <w:rPr>
                <w:bCs/>
                <w:i/>
                <w:sz w:val="14"/>
              </w:rPr>
              <w:t>Nombre de femmes victimes</w:t>
            </w:r>
          </w:p>
        </w:tc>
        <w:tc>
          <w:tcPr>
            <w:tcW w:w="1746" w:type="dxa"/>
            <w:gridSpan w:val="2"/>
            <w:tcBorders>
              <w:top w:val="single" w:sz="4" w:space="0" w:color="auto"/>
              <w:bottom w:val="single" w:sz="12" w:space="0" w:color="auto"/>
            </w:tcBorders>
            <w:shd w:val="clear" w:color="auto" w:fill="auto"/>
            <w:vAlign w:val="bottom"/>
          </w:tcPr>
          <w:p w:rsidR="00D926D4" w:rsidRPr="00011F33" w:rsidRDefault="00D926D4" w:rsidP="00011F33">
            <w:pPr>
              <w:suppressAutoHyphens/>
              <w:spacing w:before="80" w:after="80" w:line="160" w:lineRule="exact"/>
              <w:ind w:right="43"/>
              <w:jc w:val="right"/>
              <w:rPr>
                <w:bCs/>
                <w:i/>
                <w:sz w:val="14"/>
              </w:rPr>
            </w:pPr>
            <w:r w:rsidRPr="00011F33">
              <w:rPr>
                <w:bCs/>
                <w:i/>
                <w:sz w:val="14"/>
              </w:rPr>
              <w:t>% de femmes victimes</w:t>
            </w:r>
          </w:p>
        </w:tc>
        <w:tc>
          <w:tcPr>
            <w:tcW w:w="1746" w:type="dxa"/>
            <w:gridSpan w:val="2"/>
            <w:tcBorders>
              <w:top w:val="single" w:sz="4" w:space="0" w:color="auto"/>
              <w:bottom w:val="single" w:sz="12" w:space="0" w:color="auto"/>
            </w:tcBorders>
            <w:shd w:val="clear" w:color="auto" w:fill="auto"/>
            <w:vAlign w:val="bottom"/>
          </w:tcPr>
          <w:p w:rsidR="00D926D4" w:rsidRPr="00011F33" w:rsidRDefault="00D926D4" w:rsidP="00011F33">
            <w:pPr>
              <w:suppressAutoHyphens/>
              <w:spacing w:before="80" w:after="80" w:line="160" w:lineRule="exact"/>
              <w:ind w:right="43"/>
              <w:jc w:val="right"/>
              <w:rPr>
                <w:bCs/>
                <w:i/>
                <w:sz w:val="14"/>
              </w:rPr>
            </w:pPr>
            <w:r w:rsidRPr="00011F33">
              <w:rPr>
                <w:bCs/>
                <w:i/>
                <w:sz w:val="14"/>
              </w:rPr>
              <w:t>Nombre de délits avec violences domestiques</w:t>
            </w:r>
          </w:p>
        </w:tc>
        <w:tc>
          <w:tcPr>
            <w:tcW w:w="1746" w:type="dxa"/>
            <w:tcBorders>
              <w:top w:val="single" w:sz="4" w:space="0" w:color="auto"/>
              <w:bottom w:val="single" w:sz="12" w:space="0" w:color="auto"/>
            </w:tcBorders>
            <w:shd w:val="clear" w:color="auto" w:fill="auto"/>
            <w:vAlign w:val="bottom"/>
          </w:tcPr>
          <w:p w:rsidR="00D926D4" w:rsidRPr="000460CB" w:rsidRDefault="00D926D4" w:rsidP="00011F33">
            <w:pPr>
              <w:suppressAutoHyphens/>
              <w:spacing w:before="80" w:after="80" w:line="160" w:lineRule="exact"/>
              <w:ind w:right="43"/>
              <w:jc w:val="right"/>
              <w:rPr>
                <w:bCs/>
                <w:i/>
                <w:sz w:val="14"/>
                <w:lang w:val="fr-FR"/>
              </w:rPr>
            </w:pPr>
            <w:r w:rsidRPr="000460CB">
              <w:rPr>
                <w:bCs/>
                <w:i/>
                <w:sz w:val="14"/>
                <w:lang w:val="fr-FR"/>
              </w:rPr>
              <w:t>% de délits avec violences domestiques</w:t>
            </w:r>
          </w:p>
        </w:tc>
      </w:tr>
      <w:tr w:rsidR="00011F33" w:rsidRPr="00011F33">
        <w:tblPrEx>
          <w:tblCellMar>
            <w:top w:w="0" w:type="dxa"/>
            <w:bottom w:w="0" w:type="dxa"/>
          </w:tblCellMar>
        </w:tblPrEx>
        <w:trPr>
          <w:trHeight w:hRule="exact" w:val="115"/>
          <w:tblHeader/>
        </w:trPr>
        <w:tc>
          <w:tcPr>
            <w:tcW w:w="1167" w:type="dxa"/>
            <w:gridSpan w:val="2"/>
            <w:shd w:val="clear" w:color="auto" w:fill="auto"/>
            <w:vAlign w:val="bottom"/>
          </w:tcPr>
          <w:p w:rsidR="00011F33" w:rsidRPr="00011F33" w:rsidRDefault="00011F33" w:rsidP="00011F33">
            <w:pPr>
              <w:suppressAutoHyphens/>
              <w:spacing w:before="40" w:after="40" w:line="210" w:lineRule="exact"/>
              <w:ind w:right="43"/>
              <w:rPr>
                <w:sz w:val="17"/>
              </w:rPr>
            </w:pPr>
          </w:p>
        </w:tc>
        <w:tc>
          <w:tcPr>
            <w:tcW w:w="1742" w:type="dxa"/>
            <w:gridSpan w:val="2"/>
            <w:shd w:val="clear" w:color="auto" w:fill="auto"/>
            <w:vAlign w:val="bottom"/>
          </w:tcPr>
          <w:p w:rsidR="00011F33" w:rsidRPr="00011F33" w:rsidRDefault="00011F33" w:rsidP="00011F33">
            <w:pPr>
              <w:suppressAutoHyphens/>
              <w:spacing w:before="40" w:after="40" w:line="210" w:lineRule="exact"/>
              <w:ind w:right="43"/>
              <w:jc w:val="right"/>
              <w:rPr>
                <w:sz w:val="17"/>
              </w:rPr>
            </w:pPr>
          </w:p>
        </w:tc>
        <w:tc>
          <w:tcPr>
            <w:tcW w:w="1743" w:type="dxa"/>
            <w:gridSpan w:val="2"/>
            <w:shd w:val="clear" w:color="auto" w:fill="auto"/>
            <w:vAlign w:val="bottom"/>
          </w:tcPr>
          <w:p w:rsidR="00011F33" w:rsidRPr="00011F33" w:rsidRDefault="00011F33" w:rsidP="00011F33">
            <w:pPr>
              <w:suppressAutoHyphens/>
              <w:spacing w:before="40" w:after="40" w:line="210" w:lineRule="exact"/>
              <w:ind w:right="43"/>
              <w:jc w:val="right"/>
              <w:rPr>
                <w:sz w:val="17"/>
              </w:rPr>
            </w:pPr>
          </w:p>
        </w:tc>
        <w:tc>
          <w:tcPr>
            <w:tcW w:w="1742" w:type="dxa"/>
            <w:gridSpan w:val="2"/>
            <w:shd w:val="clear" w:color="auto" w:fill="auto"/>
            <w:vAlign w:val="bottom"/>
          </w:tcPr>
          <w:p w:rsidR="00011F33" w:rsidRPr="00011F33" w:rsidRDefault="00011F33" w:rsidP="00011F33">
            <w:pPr>
              <w:suppressAutoHyphens/>
              <w:spacing w:before="40" w:after="40" w:line="210" w:lineRule="exact"/>
              <w:ind w:right="43"/>
              <w:jc w:val="center"/>
              <w:rPr>
                <w:sz w:val="17"/>
              </w:rPr>
            </w:pPr>
          </w:p>
        </w:tc>
        <w:tc>
          <w:tcPr>
            <w:tcW w:w="1743" w:type="dxa"/>
            <w:shd w:val="clear" w:color="auto" w:fill="auto"/>
            <w:vAlign w:val="bottom"/>
          </w:tcPr>
          <w:p w:rsidR="00011F33" w:rsidRPr="00011F33" w:rsidRDefault="00011F33" w:rsidP="00011F33">
            <w:pPr>
              <w:suppressAutoHyphens/>
              <w:spacing w:before="40" w:after="40" w:line="210" w:lineRule="exact"/>
              <w:ind w:right="43"/>
              <w:jc w:val="right"/>
              <w:rPr>
                <w:sz w:val="17"/>
              </w:rPr>
            </w:pPr>
          </w:p>
        </w:tc>
        <w:tc>
          <w:tcPr>
            <w:tcW w:w="1743" w:type="dxa"/>
            <w:shd w:val="clear" w:color="auto" w:fill="auto"/>
            <w:vAlign w:val="bottom"/>
          </w:tcPr>
          <w:p w:rsidR="00011F33" w:rsidRPr="00011F33" w:rsidRDefault="00011F33" w:rsidP="00011F33">
            <w:pPr>
              <w:suppressAutoHyphens/>
              <w:spacing w:before="40" w:after="40" w:line="210" w:lineRule="exact"/>
              <w:ind w:right="43"/>
              <w:jc w:val="center"/>
              <w:rPr>
                <w:sz w:val="17"/>
              </w:rPr>
            </w:pPr>
          </w:p>
        </w:tc>
      </w:tr>
      <w:tr w:rsidR="00D926D4" w:rsidRPr="00011F33">
        <w:tblPrEx>
          <w:tblCellMar>
            <w:top w:w="0" w:type="dxa"/>
            <w:bottom w:w="0" w:type="dxa"/>
          </w:tblCellMar>
        </w:tblPrEx>
        <w:tc>
          <w:tcPr>
            <w:tcW w:w="1167" w:type="dxa"/>
            <w:gridSpan w:val="2"/>
            <w:shd w:val="clear" w:color="auto" w:fill="auto"/>
            <w:vAlign w:val="bottom"/>
          </w:tcPr>
          <w:p w:rsidR="00D926D4" w:rsidRPr="00527026" w:rsidRDefault="00D926D4" w:rsidP="00011F33">
            <w:pPr>
              <w:tabs>
                <w:tab w:val="left" w:pos="288"/>
                <w:tab w:val="left" w:pos="576"/>
                <w:tab w:val="left" w:pos="864"/>
                <w:tab w:val="left" w:pos="1152"/>
              </w:tabs>
              <w:suppressAutoHyphens/>
              <w:spacing w:before="40" w:after="40" w:line="210" w:lineRule="exact"/>
              <w:ind w:right="43"/>
              <w:rPr>
                <w:b/>
                <w:sz w:val="17"/>
              </w:rPr>
            </w:pPr>
            <w:r w:rsidRPr="00527026">
              <w:rPr>
                <w:b/>
                <w:sz w:val="17"/>
              </w:rPr>
              <w:t>2001</w:t>
            </w:r>
          </w:p>
        </w:tc>
        <w:tc>
          <w:tcPr>
            <w:tcW w:w="1742"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16.553</w:t>
            </w:r>
          </w:p>
        </w:tc>
        <w:tc>
          <w:tcPr>
            <w:tcW w:w="1743"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6.999</w:t>
            </w:r>
          </w:p>
        </w:tc>
        <w:tc>
          <w:tcPr>
            <w:tcW w:w="1742"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42,3</w:t>
            </w:r>
          </w:p>
        </w:tc>
        <w:tc>
          <w:tcPr>
            <w:tcW w:w="1743"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2.566</w:t>
            </w:r>
          </w:p>
        </w:tc>
        <w:tc>
          <w:tcPr>
            <w:tcW w:w="1743"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15,5</w:t>
            </w:r>
          </w:p>
        </w:tc>
      </w:tr>
      <w:tr w:rsidR="00D926D4" w:rsidRPr="00011F33">
        <w:tblPrEx>
          <w:tblCellMar>
            <w:top w:w="0" w:type="dxa"/>
            <w:bottom w:w="0" w:type="dxa"/>
          </w:tblCellMar>
        </w:tblPrEx>
        <w:tc>
          <w:tcPr>
            <w:tcW w:w="1167"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rPr>
                <w:sz w:val="17"/>
              </w:rPr>
            </w:pPr>
            <w:r w:rsidRPr="00011F33">
              <w:rPr>
                <w:sz w:val="17"/>
              </w:rPr>
              <w:t>Domicile</w:t>
            </w:r>
          </w:p>
        </w:tc>
        <w:tc>
          <w:tcPr>
            <w:tcW w:w="1742"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7.176</w:t>
            </w:r>
          </w:p>
        </w:tc>
        <w:tc>
          <w:tcPr>
            <w:tcW w:w="1743"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3.975</w:t>
            </w:r>
          </w:p>
        </w:tc>
        <w:tc>
          <w:tcPr>
            <w:tcW w:w="1742"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55,4</w:t>
            </w:r>
          </w:p>
        </w:tc>
        <w:tc>
          <w:tcPr>
            <w:tcW w:w="1743"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2.307</w:t>
            </w:r>
          </w:p>
        </w:tc>
        <w:tc>
          <w:tcPr>
            <w:tcW w:w="1743"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89,9</w:t>
            </w:r>
          </w:p>
        </w:tc>
      </w:tr>
      <w:tr w:rsidR="00D926D4" w:rsidRPr="00011F33">
        <w:tblPrEx>
          <w:tblCellMar>
            <w:top w:w="0" w:type="dxa"/>
            <w:bottom w:w="0" w:type="dxa"/>
          </w:tblCellMar>
        </w:tblPrEx>
        <w:tc>
          <w:tcPr>
            <w:tcW w:w="1167" w:type="dxa"/>
            <w:gridSpan w:val="2"/>
            <w:shd w:val="clear" w:color="auto" w:fill="auto"/>
            <w:vAlign w:val="bottom"/>
          </w:tcPr>
          <w:p w:rsidR="00D926D4" w:rsidRPr="00527026" w:rsidRDefault="00D926D4" w:rsidP="00011F33">
            <w:pPr>
              <w:tabs>
                <w:tab w:val="left" w:pos="288"/>
                <w:tab w:val="left" w:pos="576"/>
                <w:tab w:val="left" w:pos="864"/>
                <w:tab w:val="left" w:pos="1152"/>
              </w:tabs>
              <w:suppressAutoHyphens/>
              <w:spacing w:before="40" w:after="40" w:line="210" w:lineRule="exact"/>
              <w:ind w:right="43"/>
              <w:rPr>
                <w:b/>
                <w:sz w:val="17"/>
              </w:rPr>
            </w:pPr>
            <w:r w:rsidRPr="00527026">
              <w:rPr>
                <w:b/>
                <w:sz w:val="17"/>
              </w:rPr>
              <w:t>2002</w:t>
            </w:r>
          </w:p>
        </w:tc>
        <w:tc>
          <w:tcPr>
            <w:tcW w:w="1742"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17.353</w:t>
            </w:r>
          </w:p>
        </w:tc>
        <w:tc>
          <w:tcPr>
            <w:tcW w:w="1743"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7.342</w:t>
            </w:r>
          </w:p>
        </w:tc>
        <w:tc>
          <w:tcPr>
            <w:tcW w:w="1742"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42,3</w:t>
            </w:r>
          </w:p>
        </w:tc>
        <w:tc>
          <w:tcPr>
            <w:tcW w:w="1743"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3.038</w:t>
            </w:r>
          </w:p>
        </w:tc>
        <w:tc>
          <w:tcPr>
            <w:tcW w:w="1743"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17,5</w:t>
            </w:r>
          </w:p>
        </w:tc>
      </w:tr>
      <w:tr w:rsidR="00D926D4" w:rsidRPr="00011F33">
        <w:tblPrEx>
          <w:tblCellMar>
            <w:top w:w="0" w:type="dxa"/>
            <w:bottom w:w="0" w:type="dxa"/>
          </w:tblCellMar>
        </w:tblPrEx>
        <w:tc>
          <w:tcPr>
            <w:tcW w:w="1167"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rPr>
                <w:sz w:val="17"/>
              </w:rPr>
            </w:pPr>
            <w:r w:rsidRPr="00011F33">
              <w:rPr>
                <w:sz w:val="17"/>
              </w:rPr>
              <w:t>Domicile</w:t>
            </w:r>
          </w:p>
        </w:tc>
        <w:tc>
          <w:tcPr>
            <w:tcW w:w="1742"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7.826</w:t>
            </w:r>
          </w:p>
        </w:tc>
        <w:tc>
          <w:tcPr>
            <w:tcW w:w="1743"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4.138</w:t>
            </w:r>
          </w:p>
        </w:tc>
        <w:tc>
          <w:tcPr>
            <w:tcW w:w="1742"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52,9</w:t>
            </w:r>
          </w:p>
        </w:tc>
        <w:tc>
          <w:tcPr>
            <w:tcW w:w="1743"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2.754</w:t>
            </w:r>
          </w:p>
        </w:tc>
        <w:tc>
          <w:tcPr>
            <w:tcW w:w="1743"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90,7</w:t>
            </w:r>
          </w:p>
        </w:tc>
      </w:tr>
      <w:tr w:rsidR="00D926D4" w:rsidRPr="00011F33">
        <w:tblPrEx>
          <w:tblCellMar>
            <w:top w:w="0" w:type="dxa"/>
            <w:bottom w:w="0" w:type="dxa"/>
          </w:tblCellMar>
        </w:tblPrEx>
        <w:tc>
          <w:tcPr>
            <w:tcW w:w="1167" w:type="dxa"/>
            <w:gridSpan w:val="2"/>
            <w:shd w:val="clear" w:color="auto" w:fill="auto"/>
            <w:vAlign w:val="bottom"/>
          </w:tcPr>
          <w:p w:rsidR="00D926D4" w:rsidRPr="00527026" w:rsidRDefault="00D926D4" w:rsidP="00011F33">
            <w:pPr>
              <w:tabs>
                <w:tab w:val="left" w:pos="288"/>
                <w:tab w:val="left" w:pos="576"/>
                <w:tab w:val="left" w:pos="864"/>
                <w:tab w:val="left" w:pos="1152"/>
              </w:tabs>
              <w:suppressAutoHyphens/>
              <w:spacing w:before="40" w:after="40" w:line="210" w:lineRule="exact"/>
              <w:ind w:right="43"/>
              <w:rPr>
                <w:b/>
                <w:sz w:val="17"/>
              </w:rPr>
            </w:pPr>
            <w:r w:rsidRPr="00527026">
              <w:rPr>
                <w:b/>
                <w:sz w:val="17"/>
              </w:rPr>
              <w:t>2003</w:t>
            </w:r>
          </w:p>
        </w:tc>
        <w:tc>
          <w:tcPr>
            <w:tcW w:w="1742"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17.900</w:t>
            </w:r>
          </w:p>
        </w:tc>
        <w:tc>
          <w:tcPr>
            <w:tcW w:w="1743"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6.460</w:t>
            </w:r>
          </w:p>
        </w:tc>
        <w:tc>
          <w:tcPr>
            <w:tcW w:w="1742"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36,1</w:t>
            </w:r>
          </w:p>
        </w:tc>
        <w:tc>
          <w:tcPr>
            <w:tcW w:w="1743"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5.014</w:t>
            </w:r>
          </w:p>
        </w:tc>
        <w:tc>
          <w:tcPr>
            <w:tcW w:w="1743"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28,0</w:t>
            </w:r>
          </w:p>
        </w:tc>
      </w:tr>
      <w:tr w:rsidR="00D926D4" w:rsidRPr="00011F33">
        <w:tblPrEx>
          <w:tblCellMar>
            <w:top w:w="0" w:type="dxa"/>
            <w:bottom w:w="0" w:type="dxa"/>
          </w:tblCellMar>
        </w:tblPrEx>
        <w:tc>
          <w:tcPr>
            <w:tcW w:w="1167"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rPr>
                <w:sz w:val="17"/>
              </w:rPr>
            </w:pPr>
            <w:r w:rsidRPr="00011F33">
              <w:rPr>
                <w:sz w:val="17"/>
              </w:rPr>
              <w:t>Domicile</w:t>
            </w:r>
          </w:p>
        </w:tc>
        <w:tc>
          <w:tcPr>
            <w:tcW w:w="1742"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8.298</w:t>
            </w:r>
          </w:p>
        </w:tc>
        <w:tc>
          <w:tcPr>
            <w:tcW w:w="1743"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3.092</w:t>
            </w:r>
          </w:p>
        </w:tc>
        <w:tc>
          <w:tcPr>
            <w:tcW w:w="1742"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37,3</w:t>
            </w:r>
          </w:p>
        </w:tc>
        <w:tc>
          <w:tcPr>
            <w:tcW w:w="1743"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4.477</w:t>
            </w:r>
          </w:p>
        </w:tc>
        <w:tc>
          <w:tcPr>
            <w:tcW w:w="1743"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89,3</w:t>
            </w:r>
          </w:p>
        </w:tc>
      </w:tr>
      <w:tr w:rsidR="00D926D4" w:rsidRPr="00011F33">
        <w:tblPrEx>
          <w:tblCellMar>
            <w:top w:w="0" w:type="dxa"/>
            <w:bottom w:w="0" w:type="dxa"/>
          </w:tblCellMar>
        </w:tblPrEx>
        <w:tc>
          <w:tcPr>
            <w:tcW w:w="1167" w:type="dxa"/>
            <w:gridSpan w:val="2"/>
            <w:shd w:val="clear" w:color="auto" w:fill="auto"/>
            <w:vAlign w:val="bottom"/>
          </w:tcPr>
          <w:p w:rsidR="00D926D4" w:rsidRPr="00527026" w:rsidRDefault="00D926D4" w:rsidP="00011F33">
            <w:pPr>
              <w:tabs>
                <w:tab w:val="left" w:pos="288"/>
                <w:tab w:val="left" w:pos="576"/>
                <w:tab w:val="left" w:pos="864"/>
                <w:tab w:val="left" w:pos="1152"/>
              </w:tabs>
              <w:suppressAutoHyphens/>
              <w:spacing w:before="40" w:after="40" w:line="210" w:lineRule="exact"/>
              <w:ind w:right="43"/>
              <w:rPr>
                <w:b/>
                <w:sz w:val="17"/>
              </w:rPr>
            </w:pPr>
            <w:r w:rsidRPr="00527026">
              <w:rPr>
                <w:b/>
                <w:sz w:val="17"/>
              </w:rPr>
              <w:t>2004</w:t>
            </w:r>
          </w:p>
        </w:tc>
        <w:tc>
          <w:tcPr>
            <w:tcW w:w="1742"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16.618</w:t>
            </w:r>
          </w:p>
        </w:tc>
        <w:tc>
          <w:tcPr>
            <w:tcW w:w="1743"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6.450</w:t>
            </w:r>
          </w:p>
        </w:tc>
        <w:tc>
          <w:tcPr>
            <w:tcW w:w="1742" w:type="dxa"/>
            <w:gridSpan w:val="2"/>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38,8</w:t>
            </w:r>
          </w:p>
        </w:tc>
        <w:tc>
          <w:tcPr>
            <w:tcW w:w="1743"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4.443</w:t>
            </w:r>
          </w:p>
        </w:tc>
        <w:tc>
          <w:tcPr>
            <w:tcW w:w="1743"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26,7</w:t>
            </w:r>
          </w:p>
        </w:tc>
      </w:tr>
      <w:tr w:rsidR="00D926D4" w:rsidRPr="00011F33">
        <w:tblPrEx>
          <w:tblCellMar>
            <w:top w:w="0" w:type="dxa"/>
            <w:bottom w:w="0" w:type="dxa"/>
          </w:tblCellMar>
        </w:tblPrEx>
        <w:tc>
          <w:tcPr>
            <w:tcW w:w="1167" w:type="dxa"/>
            <w:gridSpan w:val="2"/>
            <w:tcBorders>
              <w:bottom w:val="single" w:sz="12" w:space="0" w:color="auto"/>
            </w:tcBorders>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rPr>
                <w:sz w:val="17"/>
              </w:rPr>
            </w:pPr>
            <w:r w:rsidRPr="00011F33">
              <w:rPr>
                <w:sz w:val="17"/>
              </w:rPr>
              <w:t>Domicile</w:t>
            </w:r>
          </w:p>
        </w:tc>
        <w:tc>
          <w:tcPr>
            <w:tcW w:w="1742" w:type="dxa"/>
            <w:gridSpan w:val="2"/>
            <w:tcBorders>
              <w:bottom w:val="single" w:sz="12" w:space="0" w:color="auto"/>
            </w:tcBorders>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7.738</w:t>
            </w:r>
          </w:p>
        </w:tc>
        <w:tc>
          <w:tcPr>
            <w:tcW w:w="1743" w:type="dxa"/>
            <w:gridSpan w:val="2"/>
            <w:tcBorders>
              <w:bottom w:val="single" w:sz="12" w:space="0" w:color="auto"/>
            </w:tcBorders>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3.122</w:t>
            </w:r>
          </w:p>
        </w:tc>
        <w:tc>
          <w:tcPr>
            <w:tcW w:w="1742" w:type="dxa"/>
            <w:gridSpan w:val="2"/>
            <w:tcBorders>
              <w:bottom w:val="single" w:sz="12" w:space="0" w:color="auto"/>
            </w:tcBorders>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40,3</w:t>
            </w:r>
          </w:p>
        </w:tc>
        <w:tc>
          <w:tcPr>
            <w:tcW w:w="1743" w:type="dxa"/>
            <w:tcBorders>
              <w:bottom w:val="single" w:sz="12" w:space="0" w:color="auto"/>
            </w:tcBorders>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3.992</w:t>
            </w:r>
          </w:p>
        </w:tc>
        <w:tc>
          <w:tcPr>
            <w:tcW w:w="1743" w:type="dxa"/>
            <w:tcBorders>
              <w:bottom w:val="single" w:sz="12" w:space="0" w:color="auto"/>
            </w:tcBorders>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89,8</w:t>
            </w:r>
          </w:p>
        </w:tc>
      </w:tr>
    </w:tbl>
    <w:p w:rsidR="00011F33" w:rsidRPr="00011F33" w:rsidRDefault="00011F33" w:rsidP="00011F33">
      <w:pPr>
        <w:spacing w:line="120" w:lineRule="exact"/>
        <w:jc w:val="both"/>
        <w:rPr>
          <w:sz w:val="10"/>
        </w:rPr>
      </w:pPr>
    </w:p>
    <w:p w:rsidR="00D926D4" w:rsidRPr="00011F33" w:rsidRDefault="00D926D4" w:rsidP="00D926D4">
      <w:pPr>
        <w:jc w:val="both"/>
        <w:rPr>
          <w:sz w:val="17"/>
          <w:szCs w:val="17"/>
        </w:rPr>
      </w:pPr>
      <w:r w:rsidRPr="00011F33">
        <w:rPr>
          <w:sz w:val="17"/>
          <w:szCs w:val="17"/>
        </w:rPr>
        <w:t>Source: Ministère de l’Intérieur, 2005.</w:t>
      </w:r>
    </w:p>
    <w:p w:rsidR="00D926D4" w:rsidRPr="007D4874" w:rsidRDefault="00D926D4" w:rsidP="00D926D4"/>
    <w:p w:rsidR="00D926D4" w:rsidRDefault="00011F33" w:rsidP="00011F33">
      <w:pPr>
        <w:pStyle w:val="SingleTxt"/>
        <w:jc w:val="left"/>
        <w:rPr>
          <w:lang w:val="fr-FR"/>
        </w:rPr>
      </w:pPr>
      <w:r>
        <w:rPr>
          <w:lang w:val="fr-FR"/>
        </w:rPr>
        <w:br w:type="page"/>
      </w:r>
      <w:r w:rsidR="00D926D4" w:rsidRPr="00924135">
        <w:rPr>
          <w:lang w:val="fr-FR"/>
        </w:rPr>
        <w:t>Tableau 15</w:t>
      </w:r>
      <w:r>
        <w:rPr>
          <w:lang w:val="fr-FR"/>
        </w:rPr>
        <w:br/>
      </w:r>
      <w:r w:rsidR="00D926D4" w:rsidRPr="00924135">
        <w:rPr>
          <w:lang w:val="fr-FR"/>
        </w:rPr>
        <w:t xml:space="preserve">Nombre de candidates et d’élues aux élections législatives (Assemblée nationale), en 2000 et 2004 </w:t>
      </w:r>
    </w:p>
    <w:p w:rsidR="00011F33" w:rsidRPr="00011F33" w:rsidRDefault="00011F33" w:rsidP="00011F33">
      <w:pPr>
        <w:pStyle w:val="SingleTxt"/>
        <w:spacing w:after="0" w:line="120" w:lineRule="exact"/>
        <w:jc w:val="left"/>
        <w:rPr>
          <w:sz w:val="10"/>
          <w:lang w:val="fr-FR"/>
        </w:rPr>
      </w:pPr>
    </w:p>
    <w:tbl>
      <w:tblPr>
        <w:tblW w:w="0" w:type="auto"/>
        <w:tblInd w:w="1267" w:type="dxa"/>
        <w:tblLook w:val="01E0" w:firstRow="1" w:lastRow="1" w:firstColumn="1" w:lastColumn="1" w:noHBand="0" w:noVBand="0"/>
      </w:tblPr>
      <w:tblGrid>
        <w:gridCol w:w="1631"/>
        <w:gridCol w:w="1440"/>
        <w:gridCol w:w="1530"/>
      </w:tblGrid>
      <w:tr w:rsidR="00D926D4" w:rsidRPr="00011F33">
        <w:trPr>
          <w:tblHeader/>
        </w:trPr>
        <w:tc>
          <w:tcPr>
            <w:tcW w:w="1631" w:type="dxa"/>
            <w:tcBorders>
              <w:top w:val="single" w:sz="4" w:space="0" w:color="auto"/>
              <w:bottom w:val="single" w:sz="12" w:space="0" w:color="auto"/>
            </w:tcBorders>
            <w:shd w:val="clear" w:color="auto" w:fill="auto"/>
            <w:vAlign w:val="bottom"/>
          </w:tcPr>
          <w:p w:rsidR="00D926D4" w:rsidRPr="00011F33" w:rsidRDefault="00D926D4" w:rsidP="00011F33">
            <w:pPr>
              <w:spacing w:before="80" w:after="80" w:line="160" w:lineRule="exact"/>
              <w:rPr>
                <w:sz w:val="14"/>
                <w:szCs w:val="14"/>
              </w:rPr>
            </w:pPr>
            <w:r w:rsidRPr="00011F33">
              <w:rPr>
                <w:sz w:val="14"/>
                <w:szCs w:val="14"/>
              </w:rPr>
              <w:t>Année</w:t>
            </w:r>
          </w:p>
        </w:tc>
        <w:tc>
          <w:tcPr>
            <w:tcW w:w="1440" w:type="dxa"/>
            <w:tcBorders>
              <w:top w:val="single" w:sz="4" w:space="0" w:color="auto"/>
              <w:bottom w:val="single" w:sz="12" w:space="0" w:color="auto"/>
            </w:tcBorders>
            <w:shd w:val="clear" w:color="auto" w:fill="auto"/>
            <w:vAlign w:val="bottom"/>
          </w:tcPr>
          <w:p w:rsidR="00D926D4" w:rsidRPr="00011F33" w:rsidRDefault="00D926D4" w:rsidP="00011F33">
            <w:pPr>
              <w:suppressAutoHyphens/>
              <w:spacing w:before="80" w:after="80" w:line="160" w:lineRule="exact"/>
              <w:ind w:right="43"/>
              <w:jc w:val="right"/>
              <w:rPr>
                <w:bCs/>
                <w:i/>
                <w:sz w:val="14"/>
              </w:rPr>
            </w:pPr>
            <w:r w:rsidRPr="00011F33">
              <w:rPr>
                <w:bCs/>
                <w:i/>
                <w:sz w:val="14"/>
              </w:rPr>
              <w:t>2000</w:t>
            </w:r>
          </w:p>
        </w:tc>
        <w:tc>
          <w:tcPr>
            <w:tcW w:w="1530" w:type="dxa"/>
            <w:tcBorders>
              <w:top w:val="single" w:sz="4" w:space="0" w:color="auto"/>
              <w:bottom w:val="single" w:sz="12" w:space="0" w:color="auto"/>
            </w:tcBorders>
            <w:shd w:val="clear" w:color="auto" w:fill="auto"/>
            <w:vAlign w:val="bottom"/>
          </w:tcPr>
          <w:p w:rsidR="00D926D4" w:rsidRPr="00011F33" w:rsidRDefault="00D926D4" w:rsidP="00011F33">
            <w:pPr>
              <w:suppressAutoHyphens/>
              <w:spacing w:before="80" w:after="80" w:line="160" w:lineRule="exact"/>
              <w:ind w:right="43"/>
              <w:jc w:val="right"/>
              <w:rPr>
                <w:bCs/>
                <w:i/>
                <w:sz w:val="14"/>
              </w:rPr>
            </w:pPr>
            <w:r w:rsidRPr="00011F33">
              <w:rPr>
                <w:bCs/>
                <w:i/>
                <w:sz w:val="14"/>
              </w:rPr>
              <w:t>2004</w:t>
            </w:r>
          </w:p>
        </w:tc>
      </w:tr>
      <w:tr w:rsidR="00011F33" w:rsidRPr="00011F33">
        <w:trPr>
          <w:trHeight w:hRule="exact" w:val="115"/>
          <w:tblHeader/>
        </w:trPr>
        <w:tc>
          <w:tcPr>
            <w:tcW w:w="1631" w:type="dxa"/>
            <w:tcBorders>
              <w:top w:val="single" w:sz="12" w:space="0" w:color="auto"/>
            </w:tcBorders>
            <w:shd w:val="clear" w:color="auto" w:fill="auto"/>
            <w:vAlign w:val="bottom"/>
          </w:tcPr>
          <w:p w:rsidR="00011F33" w:rsidRPr="00011F33" w:rsidRDefault="00011F33" w:rsidP="00011F33">
            <w:pPr>
              <w:pStyle w:val="Heading4"/>
              <w:suppressAutoHyphens/>
              <w:spacing w:before="40" w:after="40" w:line="210" w:lineRule="exact"/>
              <w:ind w:right="43"/>
              <w:rPr>
                <w:b/>
                <w:sz w:val="17"/>
                <w:szCs w:val="24"/>
              </w:rPr>
            </w:pPr>
          </w:p>
        </w:tc>
        <w:tc>
          <w:tcPr>
            <w:tcW w:w="1440" w:type="dxa"/>
            <w:tcBorders>
              <w:top w:val="single" w:sz="12" w:space="0" w:color="auto"/>
            </w:tcBorders>
            <w:shd w:val="clear" w:color="auto" w:fill="auto"/>
            <w:vAlign w:val="bottom"/>
          </w:tcPr>
          <w:p w:rsidR="00011F33" w:rsidRPr="00011F33" w:rsidRDefault="00011F33" w:rsidP="00011F33">
            <w:pPr>
              <w:suppressAutoHyphens/>
              <w:spacing w:before="40" w:after="40" w:line="210" w:lineRule="exact"/>
              <w:ind w:right="43"/>
              <w:jc w:val="right"/>
              <w:rPr>
                <w:sz w:val="17"/>
              </w:rPr>
            </w:pPr>
          </w:p>
        </w:tc>
        <w:tc>
          <w:tcPr>
            <w:tcW w:w="1530" w:type="dxa"/>
            <w:tcBorders>
              <w:top w:val="single" w:sz="12" w:space="0" w:color="auto"/>
            </w:tcBorders>
            <w:shd w:val="clear" w:color="auto" w:fill="auto"/>
            <w:vAlign w:val="bottom"/>
          </w:tcPr>
          <w:p w:rsidR="00011F33" w:rsidRPr="00011F33" w:rsidRDefault="00011F33" w:rsidP="00011F33">
            <w:pPr>
              <w:suppressAutoHyphens/>
              <w:spacing w:before="40" w:after="40" w:line="210" w:lineRule="exact"/>
              <w:ind w:right="43"/>
              <w:jc w:val="right"/>
              <w:rPr>
                <w:sz w:val="17"/>
              </w:rPr>
            </w:pPr>
          </w:p>
        </w:tc>
      </w:tr>
      <w:tr w:rsidR="00D926D4" w:rsidRPr="00011F33">
        <w:tc>
          <w:tcPr>
            <w:tcW w:w="1631" w:type="dxa"/>
            <w:shd w:val="clear" w:color="auto" w:fill="auto"/>
            <w:vAlign w:val="bottom"/>
          </w:tcPr>
          <w:p w:rsidR="00D926D4" w:rsidRPr="00011F33" w:rsidRDefault="00D926D4" w:rsidP="00011F33">
            <w:pPr>
              <w:pStyle w:val="Heading4"/>
              <w:tabs>
                <w:tab w:val="left" w:pos="288"/>
                <w:tab w:val="left" w:pos="576"/>
                <w:tab w:val="left" w:pos="864"/>
                <w:tab w:val="left" w:pos="1152"/>
              </w:tabs>
              <w:suppressAutoHyphens/>
              <w:spacing w:before="40" w:after="40" w:line="210" w:lineRule="exact"/>
              <w:ind w:right="43"/>
              <w:rPr>
                <w:b/>
                <w:sz w:val="17"/>
                <w:szCs w:val="24"/>
              </w:rPr>
            </w:pPr>
            <w:r w:rsidRPr="00011F33">
              <w:rPr>
                <w:b/>
                <w:sz w:val="17"/>
                <w:szCs w:val="24"/>
              </w:rPr>
              <w:t>Total</w:t>
            </w:r>
          </w:p>
        </w:tc>
        <w:tc>
          <w:tcPr>
            <w:tcW w:w="1440" w:type="dxa"/>
            <w:shd w:val="clear" w:color="auto" w:fill="auto"/>
            <w:vAlign w:val="bottom"/>
          </w:tcPr>
          <w:p w:rsidR="00D926D4" w:rsidRPr="00527026" w:rsidRDefault="00D926D4" w:rsidP="00011F33">
            <w:pPr>
              <w:tabs>
                <w:tab w:val="left" w:pos="288"/>
                <w:tab w:val="left" w:pos="576"/>
                <w:tab w:val="left" w:pos="864"/>
                <w:tab w:val="left" w:pos="1152"/>
              </w:tabs>
              <w:suppressAutoHyphens/>
              <w:spacing w:before="40" w:after="40" w:line="210" w:lineRule="exact"/>
              <w:ind w:right="43"/>
              <w:jc w:val="right"/>
              <w:rPr>
                <w:b/>
                <w:sz w:val="17"/>
              </w:rPr>
            </w:pPr>
            <w:r w:rsidRPr="00527026">
              <w:rPr>
                <w:b/>
                <w:sz w:val="17"/>
              </w:rPr>
              <w:t>1.007</w:t>
            </w:r>
          </w:p>
        </w:tc>
        <w:tc>
          <w:tcPr>
            <w:tcW w:w="1530" w:type="dxa"/>
            <w:shd w:val="clear" w:color="auto" w:fill="auto"/>
            <w:vAlign w:val="bottom"/>
          </w:tcPr>
          <w:p w:rsidR="00D926D4" w:rsidRPr="00527026" w:rsidRDefault="00D926D4" w:rsidP="00011F33">
            <w:pPr>
              <w:tabs>
                <w:tab w:val="left" w:pos="288"/>
                <w:tab w:val="left" w:pos="576"/>
                <w:tab w:val="left" w:pos="864"/>
                <w:tab w:val="left" w:pos="1152"/>
              </w:tabs>
              <w:suppressAutoHyphens/>
              <w:spacing w:before="40" w:after="40" w:line="210" w:lineRule="exact"/>
              <w:ind w:right="43"/>
              <w:jc w:val="right"/>
              <w:rPr>
                <w:b/>
                <w:sz w:val="17"/>
              </w:rPr>
            </w:pPr>
            <w:r w:rsidRPr="00527026">
              <w:rPr>
                <w:b/>
                <w:sz w:val="17"/>
              </w:rPr>
              <w:t>1.395</w:t>
            </w:r>
          </w:p>
        </w:tc>
      </w:tr>
      <w:tr w:rsidR="00D926D4" w:rsidRPr="00011F33">
        <w:tc>
          <w:tcPr>
            <w:tcW w:w="1631"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both"/>
              <w:rPr>
                <w:bCs/>
                <w:sz w:val="17"/>
              </w:rPr>
            </w:pPr>
            <w:r w:rsidRPr="00011F33">
              <w:rPr>
                <w:bCs/>
                <w:sz w:val="17"/>
              </w:rPr>
              <w:t>Femmes</w:t>
            </w:r>
          </w:p>
        </w:tc>
        <w:tc>
          <w:tcPr>
            <w:tcW w:w="1440"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236</w:t>
            </w:r>
          </w:p>
        </w:tc>
        <w:tc>
          <w:tcPr>
            <w:tcW w:w="1530" w:type="dxa"/>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347</w:t>
            </w:r>
          </w:p>
        </w:tc>
      </w:tr>
      <w:tr w:rsidR="00D926D4" w:rsidRPr="00011F33">
        <w:tc>
          <w:tcPr>
            <w:tcW w:w="1631" w:type="dxa"/>
            <w:tcBorders>
              <w:bottom w:val="single" w:sz="12" w:space="0" w:color="auto"/>
            </w:tcBorders>
            <w:shd w:val="clear" w:color="auto" w:fill="auto"/>
            <w:vAlign w:val="bottom"/>
          </w:tcPr>
          <w:p w:rsidR="00D926D4" w:rsidRPr="00011F33" w:rsidRDefault="00D926D4" w:rsidP="00011F33">
            <w:pPr>
              <w:pStyle w:val="BodyText22"/>
              <w:widowControl/>
              <w:tabs>
                <w:tab w:val="left" w:pos="288"/>
                <w:tab w:val="left" w:pos="576"/>
                <w:tab w:val="left" w:pos="864"/>
                <w:tab w:val="left" w:pos="1152"/>
              </w:tabs>
              <w:suppressAutoHyphens/>
              <w:spacing w:before="40" w:after="40" w:line="210" w:lineRule="exact"/>
              <w:ind w:right="43"/>
              <w:rPr>
                <w:b w:val="0"/>
                <w:sz w:val="17"/>
              </w:rPr>
            </w:pPr>
            <w:r w:rsidRPr="00011F33">
              <w:rPr>
                <w:b w:val="0"/>
                <w:sz w:val="17"/>
              </w:rPr>
              <w:t xml:space="preserve">% de femmes </w:t>
            </w:r>
          </w:p>
        </w:tc>
        <w:tc>
          <w:tcPr>
            <w:tcW w:w="1440" w:type="dxa"/>
            <w:tcBorders>
              <w:bottom w:val="single" w:sz="12" w:space="0" w:color="auto"/>
            </w:tcBorders>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 xml:space="preserve">23,4 </w:t>
            </w:r>
          </w:p>
        </w:tc>
        <w:tc>
          <w:tcPr>
            <w:tcW w:w="1530" w:type="dxa"/>
            <w:tcBorders>
              <w:bottom w:val="single" w:sz="12" w:space="0" w:color="auto"/>
            </w:tcBorders>
            <w:shd w:val="clear" w:color="auto" w:fill="auto"/>
            <w:vAlign w:val="bottom"/>
          </w:tcPr>
          <w:p w:rsidR="00D926D4" w:rsidRPr="00011F33" w:rsidRDefault="00D926D4" w:rsidP="00011F33">
            <w:pPr>
              <w:tabs>
                <w:tab w:val="left" w:pos="288"/>
                <w:tab w:val="left" w:pos="576"/>
                <w:tab w:val="left" w:pos="864"/>
                <w:tab w:val="left" w:pos="1152"/>
              </w:tabs>
              <w:suppressAutoHyphens/>
              <w:spacing w:before="40" w:after="40" w:line="210" w:lineRule="exact"/>
              <w:ind w:right="43"/>
              <w:jc w:val="right"/>
              <w:rPr>
                <w:sz w:val="17"/>
              </w:rPr>
            </w:pPr>
            <w:r w:rsidRPr="00011F33">
              <w:rPr>
                <w:sz w:val="17"/>
              </w:rPr>
              <w:t>24,9</w:t>
            </w:r>
          </w:p>
        </w:tc>
      </w:tr>
    </w:tbl>
    <w:p w:rsidR="00011F33" w:rsidRPr="00011F33" w:rsidRDefault="00011F33" w:rsidP="00011F33">
      <w:pPr>
        <w:pStyle w:val="BodyText"/>
        <w:spacing w:line="120" w:lineRule="exact"/>
        <w:jc w:val="both"/>
        <w:rPr>
          <w:b w:val="0"/>
          <w:bCs/>
          <w:color w:val="000000"/>
          <w:sz w:val="10"/>
          <w:lang w:val="fr-FR"/>
        </w:rPr>
      </w:pPr>
    </w:p>
    <w:p w:rsidR="00D926D4" w:rsidRPr="00011F33" w:rsidRDefault="00D926D4" w:rsidP="00011F33">
      <w:pPr>
        <w:pStyle w:val="SingleTxt"/>
        <w:rPr>
          <w:sz w:val="17"/>
          <w:szCs w:val="17"/>
          <w:lang w:val="fr-FR"/>
        </w:rPr>
      </w:pPr>
      <w:r w:rsidRPr="00011F33">
        <w:rPr>
          <w:i/>
          <w:sz w:val="17"/>
          <w:szCs w:val="17"/>
          <w:lang w:val="fr-FR"/>
        </w:rPr>
        <w:t>Source</w:t>
      </w:r>
      <w:r w:rsidRPr="00011F33">
        <w:rPr>
          <w:sz w:val="17"/>
          <w:szCs w:val="17"/>
          <w:lang w:val="fr-FR"/>
        </w:rPr>
        <w:t>: Annuaire statistique 2005, Institut de la Statistique de la République de Slovénie.</w:t>
      </w:r>
    </w:p>
    <w:p w:rsidR="00011F33" w:rsidRPr="00011F33" w:rsidRDefault="00011F33" w:rsidP="00011F33">
      <w:pPr>
        <w:spacing w:line="120" w:lineRule="exact"/>
        <w:jc w:val="both"/>
        <w:rPr>
          <w:sz w:val="10"/>
          <w:szCs w:val="17"/>
        </w:rPr>
      </w:pPr>
    </w:p>
    <w:p w:rsidR="00D926D4" w:rsidRDefault="00D926D4" w:rsidP="00011F33">
      <w:pPr>
        <w:pStyle w:val="SingleTxt"/>
        <w:jc w:val="left"/>
        <w:rPr>
          <w:b/>
          <w:lang w:val="fr-FR"/>
        </w:rPr>
      </w:pPr>
      <w:r w:rsidRPr="00924135">
        <w:rPr>
          <w:lang w:val="fr-FR"/>
        </w:rPr>
        <w:t>Tableau 16</w:t>
      </w:r>
      <w:r w:rsidR="00011F33">
        <w:rPr>
          <w:lang w:val="fr-FR"/>
        </w:rPr>
        <w:br/>
      </w:r>
      <w:r w:rsidRPr="00497747">
        <w:rPr>
          <w:b/>
          <w:lang w:val="fr-FR"/>
        </w:rPr>
        <w:t>Nombre et pourcentage de députées élues lors des élections législatives de 2004 (Assemblée nationale)</w:t>
      </w:r>
    </w:p>
    <w:p w:rsidR="00497747" w:rsidRPr="00497747" w:rsidRDefault="00497747" w:rsidP="00497747">
      <w:pPr>
        <w:pStyle w:val="SingleTxt"/>
        <w:spacing w:after="0" w:line="120" w:lineRule="exact"/>
        <w:jc w:val="left"/>
        <w:rPr>
          <w:b/>
          <w:sz w:val="10"/>
          <w:lang w:val="fr-FR"/>
        </w:rPr>
      </w:pPr>
    </w:p>
    <w:tbl>
      <w:tblPr>
        <w:tblW w:w="0" w:type="auto"/>
        <w:tblCellMar>
          <w:left w:w="70" w:type="dxa"/>
          <w:right w:w="70" w:type="dxa"/>
        </w:tblCellMar>
        <w:tblLook w:val="0000" w:firstRow="0" w:lastRow="0" w:firstColumn="0" w:lastColumn="0" w:noHBand="0" w:noVBand="0"/>
      </w:tblPr>
      <w:tblGrid>
        <w:gridCol w:w="3940"/>
        <w:gridCol w:w="1710"/>
        <w:gridCol w:w="1440"/>
        <w:gridCol w:w="1350"/>
        <w:gridCol w:w="1231"/>
      </w:tblGrid>
      <w:tr w:rsidR="00D926D4" w:rsidRPr="00497747">
        <w:tblPrEx>
          <w:tblCellMar>
            <w:top w:w="0" w:type="dxa"/>
            <w:bottom w:w="0" w:type="dxa"/>
          </w:tblCellMar>
        </w:tblPrEx>
        <w:trPr>
          <w:tblHeader/>
        </w:trPr>
        <w:tc>
          <w:tcPr>
            <w:tcW w:w="3940" w:type="dxa"/>
            <w:tcBorders>
              <w:top w:val="single" w:sz="4" w:space="0" w:color="auto"/>
              <w:bottom w:val="single" w:sz="12" w:space="0" w:color="auto"/>
            </w:tcBorders>
            <w:shd w:val="clear" w:color="auto" w:fill="auto"/>
            <w:vAlign w:val="bottom"/>
          </w:tcPr>
          <w:p w:rsidR="00D926D4" w:rsidRPr="00497747" w:rsidRDefault="00D926D4" w:rsidP="00497747">
            <w:pPr>
              <w:suppressAutoHyphens/>
              <w:spacing w:before="80" w:after="80" w:line="160" w:lineRule="exact"/>
              <w:ind w:right="43"/>
              <w:jc w:val="both"/>
              <w:rPr>
                <w:bCs/>
                <w:i/>
                <w:sz w:val="14"/>
              </w:rPr>
            </w:pPr>
            <w:r w:rsidRPr="00497747">
              <w:rPr>
                <w:bCs/>
                <w:i/>
                <w:sz w:val="14"/>
              </w:rPr>
              <w:t>Partis représentés au Parlement</w:t>
            </w:r>
          </w:p>
        </w:tc>
        <w:tc>
          <w:tcPr>
            <w:tcW w:w="1710" w:type="dxa"/>
            <w:tcBorders>
              <w:top w:val="single" w:sz="4" w:space="0" w:color="auto"/>
              <w:bottom w:val="single" w:sz="12" w:space="0" w:color="auto"/>
            </w:tcBorders>
            <w:shd w:val="clear" w:color="auto" w:fill="auto"/>
            <w:vAlign w:val="bottom"/>
          </w:tcPr>
          <w:p w:rsidR="00D926D4" w:rsidRPr="00497747" w:rsidRDefault="00D926D4" w:rsidP="00497747">
            <w:pPr>
              <w:suppressAutoHyphens/>
              <w:spacing w:before="80" w:after="80" w:line="160" w:lineRule="exact"/>
              <w:ind w:right="43"/>
              <w:jc w:val="right"/>
              <w:rPr>
                <w:bCs/>
                <w:i/>
                <w:sz w:val="14"/>
              </w:rPr>
            </w:pPr>
            <w:r w:rsidRPr="00497747">
              <w:rPr>
                <w:bCs/>
                <w:i/>
                <w:sz w:val="14"/>
              </w:rPr>
              <w:t>Nombre total de députés</w:t>
            </w:r>
          </w:p>
        </w:tc>
        <w:tc>
          <w:tcPr>
            <w:tcW w:w="1440" w:type="dxa"/>
            <w:tcBorders>
              <w:top w:val="single" w:sz="4" w:space="0" w:color="auto"/>
              <w:bottom w:val="single" w:sz="12" w:space="0" w:color="auto"/>
            </w:tcBorders>
            <w:shd w:val="clear" w:color="auto" w:fill="auto"/>
            <w:vAlign w:val="bottom"/>
          </w:tcPr>
          <w:p w:rsidR="00D926D4" w:rsidRPr="00497747" w:rsidRDefault="00D926D4" w:rsidP="00497747">
            <w:pPr>
              <w:suppressAutoHyphens/>
              <w:spacing w:before="80" w:after="80" w:line="160" w:lineRule="exact"/>
              <w:ind w:right="43"/>
              <w:jc w:val="right"/>
              <w:rPr>
                <w:bCs/>
                <w:i/>
                <w:sz w:val="14"/>
              </w:rPr>
            </w:pPr>
            <w:r w:rsidRPr="00497747">
              <w:rPr>
                <w:bCs/>
                <w:i/>
                <w:sz w:val="14"/>
              </w:rPr>
              <w:t>Pourcentage (%)</w:t>
            </w:r>
          </w:p>
        </w:tc>
        <w:tc>
          <w:tcPr>
            <w:tcW w:w="1350" w:type="dxa"/>
            <w:tcBorders>
              <w:top w:val="single" w:sz="4" w:space="0" w:color="auto"/>
              <w:bottom w:val="single" w:sz="12" w:space="0" w:color="auto"/>
            </w:tcBorders>
            <w:shd w:val="clear" w:color="auto" w:fill="auto"/>
            <w:vAlign w:val="bottom"/>
          </w:tcPr>
          <w:p w:rsidR="00D926D4" w:rsidRPr="00497747" w:rsidRDefault="00D926D4" w:rsidP="00497747">
            <w:pPr>
              <w:pStyle w:val="BodyText22"/>
              <w:widowControl/>
              <w:suppressAutoHyphens/>
              <w:spacing w:before="80" w:after="80" w:line="160" w:lineRule="exact"/>
              <w:ind w:right="43"/>
              <w:jc w:val="right"/>
              <w:rPr>
                <w:b w:val="0"/>
                <w:bCs w:val="0"/>
                <w:i/>
                <w:sz w:val="14"/>
              </w:rPr>
            </w:pPr>
            <w:r w:rsidRPr="00497747">
              <w:rPr>
                <w:b w:val="0"/>
                <w:bCs w:val="0"/>
                <w:i/>
                <w:sz w:val="14"/>
              </w:rPr>
              <w:t>Nombre de femmes</w:t>
            </w:r>
          </w:p>
        </w:tc>
        <w:tc>
          <w:tcPr>
            <w:tcW w:w="1231" w:type="dxa"/>
            <w:tcBorders>
              <w:top w:val="single" w:sz="4" w:space="0" w:color="auto"/>
              <w:bottom w:val="single" w:sz="12" w:space="0" w:color="auto"/>
            </w:tcBorders>
            <w:shd w:val="clear" w:color="auto" w:fill="auto"/>
            <w:vAlign w:val="bottom"/>
          </w:tcPr>
          <w:p w:rsidR="00D926D4" w:rsidRPr="00497747" w:rsidRDefault="00D926D4" w:rsidP="00497747">
            <w:pPr>
              <w:suppressAutoHyphens/>
              <w:spacing w:before="80" w:after="80" w:line="160" w:lineRule="exact"/>
              <w:ind w:right="43"/>
              <w:jc w:val="right"/>
              <w:rPr>
                <w:bCs/>
                <w:i/>
                <w:sz w:val="14"/>
              </w:rPr>
            </w:pPr>
            <w:r w:rsidRPr="00497747">
              <w:rPr>
                <w:bCs/>
                <w:i/>
                <w:sz w:val="14"/>
              </w:rPr>
              <w:t>% de femmes</w:t>
            </w:r>
          </w:p>
        </w:tc>
      </w:tr>
      <w:tr w:rsidR="00497747" w:rsidRPr="00497747">
        <w:tblPrEx>
          <w:tblCellMar>
            <w:top w:w="0" w:type="dxa"/>
            <w:bottom w:w="0" w:type="dxa"/>
          </w:tblCellMar>
        </w:tblPrEx>
        <w:trPr>
          <w:trHeight w:hRule="exact" w:val="115"/>
          <w:tblHeader/>
        </w:trPr>
        <w:tc>
          <w:tcPr>
            <w:tcW w:w="3940" w:type="dxa"/>
            <w:tcBorders>
              <w:top w:val="single" w:sz="12" w:space="0" w:color="auto"/>
            </w:tcBorders>
            <w:shd w:val="clear" w:color="auto" w:fill="auto"/>
            <w:vAlign w:val="bottom"/>
          </w:tcPr>
          <w:p w:rsidR="00497747" w:rsidRPr="00497747" w:rsidRDefault="00497747" w:rsidP="00497747">
            <w:pPr>
              <w:suppressAutoHyphens/>
              <w:spacing w:before="40" w:after="40" w:line="210" w:lineRule="exact"/>
              <w:ind w:right="43"/>
              <w:jc w:val="both"/>
              <w:rPr>
                <w:sz w:val="17"/>
              </w:rPr>
            </w:pPr>
          </w:p>
        </w:tc>
        <w:tc>
          <w:tcPr>
            <w:tcW w:w="1710" w:type="dxa"/>
            <w:tcBorders>
              <w:top w:val="single" w:sz="12" w:space="0" w:color="auto"/>
            </w:tcBorders>
            <w:shd w:val="clear" w:color="auto" w:fill="auto"/>
            <w:vAlign w:val="bottom"/>
          </w:tcPr>
          <w:p w:rsidR="00497747" w:rsidRPr="00497747" w:rsidRDefault="00497747" w:rsidP="00497747">
            <w:pPr>
              <w:suppressAutoHyphens/>
              <w:spacing w:before="40" w:after="40" w:line="210" w:lineRule="exact"/>
              <w:ind w:right="43"/>
              <w:jc w:val="right"/>
              <w:rPr>
                <w:sz w:val="17"/>
              </w:rPr>
            </w:pPr>
          </w:p>
        </w:tc>
        <w:tc>
          <w:tcPr>
            <w:tcW w:w="1440" w:type="dxa"/>
            <w:tcBorders>
              <w:top w:val="single" w:sz="12" w:space="0" w:color="auto"/>
            </w:tcBorders>
            <w:shd w:val="clear" w:color="auto" w:fill="auto"/>
            <w:vAlign w:val="bottom"/>
          </w:tcPr>
          <w:p w:rsidR="00497747" w:rsidRPr="00497747" w:rsidRDefault="00497747" w:rsidP="00497747">
            <w:pPr>
              <w:suppressAutoHyphens/>
              <w:spacing w:before="40" w:after="40" w:line="210" w:lineRule="exact"/>
              <w:ind w:right="43"/>
              <w:jc w:val="right"/>
              <w:rPr>
                <w:sz w:val="17"/>
              </w:rPr>
            </w:pPr>
          </w:p>
        </w:tc>
        <w:tc>
          <w:tcPr>
            <w:tcW w:w="1350" w:type="dxa"/>
            <w:tcBorders>
              <w:top w:val="single" w:sz="12" w:space="0" w:color="auto"/>
            </w:tcBorders>
            <w:shd w:val="clear" w:color="auto" w:fill="auto"/>
            <w:vAlign w:val="bottom"/>
          </w:tcPr>
          <w:p w:rsidR="00497747" w:rsidRPr="00497747" w:rsidRDefault="00497747" w:rsidP="00497747">
            <w:pPr>
              <w:suppressAutoHyphens/>
              <w:spacing w:before="40" w:after="40" w:line="210" w:lineRule="exact"/>
              <w:ind w:right="43"/>
              <w:jc w:val="right"/>
              <w:rPr>
                <w:sz w:val="17"/>
              </w:rPr>
            </w:pPr>
          </w:p>
        </w:tc>
        <w:tc>
          <w:tcPr>
            <w:tcW w:w="1231" w:type="dxa"/>
            <w:tcBorders>
              <w:top w:val="single" w:sz="12" w:space="0" w:color="auto"/>
            </w:tcBorders>
            <w:shd w:val="clear" w:color="auto" w:fill="auto"/>
            <w:vAlign w:val="bottom"/>
          </w:tcPr>
          <w:p w:rsidR="00497747" w:rsidRPr="00497747" w:rsidRDefault="00497747" w:rsidP="00497747">
            <w:pPr>
              <w:suppressAutoHyphens/>
              <w:spacing w:before="40" w:after="40" w:line="210" w:lineRule="exact"/>
              <w:ind w:right="43"/>
              <w:jc w:val="right"/>
              <w:rPr>
                <w:sz w:val="17"/>
              </w:rPr>
            </w:pPr>
          </w:p>
        </w:tc>
      </w:tr>
      <w:tr w:rsidR="00D926D4" w:rsidRPr="00497747">
        <w:tblPrEx>
          <w:tblCellMar>
            <w:top w:w="0" w:type="dxa"/>
            <w:bottom w:w="0" w:type="dxa"/>
          </w:tblCellMar>
        </w:tblPrEx>
        <w:tc>
          <w:tcPr>
            <w:tcW w:w="394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both"/>
              <w:rPr>
                <w:sz w:val="17"/>
              </w:rPr>
            </w:pPr>
            <w:r w:rsidRPr="00497747">
              <w:rPr>
                <w:sz w:val="17"/>
              </w:rPr>
              <w:t>Parti social démocrate de Slovénie (SDS)</w:t>
            </w:r>
          </w:p>
        </w:tc>
        <w:tc>
          <w:tcPr>
            <w:tcW w:w="171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29</w:t>
            </w:r>
          </w:p>
        </w:tc>
        <w:tc>
          <w:tcPr>
            <w:tcW w:w="144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29,08</w:t>
            </w:r>
          </w:p>
        </w:tc>
        <w:tc>
          <w:tcPr>
            <w:tcW w:w="135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3</w:t>
            </w:r>
          </w:p>
        </w:tc>
        <w:tc>
          <w:tcPr>
            <w:tcW w:w="1231"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10,3</w:t>
            </w:r>
          </w:p>
        </w:tc>
      </w:tr>
      <w:tr w:rsidR="00D926D4" w:rsidRPr="00497747">
        <w:tblPrEx>
          <w:tblCellMar>
            <w:top w:w="0" w:type="dxa"/>
            <w:bottom w:w="0" w:type="dxa"/>
          </w:tblCellMar>
        </w:tblPrEx>
        <w:tc>
          <w:tcPr>
            <w:tcW w:w="394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both"/>
              <w:rPr>
                <w:sz w:val="17"/>
              </w:rPr>
            </w:pPr>
            <w:r w:rsidRPr="00497747">
              <w:rPr>
                <w:sz w:val="17"/>
              </w:rPr>
              <w:t>Démocratie libérale de Slovénie (LDS)</w:t>
            </w:r>
          </w:p>
        </w:tc>
        <w:tc>
          <w:tcPr>
            <w:tcW w:w="171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23</w:t>
            </w:r>
          </w:p>
        </w:tc>
        <w:tc>
          <w:tcPr>
            <w:tcW w:w="144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22,80</w:t>
            </w:r>
          </w:p>
        </w:tc>
        <w:tc>
          <w:tcPr>
            <w:tcW w:w="135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3</w:t>
            </w:r>
          </w:p>
        </w:tc>
        <w:tc>
          <w:tcPr>
            <w:tcW w:w="1231"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13,0</w:t>
            </w:r>
          </w:p>
        </w:tc>
      </w:tr>
      <w:tr w:rsidR="00D926D4" w:rsidRPr="00497747">
        <w:tblPrEx>
          <w:tblCellMar>
            <w:top w:w="0" w:type="dxa"/>
            <w:bottom w:w="0" w:type="dxa"/>
          </w:tblCellMar>
        </w:tblPrEx>
        <w:tc>
          <w:tcPr>
            <w:tcW w:w="394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both"/>
              <w:rPr>
                <w:sz w:val="17"/>
              </w:rPr>
            </w:pPr>
            <w:r w:rsidRPr="00497747">
              <w:rPr>
                <w:sz w:val="17"/>
              </w:rPr>
              <w:t>Liste unie des Sociodémocrates (ZLSD)*</w:t>
            </w:r>
          </w:p>
        </w:tc>
        <w:tc>
          <w:tcPr>
            <w:tcW w:w="171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10</w:t>
            </w:r>
          </w:p>
        </w:tc>
        <w:tc>
          <w:tcPr>
            <w:tcW w:w="144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10,17</w:t>
            </w:r>
          </w:p>
        </w:tc>
        <w:tc>
          <w:tcPr>
            <w:tcW w:w="135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2</w:t>
            </w:r>
          </w:p>
        </w:tc>
        <w:tc>
          <w:tcPr>
            <w:tcW w:w="1231"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20,0</w:t>
            </w:r>
          </w:p>
        </w:tc>
      </w:tr>
      <w:tr w:rsidR="00D926D4" w:rsidRPr="00497747">
        <w:tblPrEx>
          <w:tblCellMar>
            <w:top w:w="0" w:type="dxa"/>
            <w:bottom w:w="0" w:type="dxa"/>
          </w:tblCellMar>
        </w:tblPrEx>
        <w:tc>
          <w:tcPr>
            <w:tcW w:w="394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both"/>
              <w:rPr>
                <w:sz w:val="17"/>
              </w:rPr>
            </w:pPr>
            <w:r w:rsidRPr="00497747">
              <w:rPr>
                <w:sz w:val="17"/>
              </w:rPr>
              <w:t>Parti du Peuple slovène (SLS)</w:t>
            </w:r>
          </w:p>
        </w:tc>
        <w:tc>
          <w:tcPr>
            <w:tcW w:w="171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7</w:t>
            </w:r>
          </w:p>
        </w:tc>
        <w:tc>
          <w:tcPr>
            <w:tcW w:w="144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6,82</w:t>
            </w:r>
          </w:p>
        </w:tc>
        <w:tc>
          <w:tcPr>
            <w:tcW w:w="135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0</w:t>
            </w:r>
          </w:p>
        </w:tc>
        <w:tc>
          <w:tcPr>
            <w:tcW w:w="1231"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0</w:t>
            </w:r>
          </w:p>
        </w:tc>
      </w:tr>
      <w:tr w:rsidR="00D926D4" w:rsidRPr="00497747">
        <w:tblPrEx>
          <w:tblCellMar>
            <w:top w:w="0" w:type="dxa"/>
            <w:bottom w:w="0" w:type="dxa"/>
          </w:tblCellMar>
        </w:tblPrEx>
        <w:tc>
          <w:tcPr>
            <w:tcW w:w="394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both"/>
              <w:rPr>
                <w:sz w:val="17"/>
              </w:rPr>
            </w:pPr>
            <w:r w:rsidRPr="00497747">
              <w:rPr>
                <w:sz w:val="17"/>
              </w:rPr>
              <w:t>Nouvelle Slovénie – Parti populaire chrétien (NSi)</w:t>
            </w:r>
          </w:p>
        </w:tc>
        <w:tc>
          <w:tcPr>
            <w:tcW w:w="171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9</w:t>
            </w:r>
          </w:p>
        </w:tc>
        <w:tc>
          <w:tcPr>
            <w:tcW w:w="144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9,09</w:t>
            </w:r>
          </w:p>
        </w:tc>
        <w:tc>
          <w:tcPr>
            <w:tcW w:w="135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2</w:t>
            </w:r>
          </w:p>
        </w:tc>
        <w:tc>
          <w:tcPr>
            <w:tcW w:w="1231"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22,2</w:t>
            </w:r>
          </w:p>
        </w:tc>
      </w:tr>
      <w:tr w:rsidR="00D926D4" w:rsidRPr="00497747">
        <w:tblPrEx>
          <w:tblCellMar>
            <w:top w:w="0" w:type="dxa"/>
            <w:bottom w:w="0" w:type="dxa"/>
          </w:tblCellMar>
        </w:tblPrEx>
        <w:tc>
          <w:tcPr>
            <w:tcW w:w="394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both"/>
              <w:rPr>
                <w:sz w:val="17"/>
              </w:rPr>
            </w:pPr>
            <w:r w:rsidRPr="00497747">
              <w:rPr>
                <w:sz w:val="17"/>
              </w:rPr>
              <w:t>Parti démocrate des retraités (DeSUS)</w:t>
            </w:r>
          </w:p>
        </w:tc>
        <w:tc>
          <w:tcPr>
            <w:tcW w:w="171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4</w:t>
            </w:r>
          </w:p>
        </w:tc>
        <w:tc>
          <w:tcPr>
            <w:tcW w:w="144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4,04</w:t>
            </w:r>
          </w:p>
        </w:tc>
        <w:tc>
          <w:tcPr>
            <w:tcW w:w="135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0</w:t>
            </w:r>
          </w:p>
        </w:tc>
        <w:tc>
          <w:tcPr>
            <w:tcW w:w="1231"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0</w:t>
            </w:r>
          </w:p>
        </w:tc>
      </w:tr>
      <w:tr w:rsidR="00D926D4" w:rsidRPr="00497747">
        <w:tblPrEx>
          <w:tblCellMar>
            <w:top w:w="0" w:type="dxa"/>
            <w:bottom w:w="0" w:type="dxa"/>
          </w:tblCellMar>
        </w:tblPrEx>
        <w:tc>
          <w:tcPr>
            <w:tcW w:w="394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both"/>
              <w:rPr>
                <w:sz w:val="17"/>
              </w:rPr>
            </w:pPr>
            <w:r w:rsidRPr="00497747">
              <w:rPr>
                <w:sz w:val="17"/>
              </w:rPr>
              <w:t>Parti national slovène (SNS)</w:t>
            </w:r>
          </w:p>
        </w:tc>
        <w:tc>
          <w:tcPr>
            <w:tcW w:w="171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6</w:t>
            </w:r>
          </w:p>
        </w:tc>
        <w:tc>
          <w:tcPr>
            <w:tcW w:w="144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6,27</w:t>
            </w:r>
          </w:p>
        </w:tc>
        <w:tc>
          <w:tcPr>
            <w:tcW w:w="1350"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1</w:t>
            </w:r>
          </w:p>
        </w:tc>
        <w:tc>
          <w:tcPr>
            <w:tcW w:w="1231" w:type="dxa"/>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16,7</w:t>
            </w:r>
          </w:p>
        </w:tc>
      </w:tr>
      <w:tr w:rsidR="00D926D4" w:rsidRPr="00497747">
        <w:tblPrEx>
          <w:tblCellMar>
            <w:top w:w="0" w:type="dxa"/>
            <w:bottom w:w="0" w:type="dxa"/>
          </w:tblCellMar>
        </w:tblPrEx>
        <w:tc>
          <w:tcPr>
            <w:tcW w:w="3940" w:type="dxa"/>
            <w:tcBorders>
              <w:bottom w:val="single" w:sz="12" w:space="0" w:color="auto"/>
            </w:tcBorders>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both"/>
              <w:rPr>
                <w:sz w:val="17"/>
              </w:rPr>
            </w:pPr>
            <w:r w:rsidRPr="00497747">
              <w:rPr>
                <w:sz w:val="17"/>
              </w:rPr>
              <w:t>Représentants des communautés nationales</w:t>
            </w:r>
          </w:p>
        </w:tc>
        <w:tc>
          <w:tcPr>
            <w:tcW w:w="1710" w:type="dxa"/>
            <w:tcBorders>
              <w:bottom w:val="single" w:sz="12" w:space="0" w:color="auto"/>
            </w:tcBorders>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2</w:t>
            </w:r>
          </w:p>
        </w:tc>
        <w:tc>
          <w:tcPr>
            <w:tcW w:w="1440" w:type="dxa"/>
            <w:tcBorders>
              <w:bottom w:val="single" w:sz="12" w:space="0" w:color="auto"/>
            </w:tcBorders>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2,2</w:t>
            </w:r>
          </w:p>
        </w:tc>
        <w:tc>
          <w:tcPr>
            <w:tcW w:w="1350" w:type="dxa"/>
            <w:tcBorders>
              <w:bottom w:val="single" w:sz="12" w:space="0" w:color="auto"/>
            </w:tcBorders>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1</w:t>
            </w:r>
          </w:p>
        </w:tc>
        <w:tc>
          <w:tcPr>
            <w:tcW w:w="1231" w:type="dxa"/>
            <w:tcBorders>
              <w:bottom w:val="single" w:sz="12" w:space="0" w:color="auto"/>
            </w:tcBorders>
            <w:shd w:val="clear" w:color="auto" w:fill="auto"/>
            <w:vAlign w:val="bottom"/>
          </w:tcPr>
          <w:p w:rsidR="00D926D4" w:rsidRPr="00497747" w:rsidRDefault="00D926D4" w:rsidP="00497747">
            <w:pPr>
              <w:tabs>
                <w:tab w:val="left" w:pos="288"/>
                <w:tab w:val="left" w:pos="576"/>
                <w:tab w:val="left" w:pos="864"/>
                <w:tab w:val="left" w:pos="1152"/>
              </w:tabs>
              <w:suppressAutoHyphens/>
              <w:spacing w:before="40" w:after="40" w:line="210" w:lineRule="exact"/>
              <w:ind w:right="43"/>
              <w:jc w:val="right"/>
              <w:rPr>
                <w:sz w:val="17"/>
              </w:rPr>
            </w:pPr>
            <w:r w:rsidRPr="00497747">
              <w:rPr>
                <w:sz w:val="17"/>
              </w:rPr>
              <w:t>50,0</w:t>
            </w:r>
          </w:p>
        </w:tc>
      </w:tr>
    </w:tbl>
    <w:p w:rsidR="00497747" w:rsidRPr="00497747" w:rsidRDefault="00497747" w:rsidP="00497747">
      <w:pPr>
        <w:spacing w:line="120" w:lineRule="exact"/>
        <w:jc w:val="both"/>
        <w:rPr>
          <w:sz w:val="10"/>
        </w:rPr>
      </w:pPr>
    </w:p>
    <w:p w:rsidR="00D926D4" w:rsidRPr="00497747" w:rsidRDefault="00D926D4" w:rsidP="00D926D4">
      <w:pPr>
        <w:jc w:val="both"/>
        <w:rPr>
          <w:sz w:val="17"/>
          <w:szCs w:val="17"/>
        </w:rPr>
      </w:pPr>
      <w:r w:rsidRPr="00497747">
        <w:rPr>
          <w:sz w:val="17"/>
          <w:szCs w:val="17"/>
        </w:rPr>
        <w:t xml:space="preserve">* Le 2 avril 2005, ce Parti était rebaptisé </w:t>
      </w:r>
      <w:r w:rsidR="003158AC" w:rsidRPr="00497747">
        <w:rPr>
          <w:sz w:val="17"/>
          <w:szCs w:val="17"/>
        </w:rPr>
        <w:t xml:space="preserve">“ </w:t>
      </w:r>
      <w:r w:rsidRPr="00497747">
        <w:rPr>
          <w:sz w:val="17"/>
          <w:szCs w:val="17"/>
        </w:rPr>
        <w:t>Parti des Sociodémocrates” (SD)</w:t>
      </w:r>
    </w:p>
    <w:p w:rsidR="00D926D4" w:rsidRPr="00497747" w:rsidRDefault="00BA4F2E" w:rsidP="00D926D4">
      <w:pPr>
        <w:jc w:val="both"/>
        <w:rPr>
          <w:sz w:val="17"/>
          <w:szCs w:val="17"/>
        </w:rPr>
      </w:pPr>
      <w:r>
        <w:rPr>
          <w:sz w:val="17"/>
          <w:szCs w:val="17"/>
        </w:rPr>
        <w:t xml:space="preserve"> </w:t>
      </w:r>
      <w:r w:rsidR="00497747">
        <w:rPr>
          <w:sz w:val="17"/>
          <w:szCs w:val="17"/>
        </w:rPr>
        <w:t xml:space="preserve"> </w:t>
      </w:r>
      <w:r w:rsidR="00D926D4" w:rsidRPr="00497747">
        <w:rPr>
          <w:i/>
          <w:sz w:val="17"/>
          <w:szCs w:val="17"/>
        </w:rPr>
        <w:t>Source</w:t>
      </w:r>
      <w:r w:rsidR="00D926D4" w:rsidRPr="00497747">
        <w:rPr>
          <w:sz w:val="17"/>
          <w:szCs w:val="17"/>
        </w:rPr>
        <w:t xml:space="preserve">: Assemblée nationale, 2005. </w:t>
      </w:r>
    </w:p>
    <w:p w:rsidR="00497747" w:rsidRPr="00497747" w:rsidRDefault="00497747" w:rsidP="00497747">
      <w:pPr>
        <w:pStyle w:val="BodyText"/>
        <w:tabs>
          <w:tab w:val="left" w:pos="700"/>
        </w:tabs>
        <w:spacing w:line="120" w:lineRule="exact"/>
        <w:rPr>
          <w:bCs/>
          <w:sz w:val="10"/>
          <w:szCs w:val="24"/>
          <w:lang w:val="fr-FR"/>
        </w:rPr>
      </w:pPr>
      <w:r>
        <w:rPr>
          <w:bCs/>
          <w:sz w:val="24"/>
          <w:szCs w:val="24"/>
          <w:lang w:val="fr-FR"/>
        </w:rPr>
        <w:tab/>
      </w:r>
    </w:p>
    <w:p w:rsidR="00D926D4" w:rsidRDefault="00D926D4" w:rsidP="00497747">
      <w:pPr>
        <w:pStyle w:val="SingleTxt"/>
        <w:jc w:val="left"/>
        <w:rPr>
          <w:b/>
          <w:lang w:val="fr-FR"/>
        </w:rPr>
      </w:pPr>
      <w:r w:rsidRPr="00FF4874">
        <w:rPr>
          <w:bCs/>
          <w:lang w:val="fr-FR"/>
        </w:rPr>
        <w:t>Tableau 17</w:t>
      </w:r>
      <w:r w:rsidR="00497747">
        <w:rPr>
          <w:bCs/>
          <w:lang w:val="fr-FR"/>
        </w:rPr>
        <w:br/>
      </w:r>
      <w:r w:rsidRPr="00497747">
        <w:rPr>
          <w:b/>
          <w:lang w:val="fr-FR"/>
        </w:rPr>
        <w:t>Maires de communes urbaines et autres (élus lors des élections locales de 1998 et 2002), par sexe</w:t>
      </w:r>
    </w:p>
    <w:p w:rsidR="00497747" w:rsidRPr="00497747" w:rsidRDefault="00497747" w:rsidP="00497747">
      <w:pPr>
        <w:pStyle w:val="SingleTxt"/>
        <w:spacing w:after="0" w:line="120" w:lineRule="exact"/>
        <w:jc w:val="left"/>
        <w:rPr>
          <w:b/>
          <w:sz w:val="10"/>
          <w:lang w:val="fr-FR"/>
        </w:rPr>
      </w:pPr>
    </w:p>
    <w:tbl>
      <w:tblPr>
        <w:tblW w:w="0" w:type="auto"/>
        <w:tblInd w:w="1267" w:type="dxa"/>
        <w:tblCellMar>
          <w:left w:w="70" w:type="dxa"/>
          <w:right w:w="70" w:type="dxa"/>
        </w:tblCellMar>
        <w:tblLook w:val="0000" w:firstRow="0" w:lastRow="0" w:firstColumn="0" w:lastColumn="0" w:noHBand="0" w:noVBand="0"/>
      </w:tblPr>
      <w:tblGrid>
        <w:gridCol w:w="1593"/>
        <w:gridCol w:w="1440"/>
        <w:gridCol w:w="1620"/>
      </w:tblGrid>
      <w:tr w:rsidR="00D926D4" w:rsidRPr="00497747">
        <w:tblPrEx>
          <w:tblCellMar>
            <w:top w:w="0" w:type="dxa"/>
            <w:bottom w:w="0" w:type="dxa"/>
          </w:tblCellMar>
        </w:tblPrEx>
        <w:trPr>
          <w:tblHeader/>
        </w:trPr>
        <w:tc>
          <w:tcPr>
            <w:tcW w:w="1593" w:type="dxa"/>
            <w:tcBorders>
              <w:top w:val="single" w:sz="4" w:space="0" w:color="auto"/>
              <w:bottom w:val="single" w:sz="12" w:space="0" w:color="auto"/>
            </w:tcBorders>
            <w:shd w:val="clear" w:color="auto" w:fill="auto"/>
            <w:vAlign w:val="bottom"/>
          </w:tcPr>
          <w:p w:rsidR="00D926D4" w:rsidRPr="00497747" w:rsidRDefault="00D926D4" w:rsidP="00497747">
            <w:pPr>
              <w:pStyle w:val="BodyText"/>
              <w:suppressAutoHyphens/>
              <w:spacing w:before="80" w:after="80" w:line="160" w:lineRule="exact"/>
              <w:ind w:right="43"/>
              <w:rPr>
                <w:b w:val="0"/>
                <w:i/>
                <w:sz w:val="14"/>
                <w:szCs w:val="24"/>
              </w:rPr>
            </w:pPr>
            <w:r w:rsidRPr="00497747">
              <w:rPr>
                <w:b w:val="0"/>
                <w:i/>
                <w:sz w:val="14"/>
                <w:szCs w:val="24"/>
              </w:rPr>
              <w:t>Année</w:t>
            </w:r>
          </w:p>
        </w:tc>
        <w:tc>
          <w:tcPr>
            <w:tcW w:w="1440" w:type="dxa"/>
            <w:tcBorders>
              <w:top w:val="single" w:sz="4" w:space="0" w:color="auto"/>
              <w:bottom w:val="single" w:sz="12" w:space="0" w:color="auto"/>
            </w:tcBorders>
            <w:shd w:val="clear" w:color="auto" w:fill="auto"/>
            <w:vAlign w:val="bottom"/>
          </w:tcPr>
          <w:p w:rsidR="00D926D4" w:rsidRPr="00497747" w:rsidRDefault="00D926D4" w:rsidP="00497747">
            <w:pPr>
              <w:pStyle w:val="BodyText"/>
              <w:suppressAutoHyphens/>
              <w:spacing w:before="80" w:after="80" w:line="160" w:lineRule="exact"/>
              <w:ind w:right="43"/>
              <w:jc w:val="right"/>
              <w:rPr>
                <w:b w:val="0"/>
                <w:i/>
                <w:sz w:val="14"/>
                <w:szCs w:val="24"/>
              </w:rPr>
            </w:pPr>
            <w:r w:rsidRPr="00497747">
              <w:rPr>
                <w:b w:val="0"/>
                <w:i/>
                <w:sz w:val="14"/>
                <w:szCs w:val="24"/>
              </w:rPr>
              <w:t>1998</w:t>
            </w:r>
          </w:p>
        </w:tc>
        <w:tc>
          <w:tcPr>
            <w:tcW w:w="1620" w:type="dxa"/>
            <w:tcBorders>
              <w:top w:val="single" w:sz="4" w:space="0" w:color="auto"/>
              <w:bottom w:val="single" w:sz="12" w:space="0" w:color="auto"/>
            </w:tcBorders>
            <w:shd w:val="clear" w:color="auto" w:fill="auto"/>
            <w:vAlign w:val="bottom"/>
          </w:tcPr>
          <w:p w:rsidR="00D926D4" w:rsidRPr="00497747" w:rsidRDefault="00D926D4" w:rsidP="00497747">
            <w:pPr>
              <w:pStyle w:val="BodyText"/>
              <w:suppressAutoHyphens/>
              <w:spacing w:before="80" w:after="80" w:line="160" w:lineRule="exact"/>
              <w:ind w:right="43"/>
              <w:jc w:val="right"/>
              <w:rPr>
                <w:b w:val="0"/>
                <w:i/>
                <w:sz w:val="14"/>
                <w:szCs w:val="24"/>
              </w:rPr>
            </w:pPr>
            <w:r w:rsidRPr="00497747">
              <w:rPr>
                <w:b w:val="0"/>
                <w:i/>
                <w:sz w:val="14"/>
                <w:szCs w:val="24"/>
              </w:rPr>
              <w:t>2002</w:t>
            </w:r>
          </w:p>
        </w:tc>
      </w:tr>
      <w:tr w:rsidR="00497747" w:rsidRPr="00497747">
        <w:tblPrEx>
          <w:tblCellMar>
            <w:top w:w="0" w:type="dxa"/>
            <w:bottom w:w="0" w:type="dxa"/>
          </w:tblCellMar>
        </w:tblPrEx>
        <w:trPr>
          <w:trHeight w:hRule="exact" w:val="115"/>
          <w:tblHeader/>
        </w:trPr>
        <w:tc>
          <w:tcPr>
            <w:tcW w:w="1593" w:type="dxa"/>
            <w:tcBorders>
              <w:top w:val="single" w:sz="12" w:space="0" w:color="auto"/>
            </w:tcBorders>
            <w:shd w:val="clear" w:color="auto" w:fill="auto"/>
            <w:vAlign w:val="bottom"/>
          </w:tcPr>
          <w:p w:rsidR="00497747" w:rsidRPr="00497747" w:rsidRDefault="00497747" w:rsidP="00497747">
            <w:pPr>
              <w:pStyle w:val="BodyText"/>
              <w:suppressAutoHyphens/>
              <w:spacing w:before="40" w:after="40" w:line="210" w:lineRule="exact"/>
              <w:ind w:right="43"/>
              <w:rPr>
                <w:b w:val="0"/>
                <w:bCs/>
                <w:sz w:val="17"/>
                <w:szCs w:val="24"/>
              </w:rPr>
            </w:pPr>
          </w:p>
        </w:tc>
        <w:tc>
          <w:tcPr>
            <w:tcW w:w="1440" w:type="dxa"/>
            <w:tcBorders>
              <w:top w:val="single" w:sz="12" w:space="0" w:color="auto"/>
            </w:tcBorders>
            <w:shd w:val="clear" w:color="auto" w:fill="auto"/>
            <w:vAlign w:val="bottom"/>
          </w:tcPr>
          <w:p w:rsidR="00497747" w:rsidRPr="00497747" w:rsidRDefault="00497747" w:rsidP="00497747">
            <w:pPr>
              <w:pStyle w:val="BodyText"/>
              <w:suppressAutoHyphens/>
              <w:spacing w:before="40" w:after="40" w:line="210" w:lineRule="exact"/>
              <w:ind w:right="43"/>
              <w:jc w:val="right"/>
              <w:rPr>
                <w:b w:val="0"/>
                <w:bCs/>
                <w:sz w:val="17"/>
                <w:szCs w:val="24"/>
              </w:rPr>
            </w:pPr>
          </w:p>
        </w:tc>
        <w:tc>
          <w:tcPr>
            <w:tcW w:w="1620" w:type="dxa"/>
            <w:tcBorders>
              <w:top w:val="single" w:sz="12" w:space="0" w:color="auto"/>
            </w:tcBorders>
            <w:shd w:val="clear" w:color="auto" w:fill="auto"/>
            <w:vAlign w:val="bottom"/>
          </w:tcPr>
          <w:p w:rsidR="00497747" w:rsidRPr="00497747" w:rsidRDefault="00497747" w:rsidP="00497747">
            <w:pPr>
              <w:pStyle w:val="BodyText"/>
              <w:suppressAutoHyphens/>
              <w:spacing w:before="40" w:after="40" w:line="210" w:lineRule="exact"/>
              <w:ind w:right="43"/>
              <w:jc w:val="right"/>
              <w:rPr>
                <w:b w:val="0"/>
                <w:bCs/>
                <w:sz w:val="17"/>
                <w:szCs w:val="24"/>
              </w:rPr>
            </w:pPr>
          </w:p>
        </w:tc>
      </w:tr>
      <w:tr w:rsidR="00D926D4" w:rsidRPr="00497747">
        <w:tblPrEx>
          <w:tblCellMar>
            <w:top w:w="0" w:type="dxa"/>
            <w:bottom w:w="0" w:type="dxa"/>
          </w:tblCellMar>
        </w:tblPrEx>
        <w:tc>
          <w:tcPr>
            <w:tcW w:w="1593" w:type="dxa"/>
            <w:shd w:val="clear" w:color="auto" w:fill="auto"/>
            <w:vAlign w:val="bottom"/>
          </w:tcPr>
          <w:p w:rsidR="00D926D4" w:rsidRPr="00497747" w:rsidRDefault="00D926D4" w:rsidP="00497747">
            <w:pPr>
              <w:pStyle w:val="BodyText"/>
              <w:tabs>
                <w:tab w:val="left" w:pos="288"/>
                <w:tab w:val="left" w:pos="576"/>
                <w:tab w:val="left" w:pos="864"/>
                <w:tab w:val="left" w:pos="1152"/>
              </w:tabs>
              <w:suppressAutoHyphens/>
              <w:spacing w:before="40" w:after="40" w:line="210" w:lineRule="exact"/>
              <w:ind w:right="43"/>
              <w:rPr>
                <w:b w:val="0"/>
                <w:bCs/>
                <w:sz w:val="17"/>
                <w:szCs w:val="24"/>
              </w:rPr>
            </w:pPr>
            <w:r w:rsidRPr="00497747">
              <w:rPr>
                <w:b w:val="0"/>
                <w:bCs/>
                <w:sz w:val="17"/>
                <w:szCs w:val="24"/>
              </w:rPr>
              <w:t>Total</w:t>
            </w:r>
          </w:p>
        </w:tc>
        <w:tc>
          <w:tcPr>
            <w:tcW w:w="1440" w:type="dxa"/>
            <w:shd w:val="clear" w:color="auto" w:fill="auto"/>
            <w:vAlign w:val="bottom"/>
          </w:tcPr>
          <w:p w:rsidR="00D926D4" w:rsidRPr="00497747" w:rsidRDefault="00D926D4" w:rsidP="00497747">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497747">
              <w:rPr>
                <w:b w:val="0"/>
                <w:bCs/>
                <w:sz w:val="17"/>
                <w:szCs w:val="24"/>
              </w:rPr>
              <w:t>191</w:t>
            </w:r>
          </w:p>
        </w:tc>
        <w:tc>
          <w:tcPr>
            <w:tcW w:w="1620" w:type="dxa"/>
            <w:shd w:val="clear" w:color="auto" w:fill="auto"/>
            <w:vAlign w:val="bottom"/>
          </w:tcPr>
          <w:p w:rsidR="00D926D4" w:rsidRPr="00497747" w:rsidRDefault="00D926D4" w:rsidP="00497747">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497747">
              <w:rPr>
                <w:b w:val="0"/>
                <w:bCs/>
                <w:sz w:val="17"/>
                <w:szCs w:val="24"/>
              </w:rPr>
              <w:t>193</w:t>
            </w:r>
          </w:p>
        </w:tc>
      </w:tr>
      <w:tr w:rsidR="00D926D4" w:rsidRPr="00497747">
        <w:tblPrEx>
          <w:tblCellMar>
            <w:top w:w="0" w:type="dxa"/>
            <w:bottom w:w="0" w:type="dxa"/>
          </w:tblCellMar>
        </w:tblPrEx>
        <w:tc>
          <w:tcPr>
            <w:tcW w:w="1593" w:type="dxa"/>
            <w:shd w:val="clear" w:color="auto" w:fill="auto"/>
            <w:vAlign w:val="bottom"/>
          </w:tcPr>
          <w:p w:rsidR="00D926D4" w:rsidRPr="00497747" w:rsidRDefault="00D926D4" w:rsidP="00497747">
            <w:pPr>
              <w:pStyle w:val="BodyText"/>
              <w:tabs>
                <w:tab w:val="left" w:pos="288"/>
                <w:tab w:val="left" w:pos="576"/>
                <w:tab w:val="left" w:pos="864"/>
                <w:tab w:val="left" w:pos="1152"/>
              </w:tabs>
              <w:suppressAutoHyphens/>
              <w:spacing w:before="40" w:after="40" w:line="210" w:lineRule="exact"/>
              <w:ind w:right="43"/>
              <w:rPr>
                <w:b w:val="0"/>
                <w:bCs/>
                <w:sz w:val="17"/>
                <w:szCs w:val="24"/>
              </w:rPr>
            </w:pPr>
            <w:r w:rsidRPr="00497747">
              <w:rPr>
                <w:b w:val="0"/>
                <w:bCs/>
                <w:sz w:val="17"/>
                <w:szCs w:val="24"/>
              </w:rPr>
              <w:t>Hommes</w:t>
            </w:r>
          </w:p>
        </w:tc>
        <w:tc>
          <w:tcPr>
            <w:tcW w:w="1440" w:type="dxa"/>
            <w:shd w:val="clear" w:color="auto" w:fill="auto"/>
            <w:vAlign w:val="bottom"/>
          </w:tcPr>
          <w:p w:rsidR="00D926D4" w:rsidRPr="00497747" w:rsidRDefault="00D926D4" w:rsidP="00497747">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497747">
              <w:rPr>
                <w:b w:val="0"/>
                <w:bCs/>
                <w:sz w:val="17"/>
                <w:szCs w:val="24"/>
              </w:rPr>
              <w:t>183</w:t>
            </w:r>
          </w:p>
        </w:tc>
        <w:tc>
          <w:tcPr>
            <w:tcW w:w="1620" w:type="dxa"/>
            <w:shd w:val="clear" w:color="auto" w:fill="auto"/>
            <w:vAlign w:val="bottom"/>
          </w:tcPr>
          <w:p w:rsidR="00D926D4" w:rsidRPr="00497747" w:rsidRDefault="00D926D4" w:rsidP="00497747">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497747">
              <w:rPr>
                <w:b w:val="0"/>
                <w:bCs/>
                <w:sz w:val="17"/>
                <w:szCs w:val="24"/>
              </w:rPr>
              <w:t>181</w:t>
            </w:r>
          </w:p>
        </w:tc>
      </w:tr>
      <w:tr w:rsidR="00D926D4" w:rsidRPr="00497747">
        <w:tblPrEx>
          <w:tblCellMar>
            <w:top w:w="0" w:type="dxa"/>
            <w:bottom w:w="0" w:type="dxa"/>
          </w:tblCellMar>
        </w:tblPrEx>
        <w:tc>
          <w:tcPr>
            <w:tcW w:w="1593" w:type="dxa"/>
            <w:shd w:val="clear" w:color="auto" w:fill="auto"/>
            <w:vAlign w:val="bottom"/>
          </w:tcPr>
          <w:p w:rsidR="00D926D4" w:rsidRPr="00497747" w:rsidRDefault="00D926D4" w:rsidP="00497747">
            <w:pPr>
              <w:pStyle w:val="BodyText"/>
              <w:tabs>
                <w:tab w:val="left" w:pos="288"/>
                <w:tab w:val="left" w:pos="576"/>
                <w:tab w:val="left" w:pos="864"/>
                <w:tab w:val="left" w:pos="1152"/>
              </w:tabs>
              <w:suppressAutoHyphens/>
              <w:spacing w:before="40" w:after="40" w:line="210" w:lineRule="exact"/>
              <w:ind w:right="43"/>
              <w:rPr>
                <w:b w:val="0"/>
                <w:bCs/>
                <w:sz w:val="17"/>
                <w:szCs w:val="24"/>
              </w:rPr>
            </w:pPr>
            <w:r w:rsidRPr="00497747">
              <w:rPr>
                <w:b w:val="0"/>
                <w:bCs/>
                <w:sz w:val="17"/>
                <w:szCs w:val="24"/>
              </w:rPr>
              <w:t>Femmes</w:t>
            </w:r>
          </w:p>
        </w:tc>
        <w:tc>
          <w:tcPr>
            <w:tcW w:w="1440" w:type="dxa"/>
            <w:shd w:val="clear" w:color="auto" w:fill="auto"/>
            <w:vAlign w:val="bottom"/>
          </w:tcPr>
          <w:p w:rsidR="00D926D4" w:rsidRPr="00497747" w:rsidRDefault="00D926D4" w:rsidP="00497747">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497747">
              <w:rPr>
                <w:b w:val="0"/>
                <w:bCs/>
                <w:sz w:val="17"/>
                <w:szCs w:val="24"/>
              </w:rPr>
              <w:t>8</w:t>
            </w:r>
          </w:p>
        </w:tc>
        <w:tc>
          <w:tcPr>
            <w:tcW w:w="1620" w:type="dxa"/>
            <w:shd w:val="clear" w:color="auto" w:fill="auto"/>
            <w:vAlign w:val="bottom"/>
          </w:tcPr>
          <w:p w:rsidR="00D926D4" w:rsidRPr="00497747" w:rsidRDefault="00D926D4" w:rsidP="00497747">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497747">
              <w:rPr>
                <w:b w:val="0"/>
                <w:bCs/>
                <w:sz w:val="17"/>
                <w:szCs w:val="24"/>
              </w:rPr>
              <w:t>12</w:t>
            </w:r>
          </w:p>
        </w:tc>
      </w:tr>
      <w:tr w:rsidR="00D926D4" w:rsidRPr="00497747">
        <w:tblPrEx>
          <w:tblCellMar>
            <w:top w:w="0" w:type="dxa"/>
            <w:bottom w:w="0" w:type="dxa"/>
          </w:tblCellMar>
        </w:tblPrEx>
        <w:tc>
          <w:tcPr>
            <w:tcW w:w="1593" w:type="dxa"/>
            <w:tcBorders>
              <w:bottom w:val="single" w:sz="12" w:space="0" w:color="auto"/>
            </w:tcBorders>
            <w:shd w:val="clear" w:color="auto" w:fill="auto"/>
            <w:vAlign w:val="bottom"/>
          </w:tcPr>
          <w:p w:rsidR="00D926D4" w:rsidRPr="00497747" w:rsidRDefault="00D926D4" w:rsidP="00497747">
            <w:pPr>
              <w:pStyle w:val="BodyText"/>
              <w:tabs>
                <w:tab w:val="left" w:pos="288"/>
                <w:tab w:val="left" w:pos="576"/>
                <w:tab w:val="left" w:pos="864"/>
                <w:tab w:val="left" w:pos="1152"/>
              </w:tabs>
              <w:suppressAutoHyphens/>
              <w:spacing w:before="40" w:after="40" w:line="210" w:lineRule="exact"/>
              <w:ind w:right="43"/>
              <w:rPr>
                <w:b w:val="0"/>
                <w:bCs/>
                <w:sz w:val="17"/>
                <w:szCs w:val="24"/>
              </w:rPr>
            </w:pPr>
            <w:r w:rsidRPr="00497747">
              <w:rPr>
                <w:b w:val="0"/>
                <w:bCs/>
                <w:sz w:val="17"/>
                <w:szCs w:val="24"/>
              </w:rPr>
              <w:t>% de femmes</w:t>
            </w:r>
          </w:p>
        </w:tc>
        <w:tc>
          <w:tcPr>
            <w:tcW w:w="1440" w:type="dxa"/>
            <w:tcBorders>
              <w:bottom w:val="single" w:sz="12" w:space="0" w:color="auto"/>
            </w:tcBorders>
            <w:shd w:val="clear" w:color="auto" w:fill="auto"/>
            <w:vAlign w:val="bottom"/>
          </w:tcPr>
          <w:p w:rsidR="00D926D4" w:rsidRPr="00497747" w:rsidRDefault="00D926D4" w:rsidP="00497747">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497747">
              <w:rPr>
                <w:b w:val="0"/>
                <w:bCs/>
                <w:sz w:val="17"/>
                <w:szCs w:val="24"/>
              </w:rPr>
              <w:t>4,2</w:t>
            </w:r>
          </w:p>
        </w:tc>
        <w:tc>
          <w:tcPr>
            <w:tcW w:w="1620" w:type="dxa"/>
            <w:tcBorders>
              <w:bottom w:val="single" w:sz="12" w:space="0" w:color="auto"/>
            </w:tcBorders>
            <w:shd w:val="clear" w:color="auto" w:fill="auto"/>
            <w:vAlign w:val="bottom"/>
          </w:tcPr>
          <w:p w:rsidR="00D926D4" w:rsidRPr="00497747" w:rsidRDefault="00D926D4" w:rsidP="00497747">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497747">
              <w:rPr>
                <w:b w:val="0"/>
                <w:bCs/>
                <w:sz w:val="17"/>
                <w:szCs w:val="24"/>
              </w:rPr>
              <w:t>6,2</w:t>
            </w:r>
          </w:p>
        </w:tc>
      </w:tr>
    </w:tbl>
    <w:p w:rsidR="00497747" w:rsidRPr="00497747" w:rsidRDefault="00497747" w:rsidP="00497747">
      <w:pPr>
        <w:pStyle w:val="BodyText2"/>
        <w:spacing w:line="120" w:lineRule="exact"/>
        <w:rPr>
          <w:bCs/>
          <w:sz w:val="10"/>
          <w:lang w:val="fr-FR"/>
        </w:rPr>
      </w:pPr>
    </w:p>
    <w:p w:rsidR="00D926D4" w:rsidRPr="00497747" w:rsidRDefault="00D926D4" w:rsidP="00497747">
      <w:pPr>
        <w:pStyle w:val="SingleTxt"/>
        <w:rPr>
          <w:b/>
          <w:sz w:val="17"/>
          <w:szCs w:val="17"/>
          <w:lang w:val="fr-FR"/>
        </w:rPr>
      </w:pPr>
      <w:r w:rsidRPr="00497747">
        <w:rPr>
          <w:i/>
          <w:sz w:val="17"/>
          <w:szCs w:val="17"/>
          <w:lang w:val="fr-FR"/>
        </w:rPr>
        <w:t>Source</w:t>
      </w:r>
      <w:r w:rsidRPr="00497747">
        <w:rPr>
          <w:sz w:val="17"/>
          <w:szCs w:val="17"/>
          <w:lang w:val="fr-FR"/>
        </w:rPr>
        <w:t>: Annuaire statistique 2005, Institut de la Statistique de la République de Slovénie</w:t>
      </w:r>
      <w:r w:rsidRPr="00497747">
        <w:rPr>
          <w:b/>
          <w:sz w:val="17"/>
          <w:szCs w:val="17"/>
          <w:lang w:val="fr-FR"/>
        </w:rPr>
        <w:t>.</w:t>
      </w:r>
    </w:p>
    <w:p w:rsidR="00D926D4" w:rsidRPr="00FF4874" w:rsidRDefault="00D926D4" w:rsidP="00D926D4">
      <w:pPr>
        <w:pStyle w:val="BodyText2"/>
        <w:rPr>
          <w:bCs/>
          <w:sz w:val="24"/>
          <w:szCs w:val="24"/>
          <w:lang w:val="fr-FR"/>
        </w:rPr>
      </w:pPr>
    </w:p>
    <w:p w:rsidR="00851D7A" w:rsidRDefault="0073290F" w:rsidP="00851D7A">
      <w:pPr>
        <w:pStyle w:val="SingleTxt"/>
        <w:spacing w:after="0" w:line="240" w:lineRule="auto"/>
      </w:pPr>
      <w:r>
        <w:br w:type="page"/>
      </w:r>
      <w:r w:rsidR="00851D7A">
        <w:t>Tableau 18</w:t>
      </w:r>
    </w:p>
    <w:p w:rsidR="0073290F" w:rsidRPr="00FF4874" w:rsidRDefault="00851D7A" w:rsidP="00851D7A">
      <w:pPr>
        <w:pStyle w:val="SingleTxt"/>
        <w:spacing w:after="0" w:line="240" w:lineRule="auto"/>
        <w:rPr>
          <w:lang w:val="fr-FR"/>
        </w:rPr>
      </w:pPr>
      <w:r>
        <w:t>Juges, par type de tribunal et par sexe, 2000 – 2003</w:t>
      </w:r>
    </w:p>
    <w:p w:rsidR="00851D7A" w:rsidRPr="00851D7A" w:rsidRDefault="00851D7A" w:rsidP="00851D7A">
      <w:pPr>
        <w:tabs>
          <w:tab w:val="left" w:pos="820"/>
        </w:tabs>
        <w:spacing w:line="120" w:lineRule="exact"/>
        <w:rPr>
          <w:sz w:val="10"/>
        </w:rPr>
      </w:pPr>
      <w:r>
        <w:tab/>
      </w:r>
    </w:p>
    <w:tbl>
      <w:tblPr>
        <w:tblW w:w="9880" w:type="dxa"/>
        <w:tblCellMar>
          <w:left w:w="70" w:type="dxa"/>
          <w:right w:w="70" w:type="dxa"/>
        </w:tblCellMar>
        <w:tblLook w:val="0000" w:firstRow="0" w:lastRow="0" w:firstColumn="0" w:lastColumn="0" w:noHBand="0" w:noVBand="0"/>
      </w:tblPr>
      <w:tblGrid>
        <w:gridCol w:w="2361"/>
        <w:gridCol w:w="602"/>
        <w:gridCol w:w="640"/>
        <w:gridCol w:w="640"/>
        <w:gridCol w:w="600"/>
        <w:gridCol w:w="640"/>
        <w:gridCol w:w="640"/>
        <w:gridCol w:w="599"/>
        <w:gridCol w:w="640"/>
        <w:gridCol w:w="640"/>
        <w:gridCol w:w="598"/>
        <w:gridCol w:w="640"/>
        <w:gridCol w:w="640"/>
      </w:tblGrid>
      <w:tr w:rsidR="0073290F" w:rsidRPr="0073290F">
        <w:tblPrEx>
          <w:tblCellMar>
            <w:top w:w="0" w:type="dxa"/>
            <w:bottom w:w="0" w:type="dxa"/>
          </w:tblCellMar>
        </w:tblPrEx>
        <w:trPr>
          <w:cantSplit/>
          <w:tblHeader/>
        </w:trPr>
        <w:tc>
          <w:tcPr>
            <w:tcW w:w="2361" w:type="dxa"/>
            <w:tcBorders>
              <w:top w:val="single" w:sz="4" w:space="0" w:color="auto"/>
            </w:tcBorders>
            <w:shd w:val="clear" w:color="auto" w:fill="auto"/>
            <w:vAlign w:val="bottom"/>
          </w:tcPr>
          <w:p w:rsidR="0073290F" w:rsidRPr="0073290F" w:rsidRDefault="0073290F" w:rsidP="0073290F">
            <w:pPr>
              <w:suppressAutoHyphens/>
              <w:spacing w:before="80" w:after="80" w:line="160" w:lineRule="exact"/>
              <w:ind w:right="43"/>
              <w:rPr>
                <w:i/>
                <w:sz w:val="14"/>
              </w:rPr>
            </w:pPr>
          </w:p>
        </w:tc>
        <w:tc>
          <w:tcPr>
            <w:tcW w:w="1882" w:type="dxa"/>
            <w:gridSpan w:val="3"/>
            <w:tcBorders>
              <w:top w:val="single" w:sz="4" w:space="0" w:color="auto"/>
              <w:bottom w:val="single" w:sz="4" w:space="0" w:color="auto"/>
            </w:tcBorders>
            <w:shd w:val="clear" w:color="auto" w:fill="auto"/>
            <w:vAlign w:val="bottom"/>
          </w:tcPr>
          <w:p w:rsidR="0073290F" w:rsidRPr="0073290F" w:rsidRDefault="0073290F" w:rsidP="0073290F">
            <w:pPr>
              <w:suppressAutoHyphens/>
              <w:spacing w:before="80" w:after="80" w:line="160" w:lineRule="exact"/>
              <w:ind w:right="43"/>
              <w:jc w:val="center"/>
              <w:rPr>
                <w:i/>
                <w:sz w:val="14"/>
              </w:rPr>
            </w:pPr>
            <w:r>
              <w:rPr>
                <w:i/>
                <w:sz w:val="14"/>
              </w:rPr>
              <w:t>2000</w:t>
            </w:r>
          </w:p>
        </w:tc>
        <w:tc>
          <w:tcPr>
            <w:tcW w:w="1880" w:type="dxa"/>
            <w:gridSpan w:val="3"/>
            <w:tcBorders>
              <w:top w:val="single" w:sz="4" w:space="0" w:color="auto"/>
              <w:bottom w:val="single" w:sz="4" w:space="0" w:color="auto"/>
            </w:tcBorders>
            <w:shd w:val="clear" w:color="auto" w:fill="auto"/>
            <w:vAlign w:val="bottom"/>
          </w:tcPr>
          <w:p w:rsidR="0073290F" w:rsidRPr="0073290F" w:rsidRDefault="0073290F" w:rsidP="0073290F">
            <w:pPr>
              <w:suppressAutoHyphens/>
              <w:spacing w:before="80" w:after="80" w:line="160" w:lineRule="exact"/>
              <w:ind w:right="43"/>
              <w:jc w:val="center"/>
              <w:rPr>
                <w:i/>
                <w:sz w:val="14"/>
              </w:rPr>
            </w:pPr>
            <w:r>
              <w:rPr>
                <w:i/>
                <w:sz w:val="14"/>
              </w:rPr>
              <w:t>2001</w:t>
            </w:r>
          </w:p>
        </w:tc>
        <w:tc>
          <w:tcPr>
            <w:tcW w:w="1879" w:type="dxa"/>
            <w:gridSpan w:val="3"/>
            <w:tcBorders>
              <w:top w:val="single" w:sz="4" w:space="0" w:color="auto"/>
              <w:bottom w:val="single" w:sz="4" w:space="0" w:color="auto"/>
            </w:tcBorders>
            <w:shd w:val="clear" w:color="auto" w:fill="auto"/>
            <w:vAlign w:val="bottom"/>
          </w:tcPr>
          <w:p w:rsidR="0073290F" w:rsidRPr="0073290F" w:rsidRDefault="0073290F" w:rsidP="0073290F">
            <w:pPr>
              <w:suppressAutoHyphens/>
              <w:spacing w:before="80" w:after="80" w:line="160" w:lineRule="exact"/>
              <w:ind w:right="43"/>
              <w:jc w:val="center"/>
              <w:rPr>
                <w:i/>
                <w:sz w:val="14"/>
              </w:rPr>
            </w:pPr>
            <w:r>
              <w:rPr>
                <w:i/>
                <w:sz w:val="14"/>
              </w:rPr>
              <w:t>2002</w:t>
            </w:r>
          </w:p>
        </w:tc>
        <w:tc>
          <w:tcPr>
            <w:tcW w:w="1878" w:type="dxa"/>
            <w:gridSpan w:val="3"/>
            <w:tcBorders>
              <w:top w:val="single" w:sz="4" w:space="0" w:color="auto"/>
              <w:bottom w:val="single" w:sz="4" w:space="0" w:color="auto"/>
            </w:tcBorders>
            <w:shd w:val="clear" w:color="auto" w:fill="auto"/>
            <w:vAlign w:val="bottom"/>
          </w:tcPr>
          <w:p w:rsidR="0073290F" w:rsidRPr="0073290F" w:rsidRDefault="0073290F" w:rsidP="0073290F">
            <w:pPr>
              <w:suppressAutoHyphens/>
              <w:spacing w:before="80" w:after="80" w:line="160" w:lineRule="exact"/>
              <w:ind w:right="43"/>
              <w:jc w:val="center"/>
              <w:rPr>
                <w:i/>
                <w:sz w:val="14"/>
              </w:rPr>
            </w:pPr>
            <w:r>
              <w:rPr>
                <w:i/>
                <w:sz w:val="14"/>
              </w:rPr>
              <w:t>2003</w:t>
            </w:r>
          </w:p>
        </w:tc>
      </w:tr>
      <w:tr w:rsidR="0073290F" w:rsidRPr="0073290F">
        <w:tblPrEx>
          <w:tblCellMar>
            <w:top w:w="0" w:type="dxa"/>
            <w:bottom w:w="0" w:type="dxa"/>
          </w:tblCellMar>
        </w:tblPrEx>
        <w:trPr>
          <w:cantSplit/>
          <w:tblHeader/>
        </w:trPr>
        <w:tc>
          <w:tcPr>
            <w:tcW w:w="2361" w:type="dxa"/>
            <w:tcBorders>
              <w:bottom w:val="single" w:sz="12" w:space="0" w:color="auto"/>
            </w:tcBorders>
            <w:shd w:val="clear" w:color="auto" w:fill="auto"/>
            <w:vAlign w:val="bottom"/>
          </w:tcPr>
          <w:p w:rsidR="0073290F" w:rsidRPr="0073290F" w:rsidRDefault="0073290F" w:rsidP="0073290F">
            <w:pPr>
              <w:suppressAutoHyphens/>
              <w:spacing w:before="80" w:after="80" w:line="160" w:lineRule="exact"/>
              <w:ind w:right="43"/>
              <w:rPr>
                <w:i/>
                <w:sz w:val="14"/>
              </w:rPr>
            </w:pPr>
            <w:r>
              <w:rPr>
                <w:i/>
                <w:sz w:val="14"/>
              </w:rPr>
              <w:t>Tribunaux</w:t>
            </w:r>
          </w:p>
        </w:tc>
        <w:tc>
          <w:tcPr>
            <w:tcW w:w="602" w:type="dxa"/>
            <w:tcBorders>
              <w:top w:val="single" w:sz="4" w:space="0" w:color="auto"/>
              <w:bottom w:val="single" w:sz="12" w:space="0" w:color="auto"/>
            </w:tcBorders>
            <w:shd w:val="clear" w:color="auto" w:fill="auto"/>
            <w:vAlign w:val="bottom"/>
          </w:tcPr>
          <w:p w:rsidR="0073290F" w:rsidRPr="0073290F" w:rsidRDefault="0073290F" w:rsidP="0073290F">
            <w:pPr>
              <w:suppressAutoHyphens/>
              <w:spacing w:before="80" w:after="80" w:line="160" w:lineRule="exact"/>
              <w:ind w:right="43"/>
              <w:jc w:val="right"/>
              <w:rPr>
                <w:i/>
                <w:sz w:val="14"/>
              </w:rPr>
            </w:pPr>
            <w:r>
              <w:rPr>
                <w:i/>
                <w:sz w:val="14"/>
              </w:rPr>
              <w:t>Total</w:t>
            </w:r>
          </w:p>
        </w:tc>
        <w:tc>
          <w:tcPr>
            <w:tcW w:w="640" w:type="dxa"/>
            <w:tcBorders>
              <w:top w:val="single" w:sz="4" w:space="0" w:color="auto"/>
              <w:bottom w:val="single" w:sz="12" w:space="0" w:color="auto"/>
            </w:tcBorders>
            <w:shd w:val="clear" w:color="auto" w:fill="auto"/>
            <w:vAlign w:val="bottom"/>
          </w:tcPr>
          <w:p w:rsidR="0073290F" w:rsidRPr="0073290F" w:rsidRDefault="0073290F" w:rsidP="0073290F">
            <w:pPr>
              <w:suppressAutoHyphens/>
              <w:spacing w:before="80" w:after="80" w:line="160" w:lineRule="exact"/>
              <w:ind w:right="43"/>
              <w:jc w:val="right"/>
              <w:rPr>
                <w:i/>
                <w:sz w:val="14"/>
              </w:rPr>
            </w:pPr>
            <w:r>
              <w:rPr>
                <w:i/>
                <w:sz w:val="14"/>
              </w:rPr>
              <w:t>femmes</w:t>
            </w:r>
          </w:p>
        </w:tc>
        <w:tc>
          <w:tcPr>
            <w:tcW w:w="640" w:type="dxa"/>
            <w:tcBorders>
              <w:top w:val="single" w:sz="4" w:space="0" w:color="auto"/>
              <w:bottom w:val="single" w:sz="12" w:space="0" w:color="auto"/>
            </w:tcBorders>
            <w:shd w:val="clear" w:color="auto" w:fill="auto"/>
            <w:vAlign w:val="bottom"/>
          </w:tcPr>
          <w:p w:rsidR="0073290F" w:rsidRPr="0073290F" w:rsidRDefault="0073290F" w:rsidP="0073290F">
            <w:pPr>
              <w:suppressAutoHyphens/>
              <w:spacing w:before="80" w:after="80" w:line="160" w:lineRule="exact"/>
              <w:ind w:right="43"/>
              <w:jc w:val="right"/>
              <w:rPr>
                <w:i/>
                <w:sz w:val="14"/>
              </w:rPr>
            </w:pPr>
            <w:r>
              <w:rPr>
                <w:i/>
                <w:sz w:val="14"/>
              </w:rPr>
              <w:t>% de femmes</w:t>
            </w:r>
          </w:p>
        </w:tc>
        <w:tc>
          <w:tcPr>
            <w:tcW w:w="600" w:type="dxa"/>
            <w:tcBorders>
              <w:top w:val="single" w:sz="4" w:space="0" w:color="auto"/>
              <w:bottom w:val="single" w:sz="12" w:space="0" w:color="auto"/>
            </w:tcBorders>
            <w:shd w:val="clear" w:color="auto" w:fill="auto"/>
            <w:vAlign w:val="bottom"/>
          </w:tcPr>
          <w:p w:rsidR="0073290F" w:rsidRPr="0073290F" w:rsidRDefault="0073290F" w:rsidP="0073290F">
            <w:pPr>
              <w:suppressAutoHyphens/>
              <w:spacing w:before="80" w:after="80" w:line="160" w:lineRule="exact"/>
              <w:ind w:right="43"/>
              <w:jc w:val="right"/>
              <w:rPr>
                <w:i/>
                <w:sz w:val="14"/>
              </w:rPr>
            </w:pPr>
            <w:r>
              <w:rPr>
                <w:i/>
                <w:sz w:val="14"/>
              </w:rPr>
              <w:t>Total</w:t>
            </w:r>
          </w:p>
        </w:tc>
        <w:tc>
          <w:tcPr>
            <w:tcW w:w="640" w:type="dxa"/>
            <w:tcBorders>
              <w:top w:val="single" w:sz="4" w:space="0" w:color="auto"/>
              <w:bottom w:val="single" w:sz="12" w:space="0" w:color="auto"/>
            </w:tcBorders>
            <w:shd w:val="clear" w:color="auto" w:fill="auto"/>
            <w:vAlign w:val="bottom"/>
          </w:tcPr>
          <w:p w:rsidR="0073290F" w:rsidRPr="0073290F" w:rsidRDefault="0073290F" w:rsidP="0073290F">
            <w:pPr>
              <w:suppressAutoHyphens/>
              <w:spacing w:before="80" w:after="80" w:line="160" w:lineRule="exact"/>
              <w:ind w:right="43"/>
              <w:jc w:val="right"/>
              <w:rPr>
                <w:i/>
                <w:sz w:val="14"/>
              </w:rPr>
            </w:pPr>
            <w:r>
              <w:rPr>
                <w:i/>
                <w:sz w:val="14"/>
              </w:rPr>
              <w:t>femmes</w:t>
            </w:r>
          </w:p>
        </w:tc>
        <w:tc>
          <w:tcPr>
            <w:tcW w:w="640" w:type="dxa"/>
            <w:tcBorders>
              <w:top w:val="single" w:sz="4" w:space="0" w:color="auto"/>
              <w:bottom w:val="single" w:sz="12" w:space="0" w:color="auto"/>
            </w:tcBorders>
            <w:shd w:val="clear" w:color="auto" w:fill="auto"/>
            <w:vAlign w:val="bottom"/>
          </w:tcPr>
          <w:p w:rsidR="0073290F" w:rsidRPr="0073290F" w:rsidRDefault="0073290F" w:rsidP="0073290F">
            <w:pPr>
              <w:suppressAutoHyphens/>
              <w:spacing w:before="80" w:after="80" w:line="160" w:lineRule="exact"/>
              <w:ind w:right="43"/>
              <w:jc w:val="right"/>
              <w:rPr>
                <w:i/>
                <w:sz w:val="14"/>
              </w:rPr>
            </w:pPr>
            <w:r>
              <w:rPr>
                <w:i/>
                <w:sz w:val="14"/>
              </w:rPr>
              <w:t>% de femmes</w:t>
            </w:r>
          </w:p>
        </w:tc>
        <w:tc>
          <w:tcPr>
            <w:tcW w:w="599" w:type="dxa"/>
            <w:tcBorders>
              <w:top w:val="single" w:sz="4" w:space="0" w:color="auto"/>
              <w:bottom w:val="single" w:sz="12" w:space="0" w:color="auto"/>
            </w:tcBorders>
            <w:shd w:val="clear" w:color="auto" w:fill="auto"/>
            <w:vAlign w:val="bottom"/>
          </w:tcPr>
          <w:p w:rsidR="0073290F" w:rsidRPr="0073290F" w:rsidRDefault="0073290F" w:rsidP="0073290F">
            <w:pPr>
              <w:suppressAutoHyphens/>
              <w:spacing w:before="80" w:after="80" w:line="160" w:lineRule="exact"/>
              <w:ind w:right="43"/>
              <w:jc w:val="right"/>
              <w:rPr>
                <w:i/>
                <w:sz w:val="14"/>
              </w:rPr>
            </w:pPr>
            <w:r>
              <w:rPr>
                <w:i/>
                <w:sz w:val="14"/>
              </w:rPr>
              <w:t>Total</w:t>
            </w:r>
          </w:p>
        </w:tc>
        <w:tc>
          <w:tcPr>
            <w:tcW w:w="640" w:type="dxa"/>
            <w:tcBorders>
              <w:top w:val="single" w:sz="4" w:space="0" w:color="auto"/>
              <w:bottom w:val="single" w:sz="12" w:space="0" w:color="auto"/>
            </w:tcBorders>
            <w:shd w:val="clear" w:color="auto" w:fill="auto"/>
            <w:vAlign w:val="bottom"/>
          </w:tcPr>
          <w:p w:rsidR="0073290F" w:rsidRPr="0073290F" w:rsidRDefault="0073290F" w:rsidP="0073290F">
            <w:pPr>
              <w:suppressAutoHyphens/>
              <w:spacing w:before="80" w:after="80" w:line="160" w:lineRule="exact"/>
              <w:ind w:right="43"/>
              <w:jc w:val="right"/>
              <w:rPr>
                <w:i/>
                <w:sz w:val="14"/>
              </w:rPr>
            </w:pPr>
            <w:r>
              <w:rPr>
                <w:i/>
                <w:sz w:val="14"/>
              </w:rPr>
              <w:t>femmes</w:t>
            </w:r>
          </w:p>
        </w:tc>
        <w:tc>
          <w:tcPr>
            <w:tcW w:w="640" w:type="dxa"/>
            <w:tcBorders>
              <w:top w:val="single" w:sz="4" w:space="0" w:color="auto"/>
              <w:bottom w:val="single" w:sz="12" w:space="0" w:color="auto"/>
            </w:tcBorders>
            <w:shd w:val="clear" w:color="auto" w:fill="auto"/>
            <w:vAlign w:val="bottom"/>
          </w:tcPr>
          <w:p w:rsidR="0073290F" w:rsidRPr="0073290F" w:rsidRDefault="0073290F" w:rsidP="0073290F">
            <w:pPr>
              <w:suppressAutoHyphens/>
              <w:spacing w:before="80" w:after="80" w:line="160" w:lineRule="exact"/>
              <w:ind w:right="43"/>
              <w:jc w:val="right"/>
              <w:rPr>
                <w:i/>
                <w:sz w:val="14"/>
              </w:rPr>
            </w:pPr>
            <w:r>
              <w:rPr>
                <w:i/>
                <w:sz w:val="14"/>
              </w:rPr>
              <w:t>% de femmes</w:t>
            </w:r>
          </w:p>
        </w:tc>
        <w:tc>
          <w:tcPr>
            <w:tcW w:w="598" w:type="dxa"/>
            <w:tcBorders>
              <w:top w:val="single" w:sz="4" w:space="0" w:color="auto"/>
              <w:bottom w:val="single" w:sz="12" w:space="0" w:color="auto"/>
            </w:tcBorders>
            <w:shd w:val="clear" w:color="auto" w:fill="auto"/>
            <w:vAlign w:val="bottom"/>
          </w:tcPr>
          <w:p w:rsidR="0073290F" w:rsidRPr="0073290F" w:rsidRDefault="0073290F" w:rsidP="0073290F">
            <w:pPr>
              <w:suppressAutoHyphens/>
              <w:spacing w:before="80" w:after="80" w:line="160" w:lineRule="exact"/>
              <w:ind w:right="43"/>
              <w:jc w:val="right"/>
              <w:rPr>
                <w:i/>
                <w:sz w:val="14"/>
              </w:rPr>
            </w:pPr>
            <w:r>
              <w:rPr>
                <w:i/>
                <w:sz w:val="14"/>
              </w:rPr>
              <w:t>Total</w:t>
            </w:r>
          </w:p>
        </w:tc>
        <w:tc>
          <w:tcPr>
            <w:tcW w:w="640" w:type="dxa"/>
            <w:tcBorders>
              <w:top w:val="single" w:sz="4" w:space="0" w:color="auto"/>
              <w:bottom w:val="single" w:sz="12" w:space="0" w:color="auto"/>
            </w:tcBorders>
            <w:shd w:val="clear" w:color="auto" w:fill="auto"/>
            <w:vAlign w:val="bottom"/>
          </w:tcPr>
          <w:p w:rsidR="0073290F" w:rsidRPr="0073290F" w:rsidRDefault="0073290F" w:rsidP="0073290F">
            <w:pPr>
              <w:suppressAutoHyphens/>
              <w:spacing w:before="80" w:after="80" w:line="160" w:lineRule="exact"/>
              <w:ind w:right="43"/>
              <w:jc w:val="right"/>
              <w:rPr>
                <w:i/>
                <w:sz w:val="14"/>
              </w:rPr>
            </w:pPr>
            <w:r>
              <w:rPr>
                <w:i/>
                <w:sz w:val="14"/>
              </w:rPr>
              <w:t>femmes</w:t>
            </w:r>
          </w:p>
        </w:tc>
        <w:tc>
          <w:tcPr>
            <w:tcW w:w="640" w:type="dxa"/>
            <w:tcBorders>
              <w:top w:val="single" w:sz="4" w:space="0" w:color="auto"/>
              <w:bottom w:val="single" w:sz="12" w:space="0" w:color="auto"/>
            </w:tcBorders>
            <w:shd w:val="clear" w:color="auto" w:fill="auto"/>
            <w:vAlign w:val="bottom"/>
          </w:tcPr>
          <w:p w:rsidR="0073290F" w:rsidRPr="0073290F" w:rsidRDefault="0073290F" w:rsidP="0073290F">
            <w:pPr>
              <w:suppressAutoHyphens/>
              <w:spacing w:before="80" w:after="80" w:line="160" w:lineRule="exact"/>
              <w:ind w:right="43"/>
              <w:jc w:val="right"/>
              <w:rPr>
                <w:i/>
                <w:sz w:val="14"/>
              </w:rPr>
            </w:pPr>
            <w:r>
              <w:rPr>
                <w:i/>
                <w:sz w:val="14"/>
              </w:rPr>
              <w:t>% de femmes</w:t>
            </w:r>
          </w:p>
        </w:tc>
      </w:tr>
      <w:tr w:rsidR="0073290F" w:rsidRPr="0073290F">
        <w:tblPrEx>
          <w:tblCellMar>
            <w:top w:w="0" w:type="dxa"/>
            <w:bottom w:w="0" w:type="dxa"/>
          </w:tblCellMar>
        </w:tblPrEx>
        <w:trPr>
          <w:cantSplit/>
          <w:trHeight w:hRule="exact" w:val="115"/>
          <w:tblHeader/>
        </w:trPr>
        <w:tc>
          <w:tcPr>
            <w:tcW w:w="2361" w:type="dxa"/>
            <w:tcBorders>
              <w:top w:val="single" w:sz="12" w:space="0" w:color="auto"/>
            </w:tcBorders>
            <w:shd w:val="clear" w:color="auto" w:fill="auto"/>
            <w:vAlign w:val="bottom"/>
          </w:tcPr>
          <w:p w:rsidR="0073290F" w:rsidRPr="0073290F" w:rsidRDefault="0073290F" w:rsidP="0073290F">
            <w:pPr>
              <w:suppressAutoHyphens/>
              <w:spacing w:before="40" w:after="40" w:line="210" w:lineRule="exact"/>
              <w:ind w:right="43"/>
              <w:rPr>
                <w:sz w:val="17"/>
              </w:rPr>
            </w:pPr>
          </w:p>
        </w:tc>
        <w:tc>
          <w:tcPr>
            <w:tcW w:w="602" w:type="dxa"/>
            <w:tcBorders>
              <w:top w:val="single" w:sz="12" w:space="0" w:color="auto"/>
            </w:tcBorders>
            <w:shd w:val="clear" w:color="auto" w:fill="auto"/>
            <w:vAlign w:val="bottom"/>
          </w:tcPr>
          <w:p w:rsidR="0073290F" w:rsidRPr="0073290F" w:rsidRDefault="0073290F" w:rsidP="0073290F">
            <w:pPr>
              <w:suppressAutoHyphens/>
              <w:spacing w:before="40" w:after="40" w:line="210" w:lineRule="exact"/>
              <w:ind w:right="43"/>
              <w:jc w:val="right"/>
              <w:rPr>
                <w:sz w:val="17"/>
              </w:rPr>
            </w:pPr>
          </w:p>
        </w:tc>
        <w:tc>
          <w:tcPr>
            <w:tcW w:w="640" w:type="dxa"/>
            <w:tcBorders>
              <w:top w:val="single" w:sz="12" w:space="0" w:color="auto"/>
            </w:tcBorders>
            <w:shd w:val="clear" w:color="auto" w:fill="auto"/>
            <w:vAlign w:val="bottom"/>
          </w:tcPr>
          <w:p w:rsidR="0073290F" w:rsidRPr="0073290F" w:rsidRDefault="0073290F" w:rsidP="0073290F">
            <w:pPr>
              <w:suppressAutoHyphens/>
              <w:spacing w:before="40" w:after="40" w:line="210" w:lineRule="exact"/>
              <w:ind w:right="43"/>
              <w:jc w:val="right"/>
              <w:rPr>
                <w:sz w:val="17"/>
              </w:rPr>
            </w:pPr>
          </w:p>
        </w:tc>
        <w:tc>
          <w:tcPr>
            <w:tcW w:w="640" w:type="dxa"/>
            <w:tcBorders>
              <w:top w:val="single" w:sz="12" w:space="0" w:color="auto"/>
            </w:tcBorders>
            <w:shd w:val="clear" w:color="auto" w:fill="auto"/>
            <w:vAlign w:val="bottom"/>
          </w:tcPr>
          <w:p w:rsidR="0073290F" w:rsidRPr="0073290F" w:rsidRDefault="0073290F" w:rsidP="0073290F">
            <w:pPr>
              <w:suppressAutoHyphens/>
              <w:spacing w:before="40" w:after="40" w:line="210" w:lineRule="exact"/>
              <w:ind w:right="43"/>
              <w:jc w:val="right"/>
              <w:rPr>
                <w:sz w:val="17"/>
              </w:rPr>
            </w:pPr>
          </w:p>
        </w:tc>
        <w:tc>
          <w:tcPr>
            <w:tcW w:w="600" w:type="dxa"/>
            <w:tcBorders>
              <w:top w:val="single" w:sz="12" w:space="0" w:color="auto"/>
            </w:tcBorders>
            <w:shd w:val="clear" w:color="auto" w:fill="auto"/>
            <w:vAlign w:val="bottom"/>
          </w:tcPr>
          <w:p w:rsidR="0073290F" w:rsidRPr="0073290F" w:rsidRDefault="0073290F" w:rsidP="0073290F">
            <w:pPr>
              <w:suppressAutoHyphens/>
              <w:spacing w:before="40" w:after="40" w:line="210" w:lineRule="exact"/>
              <w:ind w:right="43"/>
              <w:jc w:val="right"/>
              <w:rPr>
                <w:sz w:val="17"/>
              </w:rPr>
            </w:pPr>
          </w:p>
        </w:tc>
        <w:tc>
          <w:tcPr>
            <w:tcW w:w="640" w:type="dxa"/>
            <w:tcBorders>
              <w:top w:val="single" w:sz="12" w:space="0" w:color="auto"/>
            </w:tcBorders>
            <w:shd w:val="clear" w:color="auto" w:fill="auto"/>
            <w:vAlign w:val="bottom"/>
          </w:tcPr>
          <w:p w:rsidR="0073290F" w:rsidRPr="0073290F" w:rsidRDefault="0073290F" w:rsidP="0073290F">
            <w:pPr>
              <w:suppressAutoHyphens/>
              <w:spacing w:before="40" w:after="40" w:line="210" w:lineRule="exact"/>
              <w:ind w:right="43"/>
              <w:jc w:val="right"/>
              <w:rPr>
                <w:sz w:val="17"/>
              </w:rPr>
            </w:pPr>
          </w:p>
        </w:tc>
        <w:tc>
          <w:tcPr>
            <w:tcW w:w="640" w:type="dxa"/>
            <w:tcBorders>
              <w:top w:val="single" w:sz="12" w:space="0" w:color="auto"/>
            </w:tcBorders>
            <w:shd w:val="clear" w:color="auto" w:fill="auto"/>
            <w:vAlign w:val="bottom"/>
          </w:tcPr>
          <w:p w:rsidR="0073290F" w:rsidRPr="0073290F" w:rsidRDefault="0073290F" w:rsidP="0073290F">
            <w:pPr>
              <w:suppressAutoHyphens/>
              <w:spacing w:before="40" w:after="40" w:line="210" w:lineRule="exact"/>
              <w:ind w:right="43"/>
              <w:jc w:val="right"/>
              <w:rPr>
                <w:sz w:val="17"/>
              </w:rPr>
            </w:pPr>
          </w:p>
        </w:tc>
        <w:tc>
          <w:tcPr>
            <w:tcW w:w="599" w:type="dxa"/>
            <w:tcBorders>
              <w:top w:val="single" w:sz="12" w:space="0" w:color="auto"/>
            </w:tcBorders>
            <w:shd w:val="clear" w:color="auto" w:fill="auto"/>
            <w:vAlign w:val="bottom"/>
          </w:tcPr>
          <w:p w:rsidR="0073290F" w:rsidRPr="0073290F" w:rsidRDefault="0073290F" w:rsidP="0073290F">
            <w:pPr>
              <w:suppressAutoHyphens/>
              <w:spacing w:before="40" w:after="40" w:line="210" w:lineRule="exact"/>
              <w:ind w:right="43"/>
              <w:jc w:val="right"/>
              <w:rPr>
                <w:sz w:val="17"/>
              </w:rPr>
            </w:pPr>
          </w:p>
        </w:tc>
        <w:tc>
          <w:tcPr>
            <w:tcW w:w="640" w:type="dxa"/>
            <w:tcBorders>
              <w:top w:val="single" w:sz="12" w:space="0" w:color="auto"/>
            </w:tcBorders>
            <w:shd w:val="clear" w:color="auto" w:fill="auto"/>
            <w:vAlign w:val="bottom"/>
          </w:tcPr>
          <w:p w:rsidR="0073290F" w:rsidRPr="0073290F" w:rsidRDefault="0073290F" w:rsidP="0073290F">
            <w:pPr>
              <w:suppressAutoHyphens/>
              <w:spacing w:before="40" w:after="40" w:line="210" w:lineRule="exact"/>
              <w:ind w:right="43"/>
              <w:jc w:val="right"/>
              <w:rPr>
                <w:sz w:val="17"/>
              </w:rPr>
            </w:pPr>
          </w:p>
        </w:tc>
        <w:tc>
          <w:tcPr>
            <w:tcW w:w="640" w:type="dxa"/>
            <w:tcBorders>
              <w:top w:val="single" w:sz="12" w:space="0" w:color="auto"/>
            </w:tcBorders>
            <w:shd w:val="clear" w:color="auto" w:fill="auto"/>
            <w:vAlign w:val="bottom"/>
          </w:tcPr>
          <w:p w:rsidR="0073290F" w:rsidRPr="0073290F" w:rsidRDefault="0073290F" w:rsidP="0073290F">
            <w:pPr>
              <w:suppressAutoHyphens/>
              <w:spacing w:before="40" w:after="40" w:line="210" w:lineRule="exact"/>
              <w:ind w:right="43"/>
              <w:jc w:val="right"/>
              <w:rPr>
                <w:sz w:val="17"/>
              </w:rPr>
            </w:pPr>
          </w:p>
        </w:tc>
        <w:tc>
          <w:tcPr>
            <w:tcW w:w="598" w:type="dxa"/>
            <w:tcBorders>
              <w:top w:val="single" w:sz="12" w:space="0" w:color="auto"/>
            </w:tcBorders>
            <w:shd w:val="clear" w:color="auto" w:fill="auto"/>
            <w:vAlign w:val="bottom"/>
          </w:tcPr>
          <w:p w:rsidR="0073290F" w:rsidRPr="0073290F" w:rsidRDefault="0073290F" w:rsidP="0073290F">
            <w:pPr>
              <w:suppressAutoHyphens/>
              <w:spacing w:before="40" w:after="40" w:line="210" w:lineRule="exact"/>
              <w:ind w:right="43"/>
              <w:jc w:val="right"/>
              <w:rPr>
                <w:sz w:val="17"/>
              </w:rPr>
            </w:pPr>
          </w:p>
        </w:tc>
        <w:tc>
          <w:tcPr>
            <w:tcW w:w="640" w:type="dxa"/>
            <w:tcBorders>
              <w:top w:val="single" w:sz="12" w:space="0" w:color="auto"/>
            </w:tcBorders>
            <w:shd w:val="clear" w:color="auto" w:fill="auto"/>
            <w:vAlign w:val="bottom"/>
          </w:tcPr>
          <w:p w:rsidR="0073290F" w:rsidRPr="0073290F" w:rsidRDefault="0073290F" w:rsidP="0073290F">
            <w:pPr>
              <w:suppressAutoHyphens/>
              <w:spacing w:before="40" w:after="40" w:line="210" w:lineRule="exact"/>
              <w:ind w:right="43"/>
              <w:jc w:val="right"/>
              <w:rPr>
                <w:sz w:val="17"/>
              </w:rPr>
            </w:pPr>
          </w:p>
        </w:tc>
        <w:tc>
          <w:tcPr>
            <w:tcW w:w="640" w:type="dxa"/>
            <w:tcBorders>
              <w:top w:val="single" w:sz="12" w:space="0" w:color="auto"/>
            </w:tcBorders>
            <w:shd w:val="clear" w:color="auto" w:fill="auto"/>
            <w:vAlign w:val="bottom"/>
          </w:tcPr>
          <w:p w:rsidR="0073290F" w:rsidRPr="0073290F" w:rsidRDefault="0073290F" w:rsidP="0073290F">
            <w:pPr>
              <w:suppressAutoHyphens/>
              <w:spacing w:before="40" w:after="40" w:line="210" w:lineRule="exact"/>
              <w:ind w:right="43"/>
              <w:jc w:val="right"/>
              <w:rPr>
                <w:sz w:val="17"/>
              </w:rPr>
            </w:pPr>
          </w:p>
        </w:tc>
      </w:tr>
      <w:tr w:rsidR="0073290F" w:rsidRPr="0073290F">
        <w:tblPrEx>
          <w:tblCellMar>
            <w:top w:w="0" w:type="dxa"/>
            <w:bottom w:w="0" w:type="dxa"/>
          </w:tblCellMar>
        </w:tblPrEx>
        <w:trPr>
          <w:cantSplit/>
        </w:trPr>
        <w:tc>
          <w:tcPr>
            <w:tcW w:w="2361"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rPr>
                <w:sz w:val="17"/>
              </w:rPr>
            </w:pPr>
            <w:r w:rsidRPr="0073290F">
              <w:rPr>
                <w:sz w:val="17"/>
              </w:rPr>
              <w:t>Total</w:t>
            </w:r>
          </w:p>
        </w:tc>
        <w:tc>
          <w:tcPr>
            <w:tcW w:w="602"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728</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483</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66,3</w:t>
            </w:r>
          </w:p>
        </w:tc>
        <w:tc>
          <w:tcPr>
            <w:tcW w:w="60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745</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497</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66,7</w:t>
            </w:r>
          </w:p>
        </w:tc>
        <w:tc>
          <w:tcPr>
            <w:tcW w:w="599"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764</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521</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68,2</w:t>
            </w:r>
          </w:p>
        </w:tc>
        <w:tc>
          <w:tcPr>
            <w:tcW w:w="598"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763</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533</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69,9</w:t>
            </w:r>
          </w:p>
        </w:tc>
      </w:tr>
      <w:tr w:rsidR="0073290F" w:rsidRPr="0073290F">
        <w:tblPrEx>
          <w:tblCellMar>
            <w:top w:w="0" w:type="dxa"/>
            <w:bottom w:w="0" w:type="dxa"/>
          </w:tblCellMar>
        </w:tblPrEx>
        <w:trPr>
          <w:cantSplit/>
        </w:trPr>
        <w:tc>
          <w:tcPr>
            <w:tcW w:w="2361" w:type="dxa"/>
            <w:shd w:val="clear" w:color="auto" w:fill="auto"/>
            <w:vAlign w:val="bottom"/>
          </w:tcPr>
          <w:p w:rsidR="0073290F" w:rsidRPr="0073290F" w:rsidRDefault="0073290F" w:rsidP="0073290F">
            <w:pPr>
              <w:pStyle w:val="BodyText22"/>
              <w:widowControl/>
              <w:tabs>
                <w:tab w:val="left" w:pos="288"/>
                <w:tab w:val="left" w:pos="576"/>
                <w:tab w:val="left" w:pos="864"/>
                <w:tab w:val="left" w:pos="1152"/>
              </w:tabs>
              <w:suppressAutoHyphens/>
              <w:spacing w:before="40" w:after="40" w:line="210" w:lineRule="exact"/>
              <w:ind w:right="43"/>
              <w:rPr>
                <w:b w:val="0"/>
                <w:bCs w:val="0"/>
                <w:sz w:val="17"/>
              </w:rPr>
            </w:pPr>
            <w:r w:rsidRPr="0073290F">
              <w:rPr>
                <w:b w:val="0"/>
                <w:bCs w:val="0"/>
                <w:sz w:val="17"/>
              </w:rPr>
              <w:t>Tribunaux locaux</w:t>
            </w:r>
          </w:p>
        </w:tc>
        <w:tc>
          <w:tcPr>
            <w:tcW w:w="602"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276</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209</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75,7</w:t>
            </w:r>
          </w:p>
        </w:tc>
        <w:tc>
          <w:tcPr>
            <w:tcW w:w="60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290</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221</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76,2</w:t>
            </w:r>
          </w:p>
        </w:tc>
        <w:tc>
          <w:tcPr>
            <w:tcW w:w="599"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300</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229</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76,3</w:t>
            </w:r>
          </w:p>
        </w:tc>
        <w:tc>
          <w:tcPr>
            <w:tcW w:w="598"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303</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234</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77,2</w:t>
            </w:r>
          </w:p>
        </w:tc>
      </w:tr>
      <w:tr w:rsidR="0073290F" w:rsidRPr="0073290F">
        <w:tblPrEx>
          <w:tblCellMar>
            <w:top w:w="0" w:type="dxa"/>
            <w:bottom w:w="0" w:type="dxa"/>
          </w:tblCellMar>
        </w:tblPrEx>
        <w:trPr>
          <w:cantSplit/>
        </w:trPr>
        <w:tc>
          <w:tcPr>
            <w:tcW w:w="2361"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rPr>
                <w:sz w:val="17"/>
              </w:rPr>
            </w:pPr>
            <w:r w:rsidRPr="0073290F">
              <w:rPr>
                <w:sz w:val="17"/>
              </w:rPr>
              <w:t>Tribunaux d’instance</w:t>
            </w:r>
          </w:p>
        </w:tc>
        <w:tc>
          <w:tcPr>
            <w:tcW w:w="602"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229</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144</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62,9</w:t>
            </w:r>
          </w:p>
        </w:tc>
        <w:tc>
          <w:tcPr>
            <w:tcW w:w="60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225</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143</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63,6</w:t>
            </w:r>
          </w:p>
        </w:tc>
        <w:tc>
          <w:tcPr>
            <w:tcW w:w="599"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229</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150</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65,5</w:t>
            </w:r>
          </w:p>
        </w:tc>
        <w:tc>
          <w:tcPr>
            <w:tcW w:w="598"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224</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151</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67,4</w:t>
            </w:r>
          </w:p>
        </w:tc>
      </w:tr>
      <w:tr w:rsidR="0073290F" w:rsidRPr="0073290F">
        <w:tblPrEx>
          <w:tblCellMar>
            <w:top w:w="0" w:type="dxa"/>
            <w:bottom w:w="0" w:type="dxa"/>
          </w:tblCellMar>
        </w:tblPrEx>
        <w:trPr>
          <w:cantSplit/>
        </w:trPr>
        <w:tc>
          <w:tcPr>
            <w:tcW w:w="2361"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rPr>
                <w:sz w:val="17"/>
              </w:rPr>
            </w:pPr>
            <w:r w:rsidRPr="0073290F">
              <w:rPr>
                <w:sz w:val="17"/>
              </w:rPr>
              <w:t>Cours d’appel</w:t>
            </w:r>
          </w:p>
        </w:tc>
        <w:tc>
          <w:tcPr>
            <w:tcW w:w="602"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97</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54</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55,7</w:t>
            </w:r>
          </w:p>
        </w:tc>
        <w:tc>
          <w:tcPr>
            <w:tcW w:w="60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99</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54</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54,5</w:t>
            </w:r>
          </w:p>
        </w:tc>
        <w:tc>
          <w:tcPr>
            <w:tcW w:w="599"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100</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58</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58,0</w:t>
            </w:r>
          </w:p>
        </w:tc>
        <w:tc>
          <w:tcPr>
            <w:tcW w:w="598"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104</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62</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59,6</w:t>
            </w:r>
          </w:p>
        </w:tc>
      </w:tr>
      <w:tr w:rsidR="0073290F" w:rsidRPr="0073290F">
        <w:tblPrEx>
          <w:tblCellMar>
            <w:top w:w="0" w:type="dxa"/>
            <w:bottom w:w="0" w:type="dxa"/>
          </w:tblCellMar>
        </w:tblPrEx>
        <w:trPr>
          <w:cantSplit/>
        </w:trPr>
        <w:tc>
          <w:tcPr>
            <w:tcW w:w="2361"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rPr>
                <w:sz w:val="17"/>
              </w:rPr>
            </w:pPr>
            <w:r w:rsidRPr="0073290F">
              <w:rPr>
                <w:sz w:val="17"/>
              </w:rPr>
              <w:t>Cours suprêmes</w:t>
            </w:r>
          </w:p>
        </w:tc>
        <w:tc>
          <w:tcPr>
            <w:tcW w:w="602"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33</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11</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33,3</w:t>
            </w:r>
          </w:p>
        </w:tc>
        <w:tc>
          <w:tcPr>
            <w:tcW w:w="60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35</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12</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34,3</w:t>
            </w:r>
          </w:p>
        </w:tc>
        <w:tc>
          <w:tcPr>
            <w:tcW w:w="599"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37</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13</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35,1</w:t>
            </w:r>
          </w:p>
        </w:tc>
        <w:tc>
          <w:tcPr>
            <w:tcW w:w="598"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36</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13</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36,1</w:t>
            </w:r>
          </w:p>
        </w:tc>
      </w:tr>
      <w:tr w:rsidR="0073290F" w:rsidRPr="0073290F">
        <w:tblPrEx>
          <w:tblCellMar>
            <w:top w:w="0" w:type="dxa"/>
            <w:bottom w:w="0" w:type="dxa"/>
          </w:tblCellMar>
        </w:tblPrEx>
        <w:trPr>
          <w:cantSplit/>
        </w:trPr>
        <w:tc>
          <w:tcPr>
            <w:tcW w:w="2361"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rPr>
                <w:sz w:val="17"/>
              </w:rPr>
            </w:pPr>
            <w:r w:rsidRPr="0073290F">
              <w:rPr>
                <w:sz w:val="17"/>
              </w:rPr>
              <w:t>Tribunaux administratifs</w:t>
            </w:r>
          </w:p>
        </w:tc>
        <w:tc>
          <w:tcPr>
            <w:tcW w:w="602"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27</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20</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74,1</w:t>
            </w:r>
          </w:p>
        </w:tc>
        <w:tc>
          <w:tcPr>
            <w:tcW w:w="60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28</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21</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75,0</w:t>
            </w:r>
          </w:p>
        </w:tc>
        <w:tc>
          <w:tcPr>
            <w:tcW w:w="599"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27</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20</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74,0</w:t>
            </w:r>
          </w:p>
        </w:tc>
        <w:tc>
          <w:tcPr>
            <w:tcW w:w="598"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27</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20</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74,0</w:t>
            </w:r>
          </w:p>
        </w:tc>
      </w:tr>
      <w:tr w:rsidR="0073290F" w:rsidRPr="0073290F">
        <w:tblPrEx>
          <w:tblCellMar>
            <w:top w:w="0" w:type="dxa"/>
            <w:bottom w:w="0" w:type="dxa"/>
          </w:tblCellMar>
        </w:tblPrEx>
        <w:trPr>
          <w:cantSplit/>
        </w:trPr>
        <w:tc>
          <w:tcPr>
            <w:tcW w:w="2361"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rPr>
                <w:sz w:val="17"/>
              </w:rPr>
            </w:pPr>
            <w:r w:rsidRPr="0073290F">
              <w:rPr>
                <w:sz w:val="17"/>
              </w:rPr>
              <w:t>Cour d’appel prud’hommale et sociale</w:t>
            </w:r>
          </w:p>
        </w:tc>
        <w:tc>
          <w:tcPr>
            <w:tcW w:w="602"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15</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7</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46,7</w:t>
            </w:r>
          </w:p>
        </w:tc>
        <w:tc>
          <w:tcPr>
            <w:tcW w:w="60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17</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8</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47,1</w:t>
            </w:r>
          </w:p>
        </w:tc>
        <w:tc>
          <w:tcPr>
            <w:tcW w:w="599"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18</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8</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44,4</w:t>
            </w:r>
          </w:p>
        </w:tc>
        <w:tc>
          <w:tcPr>
            <w:tcW w:w="598"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17</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10</w:t>
            </w:r>
          </w:p>
        </w:tc>
        <w:tc>
          <w:tcPr>
            <w:tcW w:w="640" w:type="dxa"/>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58,8</w:t>
            </w:r>
          </w:p>
        </w:tc>
      </w:tr>
      <w:tr w:rsidR="0073290F" w:rsidRPr="0073290F">
        <w:tblPrEx>
          <w:tblCellMar>
            <w:top w:w="0" w:type="dxa"/>
            <w:bottom w:w="0" w:type="dxa"/>
          </w:tblCellMar>
        </w:tblPrEx>
        <w:trPr>
          <w:cantSplit/>
        </w:trPr>
        <w:tc>
          <w:tcPr>
            <w:tcW w:w="2361" w:type="dxa"/>
            <w:tcBorders>
              <w:bottom w:val="single" w:sz="12" w:space="0" w:color="auto"/>
            </w:tcBorders>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rPr>
                <w:sz w:val="17"/>
              </w:rPr>
            </w:pPr>
            <w:r w:rsidRPr="0073290F">
              <w:rPr>
                <w:sz w:val="17"/>
              </w:rPr>
              <w:t>Prud’hommes et instances judiciaires sociales</w:t>
            </w:r>
          </w:p>
        </w:tc>
        <w:tc>
          <w:tcPr>
            <w:tcW w:w="602" w:type="dxa"/>
            <w:tcBorders>
              <w:bottom w:val="single" w:sz="12" w:space="0" w:color="auto"/>
            </w:tcBorders>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51</w:t>
            </w:r>
          </w:p>
        </w:tc>
        <w:tc>
          <w:tcPr>
            <w:tcW w:w="640" w:type="dxa"/>
            <w:tcBorders>
              <w:bottom w:val="single" w:sz="12" w:space="0" w:color="auto"/>
            </w:tcBorders>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38</w:t>
            </w:r>
          </w:p>
        </w:tc>
        <w:tc>
          <w:tcPr>
            <w:tcW w:w="640" w:type="dxa"/>
            <w:tcBorders>
              <w:bottom w:val="single" w:sz="12" w:space="0" w:color="auto"/>
            </w:tcBorders>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74,5</w:t>
            </w:r>
          </w:p>
        </w:tc>
        <w:tc>
          <w:tcPr>
            <w:tcW w:w="600" w:type="dxa"/>
            <w:tcBorders>
              <w:bottom w:val="single" w:sz="12" w:space="0" w:color="auto"/>
            </w:tcBorders>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51</w:t>
            </w:r>
          </w:p>
        </w:tc>
        <w:tc>
          <w:tcPr>
            <w:tcW w:w="640" w:type="dxa"/>
            <w:tcBorders>
              <w:bottom w:val="single" w:sz="12" w:space="0" w:color="auto"/>
            </w:tcBorders>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38</w:t>
            </w:r>
          </w:p>
        </w:tc>
        <w:tc>
          <w:tcPr>
            <w:tcW w:w="640" w:type="dxa"/>
            <w:tcBorders>
              <w:bottom w:val="single" w:sz="12" w:space="0" w:color="auto"/>
            </w:tcBorders>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74,5</w:t>
            </w:r>
          </w:p>
        </w:tc>
        <w:tc>
          <w:tcPr>
            <w:tcW w:w="599" w:type="dxa"/>
            <w:tcBorders>
              <w:bottom w:val="single" w:sz="12" w:space="0" w:color="auto"/>
            </w:tcBorders>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53</w:t>
            </w:r>
          </w:p>
        </w:tc>
        <w:tc>
          <w:tcPr>
            <w:tcW w:w="640" w:type="dxa"/>
            <w:tcBorders>
              <w:bottom w:val="single" w:sz="12" w:space="0" w:color="auto"/>
            </w:tcBorders>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43</w:t>
            </w:r>
          </w:p>
        </w:tc>
        <w:tc>
          <w:tcPr>
            <w:tcW w:w="640" w:type="dxa"/>
            <w:tcBorders>
              <w:bottom w:val="single" w:sz="12" w:space="0" w:color="auto"/>
            </w:tcBorders>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81,1</w:t>
            </w:r>
          </w:p>
        </w:tc>
        <w:tc>
          <w:tcPr>
            <w:tcW w:w="598" w:type="dxa"/>
            <w:tcBorders>
              <w:bottom w:val="single" w:sz="12" w:space="0" w:color="auto"/>
            </w:tcBorders>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52</w:t>
            </w:r>
          </w:p>
        </w:tc>
        <w:tc>
          <w:tcPr>
            <w:tcW w:w="640" w:type="dxa"/>
            <w:tcBorders>
              <w:bottom w:val="single" w:sz="12" w:space="0" w:color="auto"/>
            </w:tcBorders>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43</w:t>
            </w:r>
          </w:p>
        </w:tc>
        <w:tc>
          <w:tcPr>
            <w:tcW w:w="640" w:type="dxa"/>
            <w:tcBorders>
              <w:bottom w:val="single" w:sz="12" w:space="0" w:color="auto"/>
            </w:tcBorders>
            <w:shd w:val="clear" w:color="auto" w:fill="auto"/>
            <w:vAlign w:val="bottom"/>
          </w:tcPr>
          <w:p w:rsidR="0073290F" w:rsidRPr="0073290F" w:rsidRDefault="0073290F" w:rsidP="0073290F">
            <w:pPr>
              <w:tabs>
                <w:tab w:val="left" w:pos="288"/>
                <w:tab w:val="left" w:pos="576"/>
                <w:tab w:val="left" w:pos="864"/>
                <w:tab w:val="left" w:pos="1152"/>
              </w:tabs>
              <w:suppressAutoHyphens/>
              <w:spacing w:before="40" w:after="40" w:line="210" w:lineRule="exact"/>
              <w:ind w:right="43"/>
              <w:jc w:val="right"/>
              <w:rPr>
                <w:sz w:val="17"/>
              </w:rPr>
            </w:pPr>
            <w:r w:rsidRPr="0073290F">
              <w:rPr>
                <w:sz w:val="17"/>
              </w:rPr>
              <w:t>82,7</w:t>
            </w:r>
          </w:p>
        </w:tc>
      </w:tr>
    </w:tbl>
    <w:p w:rsidR="00851D7A" w:rsidRPr="00851D7A" w:rsidRDefault="00851D7A" w:rsidP="00851D7A">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line="120" w:lineRule="exact"/>
        <w:rPr>
          <w:rFonts w:ascii="Times New Roman" w:hAnsi="Times New Roman" w:cs="Times New Roman"/>
          <w:sz w:val="10"/>
          <w:lang w:val="fr-FR"/>
        </w:rPr>
      </w:pPr>
    </w:p>
    <w:p w:rsidR="0073290F" w:rsidRPr="00851D7A" w:rsidRDefault="0073290F" w:rsidP="0073290F">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cs="Times New Roman"/>
          <w:sz w:val="17"/>
          <w:szCs w:val="17"/>
          <w:lang w:val="fr-FR"/>
        </w:rPr>
      </w:pPr>
      <w:r w:rsidRPr="00851D7A">
        <w:rPr>
          <w:rFonts w:ascii="Times New Roman" w:hAnsi="Times New Roman" w:cs="Times New Roman"/>
          <w:i/>
          <w:sz w:val="17"/>
          <w:szCs w:val="17"/>
          <w:lang w:val="fr-FR"/>
        </w:rPr>
        <w:t>Source</w:t>
      </w:r>
      <w:r w:rsidRPr="00851D7A">
        <w:rPr>
          <w:rFonts w:ascii="Times New Roman" w:hAnsi="Times New Roman" w:cs="Times New Roman"/>
          <w:sz w:val="17"/>
          <w:szCs w:val="17"/>
          <w:lang w:val="fr-FR"/>
        </w:rPr>
        <w:t>: Annuaire statistique</w:t>
      </w:r>
      <w:r w:rsidRPr="00851D7A">
        <w:rPr>
          <w:rFonts w:ascii="Times New Roman" w:hAnsi="Times New Roman" w:cs="Times New Roman"/>
          <w:color w:val="000000"/>
          <w:sz w:val="17"/>
          <w:szCs w:val="17"/>
          <w:lang w:val="fr-FR"/>
        </w:rPr>
        <w:t xml:space="preserve"> 2005, Institut de la Statistique de la République de Slovénie.</w:t>
      </w:r>
    </w:p>
    <w:p w:rsidR="0073290F" w:rsidRPr="00183385" w:rsidRDefault="0073290F" w:rsidP="0073290F">
      <w:pPr>
        <w:pStyle w:val="BodyText22"/>
        <w:widowControl/>
        <w:rPr>
          <w:lang w:val="fr-FR"/>
        </w:rPr>
      </w:pPr>
    </w:p>
    <w:p w:rsidR="0073290F" w:rsidRDefault="0073290F" w:rsidP="00851D7A">
      <w:pPr>
        <w:pStyle w:val="SingleTxt"/>
        <w:jc w:val="left"/>
        <w:rPr>
          <w:lang w:val="fr-FR"/>
        </w:rPr>
      </w:pPr>
      <w:r w:rsidRPr="00E71B87">
        <w:rPr>
          <w:lang w:val="fr-FR"/>
        </w:rPr>
        <w:t>Tableau 19</w:t>
      </w:r>
      <w:r w:rsidR="00851D7A">
        <w:rPr>
          <w:lang w:val="fr-FR"/>
        </w:rPr>
        <w:br/>
      </w:r>
      <w:r w:rsidRPr="00851D7A">
        <w:rPr>
          <w:b/>
          <w:lang w:val="fr-FR"/>
        </w:rPr>
        <w:t>Nombre de diplomates, par sexe (au 30 juin 2005)</w:t>
      </w:r>
    </w:p>
    <w:p w:rsidR="00851D7A" w:rsidRPr="00851D7A" w:rsidRDefault="00851D7A" w:rsidP="00851D7A">
      <w:pPr>
        <w:pStyle w:val="BodyText22"/>
        <w:widowControl/>
        <w:spacing w:line="120" w:lineRule="exact"/>
        <w:rPr>
          <w:sz w:val="10"/>
          <w:lang w:val="fr-FR"/>
        </w:rPr>
      </w:pPr>
    </w:p>
    <w:tbl>
      <w:tblPr>
        <w:tblW w:w="0" w:type="auto"/>
        <w:tblInd w:w="1267" w:type="dxa"/>
        <w:tblCellMar>
          <w:left w:w="70" w:type="dxa"/>
          <w:right w:w="70" w:type="dxa"/>
        </w:tblCellMar>
        <w:tblLook w:val="0000" w:firstRow="0" w:lastRow="0" w:firstColumn="0" w:lastColumn="0" w:noHBand="0" w:noVBand="0"/>
      </w:tblPr>
      <w:tblGrid>
        <w:gridCol w:w="2077"/>
        <w:gridCol w:w="866"/>
        <w:gridCol w:w="1440"/>
        <w:gridCol w:w="1350"/>
      </w:tblGrid>
      <w:tr w:rsidR="0073290F" w:rsidRPr="00851D7A">
        <w:tblPrEx>
          <w:tblCellMar>
            <w:top w:w="0" w:type="dxa"/>
            <w:bottom w:w="0" w:type="dxa"/>
          </w:tblCellMar>
        </w:tblPrEx>
        <w:trPr>
          <w:cantSplit/>
          <w:tblHeader/>
        </w:trPr>
        <w:tc>
          <w:tcPr>
            <w:tcW w:w="0" w:type="auto"/>
            <w:tcBorders>
              <w:top w:val="single" w:sz="4" w:space="0" w:color="auto"/>
              <w:bottom w:val="single" w:sz="12" w:space="0" w:color="auto"/>
            </w:tcBorders>
            <w:shd w:val="clear" w:color="auto" w:fill="auto"/>
            <w:vAlign w:val="bottom"/>
          </w:tcPr>
          <w:p w:rsidR="0073290F" w:rsidRPr="00851D7A" w:rsidRDefault="0073290F" w:rsidP="00851D7A">
            <w:pPr>
              <w:suppressAutoHyphens/>
              <w:spacing w:before="80" w:after="80" w:line="160" w:lineRule="exact"/>
              <w:ind w:right="43"/>
              <w:rPr>
                <w:bCs/>
                <w:i/>
                <w:sz w:val="14"/>
              </w:rPr>
            </w:pPr>
            <w:r w:rsidRPr="00851D7A">
              <w:rPr>
                <w:bCs/>
                <w:i/>
                <w:sz w:val="14"/>
              </w:rPr>
              <w:t>Titre</w:t>
            </w:r>
          </w:p>
        </w:tc>
        <w:tc>
          <w:tcPr>
            <w:tcW w:w="866" w:type="dxa"/>
            <w:tcBorders>
              <w:top w:val="single" w:sz="4" w:space="0" w:color="auto"/>
              <w:bottom w:val="single" w:sz="12" w:space="0" w:color="auto"/>
            </w:tcBorders>
            <w:shd w:val="clear" w:color="auto" w:fill="auto"/>
            <w:vAlign w:val="bottom"/>
          </w:tcPr>
          <w:p w:rsidR="0073290F" w:rsidRPr="00224799" w:rsidRDefault="0073290F" w:rsidP="00851D7A">
            <w:pPr>
              <w:suppressAutoHyphens/>
              <w:spacing w:before="80" w:after="80" w:line="160" w:lineRule="exact"/>
              <w:ind w:right="43"/>
              <w:jc w:val="right"/>
              <w:rPr>
                <w:b/>
                <w:bCs/>
                <w:i/>
                <w:sz w:val="14"/>
              </w:rPr>
            </w:pPr>
            <w:r w:rsidRPr="00224799">
              <w:rPr>
                <w:b/>
                <w:bCs/>
                <w:i/>
                <w:sz w:val="14"/>
              </w:rPr>
              <w:t>Total</w:t>
            </w:r>
          </w:p>
        </w:tc>
        <w:tc>
          <w:tcPr>
            <w:tcW w:w="1440" w:type="dxa"/>
            <w:tcBorders>
              <w:top w:val="single" w:sz="4" w:space="0" w:color="auto"/>
              <w:bottom w:val="single" w:sz="12" w:space="0" w:color="auto"/>
            </w:tcBorders>
            <w:shd w:val="clear" w:color="auto" w:fill="auto"/>
            <w:vAlign w:val="bottom"/>
          </w:tcPr>
          <w:p w:rsidR="0073290F" w:rsidRPr="00851D7A" w:rsidRDefault="0073290F" w:rsidP="00851D7A">
            <w:pPr>
              <w:suppressAutoHyphens/>
              <w:spacing w:before="80" w:after="80" w:line="160" w:lineRule="exact"/>
              <w:ind w:right="43"/>
              <w:jc w:val="right"/>
              <w:rPr>
                <w:bCs/>
                <w:i/>
                <w:sz w:val="14"/>
              </w:rPr>
            </w:pPr>
            <w:r w:rsidRPr="00851D7A">
              <w:rPr>
                <w:bCs/>
                <w:i/>
                <w:sz w:val="14"/>
              </w:rPr>
              <w:t>Nombre de femmes</w:t>
            </w:r>
          </w:p>
        </w:tc>
        <w:tc>
          <w:tcPr>
            <w:tcW w:w="1350" w:type="dxa"/>
            <w:tcBorders>
              <w:top w:val="single" w:sz="4" w:space="0" w:color="auto"/>
              <w:bottom w:val="single" w:sz="12" w:space="0" w:color="auto"/>
            </w:tcBorders>
            <w:shd w:val="clear" w:color="auto" w:fill="auto"/>
            <w:vAlign w:val="bottom"/>
          </w:tcPr>
          <w:p w:rsidR="0073290F" w:rsidRPr="00851D7A" w:rsidRDefault="0073290F" w:rsidP="00851D7A">
            <w:pPr>
              <w:suppressAutoHyphens/>
              <w:spacing w:before="80" w:after="80" w:line="160" w:lineRule="exact"/>
              <w:ind w:right="43"/>
              <w:jc w:val="right"/>
              <w:rPr>
                <w:bCs/>
                <w:i/>
                <w:sz w:val="14"/>
              </w:rPr>
            </w:pPr>
            <w:r w:rsidRPr="00851D7A">
              <w:rPr>
                <w:bCs/>
                <w:i/>
                <w:sz w:val="14"/>
              </w:rPr>
              <w:t xml:space="preserve">% de femmes </w:t>
            </w:r>
          </w:p>
        </w:tc>
      </w:tr>
      <w:tr w:rsidR="00851D7A" w:rsidRPr="00851D7A">
        <w:tblPrEx>
          <w:tblCellMar>
            <w:top w:w="0" w:type="dxa"/>
            <w:bottom w:w="0" w:type="dxa"/>
          </w:tblCellMar>
        </w:tblPrEx>
        <w:trPr>
          <w:cantSplit/>
          <w:trHeight w:hRule="exact" w:val="115"/>
          <w:tblHeader/>
        </w:trPr>
        <w:tc>
          <w:tcPr>
            <w:tcW w:w="0" w:type="auto"/>
            <w:tcBorders>
              <w:top w:val="single" w:sz="12" w:space="0" w:color="auto"/>
            </w:tcBorders>
            <w:shd w:val="clear" w:color="auto" w:fill="auto"/>
            <w:vAlign w:val="bottom"/>
          </w:tcPr>
          <w:p w:rsidR="00851D7A" w:rsidRPr="00851D7A" w:rsidRDefault="00851D7A" w:rsidP="00851D7A">
            <w:pPr>
              <w:pStyle w:val="BodyText22"/>
              <w:widowControl/>
              <w:suppressAutoHyphens/>
              <w:spacing w:before="40" w:after="40" w:line="210" w:lineRule="exact"/>
              <w:ind w:right="43"/>
              <w:rPr>
                <w:b w:val="0"/>
                <w:sz w:val="17"/>
              </w:rPr>
            </w:pPr>
          </w:p>
        </w:tc>
        <w:tc>
          <w:tcPr>
            <w:tcW w:w="866" w:type="dxa"/>
            <w:tcBorders>
              <w:top w:val="single" w:sz="12" w:space="0" w:color="auto"/>
            </w:tcBorders>
            <w:shd w:val="clear" w:color="auto" w:fill="auto"/>
            <w:vAlign w:val="bottom"/>
          </w:tcPr>
          <w:p w:rsidR="00851D7A" w:rsidRPr="00224799" w:rsidRDefault="00851D7A" w:rsidP="00851D7A">
            <w:pPr>
              <w:suppressAutoHyphens/>
              <w:spacing w:before="40" w:after="40" w:line="210" w:lineRule="exact"/>
              <w:ind w:right="43"/>
              <w:jc w:val="right"/>
              <w:rPr>
                <w:b/>
                <w:bCs/>
                <w:sz w:val="17"/>
              </w:rPr>
            </w:pPr>
          </w:p>
        </w:tc>
        <w:tc>
          <w:tcPr>
            <w:tcW w:w="1440" w:type="dxa"/>
            <w:tcBorders>
              <w:top w:val="single" w:sz="12" w:space="0" w:color="auto"/>
            </w:tcBorders>
            <w:shd w:val="clear" w:color="auto" w:fill="auto"/>
            <w:vAlign w:val="bottom"/>
          </w:tcPr>
          <w:p w:rsidR="00851D7A" w:rsidRPr="00851D7A" w:rsidRDefault="00851D7A" w:rsidP="00851D7A">
            <w:pPr>
              <w:suppressAutoHyphens/>
              <w:spacing w:before="40" w:after="40" w:line="210" w:lineRule="exact"/>
              <w:ind w:right="43"/>
              <w:jc w:val="right"/>
              <w:rPr>
                <w:bCs/>
                <w:sz w:val="17"/>
              </w:rPr>
            </w:pPr>
          </w:p>
        </w:tc>
        <w:tc>
          <w:tcPr>
            <w:tcW w:w="1350" w:type="dxa"/>
            <w:tcBorders>
              <w:top w:val="single" w:sz="12" w:space="0" w:color="auto"/>
            </w:tcBorders>
            <w:shd w:val="clear" w:color="auto" w:fill="auto"/>
            <w:vAlign w:val="bottom"/>
          </w:tcPr>
          <w:p w:rsidR="00851D7A" w:rsidRPr="00851D7A" w:rsidRDefault="00851D7A" w:rsidP="00851D7A">
            <w:pPr>
              <w:suppressAutoHyphens/>
              <w:spacing w:before="40" w:after="40" w:line="210" w:lineRule="exact"/>
              <w:ind w:right="43"/>
              <w:jc w:val="right"/>
              <w:rPr>
                <w:bCs/>
                <w:sz w:val="17"/>
              </w:rPr>
            </w:pPr>
          </w:p>
        </w:tc>
      </w:tr>
      <w:tr w:rsidR="0073290F" w:rsidRPr="00851D7A">
        <w:tblPrEx>
          <w:tblCellMar>
            <w:top w:w="0" w:type="dxa"/>
            <w:bottom w:w="0" w:type="dxa"/>
          </w:tblCellMar>
        </w:tblPrEx>
        <w:trPr>
          <w:cantSplit/>
        </w:trPr>
        <w:tc>
          <w:tcPr>
            <w:tcW w:w="0" w:type="auto"/>
            <w:shd w:val="clear" w:color="auto" w:fill="auto"/>
            <w:vAlign w:val="bottom"/>
          </w:tcPr>
          <w:p w:rsidR="0073290F" w:rsidRPr="00851D7A" w:rsidRDefault="0073290F" w:rsidP="00851D7A">
            <w:pPr>
              <w:pStyle w:val="BodyText22"/>
              <w:widowControl/>
              <w:tabs>
                <w:tab w:val="left" w:pos="288"/>
                <w:tab w:val="left" w:pos="576"/>
                <w:tab w:val="left" w:pos="864"/>
                <w:tab w:val="left" w:pos="1152"/>
              </w:tabs>
              <w:suppressAutoHyphens/>
              <w:spacing w:before="40" w:after="40" w:line="210" w:lineRule="exact"/>
              <w:ind w:right="43"/>
              <w:rPr>
                <w:b w:val="0"/>
                <w:sz w:val="17"/>
              </w:rPr>
            </w:pPr>
            <w:r w:rsidRPr="00851D7A">
              <w:rPr>
                <w:b w:val="0"/>
                <w:sz w:val="17"/>
              </w:rPr>
              <w:t>Nombre total de diplomates</w:t>
            </w:r>
          </w:p>
        </w:tc>
        <w:tc>
          <w:tcPr>
            <w:tcW w:w="866" w:type="dxa"/>
            <w:shd w:val="clear" w:color="auto" w:fill="auto"/>
            <w:vAlign w:val="bottom"/>
          </w:tcPr>
          <w:p w:rsidR="0073290F" w:rsidRPr="00224799" w:rsidRDefault="0073290F" w:rsidP="00851D7A">
            <w:pPr>
              <w:tabs>
                <w:tab w:val="left" w:pos="288"/>
                <w:tab w:val="left" w:pos="576"/>
                <w:tab w:val="left" w:pos="864"/>
                <w:tab w:val="left" w:pos="1152"/>
              </w:tabs>
              <w:suppressAutoHyphens/>
              <w:spacing w:before="40" w:after="40" w:line="210" w:lineRule="exact"/>
              <w:ind w:right="43"/>
              <w:jc w:val="right"/>
              <w:rPr>
                <w:b/>
                <w:bCs/>
                <w:sz w:val="17"/>
              </w:rPr>
            </w:pPr>
            <w:r w:rsidRPr="00224799">
              <w:rPr>
                <w:b/>
                <w:bCs/>
                <w:sz w:val="17"/>
              </w:rPr>
              <w:t>413</w:t>
            </w:r>
          </w:p>
        </w:tc>
        <w:tc>
          <w:tcPr>
            <w:tcW w:w="144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bCs/>
                <w:sz w:val="17"/>
              </w:rPr>
            </w:pPr>
            <w:r w:rsidRPr="00851D7A">
              <w:rPr>
                <w:bCs/>
                <w:sz w:val="17"/>
              </w:rPr>
              <w:t>205</w:t>
            </w:r>
          </w:p>
        </w:tc>
        <w:tc>
          <w:tcPr>
            <w:tcW w:w="135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bCs/>
                <w:sz w:val="17"/>
              </w:rPr>
            </w:pPr>
            <w:r w:rsidRPr="00851D7A">
              <w:rPr>
                <w:bCs/>
                <w:sz w:val="17"/>
              </w:rPr>
              <w:t>49,6</w:t>
            </w:r>
          </w:p>
        </w:tc>
      </w:tr>
      <w:tr w:rsidR="0073290F" w:rsidRPr="00851D7A">
        <w:tblPrEx>
          <w:tblCellMar>
            <w:top w:w="0" w:type="dxa"/>
            <w:bottom w:w="0" w:type="dxa"/>
          </w:tblCellMar>
        </w:tblPrEx>
        <w:trPr>
          <w:cantSplit/>
        </w:trPr>
        <w:tc>
          <w:tcPr>
            <w:tcW w:w="0" w:type="auto"/>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rPr>
                <w:sz w:val="17"/>
              </w:rPr>
            </w:pPr>
            <w:r w:rsidRPr="00851D7A">
              <w:rPr>
                <w:sz w:val="17"/>
              </w:rPr>
              <w:t>Ambassadeurs</w:t>
            </w:r>
          </w:p>
        </w:tc>
        <w:tc>
          <w:tcPr>
            <w:tcW w:w="866" w:type="dxa"/>
            <w:shd w:val="clear" w:color="auto" w:fill="auto"/>
            <w:vAlign w:val="bottom"/>
          </w:tcPr>
          <w:p w:rsidR="0073290F" w:rsidRPr="00224799" w:rsidRDefault="0073290F" w:rsidP="00851D7A">
            <w:pPr>
              <w:tabs>
                <w:tab w:val="left" w:pos="288"/>
                <w:tab w:val="left" w:pos="576"/>
                <w:tab w:val="left" w:pos="864"/>
                <w:tab w:val="left" w:pos="1152"/>
              </w:tabs>
              <w:suppressAutoHyphens/>
              <w:spacing w:before="40" w:after="40" w:line="210" w:lineRule="exact"/>
              <w:ind w:right="43"/>
              <w:jc w:val="right"/>
              <w:rPr>
                <w:b/>
                <w:sz w:val="17"/>
              </w:rPr>
            </w:pPr>
            <w:r w:rsidRPr="00224799">
              <w:rPr>
                <w:b/>
                <w:sz w:val="17"/>
              </w:rPr>
              <w:t>53</w:t>
            </w:r>
          </w:p>
        </w:tc>
        <w:tc>
          <w:tcPr>
            <w:tcW w:w="144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12</w:t>
            </w:r>
          </w:p>
        </w:tc>
        <w:tc>
          <w:tcPr>
            <w:tcW w:w="135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22,6</w:t>
            </w:r>
          </w:p>
        </w:tc>
      </w:tr>
      <w:tr w:rsidR="0073290F" w:rsidRPr="00851D7A">
        <w:tblPrEx>
          <w:tblCellMar>
            <w:top w:w="0" w:type="dxa"/>
            <w:bottom w:w="0" w:type="dxa"/>
          </w:tblCellMar>
        </w:tblPrEx>
        <w:trPr>
          <w:cantSplit/>
        </w:trPr>
        <w:tc>
          <w:tcPr>
            <w:tcW w:w="0" w:type="auto"/>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rPr>
                <w:sz w:val="17"/>
              </w:rPr>
            </w:pPr>
            <w:r w:rsidRPr="00851D7A">
              <w:rPr>
                <w:sz w:val="17"/>
              </w:rPr>
              <w:t>Consuls généraux</w:t>
            </w:r>
          </w:p>
        </w:tc>
        <w:tc>
          <w:tcPr>
            <w:tcW w:w="866" w:type="dxa"/>
            <w:shd w:val="clear" w:color="auto" w:fill="auto"/>
            <w:vAlign w:val="bottom"/>
          </w:tcPr>
          <w:p w:rsidR="0073290F" w:rsidRPr="00224799" w:rsidRDefault="0073290F" w:rsidP="00851D7A">
            <w:pPr>
              <w:tabs>
                <w:tab w:val="left" w:pos="288"/>
                <w:tab w:val="left" w:pos="576"/>
                <w:tab w:val="left" w:pos="864"/>
                <w:tab w:val="left" w:pos="1152"/>
              </w:tabs>
              <w:suppressAutoHyphens/>
              <w:spacing w:before="40" w:after="40" w:line="210" w:lineRule="exact"/>
              <w:ind w:right="43"/>
              <w:jc w:val="right"/>
              <w:rPr>
                <w:b/>
                <w:sz w:val="17"/>
              </w:rPr>
            </w:pPr>
            <w:r w:rsidRPr="00224799">
              <w:rPr>
                <w:b/>
                <w:sz w:val="17"/>
              </w:rPr>
              <w:t>5</w:t>
            </w:r>
          </w:p>
        </w:tc>
        <w:tc>
          <w:tcPr>
            <w:tcW w:w="144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1</w:t>
            </w:r>
          </w:p>
        </w:tc>
        <w:tc>
          <w:tcPr>
            <w:tcW w:w="135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20,0</w:t>
            </w:r>
          </w:p>
        </w:tc>
      </w:tr>
      <w:tr w:rsidR="0073290F" w:rsidRPr="00851D7A">
        <w:tblPrEx>
          <w:tblCellMar>
            <w:top w:w="0" w:type="dxa"/>
            <w:bottom w:w="0" w:type="dxa"/>
          </w:tblCellMar>
        </w:tblPrEx>
        <w:trPr>
          <w:cantSplit/>
        </w:trPr>
        <w:tc>
          <w:tcPr>
            <w:tcW w:w="0" w:type="auto"/>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rPr>
                <w:sz w:val="17"/>
              </w:rPr>
            </w:pPr>
            <w:r w:rsidRPr="00851D7A">
              <w:rPr>
                <w:sz w:val="17"/>
              </w:rPr>
              <w:t>Ministres autorisés</w:t>
            </w:r>
          </w:p>
        </w:tc>
        <w:tc>
          <w:tcPr>
            <w:tcW w:w="866" w:type="dxa"/>
            <w:shd w:val="clear" w:color="auto" w:fill="auto"/>
            <w:vAlign w:val="bottom"/>
          </w:tcPr>
          <w:p w:rsidR="0073290F" w:rsidRPr="00224799" w:rsidRDefault="0073290F" w:rsidP="00851D7A">
            <w:pPr>
              <w:tabs>
                <w:tab w:val="left" w:pos="288"/>
                <w:tab w:val="left" w:pos="576"/>
                <w:tab w:val="left" w:pos="864"/>
                <w:tab w:val="left" w:pos="1152"/>
              </w:tabs>
              <w:suppressAutoHyphens/>
              <w:spacing w:before="40" w:after="40" w:line="210" w:lineRule="exact"/>
              <w:ind w:right="43"/>
              <w:jc w:val="right"/>
              <w:rPr>
                <w:b/>
                <w:sz w:val="17"/>
              </w:rPr>
            </w:pPr>
            <w:r w:rsidRPr="00224799">
              <w:rPr>
                <w:b/>
                <w:sz w:val="17"/>
              </w:rPr>
              <w:t>44</w:t>
            </w:r>
          </w:p>
        </w:tc>
        <w:tc>
          <w:tcPr>
            <w:tcW w:w="144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 xml:space="preserve">17 </w:t>
            </w:r>
          </w:p>
        </w:tc>
        <w:tc>
          <w:tcPr>
            <w:tcW w:w="135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38,6</w:t>
            </w:r>
          </w:p>
        </w:tc>
      </w:tr>
      <w:tr w:rsidR="0073290F" w:rsidRPr="00851D7A">
        <w:tblPrEx>
          <w:tblCellMar>
            <w:top w:w="0" w:type="dxa"/>
            <w:bottom w:w="0" w:type="dxa"/>
          </w:tblCellMar>
        </w:tblPrEx>
        <w:trPr>
          <w:cantSplit/>
        </w:trPr>
        <w:tc>
          <w:tcPr>
            <w:tcW w:w="0" w:type="auto"/>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rPr>
                <w:sz w:val="17"/>
              </w:rPr>
            </w:pPr>
            <w:r w:rsidRPr="00851D7A">
              <w:rPr>
                <w:sz w:val="17"/>
              </w:rPr>
              <w:t>Ministres conseillers</w:t>
            </w:r>
          </w:p>
        </w:tc>
        <w:tc>
          <w:tcPr>
            <w:tcW w:w="866" w:type="dxa"/>
            <w:shd w:val="clear" w:color="auto" w:fill="auto"/>
            <w:vAlign w:val="bottom"/>
          </w:tcPr>
          <w:p w:rsidR="0073290F" w:rsidRPr="00224799" w:rsidRDefault="0073290F" w:rsidP="00851D7A">
            <w:pPr>
              <w:tabs>
                <w:tab w:val="left" w:pos="288"/>
                <w:tab w:val="left" w:pos="576"/>
                <w:tab w:val="left" w:pos="864"/>
                <w:tab w:val="left" w:pos="1152"/>
              </w:tabs>
              <w:suppressAutoHyphens/>
              <w:spacing w:before="40" w:after="40" w:line="210" w:lineRule="exact"/>
              <w:ind w:right="43"/>
              <w:jc w:val="right"/>
              <w:rPr>
                <w:b/>
                <w:sz w:val="17"/>
              </w:rPr>
            </w:pPr>
            <w:r w:rsidRPr="00224799">
              <w:rPr>
                <w:b/>
                <w:sz w:val="17"/>
              </w:rPr>
              <w:t>66</w:t>
            </w:r>
          </w:p>
        </w:tc>
        <w:tc>
          <w:tcPr>
            <w:tcW w:w="144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41</w:t>
            </w:r>
          </w:p>
        </w:tc>
        <w:tc>
          <w:tcPr>
            <w:tcW w:w="135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62,1</w:t>
            </w:r>
          </w:p>
        </w:tc>
      </w:tr>
      <w:tr w:rsidR="0073290F" w:rsidRPr="00851D7A">
        <w:tblPrEx>
          <w:tblCellMar>
            <w:top w:w="0" w:type="dxa"/>
            <w:bottom w:w="0" w:type="dxa"/>
          </w:tblCellMar>
        </w:tblPrEx>
        <w:trPr>
          <w:cantSplit/>
        </w:trPr>
        <w:tc>
          <w:tcPr>
            <w:tcW w:w="0" w:type="auto"/>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rPr>
                <w:sz w:val="17"/>
              </w:rPr>
            </w:pPr>
            <w:r w:rsidRPr="00851D7A">
              <w:rPr>
                <w:sz w:val="17"/>
              </w:rPr>
              <w:t>Premiers conseillers</w:t>
            </w:r>
          </w:p>
        </w:tc>
        <w:tc>
          <w:tcPr>
            <w:tcW w:w="866" w:type="dxa"/>
            <w:shd w:val="clear" w:color="auto" w:fill="auto"/>
            <w:vAlign w:val="bottom"/>
          </w:tcPr>
          <w:p w:rsidR="0073290F" w:rsidRPr="00224799" w:rsidRDefault="0073290F" w:rsidP="00851D7A">
            <w:pPr>
              <w:tabs>
                <w:tab w:val="left" w:pos="288"/>
                <w:tab w:val="left" w:pos="576"/>
                <w:tab w:val="left" w:pos="864"/>
                <w:tab w:val="left" w:pos="1152"/>
              </w:tabs>
              <w:suppressAutoHyphens/>
              <w:spacing w:before="40" w:after="40" w:line="210" w:lineRule="exact"/>
              <w:ind w:right="43"/>
              <w:jc w:val="right"/>
              <w:rPr>
                <w:b/>
                <w:sz w:val="17"/>
              </w:rPr>
            </w:pPr>
            <w:r w:rsidRPr="00224799">
              <w:rPr>
                <w:b/>
                <w:sz w:val="17"/>
              </w:rPr>
              <w:t>4</w:t>
            </w:r>
          </w:p>
        </w:tc>
        <w:tc>
          <w:tcPr>
            <w:tcW w:w="144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3</w:t>
            </w:r>
          </w:p>
        </w:tc>
        <w:tc>
          <w:tcPr>
            <w:tcW w:w="135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75,0</w:t>
            </w:r>
          </w:p>
        </w:tc>
      </w:tr>
      <w:tr w:rsidR="0073290F" w:rsidRPr="00851D7A">
        <w:tblPrEx>
          <w:tblCellMar>
            <w:top w:w="0" w:type="dxa"/>
            <w:bottom w:w="0" w:type="dxa"/>
          </w:tblCellMar>
        </w:tblPrEx>
        <w:trPr>
          <w:cantSplit/>
        </w:trPr>
        <w:tc>
          <w:tcPr>
            <w:tcW w:w="0" w:type="auto"/>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rPr>
                <w:sz w:val="17"/>
              </w:rPr>
            </w:pPr>
            <w:r w:rsidRPr="00851D7A">
              <w:rPr>
                <w:sz w:val="17"/>
              </w:rPr>
              <w:t>Conseillers</w:t>
            </w:r>
          </w:p>
        </w:tc>
        <w:tc>
          <w:tcPr>
            <w:tcW w:w="866" w:type="dxa"/>
            <w:shd w:val="clear" w:color="auto" w:fill="auto"/>
            <w:vAlign w:val="bottom"/>
          </w:tcPr>
          <w:p w:rsidR="0073290F" w:rsidRPr="00224799" w:rsidRDefault="0073290F" w:rsidP="00851D7A">
            <w:pPr>
              <w:tabs>
                <w:tab w:val="left" w:pos="288"/>
                <w:tab w:val="left" w:pos="576"/>
                <w:tab w:val="left" w:pos="864"/>
                <w:tab w:val="left" w:pos="1152"/>
              </w:tabs>
              <w:suppressAutoHyphens/>
              <w:spacing w:before="40" w:after="40" w:line="210" w:lineRule="exact"/>
              <w:ind w:right="43"/>
              <w:jc w:val="right"/>
              <w:rPr>
                <w:b/>
                <w:sz w:val="17"/>
              </w:rPr>
            </w:pPr>
            <w:r w:rsidRPr="00224799">
              <w:rPr>
                <w:b/>
                <w:sz w:val="17"/>
              </w:rPr>
              <w:t>78</w:t>
            </w:r>
          </w:p>
        </w:tc>
        <w:tc>
          <w:tcPr>
            <w:tcW w:w="144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43</w:t>
            </w:r>
          </w:p>
        </w:tc>
        <w:tc>
          <w:tcPr>
            <w:tcW w:w="135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55,1</w:t>
            </w:r>
          </w:p>
        </w:tc>
      </w:tr>
      <w:tr w:rsidR="0073290F" w:rsidRPr="00851D7A">
        <w:tblPrEx>
          <w:tblCellMar>
            <w:top w:w="0" w:type="dxa"/>
            <w:bottom w:w="0" w:type="dxa"/>
          </w:tblCellMar>
        </w:tblPrEx>
        <w:trPr>
          <w:cantSplit/>
        </w:trPr>
        <w:tc>
          <w:tcPr>
            <w:tcW w:w="0" w:type="auto"/>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rPr>
                <w:sz w:val="17"/>
              </w:rPr>
            </w:pPr>
            <w:r w:rsidRPr="00851D7A">
              <w:rPr>
                <w:sz w:val="17"/>
              </w:rPr>
              <w:t>Premiers Secrétaires</w:t>
            </w:r>
          </w:p>
        </w:tc>
        <w:tc>
          <w:tcPr>
            <w:tcW w:w="866" w:type="dxa"/>
            <w:shd w:val="clear" w:color="auto" w:fill="auto"/>
            <w:vAlign w:val="bottom"/>
          </w:tcPr>
          <w:p w:rsidR="0073290F" w:rsidRPr="00224799" w:rsidRDefault="0073290F" w:rsidP="00851D7A">
            <w:pPr>
              <w:tabs>
                <w:tab w:val="left" w:pos="288"/>
                <w:tab w:val="left" w:pos="576"/>
                <w:tab w:val="left" w:pos="864"/>
                <w:tab w:val="left" w:pos="1152"/>
              </w:tabs>
              <w:suppressAutoHyphens/>
              <w:spacing w:before="40" w:after="40" w:line="210" w:lineRule="exact"/>
              <w:ind w:right="43"/>
              <w:jc w:val="right"/>
              <w:rPr>
                <w:b/>
                <w:sz w:val="17"/>
              </w:rPr>
            </w:pPr>
            <w:r w:rsidRPr="00224799">
              <w:rPr>
                <w:b/>
                <w:sz w:val="17"/>
              </w:rPr>
              <w:t>48</w:t>
            </w:r>
          </w:p>
        </w:tc>
        <w:tc>
          <w:tcPr>
            <w:tcW w:w="144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27</w:t>
            </w:r>
          </w:p>
        </w:tc>
        <w:tc>
          <w:tcPr>
            <w:tcW w:w="135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56,2</w:t>
            </w:r>
          </w:p>
        </w:tc>
      </w:tr>
      <w:tr w:rsidR="0073290F" w:rsidRPr="00851D7A">
        <w:tblPrEx>
          <w:tblCellMar>
            <w:top w:w="0" w:type="dxa"/>
            <w:bottom w:w="0" w:type="dxa"/>
          </w:tblCellMar>
        </w:tblPrEx>
        <w:trPr>
          <w:cantSplit/>
        </w:trPr>
        <w:tc>
          <w:tcPr>
            <w:tcW w:w="0" w:type="auto"/>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rPr>
                <w:sz w:val="17"/>
              </w:rPr>
            </w:pPr>
            <w:r w:rsidRPr="00851D7A">
              <w:rPr>
                <w:sz w:val="17"/>
              </w:rPr>
              <w:t>Deuxièmes Secrétaires</w:t>
            </w:r>
          </w:p>
        </w:tc>
        <w:tc>
          <w:tcPr>
            <w:tcW w:w="866" w:type="dxa"/>
            <w:shd w:val="clear" w:color="auto" w:fill="auto"/>
            <w:vAlign w:val="bottom"/>
          </w:tcPr>
          <w:p w:rsidR="0073290F" w:rsidRPr="00224799" w:rsidRDefault="0073290F" w:rsidP="00851D7A">
            <w:pPr>
              <w:tabs>
                <w:tab w:val="left" w:pos="288"/>
                <w:tab w:val="left" w:pos="576"/>
                <w:tab w:val="left" w:pos="864"/>
                <w:tab w:val="left" w:pos="1152"/>
              </w:tabs>
              <w:suppressAutoHyphens/>
              <w:spacing w:before="40" w:after="40" w:line="210" w:lineRule="exact"/>
              <w:ind w:right="43"/>
              <w:jc w:val="right"/>
              <w:rPr>
                <w:b/>
                <w:sz w:val="17"/>
              </w:rPr>
            </w:pPr>
            <w:r w:rsidRPr="00224799">
              <w:rPr>
                <w:b/>
                <w:sz w:val="17"/>
              </w:rPr>
              <w:t>25</w:t>
            </w:r>
          </w:p>
        </w:tc>
        <w:tc>
          <w:tcPr>
            <w:tcW w:w="144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16</w:t>
            </w:r>
          </w:p>
        </w:tc>
        <w:tc>
          <w:tcPr>
            <w:tcW w:w="135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64,0</w:t>
            </w:r>
          </w:p>
        </w:tc>
      </w:tr>
      <w:tr w:rsidR="0073290F" w:rsidRPr="00851D7A">
        <w:tblPrEx>
          <w:tblCellMar>
            <w:top w:w="0" w:type="dxa"/>
            <w:bottom w:w="0" w:type="dxa"/>
          </w:tblCellMar>
        </w:tblPrEx>
        <w:trPr>
          <w:cantSplit/>
        </w:trPr>
        <w:tc>
          <w:tcPr>
            <w:tcW w:w="0" w:type="auto"/>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rPr>
                <w:sz w:val="17"/>
              </w:rPr>
            </w:pPr>
            <w:r w:rsidRPr="00851D7A">
              <w:rPr>
                <w:sz w:val="17"/>
              </w:rPr>
              <w:t>Troisièmes Secrétaires</w:t>
            </w:r>
          </w:p>
        </w:tc>
        <w:tc>
          <w:tcPr>
            <w:tcW w:w="866" w:type="dxa"/>
            <w:shd w:val="clear" w:color="auto" w:fill="auto"/>
            <w:vAlign w:val="bottom"/>
          </w:tcPr>
          <w:p w:rsidR="0073290F" w:rsidRPr="00224799" w:rsidRDefault="0073290F" w:rsidP="00851D7A">
            <w:pPr>
              <w:tabs>
                <w:tab w:val="left" w:pos="288"/>
                <w:tab w:val="left" w:pos="576"/>
                <w:tab w:val="left" w:pos="864"/>
                <w:tab w:val="left" w:pos="1152"/>
              </w:tabs>
              <w:suppressAutoHyphens/>
              <w:spacing w:before="40" w:after="40" w:line="210" w:lineRule="exact"/>
              <w:ind w:right="43"/>
              <w:jc w:val="right"/>
              <w:rPr>
                <w:b/>
                <w:sz w:val="17"/>
              </w:rPr>
            </w:pPr>
            <w:r w:rsidRPr="00224799">
              <w:rPr>
                <w:b/>
                <w:sz w:val="17"/>
              </w:rPr>
              <w:t>78</w:t>
            </w:r>
          </w:p>
        </w:tc>
        <w:tc>
          <w:tcPr>
            <w:tcW w:w="144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40</w:t>
            </w:r>
          </w:p>
        </w:tc>
        <w:tc>
          <w:tcPr>
            <w:tcW w:w="135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51,3</w:t>
            </w:r>
          </w:p>
        </w:tc>
      </w:tr>
      <w:tr w:rsidR="0073290F" w:rsidRPr="00851D7A">
        <w:tblPrEx>
          <w:tblCellMar>
            <w:top w:w="0" w:type="dxa"/>
            <w:bottom w:w="0" w:type="dxa"/>
          </w:tblCellMar>
        </w:tblPrEx>
        <w:trPr>
          <w:cantSplit/>
        </w:trPr>
        <w:tc>
          <w:tcPr>
            <w:tcW w:w="0" w:type="auto"/>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rPr>
                <w:sz w:val="17"/>
              </w:rPr>
            </w:pPr>
            <w:r w:rsidRPr="00851D7A">
              <w:rPr>
                <w:sz w:val="17"/>
              </w:rPr>
              <w:t>Attachés*</w:t>
            </w:r>
          </w:p>
        </w:tc>
        <w:tc>
          <w:tcPr>
            <w:tcW w:w="866" w:type="dxa"/>
            <w:shd w:val="clear" w:color="auto" w:fill="auto"/>
            <w:vAlign w:val="bottom"/>
          </w:tcPr>
          <w:p w:rsidR="0073290F" w:rsidRPr="00224799" w:rsidRDefault="0073290F" w:rsidP="00851D7A">
            <w:pPr>
              <w:tabs>
                <w:tab w:val="left" w:pos="288"/>
                <w:tab w:val="left" w:pos="576"/>
                <w:tab w:val="left" w:pos="864"/>
                <w:tab w:val="left" w:pos="1152"/>
              </w:tabs>
              <w:suppressAutoHyphens/>
              <w:spacing w:before="40" w:after="40" w:line="210" w:lineRule="exact"/>
              <w:ind w:right="43"/>
              <w:jc w:val="right"/>
              <w:rPr>
                <w:b/>
                <w:sz w:val="17"/>
              </w:rPr>
            </w:pPr>
            <w:r w:rsidRPr="00224799">
              <w:rPr>
                <w:b/>
                <w:sz w:val="17"/>
              </w:rPr>
              <w:t>6</w:t>
            </w:r>
          </w:p>
        </w:tc>
        <w:tc>
          <w:tcPr>
            <w:tcW w:w="144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3</w:t>
            </w:r>
          </w:p>
        </w:tc>
        <w:tc>
          <w:tcPr>
            <w:tcW w:w="135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50,0</w:t>
            </w:r>
          </w:p>
        </w:tc>
      </w:tr>
      <w:tr w:rsidR="0073290F" w:rsidRPr="00851D7A">
        <w:tblPrEx>
          <w:tblCellMar>
            <w:top w:w="0" w:type="dxa"/>
            <w:bottom w:w="0" w:type="dxa"/>
          </w:tblCellMar>
        </w:tblPrEx>
        <w:trPr>
          <w:cantSplit/>
        </w:trPr>
        <w:tc>
          <w:tcPr>
            <w:tcW w:w="0" w:type="auto"/>
            <w:shd w:val="clear" w:color="auto" w:fill="auto"/>
            <w:vAlign w:val="bottom"/>
          </w:tcPr>
          <w:p w:rsidR="0073290F" w:rsidRPr="00851D7A" w:rsidRDefault="0073290F" w:rsidP="00851D7A">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851D7A">
              <w:rPr>
                <w:rFonts w:ascii="Times New Roman" w:hAnsi="Times New Roman" w:cs="Times New Roman"/>
                <w:sz w:val="17"/>
                <w:szCs w:val="24"/>
              </w:rPr>
              <w:t>Consuls</w:t>
            </w:r>
          </w:p>
        </w:tc>
        <w:tc>
          <w:tcPr>
            <w:tcW w:w="866" w:type="dxa"/>
            <w:shd w:val="clear" w:color="auto" w:fill="auto"/>
            <w:vAlign w:val="bottom"/>
          </w:tcPr>
          <w:p w:rsidR="0073290F" w:rsidRPr="00224799" w:rsidRDefault="0073290F" w:rsidP="00851D7A">
            <w:pPr>
              <w:tabs>
                <w:tab w:val="left" w:pos="288"/>
                <w:tab w:val="left" w:pos="576"/>
                <w:tab w:val="left" w:pos="864"/>
                <w:tab w:val="left" w:pos="1152"/>
              </w:tabs>
              <w:suppressAutoHyphens/>
              <w:spacing w:before="40" w:after="40" w:line="210" w:lineRule="exact"/>
              <w:ind w:right="43"/>
              <w:jc w:val="right"/>
              <w:rPr>
                <w:b/>
                <w:sz w:val="17"/>
              </w:rPr>
            </w:pPr>
            <w:r w:rsidRPr="00224799">
              <w:rPr>
                <w:b/>
                <w:sz w:val="17"/>
              </w:rPr>
              <w:t>2</w:t>
            </w:r>
          </w:p>
        </w:tc>
        <w:tc>
          <w:tcPr>
            <w:tcW w:w="144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1</w:t>
            </w:r>
          </w:p>
        </w:tc>
        <w:tc>
          <w:tcPr>
            <w:tcW w:w="135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50,0</w:t>
            </w:r>
          </w:p>
        </w:tc>
      </w:tr>
      <w:tr w:rsidR="0073290F" w:rsidRPr="00851D7A">
        <w:tblPrEx>
          <w:tblCellMar>
            <w:top w:w="0" w:type="dxa"/>
            <w:bottom w:w="0" w:type="dxa"/>
          </w:tblCellMar>
        </w:tblPrEx>
        <w:trPr>
          <w:cantSplit/>
        </w:trPr>
        <w:tc>
          <w:tcPr>
            <w:tcW w:w="0" w:type="auto"/>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rPr>
                <w:sz w:val="17"/>
              </w:rPr>
            </w:pPr>
            <w:r w:rsidRPr="00851D7A">
              <w:rPr>
                <w:sz w:val="17"/>
              </w:rPr>
              <w:t>Vice-consuls</w:t>
            </w:r>
          </w:p>
        </w:tc>
        <w:tc>
          <w:tcPr>
            <w:tcW w:w="866" w:type="dxa"/>
            <w:shd w:val="clear" w:color="auto" w:fill="auto"/>
            <w:vAlign w:val="bottom"/>
          </w:tcPr>
          <w:p w:rsidR="0073290F" w:rsidRPr="00224799" w:rsidRDefault="0073290F" w:rsidP="00851D7A">
            <w:pPr>
              <w:tabs>
                <w:tab w:val="left" w:pos="288"/>
                <w:tab w:val="left" w:pos="576"/>
                <w:tab w:val="left" w:pos="864"/>
                <w:tab w:val="left" w:pos="1152"/>
              </w:tabs>
              <w:suppressAutoHyphens/>
              <w:spacing w:before="40" w:after="40" w:line="210" w:lineRule="exact"/>
              <w:ind w:right="43"/>
              <w:jc w:val="right"/>
              <w:rPr>
                <w:b/>
                <w:sz w:val="17"/>
              </w:rPr>
            </w:pPr>
            <w:r w:rsidRPr="00224799">
              <w:rPr>
                <w:b/>
                <w:sz w:val="17"/>
              </w:rPr>
              <w:t>2</w:t>
            </w:r>
          </w:p>
        </w:tc>
        <w:tc>
          <w:tcPr>
            <w:tcW w:w="144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1</w:t>
            </w:r>
          </w:p>
        </w:tc>
        <w:tc>
          <w:tcPr>
            <w:tcW w:w="1350"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50,0</w:t>
            </w:r>
          </w:p>
        </w:tc>
      </w:tr>
      <w:tr w:rsidR="0073290F" w:rsidRPr="00851D7A">
        <w:tblPrEx>
          <w:tblCellMar>
            <w:top w:w="0" w:type="dxa"/>
            <w:bottom w:w="0" w:type="dxa"/>
          </w:tblCellMar>
        </w:tblPrEx>
        <w:trPr>
          <w:cantSplit/>
        </w:trPr>
        <w:tc>
          <w:tcPr>
            <w:tcW w:w="0" w:type="auto"/>
            <w:tcBorders>
              <w:bottom w:val="single" w:sz="12" w:space="0" w:color="auto"/>
            </w:tcBorders>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rPr>
                <w:sz w:val="17"/>
              </w:rPr>
            </w:pPr>
            <w:r w:rsidRPr="00851D7A">
              <w:rPr>
                <w:sz w:val="17"/>
              </w:rPr>
              <w:t>Consuls de premier rang</w:t>
            </w:r>
          </w:p>
        </w:tc>
        <w:tc>
          <w:tcPr>
            <w:tcW w:w="866" w:type="dxa"/>
            <w:tcBorders>
              <w:bottom w:val="single" w:sz="12" w:space="0" w:color="auto"/>
            </w:tcBorders>
            <w:shd w:val="clear" w:color="auto" w:fill="auto"/>
            <w:vAlign w:val="bottom"/>
          </w:tcPr>
          <w:p w:rsidR="0073290F" w:rsidRPr="00224799" w:rsidRDefault="0073290F" w:rsidP="00851D7A">
            <w:pPr>
              <w:tabs>
                <w:tab w:val="left" w:pos="288"/>
                <w:tab w:val="left" w:pos="576"/>
                <w:tab w:val="left" w:pos="864"/>
                <w:tab w:val="left" w:pos="1152"/>
              </w:tabs>
              <w:suppressAutoHyphens/>
              <w:spacing w:before="40" w:after="40" w:line="210" w:lineRule="exact"/>
              <w:ind w:right="43"/>
              <w:jc w:val="right"/>
              <w:rPr>
                <w:b/>
                <w:sz w:val="17"/>
              </w:rPr>
            </w:pPr>
            <w:r w:rsidRPr="00224799">
              <w:rPr>
                <w:b/>
                <w:sz w:val="17"/>
              </w:rPr>
              <w:t>2</w:t>
            </w:r>
          </w:p>
        </w:tc>
        <w:tc>
          <w:tcPr>
            <w:tcW w:w="1440" w:type="dxa"/>
            <w:tcBorders>
              <w:bottom w:val="single" w:sz="12" w:space="0" w:color="auto"/>
            </w:tcBorders>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0</w:t>
            </w:r>
          </w:p>
        </w:tc>
        <w:tc>
          <w:tcPr>
            <w:tcW w:w="1350" w:type="dxa"/>
            <w:tcBorders>
              <w:bottom w:val="single" w:sz="12" w:space="0" w:color="auto"/>
            </w:tcBorders>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0</w:t>
            </w:r>
          </w:p>
        </w:tc>
      </w:tr>
    </w:tbl>
    <w:p w:rsidR="00851D7A" w:rsidRPr="00851D7A" w:rsidRDefault="00851D7A" w:rsidP="00851D7A">
      <w:pPr>
        <w:pStyle w:val="SingleTxt"/>
        <w:spacing w:after="0" w:line="120" w:lineRule="exact"/>
        <w:rPr>
          <w:sz w:val="10"/>
          <w:lang w:val="fr-FR"/>
        </w:rPr>
      </w:pPr>
    </w:p>
    <w:p w:rsidR="0073290F" w:rsidRPr="00851D7A" w:rsidRDefault="0073290F" w:rsidP="00851D7A">
      <w:pPr>
        <w:pStyle w:val="SingleTxt"/>
        <w:spacing w:after="0" w:line="240" w:lineRule="auto"/>
        <w:rPr>
          <w:sz w:val="17"/>
          <w:szCs w:val="17"/>
          <w:lang w:val="fr-FR"/>
        </w:rPr>
      </w:pPr>
      <w:r w:rsidRPr="00851D7A">
        <w:rPr>
          <w:sz w:val="17"/>
          <w:szCs w:val="17"/>
          <w:lang w:val="fr-FR"/>
        </w:rPr>
        <w:t>* Depuis le 18 mai 2005, ce titre n’est utilisé qu’à l’étranger.</w:t>
      </w:r>
    </w:p>
    <w:p w:rsidR="0073290F" w:rsidRPr="00E71B87" w:rsidRDefault="0073290F" w:rsidP="00851D7A">
      <w:pPr>
        <w:pStyle w:val="SingleTxt"/>
        <w:spacing w:after="0" w:line="240" w:lineRule="auto"/>
        <w:rPr>
          <w:sz w:val="24"/>
          <w:szCs w:val="24"/>
          <w:lang w:val="fr-FR"/>
        </w:rPr>
      </w:pPr>
      <w:r w:rsidRPr="00851D7A">
        <w:rPr>
          <w:i/>
          <w:sz w:val="17"/>
          <w:szCs w:val="17"/>
          <w:lang w:val="fr-FR"/>
        </w:rPr>
        <w:t>Source</w:t>
      </w:r>
      <w:r w:rsidRPr="00851D7A">
        <w:rPr>
          <w:sz w:val="17"/>
          <w:szCs w:val="17"/>
          <w:lang w:val="fr-FR"/>
        </w:rPr>
        <w:t xml:space="preserve">: Ministère des Affaires étrangères, 2005. </w:t>
      </w:r>
    </w:p>
    <w:p w:rsidR="0073290F" w:rsidRPr="00E71B87" w:rsidRDefault="0073290F" w:rsidP="0073290F">
      <w:pPr>
        <w:pStyle w:val="BodyText3"/>
        <w:rPr>
          <w:sz w:val="24"/>
          <w:szCs w:val="24"/>
          <w:lang w:val="fr-FR"/>
        </w:rPr>
      </w:pPr>
    </w:p>
    <w:p w:rsidR="0073290F" w:rsidRDefault="00851D7A" w:rsidP="00851D7A">
      <w:pPr>
        <w:pStyle w:val="SingleTxt"/>
        <w:jc w:val="left"/>
        <w:rPr>
          <w:lang w:val="fr-FR"/>
        </w:rPr>
      </w:pPr>
      <w:r>
        <w:rPr>
          <w:lang w:val="fr-FR"/>
        </w:rPr>
        <w:br w:type="page"/>
      </w:r>
      <w:r w:rsidR="0073290F" w:rsidRPr="00E71B87">
        <w:rPr>
          <w:lang w:val="fr-FR"/>
        </w:rPr>
        <w:t>Tableau 20</w:t>
      </w:r>
      <w:r>
        <w:rPr>
          <w:lang w:val="fr-FR"/>
        </w:rPr>
        <w:br/>
      </w:r>
      <w:r w:rsidRPr="00851D7A">
        <w:rPr>
          <w:b/>
          <w:lang w:val="fr-FR"/>
        </w:rPr>
        <w:t>É</w:t>
      </w:r>
      <w:r w:rsidR="0073290F" w:rsidRPr="00851D7A">
        <w:rPr>
          <w:b/>
          <w:lang w:val="fr-FR"/>
        </w:rPr>
        <w:t>coles maternelles et préparation à l’école primaire pour les années scolaires 2001/2002 – 2004/2005</w:t>
      </w:r>
    </w:p>
    <w:p w:rsidR="00851D7A" w:rsidRPr="00851D7A" w:rsidRDefault="00851D7A" w:rsidP="00851D7A">
      <w:pPr>
        <w:pStyle w:val="SingleTxt"/>
        <w:spacing w:after="0" w:line="120" w:lineRule="exact"/>
        <w:rPr>
          <w:sz w:val="10"/>
          <w:lang w:val="fr-FR"/>
        </w:rPr>
      </w:pPr>
    </w:p>
    <w:tbl>
      <w:tblPr>
        <w:tblW w:w="9880" w:type="dxa"/>
        <w:tblLayout w:type="fixed"/>
        <w:tblCellMar>
          <w:left w:w="70" w:type="dxa"/>
          <w:right w:w="70" w:type="dxa"/>
        </w:tblCellMar>
        <w:tblLook w:val="0000" w:firstRow="0" w:lastRow="0" w:firstColumn="0" w:lastColumn="0" w:noHBand="0" w:noVBand="0"/>
      </w:tblPr>
      <w:tblGrid>
        <w:gridCol w:w="1031"/>
        <w:gridCol w:w="1106"/>
        <w:gridCol w:w="1106"/>
        <w:gridCol w:w="1106"/>
        <w:gridCol w:w="1106"/>
        <w:gridCol w:w="1106"/>
        <w:gridCol w:w="1106"/>
        <w:gridCol w:w="1106"/>
        <w:gridCol w:w="1107"/>
      </w:tblGrid>
      <w:tr w:rsidR="0073290F" w:rsidRPr="00851D7A">
        <w:tblPrEx>
          <w:tblCellMar>
            <w:top w:w="0" w:type="dxa"/>
            <w:bottom w:w="0" w:type="dxa"/>
          </w:tblCellMar>
        </w:tblPrEx>
        <w:trPr>
          <w:cantSplit/>
          <w:tblHeader/>
        </w:trPr>
        <w:tc>
          <w:tcPr>
            <w:tcW w:w="1031" w:type="dxa"/>
            <w:tcBorders>
              <w:top w:val="single" w:sz="4" w:space="0" w:color="auto"/>
              <w:bottom w:val="single" w:sz="12" w:space="0" w:color="auto"/>
            </w:tcBorders>
            <w:shd w:val="clear" w:color="auto" w:fill="auto"/>
            <w:vAlign w:val="bottom"/>
          </w:tcPr>
          <w:p w:rsidR="0073290F" w:rsidRPr="00851D7A" w:rsidRDefault="0073290F" w:rsidP="00851D7A">
            <w:pPr>
              <w:suppressAutoHyphens/>
              <w:spacing w:before="80" w:after="80" w:line="160" w:lineRule="exact"/>
              <w:ind w:right="43"/>
              <w:rPr>
                <w:b/>
                <w:bCs/>
                <w:i/>
                <w:sz w:val="14"/>
              </w:rPr>
            </w:pPr>
            <w:r w:rsidRPr="00851D7A">
              <w:rPr>
                <w:b/>
                <w:bCs/>
                <w:i/>
                <w:sz w:val="14"/>
              </w:rPr>
              <w:t>Année scolaire</w:t>
            </w:r>
          </w:p>
        </w:tc>
        <w:tc>
          <w:tcPr>
            <w:tcW w:w="1106" w:type="dxa"/>
            <w:tcBorders>
              <w:top w:val="single" w:sz="4" w:space="0" w:color="auto"/>
              <w:bottom w:val="single" w:sz="12" w:space="0" w:color="auto"/>
            </w:tcBorders>
            <w:shd w:val="clear" w:color="auto" w:fill="auto"/>
            <w:vAlign w:val="bottom"/>
          </w:tcPr>
          <w:p w:rsidR="0073290F" w:rsidRPr="00851D7A" w:rsidRDefault="0073290F" w:rsidP="00851D7A">
            <w:pPr>
              <w:suppressAutoHyphens/>
              <w:spacing w:before="80" w:after="80" w:line="160" w:lineRule="exact"/>
              <w:ind w:right="43"/>
              <w:jc w:val="right"/>
              <w:rPr>
                <w:b/>
                <w:bCs/>
                <w:i/>
                <w:sz w:val="14"/>
              </w:rPr>
            </w:pPr>
            <w:r w:rsidRPr="00851D7A">
              <w:rPr>
                <w:b/>
                <w:bCs/>
                <w:i/>
                <w:sz w:val="14"/>
              </w:rPr>
              <w:t>Ecoles matern-elles</w:t>
            </w:r>
          </w:p>
        </w:tc>
        <w:tc>
          <w:tcPr>
            <w:tcW w:w="1106" w:type="dxa"/>
            <w:tcBorders>
              <w:top w:val="single" w:sz="4" w:space="0" w:color="auto"/>
              <w:bottom w:val="single" w:sz="12" w:space="0" w:color="auto"/>
            </w:tcBorders>
            <w:shd w:val="clear" w:color="auto" w:fill="auto"/>
            <w:vAlign w:val="bottom"/>
          </w:tcPr>
          <w:p w:rsidR="0073290F" w:rsidRPr="00851D7A" w:rsidRDefault="0073290F" w:rsidP="00851D7A">
            <w:pPr>
              <w:suppressAutoHyphens/>
              <w:spacing w:before="80" w:after="80" w:line="160" w:lineRule="exact"/>
              <w:ind w:right="43"/>
              <w:jc w:val="right"/>
              <w:rPr>
                <w:b/>
                <w:bCs/>
                <w:i/>
                <w:sz w:val="14"/>
              </w:rPr>
            </w:pPr>
            <w:r w:rsidRPr="00851D7A">
              <w:rPr>
                <w:b/>
                <w:bCs/>
                <w:i/>
                <w:sz w:val="14"/>
              </w:rPr>
              <w:t>Nombre de classes</w:t>
            </w:r>
          </w:p>
        </w:tc>
        <w:tc>
          <w:tcPr>
            <w:tcW w:w="1106" w:type="dxa"/>
            <w:tcBorders>
              <w:top w:val="single" w:sz="4" w:space="0" w:color="auto"/>
              <w:bottom w:val="single" w:sz="12" w:space="0" w:color="auto"/>
            </w:tcBorders>
            <w:shd w:val="clear" w:color="auto" w:fill="auto"/>
            <w:vAlign w:val="bottom"/>
          </w:tcPr>
          <w:p w:rsidR="0073290F" w:rsidRPr="00851D7A" w:rsidRDefault="0073290F" w:rsidP="00851D7A">
            <w:pPr>
              <w:suppressAutoHyphens/>
              <w:spacing w:before="80" w:after="80" w:line="160" w:lineRule="exact"/>
              <w:ind w:right="43"/>
              <w:jc w:val="right"/>
              <w:rPr>
                <w:b/>
                <w:bCs/>
                <w:i/>
                <w:sz w:val="14"/>
              </w:rPr>
            </w:pPr>
            <w:r w:rsidRPr="00851D7A">
              <w:rPr>
                <w:b/>
                <w:bCs/>
                <w:i/>
                <w:sz w:val="14"/>
              </w:rPr>
              <w:t>Nombre total d’enfant-s</w:t>
            </w:r>
          </w:p>
        </w:tc>
        <w:tc>
          <w:tcPr>
            <w:tcW w:w="1106" w:type="dxa"/>
            <w:tcBorders>
              <w:top w:val="single" w:sz="4" w:space="0" w:color="auto"/>
              <w:bottom w:val="single" w:sz="12" w:space="0" w:color="auto"/>
            </w:tcBorders>
            <w:shd w:val="clear" w:color="auto" w:fill="auto"/>
            <w:vAlign w:val="bottom"/>
          </w:tcPr>
          <w:p w:rsidR="0073290F" w:rsidRPr="00851D7A" w:rsidRDefault="0073290F" w:rsidP="00851D7A">
            <w:pPr>
              <w:suppressAutoHyphens/>
              <w:spacing w:before="80" w:after="80" w:line="160" w:lineRule="exact"/>
              <w:ind w:right="43"/>
              <w:jc w:val="right"/>
              <w:rPr>
                <w:b/>
                <w:bCs/>
                <w:i/>
                <w:sz w:val="14"/>
              </w:rPr>
            </w:pPr>
            <w:r w:rsidRPr="00851D7A">
              <w:rPr>
                <w:b/>
                <w:bCs/>
                <w:i/>
                <w:sz w:val="14"/>
              </w:rPr>
              <w:t>Nombre de filles</w:t>
            </w:r>
          </w:p>
        </w:tc>
        <w:tc>
          <w:tcPr>
            <w:tcW w:w="1106" w:type="dxa"/>
            <w:tcBorders>
              <w:top w:val="single" w:sz="4" w:space="0" w:color="auto"/>
              <w:bottom w:val="single" w:sz="12" w:space="0" w:color="auto"/>
            </w:tcBorders>
            <w:shd w:val="clear" w:color="auto" w:fill="auto"/>
            <w:vAlign w:val="bottom"/>
          </w:tcPr>
          <w:p w:rsidR="0073290F" w:rsidRPr="00851D7A" w:rsidRDefault="0073290F" w:rsidP="00851D7A">
            <w:pPr>
              <w:suppressAutoHyphens/>
              <w:spacing w:before="80" w:after="80" w:line="160" w:lineRule="exact"/>
              <w:ind w:right="43"/>
              <w:jc w:val="right"/>
              <w:rPr>
                <w:b/>
                <w:bCs/>
                <w:i/>
                <w:sz w:val="14"/>
              </w:rPr>
            </w:pPr>
            <w:r w:rsidRPr="00851D7A">
              <w:rPr>
                <w:b/>
                <w:bCs/>
                <w:i/>
                <w:sz w:val="14"/>
              </w:rPr>
              <w:t>% de filles</w:t>
            </w:r>
          </w:p>
        </w:tc>
        <w:tc>
          <w:tcPr>
            <w:tcW w:w="1106" w:type="dxa"/>
            <w:tcBorders>
              <w:top w:val="single" w:sz="4" w:space="0" w:color="auto"/>
              <w:bottom w:val="single" w:sz="12" w:space="0" w:color="auto"/>
            </w:tcBorders>
            <w:shd w:val="clear" w:color="auto" w:fill="auto"/>
            <w:vAlign w:val="bottom"/>
          </w:tcPr>
          <w:p w:rsidR="0073290F" w:rsidRPr="00851D7A" w:rsidRDefault="0073290F" w:rsidP="00851D7A">
            <w:pPr>
              <w:suppressAutoHyphens/>
              <w:spacing w:before="80" w:after="80" w:line="160" w:lineRule="exact"/>
              <w:ind w:right="43"/>
              <w:jc w:val="right"/>
              <w:rPr>
                <w:b/>
                <w:bCs/>
                <w:i/>
                <w:sz w:val="14"/>
              </w:rPr>
            </w:pPr>
            <w:r w:rsidRPr="00851D7A">
              <w:rPr>
                <w:b/>
                <w:bCs/>
                <w:i/>
                <w:sz w:val="14"/>
              </w:rPr>
              <w:t>Nombre total de membre-s du personn-el</w:t>
            </w:r>
          </w:p>
        </w:tc>
        <w:tc>
          <w:tcPr>
            <w:tcW w:w="1106" w:type="dxa"/>
            <w:tcBorders>
              <w:top w:val="single" w:sz="4" w:space="0" w:color="auto"/>
              <w:bottom w:val="single" w:sz="12" w:space="0" w:color="auto"/>
            </w:tcBorders>
            <w:shd w:val="clear" w:color="auto" w:fill="auto"/>
            <w:vAlign w:val="bottom"/>
          </w:tcPr>
          <w:p w:rsidR="0073290F" w:rsidRPr="00851D7A" w:rsidRDefault="0073290F" w:rsidP="00851D7A">
            <w:pPr>
              <w:suppressAutoHyphens/>
              <w:spacing w:before="80" w:after="80" w:line="160" w:lineRule="exact"/>
              <w:ind w:right="43"/>
              <w:jc w:val="right"/>
              <w:rPr>
                <w:b/>
                <w:bCs/>
                <w:i/>
                <w:sz w:val="14"/>
              </w:rPr>
            </w:pPr>
            <w:r w:rsidRPr="00851D7A">
              <w:rPr>
                <w:b/>
                <w:bCs/>
                <w:i/>
                <w:sz w:val="14"/>
              </w:rPr>
              <w:t>Nombre de femmes</w:t>
            </w:r>
          </w:p>
        </w:tc>
        <w:tc>
          <w:tcPr>
            <w:tcW w:w="1107" w:type="dxa"/>
            <w:tcBorders>
              <w:top w:val="single" w:sz="4" w:space="0" w:color="auto"/>
              <w:bottom w:val="single" w:sz="12" w:space="0" w:color="auto"/>
            </w:tcBorders>
            <w:shd w:val="clear" w:color="auto" w:fill="auto"/>
            <w:vAlign w:val="bottom"/>
          </w:tcPr>
          <w:p w:rsidR="0073290F" w:rsidRPr="00851D7A" w:rsidRDefault="0073290F" w:rsidP="00851D7A">
            <w:pPr>
              <w:suppressAutoHyphens/>
              <w:spacing w:before="80" w:after="80" w:line="160" w:lineRule="exact"/>
              <w:ind w:right="43"/>
              <w:jc w:val="right"/>
              <w:rPr>
                <w:b/>
                <w:bCs/>
                <w:i/>
                <w:sz w:val="14"/>
              </w:rPr>
            </w:pPr>
            <w:r w:rsidRPr="00851D7A">
              <w:rPr>
                <w:b/>
                <w:bCs/>
                <w:i/>
                <w:sz w:val="14"/>
              </w:rPr>
              <w:t>% de femmes</w:t>
            </w:r>
          </w:p>
        </w:tc>
      </w:tr>
      <w:tr w:rsidR="00851D7A" w:rsidRPr="00851D7A">
        <w:tblPrEx>
          <w:tblCellMar>
            <w:top w:w="0" w:type="dxa"/>
            <w:bottom w:w="0" w:type="dxa"/>
          </w:tblCellMar>
        </w:tblPrEx>
        <w:trPr>
          <w:cantSplit/>
          <w:trHeight w:hRule="exact" w:val="115"/>
          <w:tblHeader/>
        </w:trPr>
        <w:tc>
          <w:tcPr>
            <w:tcW w:w="1031" w:type="dxa"/>
            <w:tcBorders>
              <w:top w:val="single" w:sz="12" w:space="0" w:color="auto"/>
            </w:tcBorders>
            <w:shd w:val="clear" w:color="auto" w:fill="auto"/>
            <w:vAlign w:val="bottom"/>
          </w:tcPr>
          <w:p w:rsidR="00851D7A" w:rsidRPr="00851D7A" w:rsidRDefault="00851D7A" w:rsidP="00851D7A">
            <w:pPr>
              <w:suppressAutoHyphens/>
              <w:spacing w:before="40" w:after="40" w:line="210" w:lineRule="exact"/>
              <w:ind w:right="43"/>
              <w:rPr>
                <w:sz w:val="17"/>
              </w:rPr>
            </w:pPr>
          </w:p>
        </w:tc>
        <w:tc>
          <w:tcPr>
            <w:tcW w:w="1106" w:type="dxa"/>
            <w:tcBorders>
              <w:top w:val="single" w:sz="12" w:space="0" w:color="auto"/>
            </w:tcBorders>
            <w:shd w:val="clear" w:color="auto" w:fill="auto"/>
            <w:vAlign w:val="bottom"/>
          </w:tcPr>
          <w:p w:rsidR="00851D7A" w:rsidRPr="00851D7A" w:rsidRDefault="00851D7A" w:rsidP="00851D7A">
            <w:pPr>
              <w:suppressAutoHyphens/>
              <w:spacing w:before="40" w:after="40" w:line="210" w:lineRule="exact"/>
              <w:ind w:right="43"/>
              <w:jc w:val="right"/>
              <w:rPr>
                <w:sz w:val="17"/>
              </w:rPr>
            </w:pPr>
          </w:p>
        </w:tc>
        <w:tc>
          <w:tcPr>
            <w:tcW w:w="1106" w:type="dxa"/>
            <w:tcBorders>
              <w:top w:val="single" w:sz="12" w:space="0" w:color="auto"/>
            </w:tcBorders>
            <w:shd w:val="clear" w:color="auto" w:fill="auto"/>
            <w:vAlign w:val="bottom"/>
          </w:tcPr>
          <w:p w:rsidR="00851D7A" w:rsidRPr="00851D7A" w:rsidRDefault="00851D7A" w:rsidP="00851D7A">
            <w:pPr>
              <w:suppressAutoHyphens/>
              <w:spacing w:before="40" w:after="40" w:line="210" w:lineRule="exact"/>
              <w:ind w:right="43"/>
              <w:jc w:val="right"/>
              <w:rPr>
                <w:sz w:val="17"/>
              </w:rPr>
            </w:pPr>
          </w:p>
        </w:tc>
        <w:tc>
          <w:tcPr>
            <w:tcW w:w="1106" w:type="dxa"/>
            <w:tcBorders>
              <w:top w:val="single" w:sz="12" w:space="0" w:color="auto"/>
            </w:tcBorders>
            <w:shd w:val="clear" w:color="auto" w:fill="auto"/>
            <w:vAlign w:val="bottom"/>
          </w:tcPr>
          <w:p w:rsidR="00851D7A" w:rsidRPr="00851D7A" w:rsidRDefault="00851D7A" w:rsidP="00851D7A">
            <w:pPr>
              <w:suppressAutoHyphens/>
              <w:spacing w:before="40" w:after="40" w:line="210" w:lineRule="exact"/>
              <w:ind w:right="43"/>
              <w:jc w:val="right"/>
              <w:rPr>
                <w:sz w:val="17"/>
              </w:rPr>
            </w:pPr>
          </w:p>
        </w:tc>
        <w:tc>
          <w:tcPr>
            <w:tcW w:w="1106" w:type="dxa"/>
            <w:tcBorders>
              <w:top w:val="single" w:sz="12" w:space="0" w:color="auto"/>
            </w:tcBorders>
            <w:shd w:val="clear" w:color="auto" w:fill="auto"/>
            <w:vAlign w:val="bottom"/>
          </w:tcPr>
          <w:p w:rsidR="00851D7A" w:rsidRPr="00851D7A" w:rsidRDefault="00851D7A" w:rsidP="00851D7A">
            <w:pPr>
              <w:suppressAutoHyphens/>
              <w:spacing w:before="40" w:after="40" w:line="210" w:lineRule="exact"/>
              <w:ind w:right="43"/>
              <w:jc w:val="right"/>
              <w:rPr>
                <w:sz w:val="17"/>
              </w:rPr>
            </w:pPr>
          </w:p>
        </w:tc>
        <w:tc>
          <w:tcPr>
            <w:tcW w:w="1106" w:type="dxa"/>
            <w:tcBorders>
              <w:top w:val="single" w:sz="12" w:space="0" w:color="auto"/>
            </w:tcBorders>
            <w:shd w:val="clear" w:color="auto" w:fill="auto"/>
            <w:vAlign w:val="bottom"/>
          </w:tcPr>
          <w:p w:rsidR="00851D7A" w:rsidRPr="00851D7A" w:rsidRDefault="00851D7A" w:rsidP="00851D7A">
            <w:pPr>
              <w:suppressAutoHyphens/>
              <w:spacing w:before="40" w:after="40" w:line="210" w:lineRule="exact"/>
              <w:ind w:right="43"/>
              <w:jc w:val="right"/>
              <w:rPr>
                <w:sz w:val="17"/>
              </w:rPr>
            </w:pPr>
          </w:p>
        </w:tc>
        <w:tc>
          <w:tcPr>
            <w:tcW w:w="1106" w:type="dxa"/>
            <w:tcBorders>
              <w:top w:val="single" w:sz="12" w:space="0" w:color="auto"/>
            </w:tcBorders>
            <w:shd w:val="clear" w:color="auto" w:fill="auto"/>
            <w:vAlign w:val="bottom"/>
          </w:tcPr>
          <w:p w:rsidR="00851D7A" w:rsidRPr="00851D7A" w:rsidRDefault="00851D7A" w:rsidP="00851D7A">
            <w:pPr>
              <w:suppressAutoHyphens/>
              <w:spacing w:before="40" w:after="40" w:line="210" w:lineRule="exact"/>
              <w:ind w:right="43"/>
              <w:jc w:val="right"/>
              <w:rPr>
                <w:sz w:val="17"/>
              </w:rPr>
            </w:pPr>
          </w:p>
        </w:tc>
        <w:tc>
          <w:tcPr>
            <w:tcW w:w="1106" w:type="dxa"/>
            <w:tcBorders>
              <w:top w:val="single" w:sz="12" w:space="0" w:color="auto"/>
            </w:tcBorders>
            <w:shd w:val="clear" w:color="auto" w:fill="auto"/>
            <w:vAlign w:val="bottom"/>
          </w:tcPr>
          <w:p w:rsidR="00851D7A" w:rsidRPr="00851D7A" w:rsidRDefault="00851D7A" w:rsidP="00851D7A">
            <w:pPr>
              <w:suppressAutoHyphens/>
              <w:spacing w:before="40" w:after="40" w:line="210" w:lineRule="exact"/>
              <w:ind w:right="43"/>
              <w:jc w:val="right"/>
              <w:rPr>
                <w:sz w:val="17"/>
              </w:rPr>
            </w:pPr>
          </w:p>
        </w:tc>
        <w:tc>
          <w:tcPr>
            <w:tcW w:w="1107" w:type="dxa"/>
            <w:tcBorders>
              <w:top w:val="single" w:sz="12" w:space="0" w:color="auto"/>
            </w:tcBorders>
            <w:shd w:val="clear" w:color="auto" w:fill="auto"/>
            <w:vAlign w:val="bottom"/>
          </w:tcPr>
          <w:p w:rsidR="00851D7A" w:rsidRPr="00851D7A" w:rsidRDefault="00851D7A" w:rsidP="00851D7A">
            <w:pPr>
              <w:suppressAutoHyphens/>
              <w:spacing w:before="40" w:after="40" w:line="210" w:lineRule="exact"/>
              <w:ind w:right="43"/>
              <w:jc w:val="right"/>
              <w:rPr>
                <w:sz w:val="17"/>
              </w:rPr>
            </w:pPr>
          </w:p>
        </w:tc>
      </w:tr>
      <w:tr w:rsidR="0073290F" w:rsidRPr="00851D7A">
        <w:tblPrEx>
          <w:tblCellMar>
            <w:top w:w="0" w:type="dxa"/>
            <w:bottom w:w="0" w:type="dxa"/>
          </w:tblCellMar>
        </w:tblPrEx>
        <w:trPr>
          <w:cantSplit/>
        </w:trPr>
        <w:tc>
          <w:tcPr>
            <w:tcW w:w="1031"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rPr>
                <w:sz w:val="17"/>
              </w:rPr>
            </w:pPr>
            <w:r w:rsidRPr="00851D7A">
              <w:rPr>
                <w:sz w:val="17"/>
              </w:rPr>
              <w:t>2001/02</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801</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3.477</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61.803</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29.293</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47,4</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7.099</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6.956</w:t>
            </w:r>
          </w:p>
        </w:tc>
        <w:tc>
          <w:tcPr>
            <w:tcW w:w="1107"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98,0</w:t>
            </w:r>
          </w:p>
        </w:tc>
      </w:tr>
      <w:tr w:rsidR="0073290F" w:rsidRPr="00851D7A">
        <w:tblPrEx>
          <w:tblCellMar>
            <w:top w:w="0" w:type="dxa"/>
            <w:bottom w:w="0" w:type="dxa"/>
          </w:tblCellMar>
        </w:tblPrEx>
        <w:trPr>
          <w:cantSplit/>
        </w:trPr>
        <w:tc>
          <w:tcPr>
            <w:tcW w:w="1031"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rPr>
                <w:sz w:val="17"/>
              </w:rPr>
            </w:pPr>
            <w:r w:rsidRPr="00851D7A">
              <w:rPr>
                <w:sz w:val="17"/>
              </w:rPr>
              <w:t>2002/03</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773</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3.342</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58.968</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28.177</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47,8</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6.949</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6.829</w:t>
            </w:r>
          </w:p>
        </w:tc>
        <w:tc>
          <w:tcPr>
            <w:tcW w:w="1107"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98,3</w:t>
            </w:r>
          </w:p>
        </w:tc>
      </w:tr>
      <w:tr w:rsidR="0073290F" w:rsidRPr="00851D7A">
        <w:tblPrEx>
          <w:tblCellMar>
            <w:top w:w="0" w:type="dxa"/>
            <w:bottom w:w="0" w:type="dxa"/>
          </w:tblCellMar>
        </w:tblPrEx>
        <w:trPr>
          <w:cantSplit/>
        </w:trPr>
        <w:tc>
          <w:tcPr>
            <w:tcW w:w="1031"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rPr>
                <w:sz w:val="17"/>
              </w:rPr>
            </w:pPr>
            <w:r w:rsidRPr="00851D7A">
              <w:rPr>
                <w:sz w:val="17"/>
              </w:rPr>
              <w:t>2003/04</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767</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3.243</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54.515</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25.815</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47,4</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6.729</w:t>
            </w:r>
          </w:p>
        </w:tc>
        <w:tc>
          <w:tcPr>
            <w:tcW w:w="1106"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6.636</w:t>
            </w:r>
          </w:p>
        </w:tc>
        <w:tc>
          <w:tcPr>
            <w:tcW w:w="1107" w:type="dxa"/>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98,6</w:t>
            </w:r>
          </w:p>
        </w:tc>
      </w:tr>
      <w:tr w:rsidR="0073290F" w:rsidRPr="00851D7A">
        <w:tblPrEx>
          <w:tblCellMar>
            <w:top w:w="0" w:type="dxa"/>
            <w:bottom w:w="0" w:type="dxa"/>
          </w:tblCellMar>
        </w:tblPrEx>
        <w:trPr>
          <w:cantSplit/>
        </w:trPr>
        <w:tc>
          <w:tcPr>
            <w:tcW w:w="1031" w:type="dxa"/>
            <w:tcBorders>
              <w:bottom w:val="single" w:sz="12" w:space="0" w:color="auto"/>
            </w:tcBorders>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rPr>
                <w:sz w:val="17"/>
              </w:rPr>
            </w:pPr>
            <w:r w:rsidRPr="00851D7A">
              <w:rPr>
                <w:sz w:val="17"/>
              </w:rPr>
              <w:t>2004/05</w:t>
            </w:r>
          </w:p>
        </w:tc>
        <w:tc>
          <w:tcPr>
            <w:tcW w:w="1106" w:type="dxa"/>
            <w:tcBorders>
              <w:bottom w:val="single" w:sz="12" w:space="0" w:color="auto"/>
            </w:tcBorders>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752</w:t>
            </w:r>
          </w:p>
        </w:tc>
        <w:tc>
          <w:tcPr>
            <w:tcW w:w="1106" w:type="dxa"/>
            <w:tcBorders>
              <w:bottom w:val="single" w:sz="12" w:space="0" w:color="auto"/>
            </w:tcBorders>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3.232</w:t>
            </w:r>
          </w:p>
        </w:tc>
        <w:tc>
          <w:tcPr>
            <w:tcW w:w="1106" w:type="dxa"/>
            <w:tcBorders>
              <w:bottom w:val="single" w:sz="12" w:space="0" w:color="auto"/>
            </w:tcBorders>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54.815</w:t>
            </w:r>
          </w:p>
        </w:tc>
        <w:tc>
          <w:tcPr>
            <w:tcW w:w="1106" w:type="dxa"/>
            <w:tcBorders>
              <w:bottom w:val="single" w:sz="12" w:space="0" w:color="auto"/>
            </w:tcBorders>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26.033</w:t>
            </w:r>
          </w:p>
        </w:tc>
        <w:tc>
          <w:tcPr>
            <w:tcW w:w="1106" w:type="dxa"/>
            <w:tcBorders>
              <w:bottom w:val="single" w:sz="12" w:space="0" w:color="auto"/>
            </w:tcBorders>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47,5</w:t>
            </w:r>
          </w:p>
        </w:tc>
        <w:tc>
          <w:tcPr>
            <w:tcW w:w="1106" w:type="dxa"/>
            <w:tcBorders>
              <w:bottom w:val="single" w:sz="12" w:space="0" w:color="auto"/>
            </w:tcBorders>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rPr>
            </w:pPr>
            <w:r w:rsidRPr="00851D7A">
              <w:rPr>
                <w:sz w:val="17"/>
              </w:rPr>
              <w:t>6.762</w:t>
            </w:r>
          </w:p>
        </w:tc>
        <w:tc>
          <w:tcPr>
            <w:tcW w:w="1106" w:type="dxa"/>
            <w:tcBorders>
              <w:bottom w:val="single" w:sz="12" w:space="0" w:color="auto"/>
            </w:tcBorders>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highlight w:val="yellow"/>
              </w:rPr>
            </w:pPr>
            <w:r w:rsidRPr="00851D7A">
              <w:rPr>
                <w:sz w:val="17"/>
              </w:rPr>
              <w:t>6.716</w:t>
            </w:r>
          </w:p>
        </w:tc>
        <w:tc>
          <w:tcPr>
            <w:tcW w:w="1107" w:type="dxa"/>
            <w:tcBorders>
              <w:bottom w:val="single" w:sz="12" w:space="0" w:color="auto"/>
            </w:tcBorders>
            <w:shd w:val="clear" w:color="auto" w:fill="auto"/>
            <w:vAlign w:val="bottom"/>
          </w:tcPr>
          <w:p w:rsidR="0073290F" w:rsidRPr="00851D7A" w:rsidRDefault="0073290F" w:rsidP="00851D7A">
            <w:pPr>
              <w:tabs>
                <w:tab w:val="left" w:pos="288"/>
                <w:tab w:val="left" w:pos="576"/>
                <w:tab w:val="left" w:pos="864"/>
                <w:tab w:val="left" w:pos="1152"/>
              </w:tabs>
              <w:suppressAutoHyphens/>
              <w:spacing w:before="40" w:after="40" w:line="210" w:lineRule="exact"/>
              <w:ind w:right="43"/>
              <w:jc w:val="right"/>
              <w:rPr>
                <w:sz w:val="17"/>
                <w:highlight w:val="yellow"/>
              </w:rPr>
            </w:pPr>
            <w:r w:rsidRPr="00851D7A">
              <w:rPr>
                <w:sz w:val="17"/>
              </w:rPr>
              <w:t>99,3</w:t>
            </w:r>
          </w:p>
        </w:tc>
      </w:tr>
    </w:tbl>
    <w:p w:rsidR="00851D7A" w:rsidRPr="00851D7A" w:rsidRDefault="00851D7A" w:rsidP="00851D7A">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line="120" w:lineRule="exact"/>
        <w:rPr>
          <w:rFonts w:ascii="Times New Roman" w:hAnsi="Times New Roman" w:cs="Times New Roman"/>
          <w:sz w:val="10"/>
          <w:lang w:val="fr-FR"/>
        </w:rPr>
      </w:pPr>
    </w:p>
    <w:p w:rsidR="0073290F" w:rsidRPr="00851D7A" w:rsidRDefault="0073290F" w:rsidP="0073290F">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cs="Times New Roman"/>
          <w:sz w:val="17"/>
          <w:szCs w:val="17"/>
          <w:lang w:val="fr-FR"/>
        </w:rPr>
      </w:pPr>
      <w:r w:rsidRPr="00851D7A">
        <w:rPr>
          <w:rFonts w:ascii="Times New Roman" w:hAnsi="Times New Roman" w:cs="Times New Roman"/>
          <w:i/>
          <w:sz w:val="17"/>
          <w:szCs w:val="17"/>
          <w:lang w:val="fr-FR"/>
        </w:rPr>
        <w:t>Source</w:t>
      </w:r>
      <w:r w:rsidRPr="00851D7A">
        <w:rPr>
          <w:rFonts w:ascii="Times New Roman" w:hAnsi="Times New Roman" w:cs="Times New Roman"/>
          <w:sz w:val="17"/>
          <w:szCs w:val="17"/>
          <w:lang w:val="fr-FR"/>
        </w:rPr>
        <w:t xml:space="preserve">: Annuaire statistique </w:t>
      </w:r>
      <w:r w:rsidRPr="00851D7A">
        <w:rPr>
          <w:rFonts w:ascii="Times New Roman" w:hAnsi="Times New Roman" w:cs="Times New Roman"/>
          <w:color w:val="000000"/>
          <w:sz w:val="17"/>
          <w:szCs w:val="17"/>
          <w:lang w:val="fr-FR"/>
        </w:rPr>
        <w:t>2005, Institut de la Statistique de la République de Slovénie.</w:t>
      </w:r>
    </w:p>
    <w:p w:rsidR="00851D7A" w:rsidRPr="00851D7A" w:rsidRDefault="00851D7A" w:rsidP="00851D7A">
      <w:pPr>
        <w:pStyle w:val="BodyText3"/>
        <w:spacing w:after="0" w:line="120" w:lineRule="exact"/>
        <w:rPr>
          <w:sz w:val="10"/>
          <w:szCs w:val="24"/>
          <w:lang w:val="fr-FR"/>
        </w:rPr>
      </w:pPr>
    </w:p>
    <w:p w:rsidR="0073290F" w:rsidRDefault="0073290F" w:rsidP="00851D7A">
      <w:pPr>
        <w:pStyle w:val="SingleTxt"/>
        <w:jc w:val="left"/>
        <w:rPr>
          <w:lang w:val="fr-FR"/>
        </w:rPr>
      </w:pPr>
      <w:r w:rsidRPr="00924135">
        <w:rPr>
          <w:lang w:val="fr-FR"/>
        </w:rPr>
        <w:t>Tableau 21</w:t>
      </w:r>
      <w:r w:rsidR="00851D7A">
        <w:rPr>
          <w:lang w:val="fr-FR"/>
        </w:rPr>
        <w:br/>
      </w:r>
      <w:r w:rsidRPr="00851D7A">
        <w:rPr>
          <w:b/>
          <w:lang w:val="fr-FR"/>
        </w:rPr>
        <w:t>Population scolaire aux niveaux de l’enseignement élémentaire et de l’enseignement secondaire – années scolaires 2000/2001 à 2003/2004</w:t>
      </w:r>
    </w:p>
    <w:p w:rsidR="00224799" w:rsidRPr="00224799" w:rsidRDefault="00224799" w:rsidP="00224799">
      <w:pPr>
        <w:pStyle w:val="SingleTxt"/>
        <w:spacing w:after="0" w:line="120" w:lineRule="exact"/>
        <w:rPr>
          <w:sz w:val="10"/>
          <w:lang w:val="fr-FR"/>
        </w:rPr>
      </w:pPr>
    </w:p>
    <w:tbl>
      <w:tblPr>
        <w:tblW w:w="9720" w:type="dxa"/>
        <w:tblInd w:w="160" w:type="dxa"/>
        <w:tblLayout w:type="fixed"/>
        <w:tblCellMar>
          <w:left w:w="70" w:type="dxa"/>
          <w:right w:w="70" w:type="dxa"/>
        </w:tblCellMar>
        <w:tblLook w:val="0000" w:firstRow="0" w:lastRow="0" w:firstColumn="0" w:lastColumn="0" w:noHBand="0" w:noVBand="0"/>
      </w:tblPr>
      <w:tblGrid>
        <w:gridCol w:w="1186"/>
        <w:gridCol w:w="1514"/>
        <w:gridCol w:w="1330"/>
        <w:gridCol w:w="1370"/>
        <w:gridCol w:w="1620"/>
        <w:gridCol w:w="1277"/>
        <w:gridCol w:w="1423"/>
      </w:tblGrid>
      <w:tr w:rsidR="00224799" w:rsidRPr="00224799">
        <w:tblPrEx>
          <w:tblCellMar>
            <w:top w:w="0" w:type="dxa"/>
            <w:bottom w:w="0" w:type="dxa"/>
          </w:tblCellMar>
        </w:tblPrEx>
        <w:trPr>
          <w:cantSplit/>
          <w:tblHeader/>
        </w:trPr>
        <w:tc>
          <w:tcPr>
            <w:tcW w:w="1186" w:type="dxa"/>
            <w:vMerge w:val="restart"/>
            <w:tcBorders>
              <w:top w:val="single" w:sz="4" w:space="0" w:color="auto"/>
            </w:tcBorders>
            <w:shd w:val="clear" w:color="auto" w:fill="auto"/>
            <w:vAlign w:val="bottom"/>
          </w:tcPr>
          <w:p w:rsidR="00224799" w:rsidRPr="00224799" w:rsidRDefault="00224799" w:rsidP="00224799">
            <w:pPr>
              <w:suppressAutoHyphens/>
              <w:spacing w:before="80" w:after="80" w:line="160" w:lineRule="exact"/>
              <w:ind w:right="43"/>
              <w:rPr>
                <w:i/>
                <w:sz w:val="14"/>
              </w:rPr>
            </w:pPr>
            <w:r w:rsidRPr="00224799">
              <w:rPr>
                <w:i/>
                <w:sz w:val="14"/>
              </w:rPr>
              <w:t>Année scolaire</w:t>
            </w:r>
          </w:p>
        </w:tc>
        <w:tc>
          <w:tcPr>
            <w:tcW w:w="4214" w:type="dxa"/>
            <w:gridSpan w:val="3"/>
            <w:tcBorders>
              <w:top w:val="single" w:sz="4" w:space="0" w:color="auto"/>
              <w:bottom w:val="single" w:sz="4" w:space="0" w:color="auto"/>
            </w:tcBorders>
            <w:shd w:val="clear" w:color="auto" w:fill="auto"/>
          </w:tcPr>
          <w:p w:rsidR="00224799" w:rsidRPr="00224799" w:rsidRDefault="00224799" w:rsidP="00224799">
            <w:pPr>
              <w:spacing w:before="40" w:after="40"/>
              <w:jc w:val="center"/>
              <w:rPr>
                <w:i/>
                <w:sz w:val="14"/>
                <w:szCs w:val="14"/>
              </w:rPr>
            </w:pPr>
            <w:r>
              <w:rPr>
                <w:i/>
                <w:sz w:val="14"/>
                <w:szCs w:val="14"/>
              </w:rPr>
              <w:t>É</w:t>
            </w:r>
            <w:r w:rsidRPr="00224799">
              <w:rPr>
                <w:i/>
                <w:sz w:val="14"/>
                <w:szCs w:val="14"/>
              </w:rPr>
              <w:t>coles primaires</w:t>
            </w:r>
          </w:p>
        </w:tc>
        <w:tc>
          <w:tcPr>
            <w:tcW w:w="4320" w:type="dxa"/>
            <w:gridSpan w:val="3"/>
            <w:tcBorders>
              <w:top w:val="single" w:sz="4" w:space="0" w:color="auto"/>
              <w:bottom w:val="single" w:sz="4" w:space="0" w:color="auto"/>
            </w:tcBorders>
            <w:shd w:val="clear" w:color="auto" w:fill="auto"/>
          </w:tcPr>
          <w:p w:rsidR="00224799" w:rsidRPr="00224799" w:rsidRDefault="00224799" w:rsidP="00224799">
            <w:pPr>
              <w:spacing w:before="40" w:after="40"/>
              <w:jc w:val="center"/>
              <w:rPr>
                <w:i/>
                <w:sz w:val="14"/>
                <w:szCs w:val="14"/>
              </w:rPr>
            </w:pPr>
            <w:r>
              <w:rPr>
                <w:i/>
                <w:sz w:val="14"/>
                <w:szCs w:val="14"/>
              </w:rPr>
              <w:t>É</w:t>
            </w:r>
            <w:r w:rsidRPr="00224799">
              <w:rPr>
                <w:i/>
                <w:sz w:val="14"/>
                <w:szCs w:val="14"/>
              </w:rPr>
              <w:t>tablissements secondaires</w:t>
            </w:r>
          </w:p>
        </w:tc>
      </w:tr>
      <w:tr w:rsidR="00224799" w:rsidRPr="00224799">
        <w:tblPrEx>
          <w:tblCellMar>
            <w:top w:w="0" w:type="dxa"/>
            <w:bottom w:w="0" w:type="dxa"/>
          </w:tblCellMar>
        </w:tblPrEx>
        <w:trPr>
          <w:cantSplit/>
          <w:tblHeader/>
        </w:trPr>
        <w:tc>
          <w:tcPr>
            <w:tcW w:w="1186" w:type="dxa"/>
            <w:vMerge/>
            <w:tcBorders>
              <w:bottom w:val="single" w:sz="12" w:space="0" w:color="auto"/>
            </w:tcBorders>
            <w:shd w:val="clear" w:color="auto" w:fill="auto"/>
            <w:vAlign w:val="bottom"/>
          </w:tcPr>
          <w:p w:rsidR="00224799" w:rsidRPr="00224799" w:rsidRDefault="00224799" w:rsidP="00224799">
            <w:pPr>
              <w:suppressAutoHyphens/>
              <w:spacing w:before="80" w:after="80" w:line="160" w:lineRule="exact"/>
              <w:ind w:right="43"/>
              <w:rPr>
                <w:i/>
                <w:sz w:val="14"/>
              </w:rPr>
            </w:pPr>
          </w:p>
        </w:tc>
        <w:tc>
          <w:tcPr>
            <w:tcW w:w="1514" w:type="dxa"/>
            <w:tcBorders>
              <w:top w:val="single" w:sz="4" w:space="0" w:color="auto"/>
              <w:bottom w:val="single" w:sz="12" w:space="0" w:color="auto"/>
            </w:tcBorders>
            <w:shd w:val="clear" w:color="auto" w:fill="auto"/>
          </w:tcPr>
          <w:p w:rsidR="00224799" w:rsidRPr="00224799" w:rsidRDefault="00224799" w:rsidP="00224799">
            <w:pPr>
              <w:spacing w:before="40" w:after="40" w:line="240" w:lineRule="auto"/>
              <w:jc w:val="right"/>
              <w:rPr>
                <w:i/>
                <w:sz w:val="14"/>
                <w:szCs w:val="14"/>
              </w:rPr>
            </w:pPr>
            <w:r w:rsidRPr="00224799">
              <w:rPr>
                <w:i/>
                <w:sz w:val="14"/>
                <w:szCs w:val="14"/>
              </w:rPr>
              <w:t>Nombre total d’élèves</w:t>
            </w:r>
          </w:p>
        </w:tc>
        <w:tc>
          <w:tcPr>
            <w:tcW w:w="1330" w:type="dxa"/>
            <w:tcBorders>
              <w:top w:val="single" w:sz="4" w:space="0" w:color="auto"/>
              <w:bottom w:val="single" w:sz="12" w:space="0" w:color="auto"/>
            </w:tcBorders>
            <w:shd w:val="clear" w:color="auto" w:fill="auto"/>
          </w:tcPr>
          <w:p w:rsidR="00224799" w:rsidRPr="00224799" w:rsidRDefault="00224799" w:rsidP="00224799">
            <w:pPr>
              <w:spacing w:before="40" w:after="40" w:line="240" w:lineRule="auto"/>
              <w:jc w:val="right"/>
              <w:rPr>
                <w:i/>
                <w:sz w:val="14"/>
                <w:szCs w:val="14"/>
              </w:rPr>
            </w:pPr>
            <w:r w:rsidRPr="00224799">
              <w:rPr>
                <w:i/>
                <w:sz w:val="14"/>
                <w:szCs w:val="14"/>
              </w:rPr>
              <w:t>Nombre de filles</w:t>
            </w:r>
          </w:p>
        </w:tc>
        <w:tc>
          <w:tcPr>
            <w:tcW w:w="1370" w:type="dxa"/>
            <w:tcBorders>
              <w:top w:val="single" w:sz="4" w:space="0" w:color="auto"/>
              <w:bottom w:val="single" w:sz="12" w:space="0" w:color="auto"/>
            </w:tcBorders>
            <w:shd w:val="clear" w:color="auto" w:fill="auto"/>
          </w:tcPr>
          <w:p w:rsidR="00224799" w:rsidRPr="00224799" w:rsidRDefault="00224799" w:rsidP="00224799">
            <w:pPr>
              <w:spacing w:before="40" w:after="40" w:line="240" w:lineRule="auto"/>
              <w:jc w:val="right"/>
              <w:rPr>
                <w:i/>
                <w:sz w:val="14"/>
                <w:szCs w:val="14"/>
              </w:rPr>
            </w:pPr>
            <w:r w:rsidRPr="00224799">
              <w:rPr>
                <w:i/>
                <w:sz w:val="14"/>
                <w:szCs w:val="14"/>
              </w:rPr>
              <w:t>% de filles</w:t>
            </w:r>
          </w:p>
        </w:tc>
        <w:tc>
          <w:tcPr>
            <w:tcW w:w="1620" w:type="dxa"/>
            <w:tcBorders>
              <w:top w:val="single" w:sz="4" w:space="0" w:color="auto"/>
              <w:bottom w:val="single" w:sz="12" w:space="0" w:color="auto"/>
            </w:tcBorders>
            <w:shd w:val="clear" w:color="auto" w:fill="auto"/>
          </w:tcPr>
          <w:p w:rsidR="00224799" w:rsidRPr="00224799" w:rsidRDefault="00224799" w:rsidP="00224799">
            <w:pPr>
              <w:spacing w:before="40" w:after="40" w:line="240" w:lineRule="auto"/>
              <w:jc w:val="right"/>
              <w:rPr>
                <w:i/>
                <w:sz w:val="14"/>
                <w:szCs w:val="14"/>
              </w:rPr>
            </w:pPr>
            <w:r w:rsidRPr="00224799">
              <w:rPr>
                <w:i/>
                <w:sz w:val="14"/>
                <w:szCs w:val="14"/>
              </w:rPr>
              <w:t>Nombre total d’élèves</w:t>
            </w:r>
          </w:p>
        </w:tc>
        <w:tc>
          <w:tcPr>
            <w:tcW w:w="1277" w:type="dxa"/>
            <w:tcBorders>
              <w:top w:val="single" w:sz="4" w:space="0" w:color="auto"/>
              <w:bottom w:val="single" w:sz="12" w:space="0" w:color="auto"/>
            </w:tcBorders>
            <w:shd w:val="clear" w:color="auto" w:fill="auto"/>
          </w:tcPr>
          <w:p w:rsidR="00224799" w:rsidRPr="00224799" w:rsidRDefault="00224799" w:rsidP="00224799">
            <w:pPr>
              <w:spacing w:before="40" w:after="40" w:line="240" w:lineRule="auto"/>
              <w:jc w:val="right"/>
              <w:rPr>
                <w:i/>
                <w:sz w:val="14"/>
                <w:szCs w:val="14"/>
              </w:rPr>
            </w:pPr>
            <w:r w:rsidRPr="00224799">
              <w:rPr>
                <w:i/>
                <w:sz w:val="14"/>
                <w:szCs w:val="14"/>
              </w:rPr>
              <w:t>Nombre de filles</w:t>
            </w:r>
          </w:p>
        </w:tc>
        <w:tc>
          <w:tcPr>
            <w:tcW w:w="1423" w:type="dxa"/>
            <w:tcBorders>
              <w:top w:val="single" w:sz="4" w:space="0" w:color="auto"/>
              <w:bottom w:val="single" w:sz="12" w:space="0" w:color="auto"/>
            </w:tcBorders>
            <w:shd w:val="clear" w:color="auto" w:fill="auto"/>
          </w:tcPr>
          <w:p w:rsidR="00224799" w:rsidRPr="00224799" w:rsidRDefault="00224799" w:rsidP="00224799">
            <w:pPr>
              <w:spacing w:before="40" w:after="40" w:line="240" w:lineRule="auto"/>
              <w:jc w:val="right"/>
              <w:rPr>
                <w:i/>
                <w:sz w:val="14"/>
                <w:szCs w:val="14"/>
              </w:rPr>
            </w:pPr>
            <w:r w:rsidRPr="00224799">
              <w:rPr>
                <w:i/>
                <w:sz w:val="14"/>
                <w:szCs w:val="14"/>
              </w:rPr>
              <w:t>% de filles</w:t>
            </w:r>
          </w:p>
        </w:tc>
      </w:tr>
      <w:tr w:rsidR="00224799" w:rsidRPr="00224799">
        <w:tblPrEx>
          <w:tblCellMar>
            <w:top w:w="0" w:type="dxa"/>
            <w:bottom w:w="0" w:type="dxa"/>
          </w:tblCellMar>
        </w:tblPrEx>
        <w:trPr>
          <w:cantSplit/>
          <w:trHeight w:hRule="exact" w:val="115"/>
          <w:tblHeader/>
        </w:trPr>
        <w:tc>
          <w:tcPr>
            <w:tcW w:w="1186" w:type="dxa"/>
            <w:tcBorders>
              <w:top w:val="single" w:sz="12" w:space="0" w:color="auto"/>
            </w:tcBorders>
            <w:shd w:val="clear" w:color="auto" w:fill="auto"/>
            <w:vAlign w:val="bottom"/>
          </w:tcPr>
          <w:p w:rsidR="00224799" w:rsidRPr="00224799" w:rsidRDefault="00224799" w:rsidP="00224799">
            <w:pPr>
              <w:suppressAutoHyphens/>
              <w:spacing w:before="40" w:after="40" w:line="210" w:lineRule="exact"/>
              <w:ind w:right="43"/>
              <w:rPr>
                <w:sz w:val="17"/>
              </w:rPr>
            </w:pPr>
          </w:p>
        </w:tc>
        <w:tc>
          <w:tcPr>
            <w:tcW w:w="1514" w:type="dxa"/>
            <w:tcBorders>
              <w:top w:val="single" w:sz="12" w:space="0" w:color="auto"/>
            </w:tcBorders>
            <w:shd w:val="clear" w:color="auto" w:fill="auto"/>
            <w:vAlign w:val="bottom"/>
          </w:tcPr>
          <w:p w:rsidR="00224799" w:rsidRPr="00224799" w:rsidRDefault="00224799" w:rsidP="00224799">
            <w:pPr>
              <w:suppressAutoHyphens/>
              <w:spacing w:before="40" w:after="40" w:line="210" w:lineRule="exact"/>
              <w:ind w:right="43"/>
              <w:jc w:val="right"/>
              <w:rPr>
                <w:sz w:val="14"/>
                <w:szCs w:val="14"/>
              </w:rPr>
            </w:pPr>
          </w:p>
        </w:tc>
        <w:tc>
          <w:tcPr>
            <w:tcW w:w="1330" w:type="dxa"/>
            <w:tcBorders>
              <w:top w:val="single" w:sz="12" w:space="0" w:color="auto"/>
            </w:tcBorders>
            <w:shd w:val="clear" w:color="auto" w:fill="auto"/>
            <w:vAlign w:val="bottom"/>
          </w:tcPr>
          <w:p w:rsidR="00224799" w:rsidRPr="00224799" w:rsidRDefault="00224799" w:rsidP="00224799">
            <w:pPr>
              <w:suppressAutoHyphens/>
              <w:spacing w:before="40" w:after="40" w:line="210" w:lineRule="exact"/>
              <w:ind w:right="43"/>
              <w:jc w:val="right"/>
              <w:rPr>
                <w:sz w:val="14"/>
                <w:szCs w:val="14"/>
              </w:rPr>
            </w:pPr>
          </w:p>
        </w:tc>
        <w:tc>
          <w:tcPr>
            <w:tcW w:w="1370" w:type="dxa"/>
            <w:tcBorders>
              <w:top w:val="single" w:sz="12" w:space="0" w:color="auto"/>
            </w:tcBorders>
            <w:shd w:val="clear" w:color="auto" w:fill="auto"/>
            <w:vAlign w:val="bottom"/>
          </w:tcPr>
          <w:p w:rsidR="00224799" w:rsidRPr="00224799" w:rsidRDefault="00224799" w:rsidP="00224799">
            <w:pPr>
              <w:suppressAutoHyphens/>
              <w:spacing w:before="40" w:after="40" w:line="210" w:lineRule="exact"/>
              <w:ind w:right="43"/>
              <w:jc w:val="right"/>
              <w:rPr>
                <w:sz w:val="14"/>
                <w:szCs w:val="14"/>
              </w:rPr>
            </w:pPr>
          </w:p>
        </w:tc>
        <w:tc>
          <w:tcPr>
            <w:tcW w:w="1620" w:type="dxa"/>
            <w:tcBorders>
              <w:top w:val="single" w:sz="12" w:space="0" w:color="auto"/>
            </w:tcBorders>
            <w:shd w:val="clear" w:color="auto" w:fill="auto"/>
            <w:vAlign w:val="bottom"/>
          </w:tcPr>
          <w:p w:rsidR="00224799" w:rsidRPr="00224799" w:rsidRDefault="00224799" w:rsidP="00224799">
            <w:pPr>
              <w:suppressAutoHyphens/>
              <w:spacing w:before="40" w:after="40" w:line="210" w:lineRule="exact"/>
              <w:ind w:right="43"/>
              <w:jc w:val="right"/>
              <w:rPr>
                <w:sz w:val="14"/>
                <w:szCs w:val="14"/>
              </w:rPr>
            </w:pPr>
          </w:p>
        </w:tc>
        <w:tc>
          <w:tcPr>
            <w:tcW w:w="1277" w:type="dxa"/>
            <w:tcBorders>
              <w:top w:val="single" w:sz="12" w:space="0" w:color="auto"/>
            </w:tcBorders>
            <w:shd w:val="clear" w:color="auto" w:fill="auto"/>
            <w:vAlign w:val="bottom"/>
          </w:tcPr>
          <w:p w:rsidR="00224799" w:rsidRPr="00224799" w:rsidRDefault="00224799" w:rsidP="00224799">
            <w:pPr>
              <w:suppressAutoHyphens/>
              <w:spacing w:before="40" w:after="40" w:line="210" w:lineRule="exact"/>
              <w:ind w:right="43"/>
              <w:jc w:val="right"/>
              <w:rPr>
                <w:sz w:val="14"/>
                <w:szCs w:val="14"/>
              </w:rPr>
            </w:pPr>
          </w:p>
        </w:tc>
        <w:tc>
          <w:tcPr>
            <w:tcW w:w="1423" w:type="dxa"/>
            <w:tcBorders>
              <w:top w:val="single" w:sz="12" w:space="0" w:color="auto"/>
            </w:tcBorders>
            <w:shd w:val="clear" w:color="auto" w:fill="auto"/>
            <w:vAlign w:val="bottom"/>
          </w:tcPr>
          <w:p w:rsidR="00224799" w:rsidRPr="00224799" w:rsidRDefault="00224799" w:rsidP="00224799">
            <w:pPr>
              <w:suppressAutoHyphens/>
              <w:spacing w:before="40" w:after="40" w:line="210" w:lineRule="exact"/>
              <w:ind w:right="43"/>
              <w:jc w:val="right"/>
              <w:rPr>
                <w:sz w:val="14"/>
                <w:szCs w:val="14"/>
              </w:rPr>
            </w:pPr>
          </w:p>
        </w:tc>
      </w:tr>
      <w:tr w:rsidR="0073290F" w:rsidRPr="00224799">
        <w:tblPrEx>
          <w:tblCellMar>
            <w:top w:w="0" w:type="dxa"/>
            <w:bottom w:w="0" w:type="dxa"/>
          </w:tblCellMar>
        </w:tblPrEx>
        <w:trPr>
          <w:cantSplit/>
        </w:trPr>
        <w:tc>
          <w:tcPr>
            <w:tcW w:w="1186"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2000/01</w:t>
            </w:r>
          </w:p>
        </w:tc>
        <w:tc>
          <w:tcPr>
            <w:tcW w:w="1514"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180.390</w:t>
            </w:r>
          </w:p>
        </w:tc>
        <w:tc>
          <w:tcPr>
            <w:tcW w:w="133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88.470</w:t>
            </w:r>
          </w:p>
        </w:tc>
        <w:tc>
          <w:tcPr>
            <w:tcW w:w="13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49,0</w:t>
            </w:r>
          </w:p>
        </w:tc>
        <w:tc>
          <w:tcPr>
            <w:tcW w:w="162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104.840</w:t>
            </w:r>
          </w:p>
        </w:tc>
        <w:tc>
          <w:tcPr>
            <w:tcW w:w="1277"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52.031</w:t>
            </w:r>
          </w:p>
        </w:tc>
        <w:tc>
          <w:tcPr>
            <w:tcW w:w="1423"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49,6</w:t>
            </w:r>
          </w:p>
        </w:tc>
      </w:tr>
      <w:tr w:rsidR="0073290F" w:rsidRPr="00224799">
        <w:tblPrEx>
          <w:tblCellMar>
            <w:top w:w="0" w:type="dxa"/>
            <w:bottom w:w="0" w:type="dxa"/>
          </w:tblCellMar>
        </w:tblPrEx>
        <w:trPr>
          <w:cantSplit/>
        </w:trPr>
        <w:tc>
          <w:tcPr>
            <w:tcW w:w="1186"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2001/02</w:t>
            </w:r>
          </w:p>
        </w:tc>
        <w:tc>
          <w:tcPr>
            <w:tcW w:w="1514"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178.345</w:t>
            </w:r>
          </w:p>
        </w:tc>
        <w:tc>
          <w:tcPr>
            <w:tcW w:w="133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86.943</w:t>
            </w:r>
          </w:p>
        </w:tc>
        <w:tc>
          <w:tcPr>
            <w:tcW w:w="13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48,7</w:t>
            </w:r>
          </w:p>
        </w:tc>
        <w:tc>
          <w:tcPr>
            <w:tcW w:w="162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103.528</w:t>
            </w:r>
          </w:p>
        </w:tc>
        <w:tc>
          <w:tcPr>
            <w:tcW w:w="1277"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51.368</w:t>
            </w:r>
          </w:p>
        </w:tc>
        <w:tc>
          <w:tcPr>
            <w:tcW w:w="1423"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49,6</w:t>
            </w:r>
          </w:p>
        </w:tc>
      </w:tr>
      <w:tr w:rsidR="0073290F" w:rsidRPr="00224799">
        <w:tblPrEx>
          <w:tblCellMar>
            <w:top w:w="0" w:type="dxa"/>
            <w:bottom w:w="0" w:type="dxa"/>
          </w:tblCellMar>
        </w:tblPrEx>
        <w:trPr>
          <w:cantSplit/>
        </w:trPr>
        <w:tc>
          <w:tcPr>
            <w:tcW w:w="1186"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2002/03</w:t>
            </w:r>
          </w:p>
        </w:tc>
        <w:tc>
          <w:tcPr>
            <w:tcW w:w="1514"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175.211</w:t>
            </w:r>
          </w:p>
        </w:tc>
        <w:tc>
          <w:tcPr>
            <w:tcW w:w="133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85.365</w:t>
            </w:r>
          </w:p>
        </w:tc>
        <w:tc>
          <w:tcPr>
            <w:tcW w:w="13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48,7</w:t>
            </w:r>
          </w:p>
        </w:tc>
        <w:tc>
          <w:tcPr>
            <w:tcW w:w="162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103.538</w:t>
            </w:r>
          </w:p>
        </w:tc>
        <w:tc>
          <w:tcPr>
            <w:tcW w:w="1277"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51.342</w:t>
            </w:r>
          </w:p>
        </w:tc>
        <w:tc>
          <w:tcPr>
            <w:tcW w:w="1423"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49,6</w:t>
            </w:r>
          </w:p>
        </w:tc>
      </w:tr>
      <w:tr w:rsidR="0073290F" w:rsidRPr="00224799">
        <w:tblPrEx>
          <w:tblCellMar>
            <w:top w:w="0" w:type="dxa"/>
            <w:bottom w:w="0" w:type="dxa"/>
          </w:tblCellMar>
        </w:tblPrEx>
        <w:trPr>
          <w:cantSplit/>
        </w:trPr>
        <w:tc>
          <w:tcPr>
            <w:tcW w:w="1186" w:type="dxa"/>
            <w:tcBorders>
              <w:bottom w:val="single" w:sz="12" w:space="0" w:color="auto"/>
            </w:tcBorders>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 xml:space="preserve">2003/04 </w:t>
            </w:r>
          </w:p>
        </w:tc>
        <w:tc>
          <w:tcPr>
            <w:tcW w:w="1514" w:type="dxa"/>
            <w:tcBorders>
              <w:bottom w:val="single" w:sz="12" w:space="0" w:color="auto"/>
            </w:tcBorders>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177.535</w:t>
            </w:r>
          </w:p>
        </w:tc>
        <w:tc>
          <w:tcPr>
            <w:tcW w:w="1330" w:type="dxa"/>
            <w:tcBorders>
              <w:bottom w:val="single" w:sz="12" w:space="0" w:color="auto"/>
            </w:tcBorders>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86.310</w:t>
            </w:r>
          </w:p>
        </w:tc>
        <w:tc>
          <w:tcPr>
            <w:tcW w:w="1370" w:type="dxa"/>
            <w:tcBorders>
              <w:bottom w:val="single" w:sz="12" w:space="0" w:color="auto"/>
            </w:tcBorders>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48,6</w:t>
            </w:r>
          </w:p>
        </w:tc>
        <w:tc>
          <w:tcPr>
            <w:tcW w:w="1620" w:type="dxa"/>
            <w:tcBorders>
              <w:bottom w:val="single" w:sz="12" w:space="0" w:color="auto"/>
            </w:tcBorders>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103.203</w:t>
            </w:r>
          </w:p>
        </w:tc>
        <w:tc>
          <w:tcPr>
            <w:tcW w:w="1277" w:type="dxa"/>
            <w:tcBorders>
              <w:bottom w:val="single" w:sz="12" w:space="0" w:color="auto"/>
            </w:tcBorders>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50.964</w:t>
            </w:r>
          </w:p>
        </w:tc>
        <w:tc>
          <w:tcPr>
            <w:tcW w:w="1423" w:type="dxa"/>
            <w:tcBorders>
              <w:bottom w:val="single" w:sz="12" w:space="0" w:color="auto"/>
            </w:tcBorders>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49,4</w:t>
            </w:r>
          </w:p>
        </w:tc>
      </w:tr>
    </w:tbl>
    <w:p w:rsidR="00224799" w:rsidRPr="00224799" w:rsidRDefault="00224799" w:rsidP="00224799">
      <w:pPr>
        <w:pStyle w:val="BodyText"/>
        <w:spacing w:line="120" w:lineRule="exact"/>
        <w:jc w:val="both"/>
        <w:rPr>
          <w:b w:val="0"/>
          <w:bCs/>
          <w:sz w:val="10"/>
          <w:lang w:val="fr-FR"/>
        </w:rPr>
      </w:pPr>
    </w:p>
    <w:p w:rsidR="0073290F" w:rsidRPr="00E07F02" w:rsidRDefault="0073290F" w:rsidP="00224799">
      <w:pPr>
        <w:pStyle w:val="BodyText"/>
        <w:jc w:val="both"/>
        <w:rPr>
          <w:b w:val="0"/>
          <w:bCs/>
          <w:sz w:val="24"/>
          <w:szCs w:val="24"/>
          <w:lang w:val="fr-FR"/>
        </w:rPr>
      </w:pPr>
      <w:r w:rsidRPr="00224799">
        <w:rPr>
          <w:b w:val="0"/>
          <w:bCs/>
          <w:i/>
          <w:sz w:val="17"/>
          <w:szCs w:val="17"/>
          <w:lang w:val="fr-FR"/>
        </w:rPr>
        <w:t>Source</w:t>
      </w:r>
      <w:r w:rsidRPr="00224799">
        <w:rPr>
          <w:b w:val="0"/>
          <w:bCs/>
          <w:sz w:val="17"/>
          <w:szCs w:val="17"/>
          <w:lang w:val="fr-FR"/>
        </w:rPr>
        <w:t>: “Rapports Rapid” Nos 57/2002, 270/2002, 97/2003, 9/2004, 66/2004 et Annuaire statistique</w:t>
      </w:r>
      <w:r w:rsidRPr="00224799">
        <w:rPr>
          <w:b w:val="0"/>
          <w:bCs/>
          <w:color w:val="000000"/>
          <w:sz w:val="17"/>
          <w:szCs w:val="17"/>
          <w:lang w:val="fr-FR"/>
        </w:rPr>
        <w:t xml:space="preserve"> 2004, Institut de la Statistique de la République de Slovénie</w:t>
      </w:r>
      <w:r w:rsidRPr="00E07F02">
        <w:rPr>
          <w:b w:val="0"/>
          <w:bCs/>
          <w:color w:val="000000"/>
          <w:sz w:val="24"/>
          <w:szCs w:val="24"/>
          <w:lang w:val="fr-FR"/>
        </w:rPr>
        <w:t>.</w:t>
      </w:r>
    </w:p>
    <w:p w:rsidR="00FB684D" w:rsidRPr="00FB684D" w:rsidRDefault="00FB684D" w:rsidP="00FB684D">
      <w:pPr>
        <w:pStyle w:val="BodyText"/>
        <w:spacing w:line="120" w:lineRule="exact"/>
        <w:jc w:val="both"/>
        <w:rPr>
          <w:b w:val="0"/>
          <w:bCs/>
          <w:sz w:val="10"/>
          <w:szCs w:val="24"/>
          <w:lang w:val="fr-FR"/>
        </w:rPr>
      </w:pPr>
    </w:p>
    <w:p w:rsidR="0073290F" w:rsidRDefault="0073290F" w:rsidP="00224799">
      <w:pPr>
        <w:pStyle w:val="SingleTxt"/>
        <w:jc w:val="left"/>
        <w:rPr>
          <w:b/>
          <w:lang w:val="fr-FR"/>
        </w:rPr>
      </w:pPr>
      <w:r w:rsidRPr="00E07F02">
        <w:rPr>
          <w:lang w:val="fr-FR"/>
        </w:rPr>
        <w:t>Tableau 22</w:t>
      </w:r>
      <w:r w:rsidR="00224799">
        <w:rPr>
          <w:lang w:val="fr-FR"/>
        </w:rPr>
        <w:br/>
        <w:t>É</w:t>
      </w:r>
      <w:r w:rsidRPr="00224799">
        <w:rPr>
          <w:b/>
          <w:lang w:val="fr-FR"/>
        </w:rPr>
        <w:t>tablissements d’enseignement secondaire (Lycées) – nombre d’élèves par filière et discipline à la fin de l’année scolaire 2000/2001 et lors de l’année scolaire 2003/2004</w:t>
      </w:r>
    </w:p>
    <w:p w:rsidR="00224799" w:rsidRPr="00224799" w:rsidRDefault="00224799" w:rsidP="00224799">
      <w:pPr>
        <w:pStyle w:val="SingleTxt"/>
        <w:spacing w:after="0" w:line="120" w:lineRule="exact"/>
        <w:jc w:val="left"/>
        <w:rPr>
          <w:b/>
          <w:sz w:val="10"/>
          <w:lang w:val="fr-FR"/>
        </w:rPr>
      </w:pPr>
    </w:p>
    <w:tbl>
      <w:tblPr>
        <w:tblW w:w="9637" w:type="dxa"/>
        <w:tblInd w:w="160" w:type="dxa"/>
        <w:tblLayout w:type="fixed"/>
        <w:tblCellMar>
          <w:left w:w="70" w:type="dxa"/>
          <w:right w:w="70" w:type="dxa"/>
        </w:tblCellMar>
        <w:tblLook w:val="0000" w:firstRow="0" w:lastRow="0" w:firstColumn="0" w:lastColumn="0" w:noHBand="0" w:noVBand="0"/>
      </w:tblPr>
      <w:tblGrid>
        <w:gridCol w:w="2970"/>
        <w:gridCol w:w="1111"/>
        <w:gridCol w:w="1111"/>
        <w:gridCol w:w="1111"/>
        <w:gridCol w:w="1111"/>
        <w:gridCol w:w="1111"/>
        <w:gridCol w:w="1112"/>
      </w:tblGrid>
      <w:tr w:rsidR="00FB684D" w:rsidRPr="00224799">
        <w:tblPrEx>
          <w:tblCellMar>
            <w:top w:w="0" w:type="dxa"/>
            <w:bottom w:w="0" w:type="dxa"/>
          </w:tblCellMar>
        </w:tblPrEx>
        <w:trPr>
          <w:cantSplit/>
          <w:tblHeader/>
        </w:trPr>
        <w:tc>
          <w:tcPr>
            <w:tcW w:w="2970" w:type="dxa"/>
            <w:tcBorders>
              <w:top w:val="single" w:sz="4" w:space="0" w:color="auto"/>
            </w:tcBorders>
            <w:shd w:val="clear" w:color="auto" w:fill="auto"/>
            <w:vAlign w:val="bottom"/>
          </w:tcPr>
          <w:p w:rsidR="00FB684D" w:rsidRPr="00224799" w:rsidRDefault="00FB684D" w:rsidP="00224799">
            <w:pPr>
              <w:suppressAutoHyphens/>
              <w:spacing w:before="80" w:after="80" w:line="160" w:lineRule="exact"/>
              <w:ind w:right="43"/>
              <w:rPr>
                <w:bCs/>
                <w:i/>
                <w:sz w:val="14"/>
              </w:rPr>
            </w:pPr>
          </w:p>
        </w:tc>
        <w:tc>
          <w:tcPr>
            <w:tcW w:w="3333" w:type="dxa"/>
            <w:gridSpan w:val="3"/>
            <w:tcBorders>
              <w:top w:val="single" w:sz="4" w:space="0" w:color="auto"/>
              <w:bottom w:val="single" w:sz="4" w:space="0" w:color="auto"/>
            </w:tcBorders>
            <w:shd w:val="clear" w:color="auto" w:fill="auto"/>
            <w:vAlign w:val="bottom"/>
          </w:tcPr>
          <w:p w:rsidR="00FB684D" w:rsidRPr="00224799" w:rsidRDefault="00FB684D" w:rsidP="00FB684D">
            <w:pPr>
              <w:suppressAutoHyphens/>
              <w:spacing w:before="80" w:after="80" w:line="160" w:lineRule="exact"/>
              <w:ind w:right="43"/>
              <w:jc w:val="center"/>
              <w:rPr>
                <w:bCs/>
                <w:i/>
                <w:sz w:val="14"/>
              </w:rPr>
            </w:pPr>
            <w:r>
              <w:rPr>
                <w:bCs/>
                <w:i/>
                <w:sz w:val="14"/>
              </w:rPr>
              <w:t>2000/2001</w:t>
            </w:r>
          </w:p>
        </w:tc>
        <w:tc>
          <w:tcPr>
            <w:tcW w:w="3334" w:type="dxa"/>
            <w:gridSpan w:val="3"/>
            <w:tcBorders>
              <w:top w:val="single" w:sz="4" w:space="0" w:color="auto"/>
              <w:bottom w:val="single" w:sz="4" w:space="0" w:color="auto"/>
            </w:tcBorders>
            <w:shd w:val="clear" w:color="auto" w:fill="auto"/>
            <w:vAlign w:val="bottom"/>
          </w:tcPr>
          <w:p w:rsidR="00FB684D" w:rsidRPr="00224799" w:rsidRDefault="00FB684D" w:rsidP="00FB684D">
            <w:pPr>
              <w:suppressAutoHyphens/>
              <w:spacing w:before="80" w:after="80" w:line="160" w:lineRule="exact"/>
              <w:ind w:right="43"/>
              <w:jc w:val="center"/>
              <w:rPr>
                <w:bCs/>
                <w:i/>
                <w:sz w:val="14"/>
              </w:rPr>
            </w:pPr>
            <w:r>
              <w:rPr>
                <w:bCs/>
                <w:i/>
                <w:sz w:val="14"/>
              </w:rPr>
              <w:t>2003/2004</w:t>
            </w:r>
          </w:p>
        </w:tc>
      </w:tr>
      <w:tr w:rsidR="00FB684D" w:rsidRPr="00224799">
        <w:tblPrEx>
          <w:tblCellMar>
            <w:top w:w="0" w:type="dxa"/>
            <w:bottom w:w="0" w:type="dxa"/>
          </w:tblCellMar>
        </w:tblPrEx>
        <w:trPr>
          <w:cantSplit/>
          <w:tblHeader/>
        </w:trPr>
        <w:tc>
          <w:tcPr>
            <w:tcW w:w="2970" w:type="dxa"/>
            <w:tcBorders>
              <w:bottom w:val="single" w:sz="12" w:space="0" w:color="auto"/>
            </w:tcBorders>
            <w:shd w:val="clear" w:color="auto" w:fill="auto"/>
            <w:vAlign w:val="bottom"/>
          </w:tcPr>
          <w:p w:rsidR="00FB684D" w:rsidRPr="00224799" w:rsidRDefault="00FB684D" w:rsidP="00224799">
            <w:pPr>
              <w:suppressAutoHyphens/>
              <w:spacing w:before="80" w:after="80" w:line="160" w:lineRule="exact"/>
              <w:ind w:right="43"/>
              <w:rPr>
                <w:bCs/>
                <w:i/>
                <w:sz w:val="14"/>
              </w:rPr>
            </w:pPr>
          </w:p>
        </w:tc>
        <w:tc>
          <w:tcPr>
            <w:tcW w:w="1111" w:type="dxa"/>
            <w:tcBorders>
              <w:top w:val="single" w:sz="4" w:space="0" w:color="auto"/>
              <w:bottom w:val="single" w:sz="12" w:space="0" w:color="auto"/>
            </w:tcBorders>
            <w:shd w:val="clear" w:color="auto" w:fill="auto"/>
            <w:vAlign w:val="bottom"/>
          </w:tcPr>
          <w:p w:rsidR="00FB684D" w:rsidRPr="00FB684D" w:rsidRDefault="00FB684D" w:rsidP="00FB684D">
            <w:pPr>
              <w:spacing w:line="240" w:lineRule="auto"/>
              <w:jc w:val="right"/>
              <w:rPr>
                <w:i/>
                <w:sz w:val="14"/>
                <w:szCs w:val="14"/>
              </w:rPr>
            </w:pPr>
            <w:r w:rsidRPr="00FB684D">
              <w:rPr>
                <w:i/>
                <w:sz w:val="14"/>
                <w:szCs w:val="14"/>
              </w:rPr>
              <w:t>Nombre</w:t>
            </w:r>
            <w:r>
              <w:rPr>
                <w:i/>
                <w:sz w:val="14"/>
                <w:szCs w:val="14"/>
              </w:rPr>
              <w:t xml:space="preserve"> </w:t>
            </w:r>
            <w:r w:rsidRPr="00FB684D">
              <w:rPr>
                <w:i/>
                <w:sz w:val="14"/>
                <w:szCs w:val="14"/>
              </w:rPr>
              <w:t>total d’élèves</w:t>
            </w:r>
          </w:p>
        </w:tc>
        <w:tc>
          <w:tcPr>
            <w:tcW w:w="1111" w:type="dxa"/>
            <w:tcBorders>
              <w:top w:val="single" w:sz="4" w:space="0" w:color="auto"/>
              <w:bottom w:val="single" w:sz="12" w:space="0" w:color="auto"/>
            </w:tcBorders>
            <w:shd w:val="clear" w:color="auto" w:fill="auto"/>
            <w:vAlign w:val="bottom"/>
          </w:tcPr>
          <w:p w:rsidR="00FB684D" w:rsidRPr="00FB684D" w:rsidRDefault="00FB684D" w:rsidP="00FB684D">
            <w:pPr>
              <w:spacing w:line="240" w:lineRule="auto"/>
              <w:jc w:val="right"/>
              <w:rPr>
                <w:i/>
                <w:sz w:val="14"/>
                <w:szCs w:val="14"/>
              </w:rPr>
            </w:pPr>
            <w:r w:rsidRPr="00FB684D">
              <w:rPr>
                <w:i/>
                <w:sz w:val="14"/>
                <w:szCs w:val="14"/>
              </w:rPr>
              <w:t>Nombre de filles</w:t>
            </w:r>
          </w:p>
        </w:tc>
        <w:tc>
          <w:tcPr>
            <w:tcW w:w="1111" w:type="dxa"/>
            <w:tcBorders>
              <w:top w:val="single" w:sz="4" w:space="0" w:color="auto"/>
              <w:bottom w:val="single" w:sz="12" w:space="0" w:color="auto"/>
            </w:tcBorders>
            <w:shd w:val="clear" w:color="auto" w:fill="auto"/>
            <w:vAlign w:val="bottom"/>
          </w:tcPr>
          <w:p w:rsidR="00FB684D" w:rsidRPr="00FB684D" w:rsidRDefault="00FB684D" w:rsidP="00FB684D">
            <w:pPr>
              <w:spacing w:line="240" w:lineRule="auto"/>
              <w:jc w:val="right"/>
              <w:rPr>
                <w:i/>
                <w:sz w:val="14"/>
                <w:szCs w:val="14"/>
              </w:rPr>
            </w:pPr>
            <w:r w:rsidRPr="00FB684D">
              <w:rPr>
                <w:i/>
                <w:sz w:val="14"/>
                <w:szCs w:val="14"/>
              </w:rPr>
              <w:t>% de filles</w:t>
            </w:r>
          </w:p>
        </w:tc>
        <w:tc>
          <w:tcPr>
            <w:tcW w:w="1111" w:type="dxa"/>
            <w:tcBorders>
              <w:top w:val="single" w:sz="4" w:space="0" w:color="auto"/>
              <w:bottom w:val="single" w:sz="12" w:space="0" w:color="auto"/>
            </w:tcBorders>
            <w:shd w:val="clear" w:color="auto" w:fill="auto"/>
            <w:vAlign w:val="bottom"/>
          </w:tcPr>
          <w:p w:rsidR="00FB684D" w:rsidRPr="00FB684D" w:rsidRDefault="00FB684D" w:rsidP="00FB684D">
            <w:pPr>
              <w:spacing w:line="240" w:lineRule="auto"/>
              <w:jc w:val="right"/>
              <w:rPr>
                <w:i/>
                <w:sz w:val="14"/>
                <w:szCs w:val="14"/>
              </w:rPr>
            </w:pPr>
            <w:r w:rsidRPr="00FB684D">
              <w:rPr>
                <w:i/>
                <w:sz w:val="14"/>
                <w:szCs w:val="14"/>
              </w:rPr>
              <w:t>Nombre total d’élèves</w:t>
            </w:r>
          </w:p>
        </w:tc>
        <w:tc>
          <w:tcPr>
            <w:tcW w:w="1111" w:type="dxa"/>
            <w:tcBorders>
              <w:top w:val="single" w:sz="4" w:space="0" w:color="auto"/>
              <w:bottom w:val="single" w:sz="12" w:space="0" w:color="auto"/>
            </w:tcBorders>
            <w:shd w:val="clear" w:color="auto" w:fill="auto"/>
            <w:vAlign w:val="bottom"/>
          </w:tcPr>
          <w:p w:rsidR="00FB684D" w:rsidRPr="00FB684D" w:rsidRDefault="00FB684D" w:rsidP="00FB684D">
            <w:pPr>
              <w:spacing w:line="240" w:lineRule="auto"/>
              <w:jc w:val="right"/>
              <w:rPr>
                <w:i/>
                <w:sz w:val="14"/>
                <w:szCs w:val="14"/>
              </w:rPr>
            </w:pPr>
            <w:r w:rsidRPr="00FB684D">
              <w:rPr>
                <w:i/>
                <w:sz w:val="14"/>
                <w:szCs w:val="14"/>
              </w:rPr>
              <w:t>Nombre de filles</w:t>
            </w:r>
          </w:p>
        </w:tc>
        <w:tc>
          <w:tcPr>
            <w:tcW w:w="1112" w:type="dxa"/>
            <w:tcBorders>
              <w:top w:val="single" w:sz="4" w:space="0" w:color="auto"/>
              <w:bottom w:val="single" w:sz="12" w:space="0" w:color="auto"/>
            </w:tcBorders>
            <w:shd w:val="clear" w:color="auto" w:fill="auto"/>
            <w:vAlign w:val="bottom"/>
          </w:tcPr>
          <w:p w:rsidR="00FB684D" w:rsidRPr="00FB684D" w:rsidRDefault="00FB684D" w:rsidP="00FB684D">
            <w:pPr>
              <w:spacing w:line="240" w:lineRule="auto"/>
              <w:jc w:val="right"/>
              <w:rPr>
                <w:i/>
                <w:sz w:val="14"/>
                <w:szCs w:val="14"/>
              </w:rPr>
            </w:pPr>
            <w:r w:rsidRPr="00FB684D">
              <w:rPr>
                <w:i/>
                <w:sz w:val="14"/>
                <w:szCs w:val="14"/>
              </w:rPr>
              <w:t>% de filles</w:t>
            </w:r>
          </w:p>
        </w:tc>
      </w:tr>
      <w:tr w:rsidR="00224799" w:rsidRPr="00224799">
        <w:tblPrEx>
          <w:tblCellMar>
            <w:top w:w="0" w:type="dxa"/>
            <w:bottom w:w="0" w:type="dxa"/>
          </w:tblCellMar>
        </w:tblPrEx>
        <w:trPr>
          <w:cantSplit/>
          <w:trHeight w:hRule="exact" w:val="115"/>
          <w:tblHeader/>
        </w:trPr>
        <w:tc>
          <w:tcPr>
            <w:tcW w:w="2970" w:type="dxa"/>
            <w:tcBorders>
              <w:top w:val="single" w:sz="12" w:space="0" w:color="auto"/>
            </w:tcBorders>
            <w:shd w:val="clear" w:color="auto" w:fill="auto"/>
            <w:vAlign w:val="bottom"/>
          </w:tcPr>
          <w:p w:rsidR="00224799" w:rsidRPr="00224799" w:rsidRDefault="00224799" w:rsidP="00224799">
            <w:pPr>
              <w:suppressAutoHyphens/>
              <w:spacing w:before="40" w:after="40" w:line="210" w:lineRule="exact"/>
              <w:ind w:right="43"/>
              <w:rPr>
                <w:bCs/>
                <w:sz w:val="17"/>
              </w:rPr>
            </w:pPr>
          </w:p>
        </w:tc>
        <w:tc>
          <w:tcPr>
            <w:tcW w:w="1111" w:type="dxa"/>
            <w:tcBorders>
              <w:top w:val="single" w:sz="12" w:space="0" w:color="auto"/>
            </w:tcBorders>
            <w:shd w:val="clear" w:color="auto" w:fill="auto"/>
            <w:vAlign w:val="bottom"/>
          </w:tcPr>
          <w:p w:rsidR="00224799" w:rsidRPr="00224799" w:rsidRDefault="00224799" w:rsidP="00224799">
            <w:pPr>
              <w:suppressAutoHyphens/>
              <w:spacing w:before="40" w:after="40" w:line="210" w:lineRule="exact"/>
              <w:ind w:right="43"/>
              <w:jc w:val="right"/>
              <w:rPr>
                <w:bCs/>
                <w:sz w:val="17"/>
              </w:rPr>
            </w:pPr>
          </w:p>
        </w:tc>
        <w:tc>
          <w:tcPr>
            <w:tcW w:w="1111" w:type="dxa"/>
            <w:tcBorders>
              <w:top w:val="single" w:sz="12" w:space="0" w:color="auto"/>
            </w:tcBorders>
            <w:shd w:val="clear" w:color="auto" w:fill="auto"/>
            <w:vAlign w:val="bottom"/>
          </w:tcPr>
          <w:p w:rsidR="00224799" w:rsidRPr="00224799" w:rsidRDefault="00224799" w:rsidP="00224799">
            <w:pPr>
              <w:suppressAutoHyphens/>
              <w:spacing w:before="40" w:after="40" w:line="210" w:lineRule="exact"/>
              <w:ind w:right="43"/>
              <w:jc w:val="right"/>
              <w:rPr>
                <w:bCs/>
                <w:sz w:val="17"/>
              </w:rPr>
            </w:pPr>
          </w:p>
        </w:tc>
        <w:tc>
          <w:tcPr>
            <w:tcW w:w="1111" w:type="dxa"/>
            <w:tcBorders>
              <w:top w:val="single" w:sz="12" w:space="0" w:color="auto"/>
            </w:tcBorders>
            <w:shd w:val="clear" w:color="auto" w:fill="auto"/>
            <w:vAlign w:val="bottom"/>
          </w:tcPr>
          <w:p w:rsidR="00224799" w:rsidRPr="00224799" w:rsidRDefault="00224799" w:rsidP="00224799">
            <w:pPr>
              <w:suppressAutoHyphens/>
              <w:spacing w:before="40" w:after="40" w:line="210" w:lineRule="exact"/>
              <w:ind w:right="43"/>
              <w:jc w:val="right"/>
              <w:rPr>
                <w:bCs/>
                <w:sz w:val="17"/>
              </w:rPr>
            </w:pPr>
          </w:p>
        </w:tc>
        <w:tc>
          <w:tcPr>
            <w:tcW w:w="1111" w:type="dxa"/>
            <w:tcBorders>
              <w:top w:val="single" w:sz="12" w:space="0" w:color="auto"/>
            </w:tcBorders>
            <w:shd w:val="clear" w:color="auto" w:fill="auto"/>
            <w:vAlign w:val="bottom"/>
          </w:tcPr>
          <w:p w:rsidR="00224799" w:rsidRPr="00224799" w:rsidRDefault="00224799" w:rsidP="00224799">
            <w:pPr>
              <w:suppressAutoHyphens/>
              <w:spacing w:before="40" w:after="40" w:line="210" w:lineRule="exact"/>
              <w:ind w:right="43"/>
              <w:jc w:val="right"/>
              <w:rPr>
                <w:bCs/>
                <w:sz w:val="17"/>
              </w:rPr>
            </w:pPr>
          </w:p>
        </w:tc>
        <w:tc>
          <w:tcPr>
            <w:tcW w:w="1111" w:type="dxa"/>
            <w:tcBorders>
              <w:top w:val="single" w:sz="12" w:space="0" w:color="auto"/>
            </w:tcBorders>
            <w:shd w:val="clear" w:color="auto" w:fill="auto"/>
            <w:vAlign w:val="bottom"/>
          </w:tcPr>
          <w:p w:rsidR="00224799" w:rsidRPr="00224799" w:rsidRDefault="00224799" w:rsidP="00224799">
            <w:pPr>
              <w:suppressAutoHyphens/>
              <w:spacing w:before="40" w:after="40" w:line="210" w:lineRule="exact"/>
              <w:ind w:right="43"/>
              <w:jc w:val="right"/>
              <w:rPr>
                <w:bCs/>
                <w:sz w:val="17"/>
              </w:rPr>
            </w:pPr>
          </w:p>
        </w:tc>
        <w:tc>
          <w:tcPr>
            <w:tcW w:w="1112" w:type="dxa"/>
            <w:tcBorders>
              <w:top w:val="single" w:sz="12" w:space="0" w:color="auto"/>
            </w:tcBorders>
            <w:shd w:val="clear" w:color="auto" w:fill="auto"/>
            <w:vAlign w:val="bottom"/>
          </w:tcPr>
          <w:p w:rsidR="00224799" w:rsidRPr="00224799" w:rsidRDefault="00224799" w:rsidP="00224799">
            <w:pPr>
              <w:suppressAutoHyphens/>
              <w:spacing w:before="40" w:after="40" w:line="210" w:lineRule="exact"/>
              <w:ind w:right="43"/>
              <w:jc w:val="right"/>
              <w:rPr>
                <w:bCs/>
                <w:sz w:val="17"/>
              </w:rPr>
            </w:pPr>
          </w:p>
        </w:tc>
      </w:tr>
      <w:tr w:rsidR="0073290F" w:rsidRPr="00224799">
        <w:tblPrEx>
          <w:tblCellMar>
            <w:top w:w="0" w:type="dxa"/>
            <w:bottom w:w="0" w:type="dxa"/>
          </w:tblCellMar>
        </w:tblPrEx>
        <w:trPr>
          <w:cantSplit/>
        </w:trPr>
        <w:tc>
          <w:tcPr>
            <w:tcW w:w="2970" w:type="dxa"/>
            <w:shd w:val="clear" w:color="auto" w:fill="auto"/>
            <w:vAlign w:val="bottom"/>
          </w:tcPr>
          <w:p w:rsidR="0073290F" w:rsidRPr="00FB684D" w:rsidRDefault="0073290F" w:rsidP="00224799">
            <w:pPr>
              <w:tabs>
                <w:tab w:val="left" w:pos="288"/>
                <w:tab w:val="left" w:pos="576"/>
                <w:tab w:val="left" w:pos="864"/>
                <w:tab w:val="left" w:pos="1152"/>
              </w:tabs>
              <w:suppressAutoHyphens/>
              <w:spacing w:before="40" w:after="40" w:line="210" w:lineRule="exact"/>
              <w:ind w:right="43"/>
              <w:rPr>
                <w:b/>
                <w:bCs/>
                <w:sz w:val="17"/>
              </w:rPr>
            </w:pPr>
            <w:r w:rsidRPr="00FB684D">
              <w:rPr>
                <w:b/>
                <w:bCs/>
                <w:sz w:val="17"/>
              </w:rPr>
              <w:t>Total</w:t>
            </w:r>
          </w:p>
        </w:tc>
        <w:tc>
          <w:tcPr>
            <w:tcW w:w="1111" w:type="dxa"/>
            <w:shd w:val="clear" w:color="auto" w:fill="auto"/>
            <w:vAlign w:val="bottom"/>
          </w:tcPr>
          <w:p w:rsidR="0073290F" w:rsidRPr="00FB684D" w:rsidRDefault="0073290F" w:rsidP="00224799">
            <w:pPr>
              <w:tabs>
                <w:tab w:val="left" w:pos="288"/>
                <w:tab w:val="left" w:pos="576"/>
                <w:tab w:val="left" w:pos="864"/>
                <w:tab w:val="left" w:pos="1152"/>
              </w:tabs>
              <w:suppressAutoHyphens/>
              <w:spacing w:before="40" w:after="40" w:line="210" w:lineRule="exact"/>
              <w:ind w:right="43"/>
              <w:jc w:val="right"/>
              <w:rPr>
                <w:b/>
                <w:bCs/>
                <w:sz w:val="17"/>
              </w:rPr>
            </w:pPr>
            <w:r w:rsidRPr="00FB684D">
              <w:rPr>
                <w:b/>
                <w:bCs/>
                <w:sz w:val="17"/>
              </w:rPr>
              <w:t>100.858</w:t>
            </w:r>
          </w:p>
        </w:tc>
        <w:tc>
          <w:tcPr>
            <w:tcW w:w="1111" w:type="dxa"/>
            <w:shd w:val="clear" w:color="auto" w:fill="auto"/>
            <w:vAlign w:val="bottom"/>
          </w:tcPr>
          <w:p w:rsidR="0073290F" w:rsidRPr="00FB684D" w:rsidRDefault="0073290F" w:rsidP="00224799">
            <w:pPr>
              <w:tabs>
                <w:tab w:val="left" w:pos="288"/>
                <w:tab w:val="left" w:pos="576"/>
                <w:tab w:val="left" w:pos="864"/>
                <w:tab w:val="left" w:pos="1152"/>
              </w:tabs>
              <w:suppressAutoHyphens/>
              <w:spacing w:before="40" w:after="40" w:line="210" w:lineRule="exact"/>
              <w:ind w:right="43"/>
              <w:jc w:val="right"/>
              <w:rPr>
                <w:b/>
                <w:bCs/>
                <w:sz w:val="17"/>
              </w:rPr>
            </w:pPr>
            <w:r w:rsidRPr="00FB684D">
              <w:rPr>
                <w:b/>
                <w:bCs/>
                <w:sz w:val="17"/>
              </w:rPr>
              <w:t>50.375</w:t>
            </w:r>
          </w:p>
        </w:tc>
        <w:tc>
          <w:tcPr>
            <w:tcW w:w="1111" w:type="dxa"/>
            <w:shd w:val="clear" w:color="auto" w:fill="auto"/>
            <w:vAlign w:val="bottom"/>
          </w:tcPr>
          <w:p w:rsidR="0073290F" w:rsidRPr="00FB684D" w:rsidRDefault="0073290F" w:rsidP="00224799">
            <w:pPr>
              <w:tabs>
                <w:tab w:val="left" w:pos="288"/>
                <w:tab w:val="left" w:pos="576"/>
                <w:tab w:val="left" w:pos="864"/>
                <w:tab w:val="left" w:pos="1152"/>
              </w:tabs>
              <w:suppressAutoHyphens/>
              <w:spacing w:before="40" w:after="40" w:line="210" w:lineRule="exact"/>
              <w:ind w:right="43"/>
              <w:jc w:val="right"/>
              <w:rPr>
                <w:b/>
                <w:bCs/>
                <w:sz w:val="17"/>
              </w:rPr>
            </w:pPr>
            <w:r w:rsidRPr="00FB684D">
              <w:rPr>
                <w:b/>
                <w:bCs/>
                <w:sz w:val="17"/>
              </w:rPr>
              <w:t>49,9</w:t>
            </w:r>
          </w:p>
        </w:tc>
        <w:tc>
          <w:tcPr>
            <w:tcW w:w="1111" w:type="dxa"/>
            <w:shd w:val="clear" w:color="auto" w:fill="auto"/>
            <w:vAlign w:val="bottom"/>
          </w:tcPr>
          <w:p w:rsidR="0073290F" w:rsidRPr="00FB684D" w:rsidRDefault="0073290F" w:rsidP="00224799">
            <w:pPr>
              <w:tabs>
                <w:tab w:val="left" w:pos="288"/>
                <w:tab w:val="left" w:pos="576"/>
                <w:tab w:val="left" w:pos="864"/>
                <w:tab w:val="left" w:pos="1152"/>
              </w:tabs>
              <w:suppressAutoHyphens/>
              <w:spacing w:before="40" w:after="40" w:line="210" w:lineRule="exact"/>
              <w:ind w:right="43"/>
              <w:jc w:val="right"/>
              <w:rPr>
                <w:b/>
                <w:bCs/>
                <w:sz w:val="17"/>
              </w:rPr>
            </w:pPr>
            <w:r w:rsidRPr="00FB684D">
              <w:rPr>
                <w:b/>
                <w:bCs/>
                <w:sz w:val="17"/>
              </w:rPr>
              <w:t>100.132</w:t>
            </w:r>
          </w:p>
        </w:tc>
        <w:tc>
          <w:tcPr>
            <w:tcW w:w="1111" w:type="dxa"/>
            <w:shd w:val="clear" w:color="auto" w:fill="auto"/>
            <w:vAlign w:val="bottom"/>
          </w:tcPr>
          <w:p w:rsidR="0073290F" w:rsidRPr="00FB684D" w:rsidRDefault="0073290F" w:rsidP="00224799">
            <w:pPr>
              <w:tabs>
                <w:tab w:val="left" w:pos="288"/>
                <w:tab w:val="left" w:pos="576"/>
                <w:tab w:val="left" w:pos="864"/>
                <w:tab w:val="left" w:pos="1152"/>
              </w:tabs>
              <w:suppressAutoHyphens/>
              <w:spacing w:before="40" w:after="40" w:line="210" w:lineRule="exact"/>
              <w:ind w:right="43"/>
              <w:jc w:val="right"/>
              <w:rPr>
                <w:b/>
                <w:bCs/>
                <w:sz w:val="17"/>
              </w:rPr>
            </w:pPr>
            <w:r w:rsidRPr="00FB684D">
              <w:rPr>
                <w:b/>
                <w:bCs/>
                <w:sz w:val="17"/>
              </w:rPr>
              <w:t>50.238</w:t>
            </w:r>
          </w:p>
        </w:tc>
        <w:tc>
          <w:tcPr>
            <w:tcW w:w="1112" w:type="dxa"/>
            <w:shd w:val="clear" w:color="auto" w:fill="auto"/>
            <w:vAlign w:val="bottom"/>
          </w:tcPr>
          <w:p w:rsidR="0073290F" w:rsidRPr="00FB684D" w:rsidRDefault="0073290F" w:rsidP="00224799">
            <w:pPr>
              <w:tabs>
                <w:tab w:val="left" w:pos="288"/>
                <w:tab w:val="left" w:pos="576"/>
                <w:tab w:val="left" w:pos="864"/>
                <w:tab w:val="left" w:pos="1152"/>
              </w:tabs>
              <w:suppressAutoHyphens/>
              <w:spacing w:before="40" w:after="40" w:line="210" w:lineRule="exact"/>
              <w:ind w:right="43"/>
              <w:jc w:val="right"/>
              <w:rPr>
                <w:b/>
                <w:bCs/>
                <w:sz w:val="17"/>
              </w:rPr>
            </w:pPr>
            <w:r w:rsidRPr="00FB684D">
              <w:rPr>
                <w:b/>
                <w:bCs/>
                <w:sz w:val="17"/>
              </w:rPr>
              <w:t>50,2</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Agriculture</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5.727</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2.954</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51,6</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4.662</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2.468</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52,9</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Sylviculture</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136</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1,5</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132</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Traitement du cuir</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48</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38</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79,2</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Textiles</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1.893</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1.836</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97,0</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673</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646</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96,0</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Chimie, Pharmacie, Traitement du caoutchouc et Produits autres que métalliques</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1.118</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757</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67,7</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1.006</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671</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66,7</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Traitement du bois</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3.078</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28</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0,9</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2.009</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24</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1,2</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Construction</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2.556</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221</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8,6</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2.191</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159</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7,3</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Restauration et Tourisme</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5.211</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2.232</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42,8</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5.197</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2.338</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45,0</w:t>
            </w:r>
          </w:p>
        </w:tc>
      </w:tr>
      <w:tr w:rsidR="0073290F" w:rsidRPr="00224799">
        <w:tblPrEx>
          <w:tblCellMar>
            <w:top w:w="0" w:type="dxa"/>
            <w:bottom w:w="0" w:type="dxa"/>
          </w:tblCellMar>
        </w:tblPrEx>
        <w:trPr>
          <w:cantSplit/>
          <w:trHeight w:val="323"/>
        </w:trPr>
        <w:tc>
          <w:tcPr>
            <w:tcW w:w="2970" w:type="dxa"/>
            <w:shd w:val="clear" w:color="auto" w:fill="auto"/>
            <w:vAlign w:val="bottom"/>
          </w:tcPr>
          <w:p w:rsidR="0073290F" w:rsidRPr="00224799" w:rsidRDefault="00221C8A" w:rsidP="00224799">
            <w:pPr>
              <w:tabs>
                <w:tab w:val="left" w:pos="288"/>
                <w:tab w:val="left" w:pos="576"/>
                <w:tab w:val="left" w:pos="864"/>
                <w:tab w:val="left" w:pos="1152"/>
              </w:tabs>
              <w:suppressAutoHyphens/>
              <w:spacing w:before="40" w:after="40" w:line="210" w:lineRule="exact"/>
              <w:ind w:right="43"/>
              <w:rPr>
                <w:sz w:val="17"/>
              </w:rPr>
            </w:pPr>
            <w:r w:rsidRPr="00224799">
              <w:rPr>
                <w:sz w:val="17"/>
              </w:rPr>
              <w:t>Économie</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20.770</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13.787</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66,4</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19.497</w:t>
            </w:r>
            <w:r w:rsidR="00BA4F2E">
              <w:rPr>
                <w:sz w:val="17"/>
              </w:rPr>
              <w:t xml:space="preserve">     </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12.601</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64,6</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Papier et Imprimerie</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571</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213</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37,3</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822</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272</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33,1</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Electrotechnique et Informatique</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7.211</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44</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0,6</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7.147</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54</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0,8</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Métallurgie et Mécanique</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7.739</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43</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0,6</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 xml:space="preserve"> 7.113</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31</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0,4</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Transports et Communications</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1.136</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345</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30,4</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1.376</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359</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26,1</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Mines</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134</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0,7</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100</w:t>
            </w:r>
            <w:r w:rsidR="00BA4F2E">
              <w:rPr>
                <w:sz w:val="17"/>
              </w:rPr>
              <w:t xml:space="preserve">      </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Soins de santé</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5.242</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3.963</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75,6</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5.399</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4.014</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74,3</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Formation au métier d’enseignant</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1.039</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1.020</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98,2</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1.388</w:t>
            </w:r>
            <w:r w:rsidR="00BA4F2E">
              <w:rPr>
                <w:sz w:val="17"/>
              </w:rPr>
              <w:t xml:space="preserve">      </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1.341</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96,6</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Sciences sociales</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824</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732</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88,8</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Culture</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629</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445</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70,7</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593</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440</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74,2</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Culture générale</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32.887</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19.394</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59,0</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39.040</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23.351</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59,8</w:t>
            </w:r>
          </w:p>
        </w:tc>
      </w:tr>
      <w:tr w:rsidR="0073290F" w:rsidRPr="00224799">
        <w:tblPrEx>
          <w:tblCellMar>
            <w:top w:w="0" w:type="dxa"/>
            <w:bottom w:w="0" w:type="dxa"/>
          </w:tblCellMar>
        </w:tblPrEx>
        <w:trPr>
          <w:cantSplit/>
        </w:trPr>
        <w:tc>
          <w:tcPr>
            <w:tcW w:w="2970"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Services à la personne</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2.672</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2.296</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86,0</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1.787</w:t>
            </w:r>
          </w:p>
        </w:tc>
        <w:tc>
          <w:tcPr>
            <w:tcW w:w="1111"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1.469</w:t>
            </w:r>
          </w:p>
        </w:tc>
        <w:tc>
          <w:tcPr>
            <w:tcW w:w="1112" w:type="dxa"/>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82,2</w:t>
            </w:r>
          </w:p>
        </w:tc>
      </w:tr>
      <w:tr w:rsidR="0073290F" w:rsidRPr="00224799">
        <w:tblPrEx>
          <w:tblCellMar>
            <w:top w:w="0" w:type="dxa"/>
            <w:bottom w:w="0" w:type="dxa"/>
          </w:tblCellMar>
        </w:tblPrEx>
        <w:trPr>
          <w:cantSplit/>
        </w:trPr>
        <w:tc>
          <w:tcPr>
            <w:tcW w:w="2970" w:type="dxa"/>
            <w:tcBorders>
              <w:bottom w:val="single" w:sz="12" w:space="0" w:color="auto"/>
            </w:tcBorders>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rPr>
                <w:sz w:val="17"/>
              </w:rPr>
            </w:pPr>
            <w:r w:rsidRPr="00224799">
              <w:rPr>
                <w:sz w:val="17"/>
              </w:rPr>
              <w:t>Affaires intérieures</w:t>
            </w:r>
          </w:p>
        </w:tc>
        <w:tc>
          <w:tcPr>
            <w:tcW w:w="1111" w:type="dxa"/>
            <w:tcBorders>
              <w:bottom w:val="single" w:sz="12" w:space="0" w:color="auto"/>
            </w:tcBorders>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237</w:t>
            </w:r>
          </w:p>
        </w:tc>
        <w:tc>
          <w:tcPr>
            <w:tcW w:w="1111" w:type="dxa"/>
            <w:tcBorders>
              <w:bottom w:val="single" w:sz="12" w:space="0" w:color="auto"/>
            </w:tcBorders>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24</w:t>
            </w:r>
          </w:p>
        </w:tc>
        <w:tc>
          <w:tcPr>
            <w:tcW w:w="1111" w:type="dxa"/>
            <w:tcBorders>
              <w:bottom w:val="single" w:sz="12" w:space="0" w:color="auto"/>
            </w:tcBorders>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10,1</w:t>
            </w:r>
          </w:p>
        </w:tc>
        <w:tc>
          <w:tcPr>
            <w:tcW w:w="1111" w:type="dxa"/>
            <w:tcBorders>
              <w:bottom w:val="single" w:sz="12" w:space="0" w:color="auto"/>
            </w:tcBorders>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w:t>
            </w:r>
          </w:p>
        </w:tc>
        <w:tc>
          <w:tcPr>
            <w:tcW w:w="1111" w:type="dxa"/>
            <w:tcBorders>
              <w:bottom w:val="single" w:sz="12" w:space="0" w:color="auto"/>
            </w:tcBorders>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w:t>
            </w:r>
          </w:p>
        </w:tc>
        <w:tc>
          <w:tcPr>
            <w:tcW w:w="1112" w:type="dxa"/>
            <w:tcBorders>
              <w:bottom w:val="single" w:sz="12" w:space="0" w:color="auto"/>
            </w:tcBorders>
            <w:shd w:val="clear" w:color="auto" w:fill="auto"/>
            <w:vAlign w:val="bottom"/>
          </w:tcPr>
          <w:p w:rsidR="0073290F" w:rsidRPr="00224799" w:rsidRDefault="0073290F" w:rsidP="00224799">
            <w:pPr>
              <w:tabs>
                <w:tab w:val="left" w:pos="288"/>
                <w:tab w:val="left" w:pos="576"/>
                <w:tab w:val="left" w:pos="864"/>
                <w:tab w:val="left" w:pos="1152"/>
              </w:tabs>
              <w:suppressAutoHyphens/>
              <w:spacing w:before="40" w:after="40" w:line="210" w:lineRule="exact"/>
              <w:ind w:right="43"/>
              <w:jc w:val="right"/>
              <w:rPr>
                <w:sz w:val="17"/>
              </w:rPr>
            </w:pPr>
            <w:r w:rsidRPr="00224799">
              <w:rPr>
                <w:sz w:val="17"/>
              </w:rPr>
              <w:t>-</w:t>
            </w:r>
          </w:p>
        </w:tc>
      </w:tr>
    </w:tbl>
    <w:p w:rsidR="00FB684D" w:rsidRPr="00FB684D" w:rsidRDefault="00FB684D" w:rsidP="00FB684D">
      <w:pPr>
        <w:pStyle w:val="BodyText"/>
        <w:spacing w:line="120" w:lineRule="exact"/>
        <w:jc w:val="both"/>
        <w:rPr>
          <w:b w:val="0"/>
          <w:bCs/>
          <w:sz w:val="10"/>
          <w:lang w:val="fr-FR"/>
        </w:rPr>
      </w:pPr>
    </w:p>
    <w:p w:rsidR="0073290F" w:rsidRPr="00FB684D" w:rsidRDefault="0073290F" w:rsidP="0073290F">
      <w:pPr>
        <w:pStyle w:val="BodyText"/>
        <w:jc w:val="both"/>
        <w:rPr>
          <w:b w:val="0"/>
          <w:bCs/>
          <w:sz w:val="17"/>
          <w:szCs w:val="17"/>
          <w:lang w:val="fr-FR"/>
        </w:rPr>
      </w:pPr>
      <w:r w:rsidRPr="00FB684D">
        <w:rPr>
          <w:b w:val="0"/>
          <w:bCs/>
          <w:i/>
          <w:sz w:val="17"/>
          <w:szCs w:val="17"/>
          <w:lang w:val="fr-FR"/>
        </w:rPr>
        <w:t>Source</w:t>
      </w:r>
      <w:r w:rsidRPr="00FB684D">
        <w:rPr>
          <w:b w:val="0"/>
          <w:bCs/>
          <w:sz w:val="17"/>
          <w:szCs w:val="17"/>
          <w:lang w:val="fr-FR"/>
        </w:rPr>
        <w:t xml:space="preserve">: Annuaires statistiques </w:t>
      </w:r>
      <w:r w:rsidRPr="00FB684D">
        <w:rPr>
          <w:b w:val="0"/>
          <w:bCs/>
          <w:color w:val="000000"/>
          <w:sz w:val="17"/>
          <w:szCs w:val="17"/>
          <w:lang w:val="fr-FR"/>
        </w:rPr>
        <w:t>2003 et 2005, Institut de la Statistique de la République de Slovénie.</w:t>
      </w:r>
    </w:p>
    <w:p w:rsidR="0032664C" w:rsidRPr="0032664C" w:rsidRDefault="0032664C" w:rsidP="0032664C">
      <w:pPr>
        <w:pStyle w:val="BodyText"/>
        <w:spacing w:line="120" w:lineRule="exact"/>
        <w:jc w:val="both"/>
        <w:rPr>
          <w:b w:val="0"/>
          <w:bCs/>
          <w:sz w:val="10"/>
          <w:szCs w:val="24"/>
          <w:lang w:val="fr-FR"/>
        </w:rPr>
      </w:pPr>
    </w:p>
    <w:p w:rsidR="0073290F" w:rsidRDefault="0073290F" w:rsidP="00FB684D">
      <w:pPr>
        <w:pStyle w:val="SingleTxt"/>
        <w:jc w:val="left"/>
        <w:rPr>
          <w:b/>
          <w:lang w:val="fr-FR"/>
        </w:rPr>
      </w:pPr>
      <w:r w:rsidRPr="002A7AF7">
        <w:rPr>
          <w:lang w:val="fr-FR"/>
        </w:rPr>
        <w:t>Tableau 23</w:t>
      </w:r>
      <w:r w:rsidR="00FB684D">
        <w:rPr>
          <w:lang w:val="fr-FR"/>
        </w:rPr>
        <w:br/>
      </w:r>
      <w:r w:rsidRPr="00FB684D">
        <w:rPr>
          <w:b/>
          <w:lang w:val="fr-FR"/>
        </w:rPr>
        <w:t>Nombre d’étudiants inscrits dans le premier cycle universitaire</w:t>
      </w:r>
      <w:r w:rsidR="0032664C">
        <w:rPr>
          <w:b/>
          <w:lang w:val="fr-FR"/>
        </w:rPr>
        <w:t xml:space="preserve"> </w:t>
      </w:r>
      <w:r w:rsidRPr="00FB684D">
        <w:rPr>
          <w:b/>
          <w:lang w:val="fr-FR"/>
        </w:rPr>
        <w:t xml:space="preserve">et les établissements d’enseignement supérieur, et nombre d’étudiants diplômés des universités et autres établissements d’enseignement supérieur, par sexe </w:t>
      </w:r>
      <w:r w:rsidR="0032664C">
        <w:rPr>
          <w:b/>
          <w:lang w:val="fr-FR"/>
        </w:rPr>
        <w:br/>
      </w:r>
      <w:r w:rsidRPr="00FB684D">
        <w:rPr>
          <w:b/>
          <w:lang w:val="fr-FR"/>
        </w:rPr>
        <w:t>(2002 à 2004).</w:t>
      </w:r>
    </w:p>
    <w:p w:rsidR="00FB684D" w:rsidRPr="00FB684D" w:rsidRDefault="00FB684D" w:rsidP="00FB684D">
      <w:pPr>
        <w:pStyle w:val="SingleTxt"/>
        <w:spacing w:after="0" w:line="120" w:lineRule="exact"/>
        <w:jc w:val="left"/>
        <w:rPr>
          <w:b/>
          <w:sz w:val="10"/>
          <w:lang w:val="fr-FR"/>
        </w:rPr>
      </w:pPr>
    </w:p>
    <w:tbl>
      <w:tblPr>
        <w:tblW w:w="7713" w:type="dxa"/>
        <w:tblInd w:w="1267" w:type="dxa"/>
        <w:tblLayout w:type="fixed"/>
        <w:tblCellMar>
          <w:left w:w="70" w:type="dxa"/>
          <w:right w:w="70" w:type="dxa"/>
        </w:tblCellMar>
        <w:tblLook w:val="0000" w:firstRow="0" w:lastRow="0" w:firstColumn="0" w:lastColumn="0" w:noHBand="0" w:noVBand="0"/>
      </w:tblPr>
      <w:tblGrid>
        <w:gridCol w:w="873"/>
        <w:gridCol w:w="1140"/>
        <w:gridCol w:w="1140"/>
        <w:gridCol w:w="1140"/>
        <w:gridCol w:w="1140"/>
        <w:gridCol w:w="1140"/>
        <w:gridCol w:w="1140"/>
      </w:tblGrid>
      <w:tr w:rsidR="0032664C" w:rsidRPr="00FB684D">
        <w:tblPrEx>
          <w:tblCellMar>
            <w:top w:w="0" w:type="dxa"/>
            <w:bottom w:w="0" w:type="dxa"/>
          </w:tblCellMar>
        </w:tblPrEx>
        <w:trPr>
          <w:cantSplit/>
          <w:trHeight w:val="255"/>
          <w:tblHeader/>
        </w:trPr>
        <w:tc>
          <w:tcPr>
            <w:tcW w:w="873" w:type="dxa"/>
            <w:vMerge w:val="restart"/>
            <w:tcBorders>
              <w:top w:val="single" w:sz="4" w:space="0" w:color="auto"/>
            </w:tcBorders>
            <w:shd w:val="clear" w:color="auto" w:fill="auto"/>
            <w:vAlign w:val="bottom"/>
          </w:tcPr>
          <w:p w:rsidR="0032664C" w:rsidRPr="00FB684D" w:rsidRDefault="0032664C" w:rsidP="0032664C">
            <w:pPr>
              <w:pStyle w:val="nastabelaslo"/>
              <w:suppressAutoHyphens/>
              <w:spacing w:before="80" w:beforeAutospacing="0" w:after="80" w:afterAutospacing="0" w:line="160" w:lineRule="exact"/>
              <w:ind w:right="43"/>
              <w:rPr>
                <w:rFonts w:ascii="Times New Roman" w:eastAsia="Times New Roman" w:hAnsi="Times New Roman"/>
                <w:i/>
                <w:sz w:val="14"/>
              </w:rPr>
            </w:pPr>
            <w:r>
              <w:rPr>
                <w:rFonts w:ascii="Times New Roman" w:eastAsia="Times New Roman" w:hAnsi="Times New Roman"/>
                <w:i/>
                <w:sz w:val="14"/>
              </w:rPr>
              <w:t>Année</w:t>
            </w:r>
          </w:p>
        </w:tc>
        <w:tc>
          <w:tcPr>
            <w:tcW w:w="3420" w:type="dxa"/>
            <w:gridSpan w:val="3"/>
            <w:tcBorders>
              <w:top w:val="single" w:sz="4" w:space="0" w:color="auto"/>
              <w:bottom w:val="single" w:sz="4" w:space="0" w:color="auto"/>
            </w:tcBorders>
            <w:shd w:val="clear" w:color="auto" w:fill="auto"/>
          </w:tcPr>
          <w:p w:rsidR="0032664C" w:rsidRPr="0032664C" w:rsidRDefault="0032664C" w:rsidP="0032664C">
            <w:pPr>
              <w:jc w:val="center"/>
              <w:rPr>
                <w:i/>
                <w:sz w:val="14"/>
                <w:szCs w:val="14"/>
              </w:rPr>
            </w:pPr>
            <w:r w:rsidRPr="0032664C">
              <w:rPr>
                <w:i/>
                <w:sz w:val="14"/>
                <w:szCs w:val="14"/>
              </w:rPr>
              <w:t>Nombre d’étudiants inscrits</w:t>
            </w:r>
          </w:p>
        </w:tc>
        <w:tc>
          <w:tcPr>
            <w:tcW w:w="3420" w:type="dxa"/>
            <w:gridSpan w:val="3"/>
            <w:tcBorders>
              <w:top w:val="single" w:sz="4" w:space="0" w:color="auto"/>
              <w:bottom w:val="single" w:sz="4" w:space="0" w:color="auto"/>
            </w:tcBorders>
            <w:shd w:val="clear" w:color="auto" w:fill="auto"/>
          </w:tcPr>
          <w:p w:rsidR="0032664C" w:rsidRPr="0032664C" w:rsidRDefault="0032664C" w:rsidP="0032664C">
            <w:pPr>
              <w:jc w:val="center"/>
              <w:rPr>
                <w:i/>
                <w:sz w:val="14"/>
                <w:szCs w:val="14"/>
              </w:rPr>
            </w:pPr>
            <w:r w:rsidRPr="0032664C">
              <w:rPr>
                <w:i/>
                <w:sz w:val="14"/>
                <w:szCs w:val="14"/>
              </w:rPr>
              <w:t>Nombre d’étudiants diplômés</w:t>
            </w:r>
          </w:p>
        </w:tc>
      </w:tr>
      <w:tr w:rsidR="0032664C" w:rsidRPr="00FB684D">
        <w:tblPrEx>
          <w:tblCellMar>
            <w:top w:w="0" w:type="dxa"/>
            <w:bottom w:w="0" w:type="dxa"/>
          </w:tblCellMar>
        </w:tblPrEx>
        <w:trPr>
          <w:cantSplit/>
          <w:trHeight w:val="255"/>
          <w:tblHeader/>
        </w:trPr>
        <w:tc>
          <w:tcPr>
            <w:tcW w:w="873" w:type="dxa"/>
            <w:vMerge/>
            <w:tcBorders>
              <w:bottom w:val="single" w:sz="12" w:space="0" w:color="auto"/>
            </w:tcBorders>
            <w:shd w:val="clear" w:color="auto" w:fill="auto"/>
            <w:vAlign w:val="bottom"/>
          </w:tcPr>
          <w:p w:rsidR="0032664C" w:rsidRPr="00FB684D" w:rsidRDefault="0032664C" w:rsidP="00FB684D">
            <w:pPr>
              <w:pStyle w:val="nastabelaslo"/>
              <w:suppressAutoHyphens/>
              <w:spacing w:before="80" w:beforeAutospacing="0" w:after="80" w:afterAutospacing="0" w:line="160" w:lineRule="exact"/>
              <w:ind w:right="43"/>
              <w:rPr>
                <w:rFonts w:ascii="Times New Roman" w:eastAsia="Times New Roman" w:hAnsi="Times New Roman"/>
                <w:i/>
                <w:sz w:val="14"/>
              </w:rPr>
            </w:pPr>
          </w:p>
        </w:tc>
        <w:tc>
          <w:tcPr>
            <w:tcW w:w="1140" w:type="dxa"/>
            <w:tcBorders>
              <w:top w:val="single" w:sz="4" w:space="0" w:color="auto"/>
              <w:bottom w:val="single" w:sz="12" w:space="0" w:color="auto"/>
            </w:tcBorders>
            <w:shd w:val="clear" w:color="auto" w:fill="auto"/>
          </w:tcPr>
          <w:p w:rsidR="0032664C" w:rsidRPr="0032664C" w:rsidRDefault="0032664C" w:rsidP="0032664C">
            <w:pPr>
              <w:jc w:val="right"/>
              <w:rPr>
                <w:i/>
                <w:sz w:val="14"/>
                <w:szCs w:val="14"/>
              </w:rPr>
            </w:pPr>
            <w:r w:rsidRPr="0032664C">
              <w:rPr>
                <w:i/>
                <w:sz w:val="14"/>
                <w:szCs w:val="14"/>
              </w:rPr>
              <w:t>Total</w:t>
            </w:r>
          </w:p>
        </w:tc>
        <w:tc>
          <w:tcPr>
            <w:tcW w:w="1140" w:type="dxa"/>
            <w:tcBorders>
              <w:top w:val="single" w:sz="4" w:space="0" w:color="auto"/>
              <w:bottom w:val="single" w:sz="12" w:space="0" w:color="auto"/>
            </w:tcBorders>
            <w:shd w:val="clear" w:color="auto" w:fill="auto"/>
          </w:tcPr>
          <w:p w:rsidR="0032664C" w:rsidRPr="0032664C" w:rsidRDefault="0032664C" w:rsidP="0032664C">
            <w:pPr>
              <w:jc w:val="right"/>
              <w:rPr>
                <w:i/>
                <w:sz w:val="14"/>
                <w:szCs w:val="14"/>
              </w:rPr>
            </w:pPr>
            <w:r w:rsidRPr="0032664C">
              <w:rPr>
                <w:i/>
                <w:sz w:val="14"/>
                <w:szCs w:val="14"/>
              </w:rPr>
              <w:t>Filles</w:t>
            </w:r>
          </w:p>
        </w:tc>
        <w:tc>
          <w:tcPr>
            <w:tcW w:w="1140" w:type="dxa"/>
            <w:tcBorders>
              <w:top w:val="single" w:sz="4" w:space="0" w:color="auto"/>
              <w:bottom w:val="single" w:sz="12" w:space="0" w:color="auto"/>
            </w:tcBorders>
            <w:shd w:val="clear" w:color="auto" w:fill="auto"/>
          </w:tcPr>
          <w:p w:rsidR="0032664C" w:rsidRPr="0032664C" w:rsidRDefault="0032664C" w:rsidP="0032664C">
            <w:pPr>
              <w:jc w:val="right"/>
              <w:rPr>
                <w:i/>
                <w:sz w:val="14"/>
                <w:szCs w:val="14"/>
              </w:rPr>
            </w:pPr>
            <w:r w:rsidRPr="0032664C">
              <w:rPr>
                <w:i/>
                <w:sz w:val="14"/>
                <w:szCs w:val="14"/>
              </w:rPr>
              <w:t>% de filles</w:t>
            </w:r>
          </w:p>
        </w:tc>
        <w:tc>
          <w:tcPr>
            <w:tcW w:w="1140" w:type="dxa"/>
            <w:tcBorders>
              <w:top w:val="single" w:sz="4" w:space="0" w:color="auto"/>
              <w:bottom w:val="single" w:sz="12" w:space="0" w:color="auto"/>
            </w:tcBorders>
            <w:shd w:val="clear" w:color="auto" w:fill="auto"/>
          </w:tcPr>
          <w:p w:rsidR="0032664C" w:rsidRPr="0032664C" w:rsidRDefault="0032664C" w:rsidP="0032664C">
            <w:pPr>
              <w:jc w:val="right"/>
              <w:rPr>
                <w:i/>
                <w:sz w:val="14"/>
                <w:szCs w:val="14"/>
              </w:rPr>
            </w:pPr>
            <w:r w:rsidRPr="0032664C">
              <w:rPr>
                <w:i/>
                <w:sz w:val="14"/>
                <w:szCs w:val="14"/>
              </w:rPr>
              <w:t>Total</w:t>
            </w:r>
          </w:p>
        </w:tc>
        <w:tc>
          <w:tcPr>
            <w:tcW w:w="1140" w:type="dxa"/>
            <w:tcBorders>
              <w:top w:val="single" w:sz="4" w:space="0" w:color="auto"/>
              <w:bottom w:val="single" w:sz="12" w:space="0" w:color="auto"/>
            </w:tcBorders>
            <w:shd w:val="clear" w:color="auto" w:fill="auto"/>
          </w:tcPr>
          <w:p w:rsidR="0032664C" w:rsidRPr="0032664C" w:rsidRDefault="0032664C" w:rsidP="0032664C">
            <w:pPr>
              <w:jc w:val="right"/>
              <w:rPr>
                <w:i/>
                <w:sz w:val="14"/>
                <w:szCs w:val="14"/>
              </w:rPr>
            </w:pPr>
            <w:r w:rsidRPr="0032664C">
              <w:rPr>
                <w:i/>
                <w:sz w:val="14"/>
                <w:szCs w:val="14"/>
              </w:rPr>
              <w:t>Filles</w:t>
            </w:r>
          </w:p>
        </w:tc>
        <w:tc>
          <w:tcPr>
            <w:tcW w:w="1140" w:type="dxa"/>
            <w:tcBorders>
              <w:top w:val="single" w:sz="4" w:space="0" w:color="auto"/>
              <w:bottom w:val="single" w:sz="12" w:space="0" w:color="auto"/>
            </w:tcBorders>
            <w:shd w:val="clear" w:color="auto" w:fill="auto"/>
          </w:tcPr>
          <w:p w:rsidR="0032664C" w:rsidRPr="0032664C" w:rsidRDefault="0032664C" w:rsidP="0032664C">
            <w:pPr>
              <w:jc w:val="right"/>
              <w:rPr>
                <w:i/>
                <w:sz w:val="14"/>
                <w:szCs w:val="14"/>
              </w:rPr>
            </w:pPr>
            <w:r w:rsidRPr="0032664C">
              <w:rPr>
                <w:i/>
                <w:sz w:val="14"/>
                <w:szCs w:val="14"/>
              </w:rPr>
              <w:t>% de filles</w:t>
            </w:r>
          </w:p>
        </w:tc>
      </w:tr>
      <w:tr w:rsidR="00FB684D" w:rsidRPr="00FB684D">
        <w:tblPrEx>
          <w:tblCellMar>
            <w:top w:w="0" w:type="dxa"/>
            <w:bottom w:w="0" w:type="dxa"/>
          </w:tblCellMar>
        </w:tblPrEx>
        <w:trPr>
          <w:cantSplit/>
          <w:trHeight w:hRule="exact" w:val="115"/>
          <w:tblHeader/>
        </w:trPr>
        <w:tc>
          <w:tcPr>
            <w:tcW w:w="873" w:type="dxa"/>
            <w:tcBorders>
              <w:top w:val="single" w:sz="12" w:space="0" w:color="auto"/>
            </w:tcBorders>
            <w:shd w:val="clear" w:color="auto" w:fill="auto"/>
            <w:vAlign w:val="bottom"/>
          </w:tcPr>
          <w:p w:rsidR="00FB684D" w:rsidRPr="00FB684D" w:rsidRDefault="00FB684D" w:rsidP="00FB684D">
            <w:pPr>
              <w:pStyle w:val="nastabelaslo"/>
              <w:suppressAutoHyphens/>
              <w:spacing w:before="40" w:beforeAutospacing="0" w:after="40" w:afterAutospacing="0" w:line="210" w:lineRule="exact"/>
              <w:ind w:right="43"/>
              <w:rPr>
                <w:rFonts w:ascii="Times New Roman" w:eastAsia="Times New Roman" w:hAnsi="Times New Roman"/>
                <w:sz w:val="17"/>
              </w:rPr>
            </w:pPr>
          </w:p>
        </w:tc>
        <w:tc>
          <w:tcPr>
            <w:tcW w:w="1140" w:type="dxa"/>
            <w:tcBorders>
              <w:top w:val="single" w:sz="12" w:space="0" w:color="auto"/>
            </w:tcBorders>
            <w:shd w:val="clear" w:color="auto" w:fill="auto"/>
            <w:vAlign w:val="bottom"/>
          </w:tcPr>
          <w:p w:rsidR="00FB684D" w:rsidRPr="00FB684D" w:rsidRDefault="00FB684D" w:rsidP="00FB684D">
            <w:pPr>
              <w:suppressAutoHyphens/>
              <w:spacing w:before="40" w:after="40" w:line="210" w:lineRule="exact"/>
              <w:ind w:right="43"/>
              <w:jc w:val="right"/>
              <w:rPr>
                <w:sz w:val="17"/>
              </w:rPr>
            </w:pPr>
          </w:p>
        </w:tc>
        <w:tc>
          <w:tcPr>
            <w:tcW w:w="1140" w:type="dxa"/>
            <w:tcBorders>
              <w:top w:val="single" w:sz="12" w:space="0" w:color="auto"/>
            </w:tcBorders>
            <w:shd w:val="clear" w:color="auto" w:fill="auto"/>
            <w:vAlign w:val="bottom"/>
          </w:tcPr>
          <w:p w:rsidR="00FB684D" w:rsidRPr="00FB684D" w:rsidRDefault="00FB684D" w:rsidP="00FB684D">
            <w:pPr>
              <w:suppressAutoHyphens/>
              <w:spacing w:before="40" w:after="40" w:line="210" w:lineRule="exact"/>
              <w:ind w:right="43"/>
              <w:jc w:val="right"/>
              <w:rPr>
                <w:sz w:val="17"/>
              </w:rPr>
            </w:pPr>
          </w:p>
        </w:tc>
        <w:tc>
          <w:tcPr>
            <w:tcW w:w="1140" w:type="dxa"/>
            <w:tcBorders>
              <w:top w:val="single" w:sz="12" w:space="0" w:color="auto"/>
            </w:tcBorders>
            <w:shd w:val="clear" w:color="auto" w:fill="auto"/>
            <w:vAlign w:val="bottom"/>
          </w:tcPr>
          <w:p w:rsidR="00FB684D" w:rsidRPr="00FB684D" w:rsidRDefault="00FB684D" w:rsidP="00FB684D">
            <w:pPr>
              <w:suppressAutoHyphens/>
              <w:spacing w:before="40" w:after="40" w:line="210" w:lineRule="exact"/>
              <w:ind w:right="43"/>
              <w:jc w:val="right"/>
              <w:rPr>
                <w:sz w:val="17"/>
              </w:rPr>
            </w:pPr>
          </w:p>
        </w:tc>
        <w:tc>
          <w:tcPr>
            <w:tcW w:w="1140" w:type="dxa"/>
            <w:tcBorders>
              <w:top w:val="single" w:sz="12" w:space="0" w:color="auto"/>
            </w:tcBorders>
            <w:shd w:val="clear" w:color="auto" w:fill="auto"/>
            <w:vAlign w:val="bottom"/>
          </w:tcPr>
          <w:p w:rsidR="00FB684D" w:rsidRPr="00FB684D" w:rsidRDefault="00FB684D" w:rsidP="00FB684D">
            <w:pPr>
              <w:suppressAutoHyphens/>
              <w:spacing w:before="40" w:after="40" w:line="210" w:lineRule="exact"/>
              <w:ind w:right="43"/>
              <w:jc w:val="right"/>
              <w:rPr>
                <w:sz w:val="17"/>
              </w:rPr>
            </w:pPr>
          </w:p>
        </w:tc>
        <w:tc>
          <w:tcPr>
            <w:tcW w:w="1140" w:type="dxa"/>
            <w:tcBorders>
              <w:top w:val="single" w:sz="12" w:space="0" w:color="auto"/>
            </w:tcBorders>
            <w:shd w:val="clear" w:color="auto" w:fill="auto"/>
            <w:vAlign w:val="bottom"/>
          </w:tcPr>
          <w:p w:rsidR="00FB684D" w:rsidRPr="00FB684D" w:rsidRDefault="00FB684D" w:rsidP="00FB684D">
            <w:pPr>
              <w:suppressAutoHyphens/>
              <w:spacing w:before="40" w:after="40" w:line="210" w:lineRule="exact"/>
              <w:ind w:right="43"/>
              <w:jc w:val="right"/>
              <w:rPr>
                <w:sz w:val="17"/>
              </w:rPr>
            </w:pPr>
          </w:p>
        </w:tc>
        <w:tc>
          <w:tcPr>
            <w:tcW w:w="1140" w:type="dxa"/>
            <w:tcBorders>
              <w:top w:val="single" w:sz="12" w:space="0" w:color="auto"/>
            </w:tcBorders>
            <w:shd w:val="clear" w:color="auto" w:fill="auto"/>
            <w:vAlign w:val="bottom"/>
          </w:tcPr>
          <w:p w:rsidR="00FB684D" w:rsidRPr="00FB684D" w:rsidRDefault="00FB684D" w:rsidP="00FB684D">
            <w:pPr>
              <w:suppressAutoHyphens/>
              <w:spacing w:before="40" w:after="40" w:line="210" w:lineRule="exact"/>
              <w:ind w:right="43"/>
              <w:jc w:val="right"/>
              <w:rPr>
                <w:sz w:val="17"/>
              </w:rPr>
            </w:pPr>
          </w:p>
        </w:tc>
      </w:tr>
      <w:tr w:rsidR="0073290F" w:rsidRPr="00FB684D">
        <w:tblPrEx>
          <w:tblCellMar>
            <w:top w:w="0" w:type="dxa"/>
            <w:bottom w:w="0" w:type="dxa"/>
          </w:tblCellMar>
        </w:tblPrEx>
        <w:trPr>
          <w:cantSplit/>
          <w:trHeight w:val="255"/>
        </w:trPr>
        <w:tc>
          <w:tcPr>
            <w:tcW w:w="873" w:type="dxa"/>
            <w:shd w:val="clear" w:color="auto" w:fill="auto"/>
            <w:vAlign w:val="bottom"/>
          </w:tcPr>
          <w:p w:rsidR="0073290F" w:rsidRPr="00FB684D" w:rsidRDefault="0073290F" w:rsidP="00FB684D">
            <w:pPr>
              <w:pStyle w:val="nastabelaslo"/>
              <w:tabs>
                <w:tab w:val="left" w:pos="288"/>
                <w:tab w:val="left" w:pos="576"/>
                <w:tab w:val="left" w:pos="864"/>
                <w:tab w:val="left" w:pos="1152"/>
              </w:tabs>
              <w:suppressAutoHyphens/>
              <w:spacing w:before="40" w:beforeAutospacing="0" w:after="40" w:afterAutospacing="0" w:line="210" w:lineRule="exact"/>
              <w:ind w:right="43"/>
              <w:rPr>
                <w:rFonts w:ascii="Times New Roman" w:eastAsia="Times New Roman" w:hAnsi="Times New Roman"/>
                <w:sz w:val="17"/>
              </w:rPr>
            </w:pPr>
            <w:r w:rsidRPr="00FB684D">
              <w:rPr>
                <w:rFonts w:ascii="Times New Roman" w:eastAsia="Times New Roman" w:hAnsi="Times New Roman"/>
                <w:sz w:val="17"/>
              </w:rPr>
              <w:t>2002</w:t>
            </w:r>
          </w:p>
        </w:tc>
        <w:tc>
          <w:tcPr>
            <w:tcW w:w="1140" w:type="dxa"/>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jc w:val="right"/>
              <w:rPr>
                <w:sz w:val="17"/>
              </w:rPr>
            </w:pPr>
            <w:r w:rsidRPr="00FB684D">
              <w:rPr>
                <w:sz w:val="17"/>
              </w:rPr>
              <w:t>87.056</w:t>
            </w:r>
          </w:p>
        </w:tc>
        <w:tc>
          <w:tcPr>
            <w:tcW w:w="1140" w:type="dxa"/>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jc w:val="right"/>
              <w:rPr>
                <w:sz w:val="17"/>
              </w:rPr>
            </w:pPr>
            <w:r w:rsidRPr="00FB684D">
              <w:rPr>
                <w:sz w:val="17"/>
              </w:rPr>
              <w:t>50.161</w:t>
            </w:r>
          </w:p>
        </w:tc>
        <w:tc>
          <w:tcPr>
            <w:tcW w:w="1140" w:type="dxa"/>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jc w:val="right"/>
              <w:rPr>
                <w:sz w:val="17"/>
              </w:rPr>
            </w:pPr>
            <w:r w:rsidRPr="00FB684D">
              <w:rPr>
                <w:sz w:val="17"/>
              </w:rPr>
              <w:t>57,6</w:t>
            </w:r>
          </w:p>
        </w:tc>
        <w:tc>
          <w:tcPr>
            <w:tcW w:w="1140" w:type="dxa"/>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jc w:val="right"/>
              <w:rPr>
                <w:sz w:val="17"/>
              </w:rPr>
            </w:pPr>
            <w:r w:rsidRPr="00FB684D">
              <w:rPr>
                <w:sz w:val="17"/>
              </w:rPr>
              <w:t>12.029</w:t>
            </w:r>
            <w:r w:rsidR="00BA4F2E">
              <w:rPr>
                <w:sz w:val="17"/>
              </w:rPr>
              <w:t xml:space="preserve">      </w:t>
            </w:r>
            <w:r w:rsidRPr="00FB684D">
              <w:rPr>
                <w:sz w:val="17"/>
              </w:rPr>
              <w:t xml:space="preserve"> </w:t>
            </w:r>
          </w:p>
        </w:tc>
        <w:tc>
          <w:tcPr>
            <w:tcW w:w="1140" w:type="dxa"/>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jc w:val="right"/>
              <w:rPr>
                <w:sz w:val="17"/>
              </w:rPr>
            </w:pPr>
            <w:r w:rsidRPr="00FB684D">
              <w:rPr>
                <w:sz w:val="17"/>
              </w:rPr>
              <w:t>7.430</w:t>
            </w:r>
          </w:p>
        </w:tc>
        <w:tc>
          <w:tcPr>
            <w:tcW w:w="1140" w:type="dxa"/>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jc w:val="right"/>
              <w:rPr>
                <w:sz w:val="17"/>
              </w:rPr>
            </w:pPr>
            <w:r w:rsidRPr="00FB684D">
              <w:rPr>
                <w:sz w:val="17"/>
              </w:rPr>
              <w:t>61,8</w:t>
            </w:r>
          </w:p>
        </w:tc>
      </w:tr>
      <w:tr w:rsidR="0073290F" w:rsidRPr="00FB684D">
        <w:tblPrEx>
          <w:tblCellMar>
            <w:top w:w="0" w:type="dxa"/>
            <w:bottom w:w="0" w:type="dxa"/>
          </w:tblCellMar>
        </w:tblPrEx>
        <w:trPr>
          <w:cantSplit/>
        </w:trPr>
        <w:tc>
          <w:tcPr>
            <w:tcW w:w="873" w:type="dxa"/>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rPr>
                <w:sz w:val="17"/>
              </w:rPr>
            </w:pPr>
            <w:r w:rsidRPr="00FB684D">
              <w:rPr>
                <w:sz w:val="17"/>
              </w:rPr>
              <w:t>2003</w:t>
            </w:r>
          </w:p>
        </w:tc>
        <w:tc>
          <w:tcPr>
            <w:tcW w:w="1140" w:type="dxa"/>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jc w:val="right"/>
              <w:rPr>
                <w:sz w:val="17"/>
              </w:rPr>
            </w:pPr>
            <w:r w:rsidRPr="00FB684D">
              <w:rPr>
                <w:sz w:val="17"/>
              </w:rPr>
              <w:t>87.205</w:t>
            </w:r>
          </w:p>
        </w:tc>
        <w:tc>
          <w:tcPr>
            <w:tcW w:w="1140" w:type="dxa"/>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jc w:val="right"/>
              <w:rPr>
                <w:sz w:val="17"/>
              </w:rPr>
            </w:pPr>
            <w:r w:rsidRPr="00FB684D">
              <w:rPr>
                <w:sz w:val="17"/>
              </w:rPr>
              <w:t>50.744</w:t>
            </w:r>
          </w:p>
        </w:tc>
        <w:tc>
          <w:tcPr>
            <w:tcW w:w="1140" w:type="dxa"/>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jc w:val="right"/>
              <w:rPr>
                <w:sz w:val="17"/>
              </w:rPr>
            </w:pPr>
            <w:r w:rsidRPr="00FB684D">
              <w:rPr>
                <w:sz w:val="17"/>
              </w:rPr>
              <w:t>58,2</w:t>
            </w:r>
          </w:p>
        </w:tc>
        <w:tc>
          <w:tcPr>
            <w:tcW w:w="1140" w:type="dxa"/>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jc w:val="right"/>
              <w:rPr>
                <w:sz w:val="17"/>
              </w:rPr>
            </w:pPr>
            <w:r w:rsidRPr="00FB684D">
              <w:rPr>
                <w:sz w:val="17"/>
              </w:rPr>
              <w:t>11.232</w:t>
            </w:r>
          </w:p>
        </w:tc>
        <w:tc>
          <w:tcPr>
            <w:tcW w:w="1140" w:type="dxa"/>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jc w:val="right"/>
              <w:rPr>
                <w:sz w:val="17"/>
              </w:rPr>
            </w:pPr>
            <w:r w:rsidRPr="00FB684D">
              <w:rPr>
                <w:sz w:val="17"/>
              </w:rPr>
              <w:t>7.183</w:t>
            </w:r>
          </w:p>
        </w:tc>
        <w:tc>
          <w:tcPr>
            <w:tcW w:w="1140" w:type="dxa"/>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jc w:val="right"/>
              <w:rPr>
                <w:sz w:val="17"/>
              </w:rPr>
            </w:pPr>
            <w:r w:rsidRPr="00FB684D">
              <w:rPr>
                <w:sz w:val="17"/>
              </w:rPr>
              <w:t>64,0</w:t>
            </w:r>
          </w:p>
        </w:tc>
      </w:tr>
      <w:tr w:rsidR="0073290F" w:rsidRPr="00FB684D">
        <w:tblPrEx>
          <w:tblCellMar>
            <w:top w:w="0" w:type="dxa"/>
            <w:bottom w:w="0" w:type="dxa"/>
          </w:tblCellMar>
        </w:tblPrEx>
        <w:trPr>
          <w:cantSplit/>
        </w:trPr>
        <w:tc>
          <w:tcPr>
            <w:tcW w:w="873" w:type="dxa"/>
            <w:tcBorders>
              <w:bottom w:val="single" w:sz="12" w:space="0" w:color="auto"/>
            </w:tcBorders>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rPr>
                <w:sz w:val="17"/>
              </w:rPr>
            </w:pPr>
            <w:r w:rsidRPr="00FB684D">
              <w:rPr>
                <w:sz w:val="17"/>
              </w:rPr>
              <w:t>2004</w:t>
            </w:r>
          </w:p>
        </w:tc>
        <w:tc>
          <w:tcPr>
            <w:tcW w:w="1140" w:type="dxa"/>
            <w:tcBorders>
              <w:bottom w:val="single" w:sz="12" w:space="0" w:color="auto"/>
            </w:tcBorders>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jc w:val="right"/>
              <w:rPr>
                <w:sz w:val="17"/>
              </w:rPr>
            </w:pPr>
            <w:r w:rsidRPr="00FB684D">
              <w:rPr>
                <w:sz w:val="17"/>
              </w:rPr>
              <w:t>91.299</w:t>
            </w:r>
          </w:p>
        </w:tc>
        <w:tc>
          <w:tcPr>
            <w:tcW w:w="1140" w:type="dxa"/>
            <w:tcBorders>
              <w:bottom w:val="single" w:sz="12" w:space="0" w:color="auto"/>
            </w:tcBorders>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jc w:val="right"/>
              <w:rPr>
                <w:sz w:val="17"/>
              </w:rPr>
            </w:pPr>
            <w:r w:rsidRPr="00FB684D">
              <w:rPr>
                <w:sz w:val="17"/>
              </w:rPr>
              <w:t>54.163</w:t>
            </w:r>
          </w:p>
        </w:tc>
        <w:tc>
          <w:tcPr>
            <w:tcW w:w="1140" w:type="dxa"/>
            <w:tcBorders>
              <w:bottom w:val="single" w:sz="12" w:space="0" w:color="auto"/>
            </w:tcBorders>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jc w:val="right"/>
              <w:rPr>
                <w:sz w:val="17"/>
              </w:rPr>
            </w:pPr>
            <w:r w:rsidRPr="00FB684D">
              <w:rPr>
                <w:sz w:val="17"/>
              </w:rPr>
              <w:t>59,3</w:t>
            </w:r>
          </w:p>
        </w:tc>
        <w:tc>
          <w:tcPr>
            <w:tcW w:w="1140" w:type="dxa"/>
            <w:tcBorders>
              <w:bottom w:val="single" w:sz="12" w:space="0" w:color="auto"/>
            </w:tcBorders>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jc w:val="right"/>
              <w:rPr>
                <w:sz w:val="17"/>
              </w:rPr>
            </w:pPr>
            <w:r w:rsidRPr="00FB684D">
              <w:rPr>
                <w:sz w:val="17"/>
              </w:rPr>
              <w:t>11.608</w:t>
            </w:r>
          </w:p>
        </w:tc>
        <w:tc>
          <w:tcPr>
            <w:tcW w:w="1140" w:type="dxa"/>
            <w:tcBorders>
              <w:bottom w:val="single" w:sz="12" w:space="0" w:color="auto"/>
            </w:tcBorders>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jc w:val="right"/>
              <w:rPr>
                <w:sz w:val="17"/>
              </w:rPr>
            </w:pPr>
            <w:r w:rsidRPr="00FB684D">
              <w:rPr>
                <w:sz w:val="17"/>
              </w:rPr>
              <w:t>7.334</w:t>
            </w:r>
          </w:p>
        </w:tc>
        <w:tc>
          <w:tcPr>
            <w:tcW w:w="1140" w:type="dxa"/>
            <w:tcBorders>
              <w:bottom w:val="single" w:sz="12" w:space="0" w:color="auto"/>
            </w:tcBorders>
            <w:shd w:val="clear" w:color="auto" w:fill="auto"/>
            <w:vAlign w:val="bottom"/>
          </w:tcPr>
          <w:p w:rsidR="0073290F" w:rsidRPr="00FB684D" w:rsidRDefault="0073290F" w:rsidP="00FB684D">
            <w:pPr>
              <w:tabs>
                <w:tab w:val="left" w:pos="288"/>
                <w:tab w:val="left" w:pos="576"/>
                <w:tab w:val="left" w:pos="864"/>
                <w:tab w:val="left" w:pos="1152"/>
              </w:tabs>
              <w:suppressAutoHyphens/>
              <w:spacing w:before="40" w:after="40" w:line="210" w:lineRule="exact"/>
              <w:ind w:right="43"/>
              <w:jc w:val="right"/>
              <w:rPr>
                <w:sz w:val="17"/>
              </w:rPr>
            </w:pPr>
            <w:r w:rsidRPr="00FB684D">
              <w:rPr>
                <w:sz w:val="17"/>
              </w:rPr>
              <w:t>63,2</w:t>
            </w:r>
          </w:p>
        </w:tc>
      </w:tr>
    </w:tbl>
    <w:p w:rsidR="0032664C" w:rsidRPr="0032664C" w:rsidRDefault="0032664C" w:rsidP="0032664C">
      <w:pPr>
        <w:pStyle w:val="BodyText"/>
        <w:spacing w:line="120" w:lineRule="exact"/>
        <w:jc w:val="both"/>
        <w:rPr>
          <w:b w:val="0"/>
          <w:bCs/>
          <w:sz w:val="10"/>
          <w:lang w:val="fr-FR"/>
        </w:rPr>
      </w:pPr>
    </w:p>
    <w:p w:rsidR="0073290F" w:rsidRPr="0032664C" w:rsidRDefault="0073290F" w:rsidP="0032664C">
      <w:pPr>
        <w:pStyle w:val="SingleTxt"/>
        <w:rPr>
          <w:sz w:val="17"/>
          <w:szCs w:val="17"/>
          <w:lang w:val="fr-FR"/>
        </w:rPr>
      </w:pPr>
      <w:r w:rsidRPr="0032664C">
        <w:rPr>
          <w:i/>
          <w:sz w:val="17"/>
          <w:szCs w:val="17"/>
          <w:lang w:val="fr-FR"/>
        </w:rPr>
        <w:t>Source</w:t>
      </w:r>
      <w:r w:rsidRPr="0032664C">
        <w:rPr>
          <w:sz w:val="17"/>
          <w:szCs w:val="17"/>
          <w:lang w:val="fr-FR"/>
        </w:rPr>
        <w:t>: Annuaire statistique 2005, Institut de la Statistique de la République de Slovénie.</w:t>
      </w:r>
    </w:p>
    <w:p w:rsidR="0032664C" w:rsidRPr="0032664C" w:rsidRDefault="0032664C" w:rsidP="0032664C">
      <w:pPr>
        <w:pStyle w:val="BodyText"/>
        <w:spacing w:line="120" w:lineRule="exact"/>
        <w:jc w:val="both"/>
        <w:rPr>
          <w:b w:val="0"/>
          <w:bCs/>
          <w:sz w:val="10"/>
          <w:szCs w:val="24"/>
          <w:lang w:val="fr-FR"/>
        </w:rPr>
      </w:pPr>
    </w:p>
    <w:p w:rsidR="0073290F" w:rsidRDefault="0032664C" w:rsidP="0032664C">
      <w:pPr>
        <w:pStyle w:val="SingleTxt"/>
        <w:jc w:val="left"/>
        <w:rPr>
          <w:lang w:val="fr-FR"/>
        </w:rPr>
      </w:pPr>
      <w:r>
        <w:rPr>
          <w:lang w:val="fr-FR"/>
        </w:rPr>
        <w:br w:type="page"/>
      </w:r>
      <w:r w:rsidR="0073290F" w:rsidRPr="000A69BE">
        <w:rPr>
          <w:lang w:val="fr-FR"/>
        </w:rPr>
        <w:t>Tableau 24</w:t>
      </w:r>
      <w:r>
        <w:rPr>
          <w:lang w:val="fr-FR"/>
        </w:rPr>
        <w:br/>
      </w:r>
      <w:r w:rsidR="0073290F" w:rsidRPr="0032664C">
        <w:rPr>
          <w:b/>
          <w:lang w:val="fr-FR"/>
        </w:rPr>
        <w:t>Nombre d’étudiants par discipline et par sexe, 2004/2005</w:t>
      </w:r>
      <w:r w:rsidR="0073290F" w:rsidRPr="000A69BE">
        <w:rPr>
          <w:lang w:val="fr-FR"/>
        </w:rPr>
        <w:t xml:space="preserve"> </w:t>
      </w:r>
    </w:p>
    <w:p w:rsidR="0032664C" w:rsidRPr="0032664C" w:rsidRDefault="0032664C" w:rsidP="0032664C">
      <w:pPr>
        <w:pStyle w:val="SingleTxt"/>
        <w:spacing w:after="0" w:line="120" w:lineRule="exact"/>
        <w:jc w:val="left"/>
        <w:rPr>
          <w:sz w:val="10"/>
          <w:lang w:val="fr-FR"/>
        </w:rPr>
      </w:pPr>
    </w:p>
    <w:tbl>
      <w:tblPr>
        <w:tblW w:w="7810" w:type="dxa"/>
        <w:tblInd w:w="1267" w:type="dxa"/>
        <w:tblCellMar>
          <w:left w:w="70" w:type="dxa"/>
          <w:right w:w="70" w:type="dxa"/>
        </w:tblCellMar>
        <w:tblLook w:val="01BF" w:firstRow="1" w:lastRow="0" w:firstColumn="1" w:lastColumn="1" w:noHBand="0" w:noVBand="0"/>
      </w:tblPr>
      <w:tblGrid>
        <w:gridCol w:w="4210"/>
        <w:gridCol w:w="1080"/>
        <w:gridCol w:w="1433"/>
        <w:gridCol w:w="1087"/>
      </w:tblGrid>
      <w:tr w:rsidR="0073290F" w:rsidRPr="0032664C">
        <w:tblPrEx>
          <w:tblCellMar>
            <w:top w:w="0" w:type="dxa"/>
            <w:bottom w:w="0" w:type="dxa"/>
          </w:tblCellMar>
        </w:tblPrEx>
        <w:trPr>
          <w:tblHeader/>
        </w:trPr>
        <w:tc>
          <w:tcPr>
            <w:tcW w:w="4210" w:type="dxa"/>
            <w:tcBorders>
              <w:top w:val="single" w:sz="4" w:space="0" w:color="auto"/>
              <w:bottom w:val="single" w:sz="12" w:space="0" w:color="auto"/>
            </w:tcBorders>
            <w:shd w:val="clear" w:color="auto" w:fill="auto"/>
            <w:vAlign w:val="bottom"/>
          </w:tcPr>
          <w:p w:rsidR="0073290F" w:rsidRPr="0032664C" w:rsidRDefault="0073290F" w:rsidP="0032664C">
            <w:pPr>
              <w:suppressAutoHyphens/>
              <w:spacing w:before="80" w:after="80" w:line="160" w:lineRule="exact"/>
              <w:ind w:right="43"/>
              <w:rPr>
                <w:bCs/>
                <w:i/>
                <w:sz w:val="14"/>
              </w:rPr>
            </w:pPr>
            <w:r w:rsidRPr="0032664C">
              <w:rPr>
                <w:bCs/>
                <w:i/>
                <w:sz w:val="14"/>
              </w:rPr>
              <w:t>Disciplines</w:t>
            </w:r>
          </w:p>
        </w:tc>
        <w:tc>
          <w:tcPr>
            <w:tcW w:w="1080" w:type="dxa"/>
            <w:tcBorders>
              <w:top w:val="single" w:sz="4" w:space="0" w:color="auto"/>
              <w:bottom w:val="single" w:sz="12" w:space="0" w:color="auto"/>
            </w:tcBorders>
            <w:shd w:val="clear" w:color="auto" w:fill="auto"/>
            <w:vAlign w:val="bottom"/>
          </w:tcPr>
          <w:p w:rsidR="0073290F" w:rsidRPr="0032664C" w:rsidRDefault="0073290F" w:rsidP="0032664C">
            <w:pPr>
              <w:suppressAutoHyphens/>
              <w:spacing w:before="80" w:after="80" w:line="160" w:lineRule="exact"/>
              <w:ind w:right="43"/>
              <w:jc w:val="right"/>
              <w:rPr>
                <w:bCs/>
                <w:i/>
                <w:sz w:val="14"/>
              </w:rPr>
            </w:pPr>
            <w:r w:rsidRPr="0032664C">
              <w:rPr>
                <w:bCs/>
                <w:i/>
                <w:sz w:val="14"/>
              </w:rPr>
              <w:t>Nombre total</w:t>
            </w:r>
          </w:p>
        </w:tc>
        <w:tc>
          <w:tcPr>
            <w:tcW w:w="1433" w:type="dxa"/>
            <w:tcBorders>
              <w:top w:val="single" w:sz="4" w:space="0" w:color="auto"/>
              <w:bottom w:val="single" w:sz="12" w:space="0" w:color="auto"/>
            </w:tcBorders>
            <w:shd w:val="clear" w:color="auto" w:fill="auto"/>
            <w:vAlign w:val="bottom"/>
          </w:tcPr>
          <w:p w:rsidR="0073290F" w:rsidRPr="0032664C" w:rsidRDefault="0073290F" w:rsidP="0032664C">
            <w:pPr>
              <w:suppressAutoHyphens/>
              <w:spacing w:before="80" w:after="80" w:line="160" w:lineRule="exact"/>
              <w:ind w:right="43"/>
              <w:jc w:val="right"/>
              <w:rPr>
                <w:bCs/>
                <w:i/>
                <w:sz w:val="14"/>
              </w:rPr>
            </w:pPr>
            <w:r w:rsidRPr="0032664C">
              <w:rPr>
                <w:bCs/>
                <w:i/>
                <w:sz w:val="14"/>
              </w:rPr>
              <w:t>Nombre de filles</w:t>
            </w:r>
          </w:p>
        </w:tc>
        <w:tc>
          <w:tcPr>
            <w:tcW w:w="1087" w:type="dxa"/>
            <w:tcBorders>
              <w:top w:val="single" w:sz="4" w:space="0" w:color="auto"/>
              <w:bottom w:val="single" w:sz="12" w:space="0" w:color="auto"/>
            </w:tcBorders>
            <w:shd w:val="clear" w:color="auto" w:fill="auto"/>
            <w:vAlign w:val="bottom"/>
          </w:tcPr>
          <w:p w:rsidR="0073290F" w:rsidRPr="0032664C" w:rsidRDefault="0073290F" w:rsidP="0032664C">
            <w:pPr>
              <w:suppressAutoHyphens/>
              <w:spacing w:before="80" w:after="80" w:line="160" w:lineRule="exact"/>
              <w:ind w:right="43"/>
              <w:jc w:val="right"/>
              <w:rPr>
                <w:bCs/>
                <w:i/>
                <w:sz w:val="14"/>
              </w:rPr>
            </w:pPr>
            <w:r w:rsidRPr="0032664C">
              <w:rPr>
                <w:bCs/>
                <w:i/>
                <w:sz w:val="14"/>
              </w:rPr>
              <w:t>% de filles</w:t>
            </w:r>
          </w:p>
        </w:tc>
      </w:tr>
      <w:tr w:rsidR="0032664C" w:rsidRPr="0032664C">
        <w:tblPrEx>
          <w:tblCellMar>
            <w:top w:w="0" w:type="dxa"/>
            <w:bottom w:w="0" w:type="dxa"/>
          </w:tblCellMar>
        </w:tblPrEx>
        <w:trPr>
          <w:trHeight w:hRule="exact" w:val="115"/>
          <w:tblHeader/>
        </w:trPr>
        <w:tc>
          <w:tcPr>
            <w:tcW w:w="4210" w:type="dxa"/>
            <w:tcBorders>
              <w:top w:val="single" w:sz="12" w:space="0" w:color="auto"/>
            </w:tcBorders>
            <w:shd w:val="clear" w:color="auto" w:fill="auto"/>
            <w:vAlign w:val="bottom"/>
          </w:tcPr>
          <w:p w:rsidR="0032664C" w:rsidRPr="0032664C" w:rsidRDefault="0032664C" w:rsidP="0032664C">
            <w:pPr>
              <w:suppressAutoHyphens/>
              <w:spacing w:before="40" w:after="40" w:line="210" w:lineRule="exact"/>
              <w:ind w:right="43"/>
              <w:rPr>
                <w:sz w:val="17"/>
              </w:rPr>
            </w:pPr>
          </w:p>
        </w:tc>
        <w:tc>
          <w:tcPr>
            <w:tcW w:w="1080" w:type="dxa"/>
            <w:tcBorders>
              <w:top w:val="single" w:sz="12" w:space="0" w:color="auto"/>
            </w:tcBorders>
            <w:shd w:val="clear" w:color="auto" w:fill="auto"/>
            <w:vAlign w:val="bottom"/>
          </w:tcPr>
          <w:p w:rsidR="0032664C" w:rsidRPr="0032664C" w:rsidRDefault="0032664C" w:rsidP="0032664C">
            <w:pPr>
              <w:suppressAutoHyphens/>
              <w:spacing w:before="40" w:after="40" w:line="210" w:lineRule="exact"/>
              <w:ind w:right="43"/>
              <w:jc w:val="right"/>
              <w:rPr>
                <w:sz w:val="17"/>
              </w:rPr>
            </w:pPr>
          </w:p>
        </w:tc>
        <w:tc>
          <w:tcPr>
            <w:tcW w:w="1433" w:type="dxa"/>
            <w:tcBorders>
              <w:top w:val="single" w:sz="12" w:space="0" w:color="auto"/>
            </w:tcBorders>
            <w:shd w:val="clear" w:color="auto" w:fill="auto"/>
            <w:vAlign w:val="bottom"/>
          </w:tcPr>
          <w:p w:rsidR="0032664C" w:rsidRPr="0032664C" w:rsidRDefault="0032664C" w:rsidP="0032664C">
            <w:pPr>
              <w:suppressAutoHyphens/>
              <w:spacing w:before="40" w:after="40" w:line="210" w:lineRule="exact"/>
              <w:ind w:right="43"/>
              <w:jc w:val="right"/>
              <w:rPr>
                <w:sz w:val="17"/>
              </w:rPr>
            </w:pPr>
          </w:p>
        </w:tc>
        <w:tc>
          <w:tcPr>
            <w:tcW w:w="1087" w:type="dxa"/>
            <w:tcBorders>
              <w:top w:val="single" w:sz="12" w:space="0" w:color="auto"/>
            </w:tcBorders>
            <w:shd w:val="clear" w:color="auto" w:fill="auto"/>
            <w:vAlign w:val="bottom"/>
          </w:tcPr>
          <w:p w:rsidR="0032664C" w:rsidRPr="0032664C" w:rsidRDefault="0032664C" w:rsidP="0032664C">
            <w:pPr>
              <w:suppressAutoHyphens/>
              <w:spacing w:before="40" w:after="40" w:line="210" w:lineRule="exact"/>
              <w:ind w:right="43"/>
              <w:jc w:val="right"/>
              <w:rPr>
                <w:sz w:val="17"/>
              </w:rPr>
            </w:pPr>
          </w:p>
        </w:tc>
      </w:tr>
      <w:tr w:rsidR="0073290F" w:rsidRPr="0032664C">
        <w:tblPrEx>
          <w:tblCellMar>
            <w:top w:w="0" w:type="dxa"/>
            <w:bottom w:w="0" w:type="dxa"/>
          </w:tblCellMar>
        </w:tblPrEx>
        <w:tc>
          <w:tcPr>
            <w:tcW w:w="4210"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rPr>
                <w:sz w:val="17"/>
              </w:rPr>
            </w:pPr>
            <w:r w:rsidRPr="0032664C">
              <w:rPr>
                <w:sz w:val="17"/>
              </w:rPr>
              <w:t>Total</w:t>
            </w:r>
          </w:p>
        </w:tc>
        <w:tc>
          <w:tcPr>
            <w:tcW w:w="1080"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91.229</w:t>
            </w:r>
          </w:p>
        </w:tc>
        <w:tc>
          <w:tcPr>
            <w:tcW w:w="1433"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54.163</w:t>
            </w:r>
          </w:p>
        </w:tc>
        <w:tc>
          <w:tcPr>
            <w:tcW w:w="1087"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59,4</w:t>
            </w:r>
          </w:p>
        </w:tc>
      </w:tr>
      <w:tr w:rsidR="0073290F" w:rsidRPr="0032664C">
        <w:tblPrEx>
          <w:tblCellMar>
            <w:top w:w="0" w:type="dxa"/>
            <w:bottom w:w="0" w:type="dxa"/>
          </w:tblCellMar>
        </w:tblPrEx>
        <w:tc>
          <w:tcPr>
            <w:tcW w:w="4210" w:type="dxa"/>
            <w:shd w:val="clear" w:color="auto" w:fill="auto"/>
            <w:vAlign w:val="bottom"/>
          </w:tcPr>
          <w:p w:rsidR="0073290F" w:rsidRPr="0032664C" w:rsidRDefault="00221C8A" w:rsidP="0032664C">
            <w:pPr>
              <w:tabs>
                <w:tab w:val="left" w:pos="288"/>
                <w:tab w:val="left" w:pos="576"/>
                <w:tab w:val="left" w:pos="864"/>
                <w:tab w:val="left" w:pos="1152"/>
              </w:tabs>
              <w:suppressAutoHyphens/>
              <w:spacing w:before="40" w:after="40" w:line="210" w:lineRule="exact"/>
              <w:ind w:right="43"/>
              <w:rPr>
                <w:sz w:val="17"/>
              </w:rPr>
            </w:pPr>
            <w:r w:rsidRPr="0032664C">
              <w:rPr>
                <w:sz w:val="17"/>
              </w:rPr>
              <w:t>Éducation</w:t>
            </w:r>
          </w:p>
        </w:tc>
        <w:tc>
          <w:tcPr>
            <w:tcW w:w="1080"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9.766</w:t>
            </w:r>
          </w:p>
        </w:tc>
        <w:tc>
          <w:tcPr>
            <w:tcW w:w="1433"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7.883</w:t>
            </w:r>
          </w:p>
        </w:tc>
        <w:tc>
          <w:tcPr>
            <w:tcW w:w="1087"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80,7</w:t>
            </w:r>
          </w:p>
        </w:tc>
      </w:tr>
      <w:tr w:rsidR="0073290F" w:rsidRPr="0032664C">
        <w:tblPrEx>
          <w:tblCellMar>
            <w:top w:w="0" w:type="dxa"/>
            <w:bottom w:w="0" w:type="dxa"/>
          </w:tblCellMar>
        </w:tblPrEx>
        <w:tc>
          <w:tcPr>
            <w:tcW w:w="4210"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rPr>
                <w:sz w:val="17"/>
              </w:rPr>
            </w:pPr>
            <w:r w:rsidRPr="0032664C">
              <w:rPr>
                <w:sz w:val="17"/>
              </w:rPr>
              <w:t>Lettres et disciplines artistiques</w:t>
            </w:r>
          </w:p>
        </w:tc>
        <w:tc>
          <w:tcPr>
            <w:tcW w:w="1080"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7.651</w:t>
            </w:r>
          </w:p>
        </w:tc>
        <w:tc>
          <w:tcPr>
            <w:tcW w:w="1433"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5.725</w:t>
            </w:r>
          </w:p>
        </w:tc>
        <w:tc>
          <w:tcPr>
            <w:tcW w:w="1087"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74,8</w:t>
            </w:r>
          </w:p>
        </w:tc>
      </w:tr>
      <w:tr w:rsidR="0073290F" w:rsidRPr="0032664C">
        <w:tblPrEx>
          <w:tblCellMar>
            <w:top w:w="0" w:type="dxa"/>
            <w:bottom w:w="0" w:type="dxa"/>
          </w:tblCellMar>
        </w:tblPrEx>
        <w:tc>
          <w:tcPr>
            <w:tcW w:w="4210"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rPr>
                <w:sz w:val="17"/>
              </w:rPr>
            </w:pPr>
            <w:r w:rsidRPr="0032664C">
              <w:rPr>
                <w:sz w:val="17"/>
              </w:rPr>
              <w:t xml:space="preserve">Sciences sociales, Etudes commerciales et Droit </w:t>
            </w:r>
          </w:p>
        </w:tc>
        <w:tc>
          <w:tcPr>
            <w:tcW w:w="1080"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38.014</w:t>
            </w:r>
          </w:p>
        </w:tc>
        <w:tc>
          <w:tcPr>
            <w:tcW w:w="1433"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24.498</w:t>
            </w:r>
          </w:p>
        </w:tc>
        <w:tc>
          <w:tcPr>
            <w:tcW w:w="1087"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64,4</w:t>
            </w:r>
          </w:p>
        </w:tc>
      </w:tr>
      <w:tr w:rsidR="0073290F" w:rsidRPr="0032664C">
        <w:tblPrEx>
          <w:tblCellMar>
            <w:top w:w="0" w:type="dxa"/>
            <w:bottom w:w="0" w:type="dxa"/>
          </w:tblCellMar>
        </w:tblPrEx>
        <w:tc>
          <w:tcPr>
            <w:tcW w:w="4210"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rPr>
                <w:sz w:val="17"/>
              </w:rPr>
            </w:pPr>
            <w:r w:rsidRPr="0032664C">
              <w:rPr>
                <w:sz w:val="17"/>
              </w:rPr>
              <w:t>Sciences, Mathématiques et Informatique</w:t>
            </w:r>
          </w:p>
        </w:tc>
        <w:tc>
          <w:tcPr>
            <w:tcW w:w="1080"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5.078</w:t>
            </w:r>
          </w:p>
        </w:tc>
        <w:tc>
          <w:tcPr>
            <w:tcW w:w="1433"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1.635</w:t>
            </w:r>
          </w:p>
        </w:tc>
        <w:tc>
          <w:tcPr>
            <w:tcW w:w="1087"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32,2</w:t>
            </w:r>
          </w:p>
        </w:tc>
      </w:tr>
      <w:tr w:rsidR="0073290F" w:rsidRPr="0032664C">
        <w:tblPrEx>
          <w:tblCellMar>
            <w:top w:w="0" w:type="dxa"/>
            <w:bottom w:w="0" w:type="dxa"/>
          </w:tblCellMar>
        </w:tblPrEx>
        <w:tc>
          <w:tcPr>
            <w:tcW w:w="4210"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rPr>
                <w:sz w:val="17"/>
              </w:rPr>
            </w:pPr>
            <w:r w:rsidRPr="0032664C">
              <w:rPr>
                <w:sz w:val="17"/>
              </w:rPr>
              <w:t>Ingénierie, Industries manufacturières et Construction</w:t>
            </w:r>
          </w:p>
        </w:tc>
        <w:tc>
          <w:tcPr>
            <w:tcW w:w="1080"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14.165</w:t>
            </w:r>
          </w:p>
        </w:tc>
        <w:tc>
          <w:tcPr>
            <w:tcW w:w="1433"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3.770</w:t>
            </w:r>
          </w:p>
        </w:tc>
        <w:tc>
          <w:tcPr>
            <w:tcW w:w="1087"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26,6</w:t>
            </w:r>
          </w:p>
        </w:tc>
      </w:tr>
      <w:tr w:rsidR="0073290F" w:rsidRPr="0032664C">
        <w:tblPrEx>
          <w:tblCellMar>
            <w:top w:w="0" w:type="dxa"/>
            <w:bottom w:w="0" w:type="dxa"/>
          </w:tblCellMar>
        </w:tblPrEx>
        <w:tc>
          <w:tcPr>
            <w:tcW w:w="4210"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rPr>
                <w:sz w:val="17"/>
              </w:rPr>
            </w:pPr>
            <w:r w:rsidRPr="0032664C">
              <w:rPr>
                <w:sz w:val="17"/>
              </w:rPr>
              <w:t>Agriculture et Etudes de vétérinaire</w:t>
            </w:r>
          </w:p>
        </w:tc>
        <w:tc>
          <w:tcPr>
            <w:tcW w:w="1080"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2.894</w:t>
            </w:r>
          </w:p>
        </w:tc>
        <w:tc>
          <w:tcPr>
            <w:tcW w:w="1433"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1.604</w:t>
            </w:r>
          </w:p>
        </w:tc>
        <w:tc>
          <w:tcPr>
            <w:tcW w:w="1087"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55,4</w:t>
            </w:r>
          </w:p>
        </w:tc>
      </w:tr>
      <w:tr w:rsidR="0073290F" w:rsidRPr="0032664C">
        <w:tblPrEx>
          <w:tblCellMar>
            <w:top w:w="0" w:type="dxa"/>
            <w:bottom w:w="0" w:type="dxa"/>
          </w:tblCellMar>
        </w:tblPrEx>
        <w:tc>
          <w:tcPr>
            <w:tcW w:w="4210"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rPr>
                <w:sz w:val="17"/>
              </w:rPr>
            </w:pPr>
            <w:r w:rsidRPr="0032664C">
              <w:rPr>
                <w:sz w:val="17"/>
              </w:rPr>
              <w:t>Santé et Protection sociale</w:t>
            </w:r>
          </w:p>
        </w:tc>
        <w:tc>
          <w:tcPr>
            <w:tcW w:w="1080"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7.565</w:t>
            </w:r>
          </w:p>
        </w:tc>
        <w:tc>
          <w:tcPr>
            <w:tcW w:w="1433"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6.095</w:t>
            </w:r>
          </w:p>
        </w:tc>
        <w:tc>
          <w:tcPr>
            <w:tcW w:w="1087" w:type="dxa"/>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80,6</w:t>
            </w:r>
          </w:p>
        </w:tc>
      </w:tr>
      <w:tr w:rsidR="0073290F" w:rsidRPr="0032664C">
        <w:tblPrEx>
          <w:tblCellMar>
            <w:top w:w="0" w:type="dxa"/>
            <w:bottom w:w="0" w:type="dxa"/>
          </w:tblCellMar>
        </w:tblPrEx>
        <w:tc>
          <w:tcPr>
            <w:tcW w:w="4210" w:type="dxa"/>
            <w:tcBorders>
              <w:bottom w:val="single" w:sz="12" w:space="0" w:color="auto"/>
            </w:tcBorders>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rPr>
                <w:sz w:val="17"/>
              </w:rPr>
            </w:pPr>
            <w:r w:rsidRPr="0032664C">
              <w:rPr>
                <w:sz w:val="17"/>
              </w:rPr>
              <w:t>Services</w:t>
            </w:r>
          </w:p>
        </w:tc>
        <w:tc>
          <w:tcPr>
            <w:tcW w:w="1080" w:type="dxa"/>
            <w:tcBorders>
              <w:bottom w:val="single" w:sz="12" w:space="0" w:color="auto"/>
            </w:tcBorders>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6.096</w:t>
            </w:r>
          </w:p>
        </w:tc>
        <w:tc>
          <w:tcPr>
            <w:tcW w:w="1433" w:type="dxa"/>
            <w:tcBorders>
              <w:bottom w:val="single" w:sz="12" w:space="0" w:color="auto"/>
            </w:tcBorders>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2.953</w:t>
            </w:r>
          </w:p>
        </w:tc>
        <w:tc>
          <w:tcPr>
            <w:tcW w:w="1087" w:type="dxa"/>
            <w:tcBorders>
              <w:bottom w:val="single" w:sz="12" w:space="0" w:color="auto"/>
            </w:tcBorders>
            <w:shd w:val="clear" w:color="auto" w:fill="auto"/>
            <w:vAlign w:val="bottom"/>
          </w:tcPr>
          <w:p w:rsidR="0073290F" w:rsidRPr="0032664C" w:rsidRDefault="0073290F" w:rsidP="0032664C">
            <w:pPr>
              <w:tabs>
                <w:tab w:val="left" w:pos="288"/>
                <w:tab w:val="left" w:pos="576"/>
                <w:tab w:val="left" w:pos="864"/>
                <w:tab w:val="left" w:pos="1152"/>
              </w:tabs>
              <w:suppressAutoHyphens/>
              <w:spacing w:before="40" w:after="40" w:line="210" w:lineRule="exact"/>
              <w:ind w:right="43"/>
              <w:jc w:val="right"/>
              <w:rPr>
                <w:sz w:val="17"/>
              </w:rPr>
            </w:pPr>
            <w:r w:rsidRPr="0032664C">
              <w:rPr>
                <w:sz w:val="17"/>
              </w:rPr>
              <w:t>48,4</w:t>
            </w:r>
          </w:p>
        </w:tc>
      </w:tr>
    </w:tbl>
    <w:p w:rsidR="0032664C" w:rsidRPr="0032664C" w:rsidRDefault="0032664C" w:rsidP="0032664C">
      <w:pPr>
        <w:spacing w:line="120" w:lineRule="exact"/>
        <w:jc w:val="both"/>
        <w:rPr>
          <w:sz w:val="10"/>
        </w:rPr>
      </w:pPr>
    </w:p>
    <w:p w:rsidR="0073290F" w:rsidRPr="0032664C" w:rsidRDefault="0073290F" w:rsidP="0032664C">
      <w:pPr>
        <w:pStyle w:val="SingleTxt"/>
        <w:rPr>
          <w:sz w:val="17"/>
          <w:szCs w:val="17"/>
        </w:rPr>
      </w:pPr>
      <w:r w:rsidRPr="0032664C">
        <w:rPr>
          <w:i/>
          <w:sz w:val="17"/>
          <w:szCs w:val="17"/>
        </w:rPr>
        <w:t>Source</w:t>
      </w:r>
      <w:r w:rsidRPr="0032664C">
        <w:rPr>
          <w:sz w:val="17"/>
          <w:szCs w:val="17"/>
        </w:rPr>
        <w:t>: Rapport “Rapid” No. 121, Institut de la Statistique de la République de Slovénie.</w:t>
      </w:r>
    </w:p>
    <w:p w:rsidR="0032664C" w:rsidRPr="0032664C" w:rsidRDefault="0032664C" w:rsidP="0032664C">
      <w:pPr>
        <w:spacing w:line="120" w:lineRule="exact"/>
        <w:jc w:val="both"/>
        <w:rPr>
          <w:sz w:val="10"/>
          <w:highlight w:val="cyan"/>
        </w:rPr>
      </w:pPr>
    </w:p>
    <w:p w:rsidR="0073290F" w:rsidRDefault="0073290F" w:rsidP="0032664C">
      <w:pPr>
        <w:pStyle w:val="SingleTxt"/>
        <w:jc w:val="left"/>
        <w:rPr>
          <w:bCs/>
        </w:rPr>
      </w:pPr>
      <w:r w:rsidRPr="00D22F32">
        <w:t>Tableau 25</w:t>
      </w:r>
      <w:r w:rsidR="0032664C">
        <w:br/>
      </w:r>
      <w:r w:rsidRPr="00D22F32">
        <w:t>Nombre de diplômés, par discipline et par sexe</w:t>
      </w:r>
      <w:r>
        <w:t xml:space="preserve"> (</w:t>
      </w:r>
      <w:r w:rsidRPr="00D22F32">
        <w:rPr>
          <w:bCs/>
        </w:rPr>
        <w:t>2004</w:t>
      </w:r>
      <w:r>
        <w:rPr>
          <w:bCs/>
        </w:rPr>
        <w:t>)</w:t>
      </w:r>
    </w:p>
    <w:p w:rsidR="004079AB" w:rsidRPr="004079AB" w:rsidRDefault="004079AB" w:rsidP="004079AB">
      <w:pPr>
        <w:pStyle w:val="SingleTxt"/>
        <w:spacing w:after="0" w:line="120" w:lineRule="exact"/>
        <w:jc w:val="left"/>
        <w:rPr>
          <w:bCs/>
          <w:sz w:val="10"/>
        </w:rPr>
      </w:pPr>
    </w:p>
    <w:tbl>
      <w:tblPr>
        <w:tblW w:w="7810" w:type="dxa"/>
        <w:tblInd w:w="1267" w:type="dxa"/>
        <w:tblCellMar>
          <w:left w:w="70" w:type="dxa"/>
          <w:right w:w="70" w:type="dxa"/>
        </w:tblCellMar>
        <w:tblLook w:val="01BF" w:firstRow="1" w:lastRow="0" w:firstColumn="1" w:lastColumn="1" w:noHBand="0" w:noVBand="0"/>
      </w:tblPr>
      <w:tblGrid>
        <w:gridCol w:w="4210"/>
        <w:gridCol w:w="1080"/>
        <w:gridCol w:w="1433"/>
        <w:gridCol w:w="1087"/>
      </w:tblGrid>
      <w:tr w:rsidR="0073290F" w:rsidRPr="004079AB">
        <w:tblPrEx>
          <w:tblCellMar>
            <w:top w:w="0" w:type="dxa"/>
            <w:bottom w:w="0" w:type="dxa"/>
          </w:tblCellMar>
        </w:tblPrEx>
        <w:trPr>
          <w:tblHeader/>
        </w:trPr>
        <w:tc>
          <w:tcPr>
            <w:tcW w:w="4210" w:type="dxa"/>
            <w:tcBorders>
              <w:top w:val="single" w:sz="4" w:space="0" w:color="auto"/>
              <w:bottom w:val="single" w:sz="12" w:space="0" w:color="auto"/>
            </w:tcBorders>
            <w:shd w:val="clear" w:color="auto" w:fill="auto"/>
            <w:vAlign w:val="bottom"/>
          </w:tcPr>
          <w:p w:rsidR="0073290F" w:rsidRPr="004079AB" w:rsidRDefault="0073290F" w:rsidP="004079AB">
            <w:pPr>
              <w:suppressAutoHyphens/>
              <w:spacing w:before="80" w:after="80" w:line="160" w:lineRule="exact"/>
              <w:ind w:right="43"/>
              <w:rPr>
                <w:bCs/>
                <w:i/>
                <w:sz w:val="14"/>
              </w:rPr>
            </w:pPr>
            <w:r w:rsidRPr="004079AB">
              <w:rPr>
                <w:bCs/>
                <w:i/>
                <w:sz w:val="14"/>
              </w:rPr>
              <w:t>Disciplines</w:t>
            </w:r>
          </w:p>
        </w:tc>
        <w:tc>
          <w:tcPr>
            <w:tcW w:w="1080" w:type="dxa"/>
            <w:tcBorders>
              <w:top w:val="single" w:sz="4" w:space="0" w:color="auto"/>
              <w:bottom w:val="single" w:sz="12" w:space="0" w:color="auto"/>
            </w:tcBorders>
            <w:shd w:val="clear" w:color="auto" w:fill="auto"/>
            <w:vAlign w:val="bottom"/>
          </w:tcPr>
          <w:p w:rsidR="0073290F" w:rsidRPr="004079AB" w:rsidRDefault="0073290F" w:rsidP="004079AB">
            <w:pPr>
              <w:suppressAutoHyphens/>
              <w:spacing w:before="80" w:after="80" w:line="160" w:lineRule="exact"/>
              <w:ind w:right="43"/>
              <w:jc w:val="right"/>
              <w:rPr>
                <w:bCs/>
                <w:i/>
                <w:sz w:val="14"/>
              </w:rPr>
            </w:pPr>
            <w:r w:rsidRPr="004079AB">
              <w:rPr>
                <w:bCs/>
                <w:i/>
                <w:sz w:val="14"/>
              </w:rPr>
              <w:t>Nombre total</w:t>
            </w:r>
          </w:p>
        </w:tc>
        <w:tc>
          <w:tcPr>
            <w:tcW w:w="1433" w:type="dxa"/>
            <w:tcBorders>
              <w:top w:val="single" w:sz="4" w:space="0" w:color="auto"/>
              <w:bottom w:val="single" w:sz="12" w:space="0" w:color="auto"/>
            </w:tcBorders>
            <w:shd w:val="clear" w:color="auto" w:fill="auto"/>
            <w:vAlign w:val="bottom"/>
          </w:tcPr>
          <w:p w:rsidR="0073290F" w:rsidRPr="004079AB" w:rsidRDefault="0073290F" w:rsidP="004079AB">
            <w:pPr>
              <w:suppressAutoHyphens/>
              <w:spacing w:before="80" w:after="80" w:line="160" w:lineRule="exact"/>
              <w:ind w:right="43"/>
              <w:jc w:val="right"/>
              <w:rPr>
                <w:bCs/>
                <w:i/>
                <w:sz w:val="14"/>
              </w:rPr>
            </w:pPr>
            <w:r w:rsidRPr="004079AB">
              <w:rPr>
                <w:bCs/>
                <w:i/>
                <w:sz w:val="14"/>
              </w:rPr>
              <w:t>Nombre de filles</w:t>
            </w:r>
          </w:p>
        </w:tc>
        <w:tc>
          <w:tcPr>
            <w:tcW w:w="1087" w:type="dxa"/>
            <w:tcBorders>
              <w:top w:val="single" w:sz="4" w:space="0" w:color="auto"/>
              <w:bottom w:val="single" w:sz="12" w:space="0" w:color="auto"/>
            </w:tcBorders>
            <w:shd w:val="clear" w:color="auto" w:fill="auto"/>
            <w:vAlign w:val="bottom"/>
          </w:tcPr>
          <w:p w:rsidR="0073290F" w:rsidRPr="004079AB" w:rsidRDefault="0073290F" w:rsidP="004079AB">
            <w:pPr>
              <w:suppressAutoHyphens/>
              <w:spacing w:before="80" w:after="80" w:line="160" w:lineRule="exact"/>
              <w:ind w:right="43"/>
              <w:jc w:val="right"/>
              <w:rPr>
                <w:bCs/>
                <w:i/>
                <w:sz w:val="14"/>
              </w:rPr>
            </w:pPr>
            <w:r w:rsidRPr="004079AB">
              <w:rPr>
                <w:bCs/>
                <w:i/>
                <w:sz w:val="14"/>
              </w:rPr>
              <w:t>% de filles</w:t>
            </w:r>
          </w:p>
        </w:tc>
      </w:tr>
      <w:tr w:rsidR="004079AB" w:rsidRPr="004079AB">
        <w:tblPrEx>
          <w:tblCellMar>
            <w:top w:w="0" w:type="dxa"/>
            <w:bottom w:w="0" w:type="dxa"/>
          </w:tblCellMar>
        </w:tblPrEx>
        <w:trPr>
          <w:trHeight w:hRule="exact" w:val="115"/>
          <w:tblHeader/>
        </w:trPr>
        <w:tc>
          <w:tcPr>
            <w:tcW w:w="4210" w:type="dxa"/>
            <w:tcBorders>
              <w:top w:val="single" w:sz="12" w:space="0" w:color="auto"/>
            </w:tcBorders>
            <w:shd w:val="clear" w:color="auto" w:fill="auto"/>
            <w:vAlign w:val="bottom"/>
          </w:tcPr>
          <w:p w:rsidR="004079AB" w:rsidRPr="004079AB" w:rsidRDefault="004079AB" w:rsidP="004079AB">
            <w:pPr>
              <w:suppressAutoHyphens/>
              <w:spacing w:before="40" w:after="40" w:line="210" w:lineRule="exact"/>
              <w:ind w:right="43"/>
              <w:rPr>
                <w:sz w:val="17"/>
              </w:rPr>
            </w:pPr>
          </w:p>
        </w:tc>
        <w:tc>
          <w:tcPr>
            <w:tcW w:w="1080" w:type="dxa"/>
            <w:tcBorders>
              <w:top w:val="single" w:sz="12" w:space="0" w:color="auto"/>
            </w:tcBorders>
            <w:shd w:val="clear" w:color="auto" w:fill="auto"/>
            <w:vAlign w:val="bottom"/>
          </w:tcPr>
          <w:p w:rsidR="004079AB" w:rsidRPr="004079AB" w:rsidRDefault="004079AB" w:rsidP="004079AB">
            <w:pPr>
              <w:suppressAutoHyphens/>
              <w:spacing w:before="40" w:after="40" w:line="210" w:lineRule="exact"/>
              <w:ind w:right="43"/>
              <w:jc w:val="right"/>
              <w:rPr>
                <w:sz w:val="17"/>
              </w:rPr>
            </w:pPr>
          </w:p>
        </w:tc>
        <w:tc>
          <w:tcPr>
            <w:tcW w:w="1433" w:type="dxa"/>
            <w:tcBorders>
              <w:top w:val="single" w:sz="12" w:space="0" w:color="auto"/>
            </w:tcBorders>
            <w:shd w:val="clear" w:color="auto" w:fill="auto"/>
            <w:vAlign w:val="bottom"/>
          </w:tcPr>
          <w:p w:rsidR="004079AB" w:rsidRPr="004079AB" w:rsidRDefault="004079AB" w:rsidP="004079AB">
            <w:pPr>
              <w:suppressAutoHyphens/>
              <w:spacing w:before="40" w:after="40" w:line="210" w:lineRule="exact"/>
              <w:ind w:right="43"/>
              <w:jc w:val="right"/>
              <w:rPr>
                <w:sz w:val="17"/>
              </w:rPr>
            </w:pPr>
          </w:p>
        </w:tc>
        <w:tc>
          <w:tcPr>
            <w:tcW w:w="1087" w:type="dxa"/>
            <w:tcBorders>
              <w:top w:val="single" w:sz="12" w:space="0" w:color="auto"/>
            </w:tcBorders>
            <w:shd w:val="clear" w:color="auto" w:fill="auto"/>
            <w:vAlign w:val="bottom"/>
          </w:tcPr>
          <w:p w:rsidR="004079AB" w:rsidRPr="004079AB" w:rsidRDefault="004079AB" w:rsidP="004079AB">
            <w:pPr>
              <w:suppressAutoHyphens/>
              <w:spacing w:before="40" w:after="40" w:line="210" w:lineRule="exact"/>
              <w:ind w:right="43"/>
              <w:jc w:val="right"/>
              <w:rPr>
                <w:sz w:val="17"/>
              </w:rPr>
            </w:pPr>
          </w:p>
        </w:tc>
      </w:tr>
      <w:tr w:rsidR="0073290F" w:rsidRPr="004079AB">
        <w:tblPrEx>
          <w:tblCellMar>
            <w:top w:w="0" w:type="dxa"/>
            <w:bottom w:w="0" w:type="dxa"/>
          </w:tblCellMar>
        </w:tblPrEx>
        <w:tc>
          <w:tcPr>
            <w:tcW w:w="421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rPr>
                <w:b/>
                <w:sz w:val="17"/>
              </w:rPr>
            </w:pPr>
            <w:r w:rsidRPr="004079AB">
              <w:rPr>
                <w:b/>
                <w:sz w:val="17"/>
              </w:rPr>
              <w:t>Total</w:t>
            </w:r>
          </w:p>
        </w:tc>
        <w:tc>
          <w:tcPr>
            <w:tcW w:w="108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b/>
                <w:sz w:val="17"/>
              </w:rPr>
            </w:pPr>
            <w:r w:rsidRPr="004079AB">
              <w:rPr>
                <w:b/>
                <w:sz w:val="17"/>
              </w:rPr>
              <w:t>11.608</w:t>
            </w:r>
          </w:p>
        </w:tc>
        <w:tc>
          <w:tcPr>
            <w:tcW w:w="1433"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b/>
                <w:sz w:val="17"/>
              </w:rPr>
            </w:pPr>
            <w:r w:rsidRPr="004079AB">
              <w:rPr>
                <w:b/>
                <w:sz w:val="17"/>
              </w:rPr>
              <w:t>7.334</w:t>
            </w:r>
          </w:p>
        </w:tc>
        <w:tc>
          <w:tcPr>
            <w:tcW w:w="1087"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b/>
                <w:sz w:val="17"/>
              </w:rPr>
            </w:pPr>
            <w:r w:rsidRPr="004079AB">
              <w:rPr>
                <w:b/>
                <w:sz w:val="17"/>
              </w:rPr>
              <w:t>63,2</w:t>
            </w:r>
          </w:p>
        </w:tc>
      </w:tr>
      <w:tr w:rsidR="0073290F" w:rsidRPr="004079AB">
        <w:tblPrEx>
          <w:tblCellMar>
            <w:top w:w="0" w:type="dxa"/>
            <w:bottom w:w="0" w:type="dxa"/>
          </w:tblCellMar>
        </w:tblPrEx>
        <w:tc>
          <w:tcPr>
            <w:tcW w:w="4210" w:type="dxa"/>
            <w:shd w:val="clear" w:color="auto" w:fill="auto"/>
            <w:vAlign w:val="bottom"/>
          </w:tcPr>
          <w:p w:rsidR="0073290F" w:rsidRPr="004079AB" w:rsidRDefault="00221C8A" w:rsidP="004079AB">
            <w:pPr>
              <w:tabs>
                <w:tab w:val="left" w:pos="288"/>
                <w:tab w:val="left" w:pos="576"/>
                <w:tab w:val="left" w:pos="864"/>
                <w:tab w:val="left" w:pos="1152"/>
              </w:tabs>
              <w:suppressAutoHyphens/>
              <w:spacing w:before="40" w:after="40" w:line="210" w:lineRule="exact"/>
              <w:ind w:right="43"/>
              <w:rPr>
                <w:sz w:val="17"/>
              </w:rPr>
            </w:pPr>
            <w:r w:rsidRPr="004079AB">
              <w:rPr>
                <w:sz w:val="17"/>
              </w:rPr>
              <w:t>Éducation</w:t>
            </w:r>
          </w:p>
        </w:tc>
        <w:tc>
          <w:tcPr>
            <w:tcW w:w="108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1.407</w:t>
            </w:r>
          </w:p>
        </w:tc>
        <w:tc>
          <w:tcPr>
            <w:tcW w:w="1433"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1.209</w:t>
            </w:r>
          </w:p>
        </w:tc>
        <w:tc>
          <w:tcPr>
            <w:tcW w:w="1087"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85,9</w:t>
            </w:r>
          </w:p>
        </w:tc>
      </w:tr>
      <w:tr w:rsidR="0073290F" w:rsidRPr="004079AB">
        <w:tblPrEx>
          <w:tblCellMar>
            <w:top w:w="0" w:type="dxa"/>
            <w:bottom w:w="0" w:type="dxa"/>
          </w:tblCellMar>
        </w:tblPrEx>
        <w:tc>
          <w:tcPr>
            <w:tcW w:w="421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rPr>
                <w:sz w:val="17"/>
              </w:rPr>
            </w:pPr>
            <w:r w:rsidRPr="004079AB">
              <w:rPr>
                <w:sz w:val="17"/>
              </w:rPr>
              <w:t>Lettres et Disciplines artistiques</w:t>
            </w:r>
          </w:p>
        </w:tc>
        <w:tc>
          <w:tcPr>
            <w:tcW w:w="108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692</w:t>
            </w:r>
          </w:p>
        </w:tc>
        <w:tc>
          <w:tcPr>
            <w:tcW w:w="1433"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510</w:t>
            </w:r>
          </w:p>
        </w:tc>
        <w:tc>
          <w:tcPr>
            <w:tcW w:w="1087"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74,0</w:t>
            </w:r>
          </w:p>
        </w:tc>
      </w:tr>
      <w:tr w:rsidR="0073290F" w:rsidRPr="004079AB">
        <w:tblPrEx>
          <w:tblCellMar>
            <w:top w:w="0" w:type="dxa"/>
            <w:bottom w:w="0" w:type="dxa"/>
          </w:tblCellMar>
        </w:tblPrEx>
        <w:tc>
          <w:tcPr>
            <w:tcW w:w="421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rPr>
                <w:sz w:val="17"/>
              </w:rPr>
            </w:pPr>
            <w:r w:rsidRPr="004079AB">
              <w:rPr>
                <w:sz w:val="17"/>
              </w:rPr>
              <w:t>Sciences sociales, Etudes commerciales et Droit</w:t>
            </w:r>
          </w:p>
        </w:tc>
        <w:tc>
          <w:tcPr>
            <w:tcW w:w="108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5.237</w:t>
            </w:r>
          </w:p>
        </w:tc>
        <w:tc>
          <w:tcPr>
            <w:tcW w:w="1433"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3.554</w:t>
            </w:r>
          </w:p>
        </w:tc>
        <w:tc>
          <w:tcPr>
            <w:tcW w:w="1087"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67,9</w:t>
            </w:r>
          </w:p>
        </w:tc>
      </w:tr>
      <w:tr w:rsidR="0073290F" w:rsidRPr="004079AB">
        <w:tblPrEx>
          <w:tblCellMar>
            <w:top w:w="0" w:type="dxa"/>
            <w:bottom w:w="0" w:type="dxa"/>
          </w:tblCellMar>
        </w:tblPrEx>
        <w:tc>
          <w:tcPr>
            <w:tcW w:w="421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rPr>
                <w:sz w:val="17"/>
              </w:rPr>
            </w:pPr>
            <w:r w:rsidRPr="004079AB">
              <w:rPr>
                <w:sz w:val="17"/>
              </w:rPr>
              <w:t>Sciences, Mathématiques et Informatique</w:t>
            </w:r>
          </w:p>
        </w:tc>
        <w:tc>
          <w:tcPr>
            <w:tcW w:w="108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407</w:t>
            </w:r>
          </w:p>
        </w:tc>
        <w:tc>
          <w:tcPr>
            <w:tcW w:w="1433"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163</w:t>
            </w:r>
          </w:p>
        </w:tc>
        <w:tc>
          <w:tcPr>
            <w:tcW w:w="1087"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40,0</w:t>
            </w:r>
          </w:p>
        </w:tc>
      </w:tr>
      <w:tr w:rsidR="0073290F" w:rsidRPr="004079AB">
        <w:tblPrEx>
          <w:tblCellMar>
            <w:top w:w="0" w:type="dxa"/>
            <w:bottom w:w="0" w:type="dxa"/>
          </w:tblCellMar>
        </w:tblPrEx>
        <w:tc>
          <w:tcPr>
            <w:tcW w:w="4210" w:type="dxa"/>
            <w:shd w:val="clear" w:color="auto" w:fill="auto"/>
            <w:vAlign w:val="bottom"/>
          </w:tcPr>
          <w:p w:rsidR="0073290F" w:rsidRPr="000460CB" w:rsidRDefault="0073290F" w:rsidP="004079AB">
            <w:pPr>
              <w:tabs>
                <w:tab w:val="left" w:pos="288"/>
                <w:tab w:val="left" w:pos="576"/>
                <w:tab w:val="left" w:pos="864"/>
                <w:tab w:val="left" w:pos="1152"/>
              </w:tabs>
              <w:suppressAutoHyphens/>
              <w:spacing w:before="40" w:after="40" w:line="210" w:lineRule="exact"/>
              <w:ind w:right="43"/>
              <w:rPr>
                <w:sz w:val="17"/>
                <w:lang w:val="fr-FR"/>
              </w:rPr>
            </w:pPr>
            <w:r w:rsidRPr="000460CB">
              <w:rPr>
                <w:sz w:val="17"/>
                <w:lang w:val="fr-FR"/>
              </w:rPr>
              <w:t>Ingénierie, Industries manufacturières et Construction</w:t>
            </w:r>
          </w:p>
        </w:tc>
        <w:tc>
          <w:tcPr>
            <w:tcW w:w="108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1.500</w:t>
            </w:r>
          </w:p>
        </w:tc>
        <w:tc>
          <w:tcPr>
            <w:tcW w:w="1433"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396</w:t>
            </w:r>
          </w:p>
        </w:tc>
        <w:tc>
          <w:tcPr>
            <w:tcW w:w="1087"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26,4</w:t>
            </w:r>
          </w:p>
        </w:tc>
      </w:tr>
      <w:tr w:rsidR="0073290F" w:rsidRPr="004079AB">
        <w:tblPrEx>
          <w:tblCellMar>
            <w:top w:w="0" w:type="dxa"/>
            <w:bottom w:w="0" w:type="dxa"/>
          </w:tblCellMar>
        </w:tblPrEx>
        <w:tc>
          <w:tcPr>
            <w:tcW w:w="421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rPr>
                <w:sz w:val="17"/>
              </w:rPr>
            </w:pPr>
            <w:r w:rsidRPr="004079AB">
              <w:rPr>
                <w:sz w:val="17"/>
              </w:rPr>
              <w:t>Agriculture et Etudes de vétérinaire</w:t>
            </w:r>
          </w:p>
        </w:tc>
        <w:tc>
          <w:tcPr>
            <w:tcW w:w="108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319</w:t>
            </w:r>
          </w:p>
        </w:tc>
        <w:tc>
          <w:tcPr>
            <w:tcW w:w="1433"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188</w:t>
            </w:r>
          </w:p>
        </w:tc>
        <w:tc>
          <w:tcPr>
            <w:tcW w:w="1087"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58,9</w:t>
            </w:r>
          </w:p>
        </w:tc>
      </w:tr>
      <w:tr w:rsidR="0073290F" w:rsidRPr="004079AB">
        <w:tblPrEx>
          <w:tblCellMar>
            <w:top w:w="0" w:type="dxa"/>
            <w:bottom w:w="0" w:type="dxa"/>
          </w:tblCellMar>
        </w:tblPrEx>
        <w:tc>
          <w:tcPr>
            <w:tcW w:w="421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rPr>
                <w:sz w:val="17"/>
              </w:rPr>
            </w:pPr>
            <w:r w:rsidRPr="004079AB">
              <w:rPr>
                <w:sz w:val="17"/>
              </w:rPr>
              <w:t>Santé et Protection sociale</w:t>
            </w:r>
          </w:p>
        </w:tc>
        <w:tc>
          <w:tcPr>
            <w:tcW w:w="108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1.261</w:t>
            </w:r>
          </w:p>
        </w:tc>
        <w:tc>
          <w:tcPr>
            <w:tcW w:w="1433"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1.049</w:t>
            </w:r>
          </w:p>
        </w:tc>
        <w:tc>
          <w:tcPr>
            <w:tcW w:w="1087"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83,2</w:t>
            </w:r>
          </w:p>
        </w:tc>
      </w:tr>
      <w:tr w:rsidR="0073290F" w:rsidRPr="004079AB">
        <w:tblPrEx>
          <w:tblCellMar>
            <w:top w:w="0" w:type="dxa"/>
            <w:bottom w:w="0" w:type="dxa"/>
          </w:tblCellMar>
        </w:tblPrEx>
        <w:tc>
          <w:tcPr>
            <w:tcW w:w="4210" w:type="dxa"/>
            <w:tcBorders>
              <w:bottom w:val="single" w:sz="12" w:space="0" w:color="auto"/>
            </w:tcBorders>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rPr>
                <w:sz w:val="17"/>
              </w:rPr>
            </w:pPr>
            <w:r w:rsidRPr="004079AB">
              <w:rPr>
                <w:sz w:val="17"/>
              </w:rPr>
              <w:t>Services</w:t>
            </w:r>
          </w:p>
        </w:tc>
        <w:tc>
          <w:tcPr>
            <w:tcW w:w="1080" w:type="dxa"/>
            <w:tcBorders>
              <w:bottom w:val="single" w:sz="12" w:space="0" w:color="auto"/>
            </w:tcBorders>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695</w:t>
            </w:r>
          </w:p>
        </w:tc>
        <w:tc>
          <w:tcPr>
            <w:tcW w:w="1433" w:type="dxa"/>
            <w:tcBorders>
              <w:bottom w:val="single" w:sz="12" w:space="0" w:color="auto"/>
            </w:tcBorders>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265</w:t>
            </w:r>
          </w:p>
        </w:tc>
        <w:tc>
          <w:tcPr>
            <w:tcW w:w="1087" w:type="dxa"/>
            <w:tcBorders>
              <w:bottom w:val="single" w:sz="12" w:space="0" w:color="auto"/>
            </w:tcBorders>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38,1</w:t>
            </w:r>
          </w:p>
        </w:tc>
      </w:tr>
    </w:tbl>
    <w:p w:rsidR="004079AB" w:rsidRPr="004079AB" w:rsidRDefault="004079AB" w:rsidP="004079AB">
      <w:pPr>
        <w:spacing w:line="120" w:lineRule="exact"/>
        <w:jc w:val="both"/>
        <w:rPr>
          <w:sz w:val="10"/>
        </w:rPr>
      </w:pPr>
    </w:p>
    <w:p w:rsidR="0073290F" w:rsidRPr="004079AB" w:rsidRDefault="0073290F" w:rsidP="004079AB">
      <w:pPr>
        <w:pStyle w:val="SingleTxt"/>
        <w:rPr>
          <w:sz w:val="17"/>
          <w:szCs w:val="17"/>
        </w:rPr>
      </w:pPr>
      <w:r w:rsidRPr="004079AB">
        <w:rPr>
          <w:i/>
          <w:sz w:val="17"/>
          <w:szCs w:val="17"/>
        </w:rPr>
        <w:t>Source</w:t>
      </w:r>
      <w:r w:rsidRPr="004079AB">
        <w:rPr>
          <w:sz w:val="17"/>
          <w:szCs w:val="17"/>
        </w:rPr>
        <w:t xml:space="preserve">: Rapport “Rapid” No. 142, Institut de la Statistique de la République de Slovénie. </w:t>
      </w:r>
    </w:p>
    <w:p w:rsidR="004079AB" w:rsidRPr="004079AB" w:rsidRDefault="004079AB" w:rsidP="004079AB">
      <w:pPr>
        <w:pStyle w:val="BodyText"/>
        <w:spacing w:line="120" w:lineRule="exact"/>
        <w:jc w:val="both"/>
        <w:rPr>
          <w:b w:val="0"/>
          <w:bCs/>
          <w:sz w:val="10"/>
          <w:szCs w:val="24"/>
          <w:lang w:val="fr-FR"/>
        </w:rPr>
      </w:pPr>
    </w:p>
    <w:p w:rsidR="0073290F" w:rsidRDefault="0073290F" w:rsidP="004079AB">
      <w:pPr>
        <w:pStyle w:val="SingleTxt"/>
        <w:jc w:val="left"/>
        <w:rPr>
          <w:lang w:val="fr-FR"/>
        </w:rPr>
      </w:pPr>
      <w:r w:rsidRPr="000A69BE">
        <w:rPr>
          <w:lang w:val="fr-FR"/>
        </w:rPr>
        <w:t>Tableau 26</w:t>
      </w:r>
      <w:r w:rsidR="004079AB">
        <w:rPr>
          <w:lang w:val="fr-FR"/>
        </w:rPr>
        <w:br/>
      </w:r>
      <w:r w:rsidRPr="004079AB">
        <w:rPr>
          <w:b/>
          <w:lang w:val="fr-FR"/>
        </w:rPr>
        <w:t xml:space="preserve">Docteurs en Sciences, Titulaires de Maîtrises et Etudiants diplômés dans </w:t>
      </w:r>
      <w:r w:rsidR="004079AB">
        <w:rPr>
          <w:b/>
          <w:lang w:val="fr-FR"/>
        </w:rPr>
        <w:br/>
      </w:r>
      <w:r w:rsidRPr="004079AB">
        <w:rPr>
          <w:b/>
          <w:lang w:val="fr-FR"/>
        </w:rPr>
        <w:t>une Spécialité, par sexe, 2001 à 2004</w:t>
      </w:r>
      <w:r w:rsidRPr="000A69BE">
        <w:rPr>
          <w:lang w:val="fr-FR"/>
        </w:rPr>
        <w:t xml:space="preserve"> </w:t>
      </w:r>
    </w:p>
    <w:p w:rsidR="004079AB" w:rsidRPr="004079AB" w:rsidRDefault="004079AB" w:rsidP="004079AB">
      <w:pPr>
        <w:pStyle w:val="SingleTxt"/>
        <w:spacing w:after="0" w:line="120" w:lineRule="exact"/>
        <w:jc w:val="left"/>
        <w:rPr>
          <w:sz w:val="10"/>
          <w:lang w:val="fr-FR"/>
        </w:rPr>
      </w:pPr>
    </w:p>
    <w:tbl>
      <w:tblPr>
        <w:tblW w:w="0" w:type="auto"/>
        <w:tblInd w:w="1267" w:type="dxa"/>
        <w:tblLayout w:type="fixed"/>
        <w:tblCellMar>
          <w:left w:w="70" w:type="dxa"/>
          <w:right w:w="70" w:type="dxa"/>
        </w:tblCellMar>
        <w:tblLook w:val="0000" w:firstRow="0" w:lastRow="0" w:firstColumn="0" w:lastColumn="0" w:noHBand="0" w:noVBand="0"/>
      </w:tblPr>
      <w:tblGrid>
        <w:gridCol w:w="580"/>
        <w:gridCol w:w="1193"/>
        <w:gridCol w:w="1037"/>
        <w:gridCol w:w="1150"/>
        <w:gridCol w:w="1870"/>
        <w:gridCol w:w="1073"/>
        <w:gridCol w:w="907"/>
      </w:tblGrid>
      <w:tr w:rsidR="0073290F" w:rsidRPr="004079AB">
        <w:tblPrEx>
          <w:tblCellMar>
            <w:top w:w="0" w:type="dxa"/>
            <w:bottom w:w="0" w:type="dxa"/>
          </w:tblCellMar>
        </w:tblPrEx>
        <w:trPr>
          <w:tblHeader/>
        </w:trPr>
        <w:tc>
          <w:tcPr>
            <w:tcW w:w="580" w:type="dxa"/>
            <w:tcBorders>
              <w:top w:val="single" w:sz="4" w:space="0" w:color="auto"/>
              <w:bottom w:val="single" w:sz="12" w:space="0" w:color="auto"/>
            </w:tcBorders>
            <w:shd w:val="clear" w:color="auto" w:fill="auto"/>
            <w:vAlign w:val="bottom"/>
          </w:tcPr>
          <w:p w:rsidR="0073290F" w:rsidRPr="004079AB" w:rsidRDefault="0073290F" w:rsidP="004079AB">
            <w:pPr>
              <w:suppressAutoHyphens/>
              <w:spacing w:before="80" w:after="80" w:line="160" w:lineRule="exact"/>
              <w:ind w:right="43"/>
              <w:jc w:val="both"/>
              <w:rPr>
                <w:i/>
                <w:sz w:val="14"/>
              </w:rPr>
            </w:pPr>
          </w:p>
        </w:tc>
        <w:tc>
          <w:tcPr>
            <w:tcW w:w="1193" w:type="dxa"/>
            <w:tcBorders>
              <w:top w:val="single" w:sz="4" w:space="0" w:color="auto"/>
              <w:bottom w:val="single" w:sz="12" w:space="0" w:color="auto"/>
            </w:tcBorders>
            <w:shd w:val="clear" w:color="auto" w:fill="auto"/>
            <w:vAlign w:val="bottom"/>
          </w:tcPr>
          <w:p w:rsidR="0073290F" w:rsidRPr="004079AB" w:rsidRDefault="0073290F" w:rsidP="004079AB">
            <w:pPr>
              <w:suppressAutoHyphens/>
              <w:spacing w:before="80" w:after="80" w:line="160" w:lineRule="exact"/>
              <w:ind w:right="43"/>
              <w:jc w:val="right"/>
              <w:rPr>
                <w:bCs/>
                <w:i/>
                <w:sz w:val="14"/>
              </w:rPr>
            </w:pPr>
            <w:r w:rsidRPr="004079AB">
              <w:rPr>
                <w:bCs/>
                <w:i/>
                <w:sz w:val="14"/>
              </w:rPr>
              <w:t>Docteurs – Nombre total</w:t>
            </w:r>
          </w:p>
        </w:tc>
        <w:tc>
          <w:tcPr>
            <w:tcW w:w="1037" w:type="dxa"/>
            <w:tcBorders>
              <w:top w:val="single" w:sz="4" w:space="0" w:color="auto"/>
              <w:bottom w:val="single" w:sz="12" w:space="0" w:color="auto"/>
            </w:tcBorders>
            <w:shd w:val="clear" w:color="auto" w:fill="auto"/>
            <w:vAlign w:val="bottom"/>
          </w:tcPr>
          <w:p w:rsidR="0073290F" w:rsidRPr="004079AB" w:rsidRDefault="0073290F" w:rsidP="004079AB">
            <w:pPr>
              <w:suppressAutoHyphens/>
              <w:spacing w:before="80" w:after="80" w:line="160" w:lineRule="exact"/>
              <w:ind w:right="43"/>
              <w:jc w:val="right"/>
              <w:rPr>
                <w:bCs/>
                <w:i/>
                <w:sz w:val="14"/>
              </w:rPr>
            </w:pPr>
            <w:r w:rsidRPr="004079AB">
              <w:rPr>
                <w:bCs/>
                <w:i/>
                <w:sz w:val="14"/>
              </w:rPr>
              <w:t>Nombre de filles</w:t>
            </w:r>
          </w:p>
        </w:tc>
        <w:tc>
          <w:tcPr>
            <w:tcW w:w="1150" w:type="dxa"/>
            <w:tcBorders>
              <w:top w:val="single" w:sz="4" w:space="0" w:color="auto"/>
              <w:bottom w:val="single" w:sz="12" w:space="0" w:color="auto"/>
            </w:tcBorders>
            <w:shd w:val="clear" w:color="auto" w:fill="auto"/>
            <w:vAlign w:val="bottom"/>
          </w:tcPr>
          <w:p w:rsidR="0073290F" w:rsidRPr="004079AB" w:rsidRDefault="0073290F" w:rsidP="004079AB">
            <w:pPr>
              <w:suppressAutoHyphens/>
              <w:spacing w:before="80" w:after="80" w:line="160" w:lineRule="exact"/>
              <w:ind w:right="43"/>
              <w:jc w:val="right"/>
              <w:rPr>
                <w:bCs/>
                <w:i/>
                <w:sz w:val="14"/>
              </w:rPr>
            </w:pPr>
            <w:r w:rsidRPr="004079AB">
              <w:rPr>
                <w:bCs/>
                <w:i/>
                <w:sz w:val="14"/>
              </w:rPr>
              <w:t>%</w:t>
            </w:r>
            <w:r w:rsidR="004079AB" w:rsidRPr="004079AB">
              <w:rPr>
                <w:bCs/>
                <w:i/>
                <w:sz w:val="14"/>
              </w:rPr>
              <w:t xml:space="preserve"> </w:t>
            </w:r>
            <w:r w:rsidRPr="004079AB">
              <w:rPr>
                <w:bCs/>
                <w:i/>
                <w:sz w:val="14"/>
              </w:rPr>
              <w:t>de filles</w:t>
            </w:r>
          </w:p>
        </w:tc>
        <w:tc>
          <w:tcPr>
            <w:tcW w:w="1870" w:type="dxa"/>
            <w:tcBorders>
              <w:top w:val="single" w:sz="4" w:space="0" w:color="auto"/>
              <w:bottom w:val="single" w:sz="12" w:space="0" w:color="auto"/>
            </w:tcBorders>
            <w:shd w:val="clear" w:color="auto" w:fill="auto"/>
            <w:vAlign w:val="bottom"/>
          </w:tcPr>
          <w:p w:rsidR="0073290F" w:rsidRPr="004079AB" w:rsidRDefault="0073290F" w:rsidP="004079AB">
            <w:pPr>
              <w:suppressAutoHyphens/>
              <w:spacing w:before="80" w:after="80" w:line="160" w:lineRule="exact"/>
              <w:ind w:right="43"/>
              <w:jc w:val="right"/>
              <w:rPr>
                <w:bCs/>
                <w:i/>
                <w:sz w:val="14"/>
              </w:rPr>
            </w:pPr>
            <w:r w:rsidRPr="004079AB">
              <w:rPr>
                <w:bCs/>
                <w:i/>
                <w:sz w:val="14"/>
              </w:rPr>
              <w:t>Titulaires d’une Maîtrise et Diplômés dans une Spécialité – Nombre total</w:t>
            </w:r>
          </w:p>
        </w:tc>
        <w:tc>
          <w:tcPr>
            <w:tcW w:w="1073" w:type="dxa"/>
            <w:tcBorders>
              <w:top w:val="single" w:sz="4" w:space="0" w:color="auto"/>
              <w:bottom w:val="single" w:sz="12" w:space="0" w:color="auto"/>
            </w:tcBorders>
            <w:shd w:val="clear" w:color="auto" w:fill="auto"/>
            <w:vAlign w:val="bottom"/>
          </w:tcPr>
          <w:p w:rsidR="0073290F" w:rsidRPr="004079AB" w:rsidRDefault="0073290F" w:rsidP="004079AB">
            <w:pPr>
              <w:suppressAutoHyphens/>
              <w:spacing w:before="80" w:after="80" w:line="160" w:lineRule="exact"/>
              <w:ind w:right="43"/>
              <w:jc w:val="right"/>
              <w:rPr>
                <w:bCs/>
                <w:i/>
                <w:sz w:val="14"/>
              </w:rPr>
            </w:pPr>
            <w:r w:rsidRPr="004079AB">
              <w:rPr>
                <w:bCs/>
                <w:i/>
                <w:sz w:val="14"/>
              </w:rPr>
              <w:t>Nombre de filles</w:t>
            </w:r>
          </w:p>
        </w:tc>
        <w:tc>
          <w:tcPr>
            <w:tcW w:w="907" w:type="dxa"/>
            <w:tcBorders>
              <w:top w:val="single" w:sz="4" w:space="0" w:color="auto"/>
              <w:bottom w:val="single" w:sz="12" w:space="0" w:color="auto"/>
            </w:tcBorders>
            <w:shd w:val="clear" w:color="auto" w:fill="auto"/>
            <w:vAlign w:val="bottom"/>
          </w:tcPr>
          <w:p w:rsidR="0073290F" w:rsidRPr="004079AB" w:rsidRDefault="0073290F" w:rsidP="004079AB">
            <w:pPr>
              <w:suppressAutoHyphens/>
              <w:spacing w:before="80" w:after="80" w:line="160" w:lineRule="exact"/>
              <w:ind w:right="43"/>
              <w:jc w:val="right"/>
              <w:rPr>
                <w:bCs/>
                <w:i/>
                <w:sz w:val="14"/>
              </w:rPr>
            </w:pPr>
            <w:r w:rsidRPr="004079AB">
              <w:rPr>
                <w:bCs/>
                <w:i/>
                <w:sz w:val="14"/>
              </w:rPr>
              <w:t>% de filles</w:t>
            </w:r>
          </w:p>
        </w:tc>
      </w:tr>
      <w:tr w:rsidR="004079AB" w:rsidRPr="004079AB">
        <w:tblPrEx>
          <w:tblCellMar>
            <w:top w:w="0" w:type="dxa"/>
            <w:bottom w:w="0" w:type="dxa"/>
          </w:tblCellMar>
        </w:tblPrEx>
        <w:trPr>
          <w:trHeight w:hRule="exact" w:val="115"/>
          <w:tblHeader/>
        </w:trPr>
        <w:tc>
          <w:tcPr>
            <w:tcW w:w="580" w:type="dxa"/>
            <w:tcBorders>
              <w:top w:val="single" w:sz="12" w:space="0" w:color="auto"/>
            </w:tcBorders>
            <w:shd w:val="clear" w:color="auto" w:fill="auto"/>
            <w:vAlign w:val="bottom"/>
          </w:tcPr>
          <w:p w:rsidR="004079AB" w:rsidRPr="004079AB" w:rsidRDefault="004079AB" w:rsidP="004079AB">
            <w:pPr>
              <w:suppressAutoHyphens/>
              <w:spacing w:before="40" w:after="40" w:line="210" w:lineRule="exact"/>
              <w:ind w:right="43"/>
              <w:jc w:val="both"/>
              <w:rPr>
                <w:sz w:val="17"/>
              </w:rPr>
            </w:pPr>
          </w:p>
        </w:tc>
        <w:tc>
          <w:tcPr>
            <w:tcW w:w="1193" w:type="dxa"/>
            <w:tcBorders>
              <w:top w:val="single" w:sz="12" w:space="0" w:color="auto"/>
            </w:tcBorders>
            <w:shd w:val="clear" w:color="auto" w:fill="auto"/>
            <w:vAlign w:val="bottom"/>
          </w:tcPr>
          <w:p w:rsidR="004079AB" w:rsidRPr="004079AB" w:rsidRDefault="004079AB" w:rsidP="004079AB">
            <w:pPr>
              <w:suppressAutoHyphens/>
              <w:spacing w:before="40" w:after="40" w:line="210" w:lineRule="exact"/>
              <w:ind w:right="43"/>
              <w:jc w:val="right"/>
              <w:rPr>
                <w:sz w:val="17"/>
              </w:rPr>
            </w:pPr>
          </w:p>
        </w:tc>
        <w:tc>
          <w:tcPr>
            <w:tcW w:w="1037" w:type="dxa"/>
            <w:tcBorders>
              <w:top w:val="single" w:sz="12" w:space="0" w:color="auto"/>
            </w:tcBorders>
            <w:shd w:val="clear" w:color="auto" w:fill="auto"/>
            <w:vAlign w:val="bottom"/>
          </w:tcPr>
          <w:p w:rsidR="004079AB" w:rsidRPr="004079AB" w:rsidRDefault="004079AB" w:rsidP="004079AB">
            <w:pPr>
              <w:suppressAutoHyphens/>
              <w:spacing w:before="40" w:after="40" w:line="210" w:lineRule="exact"/>
              <w:ind w:right="43"/>
              <w:jc w:val="right"/>
              <w:rPr>
                <w:sz w:val="17"/>
              </w:rPr>
            </w:pPr>
          </w:p>
        </w:tc>
        <w:tc>
          <w:tcPr>
            <w:tcW w:w="1150" w:type="dxa"/>
            <w:tcBorders>
              <w:top w:val="single" w:sz="12" w:space="0" w:color="auto"/>
            </w:tcBorders>
            <w:shd w:val="clear" w:color="auto" w:fill="auto"/>
            <w:vAlign w:val="bottom"/>
          </w:tcPr>
          <w:p w:rsidR="004079AB" w:rsidRPr="004079AB" w:rsidRDefault="004079AB" w:rsidP="004079AB">
            <w:pPr>
              <w:suppressAutoHyphens/>
              <w:spacing w:before="40" w:after="40" w:line="210" w:lineRule="exact"/>
              <w:ind w:right="43"/>
              <w:jc w:val="right"/>
              <w:rPr>
                <w:sz w:val="17"/>
              </w:rPr>
            </w:pPr>
          </w:p>
        </w:tc>
        <w:tc>
          <w:tcPr>
            <w:tcW w:w="1870" w:type="dxa"/>
            <w:tcBorders>
              <w:top w:val="single" w:sz="12" w:space="0" w:color="auto"/>
            </w:tcBorders>
            <w:shd w:val="clear" w:color="auto" w:fill="auto"/>
            <w:vAlign w:val="bottom"/>
          </w:tcPr>
          <w:p w:rsidR="004079AB" w:rsidRPr="004079AB" w:rsidRDefault="004079AB" w:rsidP="004079AB">
            <w:pPr>
              <w:suppressAutoHyphens/>
              <w:spacing w:before="40" w:after="40" w:line="210" w:lineRule="exact"/>
              <w:ind w:right="43"/>
              <w:jc w:val="right"/>
              <w:rPr>
                <w:sz w:val="17"/>
              </w:rPr>
            </w:pPr>
          </w:p>
        </w:tc>
        <w:tc>
          <w:tcPr>
            <w:tcW w:w="1073" w:type="dxa"/>
            <w:tcBorders>
              <w:top w:val="single" w:sz="12" w:space="0" w:color="auto"/>
            </w:tcBorders>
            <w:shd w:val="clear" w:color="auto" w:fill="auto"/>
            <w:vAlign w:val="bottom"/>
          </w:tcPr>
          <w:p w:rsidR="004079AB" w:rsidRPr="004079AB" w:rsidRDefault="004079AB" w:rsidP="004079AB">
            <w:pPr>
              <w:suppressAutoHyphens/>
              <w:spacing w:before="40" w:after="40" w:line="210" w:lineRule="exact"/>
              <w:ind w:right="43"/>
              <w:jc w:val="right"/>
              <w:rPr>
                <w:sz w:val="17"/>
              </w:rPr>
            </w:pPr>
          </w:p>
        </w:tc>
        <w:tc>
          <w:tcPr>
            <w:tcW w:w="907" w:type="dxa"/>
            <w:tcBorders>
              <w:top w:val="single" w:sz="12" w:space="0" w:color="auto"/>
            </w:tcBorders>
            <w:shd w:val="clear" w:color="auto" w:fill="auto"/>
            <w:vAlign w:val="bottom"/>
          </w:tcPr>
          <w:p w:rsidR="004079AB" w:rsidRPr="004079AB" w:rsidRDefault="004079AB" w:rsidP="004079AB">
            <w:pPr>
              <w:suppressAutoHyphens/>
              <w:spacing w:before="40" w:after="40" w:line="210" w:lineRule="exact"/>
              <w:ind w:right="43"/>
              <w:jc w:val="right"/>
              <w:rPr>
                <w:sz w:val="17"/>
              </w:rPr>
            </w:pPr>
          </w:p>
        </w:tc>
      </w:tr>
      <w:tr w:rsidR="0073290F" w:rsidRPr="004079AB">
        <w:tblPrEx>
          <w:tblCellMar>
            <w:top w:w="0" w:type="dxa"/>
            <w:bottom w:w="0" w:type="dxa"/>
          </w:tblCellMar>
        </w:tblPrEx>
        <w:tc>
          <w:tcPr>
            <w:tcW w:w="58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both"/>
              <w:rPr>
                <w:sz w:val="17"/>
              </w:rPr>
            </w:pPr>
            <w:r w:rsidRPr="004079AB">
              <w:rPr>
                <w:sz w:val="17"/>
              </w:rPr>
              <w:t>2001</w:t>
            </w:r>
          </w:p>
        </w:tc>
        <w:tc>
          <w:tcPr>
            <w:tcW w:w="1193"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298</w:t>
            </w:r>
          </w:p>
        </w:tc>
        <w:tc>
          <w:tcPr>
            <w:tcW w:w="1037"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146</w:t>
            </w:r>
          </w:p>
        </w:tc>
        <w:tc>
          <w:tcPr>
            <w:tcW w:w="115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49,0</w:t>
            </w:r>
          </w:p>
        </w:tc>
        <w:tc>
          <w:tcPr>
            <w:tcW w:w="187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905</w:t>
            </w:r>
          </w:p>
        </w:tc>
        <w:tc>
          <w:tcPr>
            <w:tcW w:w="1073"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454</w:t>
            </w:r>
          </w:p>
        </w:tc>
        <w:tc>
          <w:tcPr>
            <w:tcW w:w="907"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50,2</w:t>
            </w:r>
          </w:p>
        </w:tc>
      </w:tr>
      <w:tr w:rsidR="0073290F" w:rsidRPr="004079AB">
        <w:tblPrEx>
          <w:tblCellMar>
            <w:top w:w="0" w:type="dxa"/>
            <w:bottom w:w="0" w:type="dxa"/>
          </w:tblCellMar>
        </w:tblPrEx>
        <w:tc>
          <w:tcPr>
            <w:tcW w:w="58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both"/>
              <w:rPr>
                <w:sz w:val="17"/>
              </w:rPr>
            </w:pPr>
            <w:r w:rsidRPr="004079AB">
              <w:rPr>
                <w:sz w:val="17"/>
              </w:rPr>
              <w:t>2002</w:t>
            </w:r>
          </w:p>
        </w:tc>
        <w:tc>
          <w:tcPr>
            <w:tcW w:w="1193"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318</w:t>
            </w:r>
          </w:p>
        </w:tc>
        <w:tc>
          <w:tcPr>
            <w:tcW w:w="1037"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144</w:t>
            </w:r>
          </w:p>
        </w:tc>
        <w:tc>
          <w:tcPr>
            <w:tcW w:w="115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45,3</w:t>
            </w:r>
          </w:p>
        </w:tc>
        <w:tc>
          <w:tcPr>
            <w:tcW w:w="187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1.058</w:t>
            </w:r>
          </w:p>
        </w:tc>
        <w:tc>
          <w:tcPr>
            <w:tcW w:w="1073"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572</w:t>
            </w:r>
          </w:p>
        </w:tc>
        <w:tc>
          <w:tcPr>
            <w:tcW w:w="907"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54,1</w:t>
            </w:r>
          </w:p>
        </w:tc>
      </w:tr>
      <w:tr w:rsidR="0073290F" w:rsidRPr="004079AB">
        <w:tblPrEx>
          <w:tblCellMar>
            <w:top w:w="0" w:type="dxa"/>
            <w:bottom w:w="0" w:type="dxa"/>
          </w:tblCellMar>
        </w:tblPrEx>
        <w:tc>
          <w:tcPr>
            <w:tcW w:w="58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both"/>
              <w:rPr>
                <w:sz w:val="17"/>
              </w:rPr>
            </w:pPr>
            <w:r w:rsidRPr="004079AB">
              <w:rPr>
                <w:sz w:val="17"/>
              </w:rPr>
              <w:t>2003</w:t>
            </w:r>
          </w:p>
        </w:tc>
        <w:tc>
          <w:tcPr>
            <w:tcW w:w="1193"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367</w:t>
            </w:r>
          </w:p>
        </w:tc>
        <w:tc>
          <w:tcPr>
            <w:tcW w:w="1037"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152</w:t>
            </w:r>
          </w:p>
        </w:tc>
        <w:tc>
          <w:tcPr>
            <w:tcW w:w="115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41,4</w:t>
            </w:r>
          </w:p>
        </w:tc>
        <w:tc>
          <w:tcPr>
            <w:tcW w:w="1870"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1.082</w:t>
            </w:r>
          </w:p>
        </w:tc>
        <w:tc>
          <w:tcPr>
            <w:tcW w:w="1073"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570</w:t>
            </w:r>
          </w:p>
        </w:tc>
        <w:tc>
          <w:tcPr>
            <w:tcW w:w="907" w:type="dxa"/>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52,7</w:t>
            </w:r>
          </w:p>
        </w:tc>
      </w:tr>
      <w:tr w:rsidR="0073290F" w:rsidRPr="004079AB">
        <w:tblPrEx>
          <w:tblCellMar>
            <w:top w:w="0" w:type="dxa"/>
            <w:bottom w:w="0" w:type="dxa"/>
          </w:tblCellMar>
        </w:tblPrEx>
        <w:tc>
          <w:tcPr>
            <w:tcW w:w="580" w:type="dxa"/>
            <w:tcBorders>
              <w:bottom w:val="single" w:sz="12" w:space="0" w:color="auto"/>
            </w:tcBorders>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both"/>
              <w:rPr>
                <w:sz w:val="17"/>
              </w:rPr>
            </w:pPr>
            <w:r w:rsidRPr="004079AB">
              <w:rPr>
                <w:sz w:val="17"/>
              </w:rPr>
              <w:t>2004</w:t>
            </w:r>
          </w:p>
        </w:tc>
        <w:tc>
          <w:tcPr>
            <w:tcW w:w="1193" w:type="dxa"/>
            <w:tcBorders>
              <w:bottom w:val="single" w:sz="12" w:space="0" w:color="auto"/>
            </w:tcBorders>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355</w:t>
            </w:r>
          </w:p>
        </w:tc>
        <w:tc>
          <w:tcPr>
            <w:tcW w:w="1037" w:type="dxa"/>
            <w:tcBorders>
              <w:bottom w:val="single" w:sz="12" w:space="0" w:color="auto"/>
            </w:tcBorders>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144</w:t>
            </w:r>
          </w:p>
        </w:tc>
        <w:tc>
          <w:tcPr>
            <w:tcW w:w="1150" w:type="dxa"/>
            <w:tcBorders>
              <w:bottom w:val="single" w:sz="12" w:space="0" w:color="auto"/>
            </w:tcBorders>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40,6</w:t>
            </w:r>
          </w:p>
        </w:tc>
        <w:tc>
          <w:tcPr>
            <w:tcW w:w="1870" w:type="dxa"/>
            <w:tcBorders>
              <w:bottom w:val="single" w:sz="12" w:space="0" w:color="auto"/>
            </w:tcBorders>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1.056</w:t>
            </w:r>
          </w:p>
        </w:tc>
        <w:tc>
          <w:tcPr>
            <w:tcW w:w="1073" w:type="dxa"/>
            <w:tcBorders>
              <w:bottom w:val="single" w:sz="12" w:space="0" w:color="auto"/>
            </w:tcBorders>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596</w:t>
            </w:r>
          </w:p>
        </w:tc>
        <w:tc>
          <w:tcPr>
            <w:tcW w:w="907" w:type="dxa"/>
            <w:tcBorders>
              <w:bottom w:val="single" w:sz="12" w:space="0" w:color="auto"/>
            </w:tcBorders>
            <w:shd w:val="clear" w:color="auto" w:fill="auto"/>
            <w:vAlign w:val="bottom"/>
          </w:tcPr>
          <w:p w:rsidR="0073290F" w:rsidRPr="004079AB" w:rsidRDefault="0073290F" w:rsidP="004079AB">
            <w:pPr>
              <w:tabs>
                <w:tab w:val="left" w:pos="288"/>
                <w:tab w:val="left" w:pos="576"/>
                <w:tab w:val="left" w:pos="864"/>
                <w:tab w:val="left" w:pos="1152"/>
              </w:tabs>
              <w:suppressAutoHyphens/>
              <w:spacing w:before="40" w:after="40" w:line="210" w:lineRule="exact"/>
              <w:ind w:right="43"/>
              <w:jc w:val="right"/>
              <w:rPr>
                <w:sz w:val="17"/>
              </w:rPr>
            </w:pPr>
            <w:r w:rsidRPr="004079AB">
              <w:rPr>
                <w:sz w:val="17"/>
              </w:rPr>
              <w:t>56,4</w:t>
            </w:r>
          </w:p>
        </w:tc>
      </w:tr>
    </w:tbl>
    <w:p w:rsidR="0073290F" w:rsidRPr="004079AB" w:rsidRDefault="0073290F" w:rsidP="004079AB">
      <w:pPr>
        <w:pStyle w:val="SingleTxt"/>
        <w:rPr>
          <w:sz w:val="17"/>
          <w:szCs w:val="17"/>
          <w:lang w:val="fr-FR"/>
        </w:rPr>
      </w:pPr>
      <w:r w:rsidRPr="004079AB">
        <w:rPr>
          <w:i/>
          <w:sz w:val="17"/>
          <w:szCs w:val="17"/>
          <w:lang w:val="fr-FR"/>
        </w:rPr>
        <w:t>Source</w:t>
      </w:r>
      <w:r w:rsidRPr="004079AB">
        <w:rPr>
          <w:sz w:val="17"/>
          <w:szCs w:val="17"/>
          <w:lang w:val="fr-FR"/>
        </w:rPr>
        <w:t xml:space="preserve">: Annuaire statistique 2005, Institut de la Statistique de la République de Slovénie. </w:t>
      </w:r>
    </w:p>
    <w:p w:rsidR="0073290F" w:rsidRDefault="0073290F" w:rsidP="0015391B">
      <w:pPr>
        <w:pStyle w:val="SingleTxt"/>
        <w:jc w:val="left"/>
        <w:rPr>
          <w:lang w:val="fr-FR"/>
        </w:rPr>
      </w:pPr>
      <w:r w:rsidRPr="00FF20BB">
        <w:rPr>
          <w:lang w:val="fr-FR"/>
        </w:rPr>
        <w:t>Tableau 27</w:t>
      </w:r>
      <w:r w:rsidR="0015391B">
        <w:rPr>
          <w:lang w:val="fr-FR"/>
        </w:rPr>
        <w:br/>
      </w:r>
      <w:r w:rsidRPr="0015391B">
        <w:rPr>
          <w:b/>
          <w:lang w:val="fr-FR"/>
        </w:rPr>
        <w:t>Elèves et étudiants boursiers, par type de bourse (fin 2004)</w:t>
      </w:r>
      <w:r w:rsidRPr="00FF20BB">
        <w:rPr>
          <w:lang w:val="fr-FR"/>
        </w:rPr>
        <w:t xml:space="preserve"> </w:t>
      </w:r>
    </w:p>
    <w:p w:rsidR="0015391B" w:rsidRPr="0015391B" w:rsidRDefault="0015391B" w:rsidP="0015391B">
      <w:pPr>
        <w:pStyle w:val="SingleTxt"/>
        <w:spacing w:after="0" w:line="120" w:lineRule="exact"/>
        <w:jc w:val="left"/>
        <w:rPr>
          <w:sz w:val="10"/>
          <w:lang w:val="fr-FR"/>
        </w:rPr>
      </w:pPr>
    </w:p>
    <w:tbl>
      <w:tblPr>
        <w:tblW w:w="0" w:type="auto"/>
        <w:tblCellMar>
          <w:left w:w="70" w:type="dxa"/>
          <w:right w:w="70" w:type="dxa"/>
        </w:tblCellMar>
        <w:tblLook w:val="0000" w:firstRow="0" w:lastRow="0" w:firstColumn="0" w:lastColumn="0" w:noHBand="0" w:noVBand="0"/>
      </w:tblPr>
      <w:tblGrid>
        <w:gridCol w:w="4300"/>
        <w:gridCol w:w="1800"/>
        <w:gridCol w:w="1980"/>
        <w:gridCol w:w="1800"/>
      </w:tblGrid>
      <w:tr w:rsidR="0073290F" w:rsidRPr="0015391B">
        <w:tblPrEx>
          <w:tblCellMar>
            <w:top w:w="0" w:type="dxa"/>
            <w:bottom w:w="0" w:type="dxa"/>
          </w:tblCellMar>
        </w:tblPrEx>
        <w:trPr>
          <w:tblHeader/>
        </w:trPr>
        <w:tc>
          <w:tcPr>
            <w:tcW w:w="4300" w:type="dxa"/>
            <w:tcBorders>
              <w:top w:val="single" w:sz="4" w:space="0" w:color="auto"/>
              <w:bottom w:val="single" w:sz="12" w:space="0" w:color="auto"/>
            </w:tcBorders>
            <w:shd w:val="clear" w:color="auto" w:fill="auto"/>
            <w:vAlign w:val="bottom"/>
          </w:tcPr>
          <w:p w:rsidR="0073290F" w:rsidRPr="0015391B" w:rsidRDefault="0073290F" w:rsidP="0015391B">
            <w:pPr>
              <w:pStyle w:val="Predoblikovano"/>
              <w:tabs>
                <w:tab w:val="clear" w:pos="959"/>
                <w:tab w:val="clear" w:pos="1918"/>
                <w:tab w:val="clear" w:pos="2877"/>
                <w:tab w:val="clear" w:pos="3836"/>
                <w:tab w:val="clear" w:pos="4795"/>
                <w:tab w:val="clear" w:pos="5754"/>
                <w:tab w:val="clear" w:pos="6713"/>
                <w:tab w:val="clear" w:pos="7672"/>
                <w:tab w:val="clear" w:pos="8631"/>
                <w:tab w:val="clear" w:pos="9590"/>
                <w:tab w:val="left" w:pos="470"/>
              </w:tabs>
              <w:suppressAutoHyphens/>
              <w:spacing w:before="80" w:after="80" w:line="160" w:lineRule="exact"/>
              <w:ind w:right="43"/>
              <w:jc w:val="both"/>
              <w:rPr>
                <w:rFonts w:ascii="Times New Roman" w:hAnsi="Times New Roman" w:cs="Times New Roman"/>
                <w:bCs/>
                <w:i/>
                <w:sz w:val="14"/>
                <w:szCs w:val="24"/>
                <w:lang w:val="fr-FR"/>
              </w:rPr>
            </w:pPr>
            <w:r w:rsidRPr="0015391B">
              <w:rPr>
                <w:rFonts w:ascii="Times New Roman" w:hAnsi="Times New Roman" w:cs="Times New Roman"/>
                <w:bCs/>
                <w:i/>
                <w:sz w:val="14"/>
                <w:szCs w:val="24"/>
                <w:lang w:val="fr-FR"/>
              </w:rPr>
              <w:tab/>
            </w:r>
          </w:p>
        </w:tc>
        <w:tc>
          <w:tcPr>
            <w:tcW w:w="1800" w:type="dxa"/>
            <w:tcBorders>
              <w:top w:val="single" w:sz="4" w:space="0" w:color="auto"/>
              <w:bottom w:val="single" w:sz="12" w:space="0" w:color="auto"/>
            </w:tcBorders>
            <w:shd w:val="clear" w:color="auto" w:fill="auto"/>
            <w:vAlign w:val="bottom"/>
          </w:tcPr>
          <w:p w:rsidR="0073290F" w:rsidRPr="0015391B" w:rsidRDefault="0073290F" w:rsidP="0015391B">
            <w:pPr>
              <w:pStyle w:val="Predoblikovano"/>
              <w:tabs>
                <w:tab w:val="clear" w:pos="9590"/>
              </w:tabs>
              <w:suppressAutoHyphens/>
              <w:spacing w:before="80" w:after="80" w:line="160" w:lineRule="exact"/>
              <w:ind w:right="43"/>
              <w:jc w:val="right"/>
              <w:rPr>
                <w:rFonts w:ascii="Times New Roman" w:hAnsi="Times New Roman" w:cs="Times New Roman"/>
                <w:i/>
                <w:sz w:val="14"/>
                <w:szCs w:val="24"/>
              </w:rPr>
            </w:pPr>
            <w:r w:rsidRPr="0015391B">
              <w:rPr>
                <w:rFonts w:ascii="Times New Roman" w:hAnsi="Times New Roman" w:cs="Times New Roman"/>
                <w:i/>
                <w:sz w:val="14"/>
                <w:szCs w:val="24"/>
                <w:lang w:val="fr-FR"/>
              </w:rPr>
              <w:t>Nombre total de boursiers</w:t>
            </w:r>
          </w:p>
        </w:tc>
        <w:tc>
          <w:tcPr>
            <w:tcW w:w="1980" w:type="dxa"/>
            <w:tcBorders>
              <w:top w:val="single" w:sz="4" w:space="0" w:color="auto"/>
              <w:bottom w:val="single" w:sz="12" w:space="0" w:color="auto"/>
            </w:tcBorders>
            <w:shd w:val="clear" w:color="auto" w:fill="auto"/>
            <w:vAlign w:val="bottom"/>
          </w:tcPr>
          <w:p w:rsidR="0073290F" w:rsidRPr="0015391B" w:rsidRDefault="0073290F" w:rsidP="0015391B">
            <w:pPr>
              <w:pStyle w:val="Predoblikovano"/>
              <w:tabs>
                <w:tab w:val="clear" w:pos="9590"/>
              </w:tabs>
              <w:suppressAutoHyphens/>
              <w:spacing w:before="80" w:after="80" w:line="160" w:lineRule="exact"/>
              <w:ind w:right="43"/>
              <w:jc w:val="right"/>
              <w:rPr>
                <w:rFonts w:ascii="Times New Roman" w:hAnsi="Times New Roman" w:cs="Times New Roman"/>
                <w:i/>
                <w:sz w:val="14"/>
                <w:szCs w:val="24"/>
              </w:rPr>
            </w:pPr>
            <w:r w:rsidRPr="0015391B">
              <w:rPr>
                <w:rFonts w:ascii="Times New Roman" w:hAnsi="Times New Roman" w:cs="Times New Roman"/>
                <w:i/>
                <w:sz w:val="14"/>
                <w:szCs w:val="24"/>
              </w:rPr>
              <w:t xml:space="preserve">Bourses par parrainage </w:t>
            </w:r>
          </w:p>
        </w:tc>
        <w:tc>
          <w:tcPr>
            <w:tcW w:w="1800" w:type="dxa"/>
            <w:tcBorders>
              <w:top w:val="single" w:sz="4" w:space="0" w:color="auto"/>
              <w:bottom w:val="single" w:sz="12" w:space="0" w:color="auto"/>
            </w:tcBorders>
            <w:shd w:val="clear" w:color="auto" w:fill="auto"/>
            <w:vAlign w:val="bottom"/>
          </w:tcPr>
          <w:p w:rsidR="0073290F" w:rsidRPr="0015391B" w:rsidRDefault="0073290F" w:rsidP="0015391B">
            <w:pPr>
              <w:pStyle w:val="Predoblikovano"/>
              <w:tabs>
                <w:tab w:val="clear" w:pos="9590"/>
              </w:tabs>
              <w:suppressAutoHyphens/>
              <w:spacing w:before="80" w:after="80" w:line="160" w:lineRule="exact"/>
              <w:ind w:right="43"/>
              <w:jc w:val="right"/>
              <w:rPr>
                <w:rFonts w:ascii="Times New Roman" w:hAnsi="Times New Roman" w:cs="Times New Roman"/>
                <w:i/>
                <w:sz w:val="14"/>
                <w:szCs w:val="24"/>
              </w:rPr>
            </w:pPr>
            <w:r w:rsidRPr="0015391B">
              <w:rPr>
                <w:rFonts w:ascii="Times New Roman" w:hAnsi="Times New Roman" w:cs="Times New Roman"/>
                <w:i/>
                <w:sz w:val="14"/>
                <w:szCs w:val="24"/>
              </w:rPr>
              <w:t>Bourses d’Etat et Zois*</w:t>
            </w:r>
          </w:p>
        </w:tc>
      </w:tr>
      <w:tr w:rsidR="0015391B" w:rsidRPr="0015391B">
        <w:tblPrEx>
          <w:tblCellMar>
            <w:top w:w="0" w:type="dxa"/>
            <w:bottom w:w="0" w:type="dxa"/>
          </w:tblCellMar>
        </w:tblPrEx>
        <w:trPr>
          <w:trHeight w:hRule="exact" w:val="115"/>
          <w:tblHeader/>
        </w:trPr>
        <w:tc>
          <w:tcPr>
            <w:tcW w:w="4300" w:type="dxa"/>
            <w:tcBorders>
              <w:top w:val="single" w:sz="12" w:space="0" w:color="auto"/>
            </w:tcBorders>
            <w:shd w:val="clear" w:color="auto" w:fill="auto"/>
            <w:vAlign w:val="bottom"/>
          </w:tcPr>
          <w:p w:rsidR="0015391B" w:rsidRPr="0015391B" w:rsidRDefault="0015391B" w:rsidP="0015391B">
            <w:pPr>
              <w:pStyle w:val="Predoblikovano"/>
              <w:tabs>
                <w:tab w:val="clear" w:pos="9590"/>
              </w:tabs>
              <w:suppressAutoHyphens/>
              <w:spacing w:before="40" w:after="40" w:line="210" w:lineRule="exact"/>
              <w:ind w:right="43"/>
              <w:jc w:val="both"/>
              <w:rPr>
                <w:rFonts w:ascii="Times New Roman" w:hAnsi="Times New Roman" w:cs="Times New Roman"/>
                <w:b/>
                <w:sz w:val="17"/>
                <w:szCs w:val="24"/>
              </w:rPr>
            </w:pPr>
          </w:p>
        </w:tc>
        <w:tc>
          <w:tcPr>
            <w:tcW w:w="1800" w:type="dxa"/>
            <w:tcBorders>
              <w:top w:val="single" w:sz="12" w:space="0" w:color="auto"/>
            </w:tcBorders>
            <w:shd w:val="clear" w:color="auto" w:fill="auto"/>
            <w:vAlign w:val="bottom"/>
          </w:tcPr>
          <w:p w:rsidR="0015391B" w:rsidRPr="0015391B" w:rsidRDefault="0015391B" w:rsidP="0015391B">
            <w:pPr>
              <w:pStyle w:val="CommentText"/>
              <w:suppressAutoHyphens/>
              <w:spacing w:before="40" w:after="40" w:line="210" w:lineRule="exact"/>
              <w:ind w:right="43"/>
              <w:jc w:val="right"/>
              <w:rPr>
                <w:rFonts w:eastAsia="Arial Unicode MS"/>
                <w:b/>
                <w:sz w:val="17"/>
                <w:szCs w:val="24"/>
              </w:rPr>
            </w:pPr>
          </w:p>
        </w:tc>
        <w:tc>
          <w:tcPr>
            <w:tcW w:w="1980"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rFonts w:eastAsia="Arial Unicode MS"/>
                <w:b/>
                <w:sz w:val="17"/>
              </w:rPr>
            </w:pPr>
          </w:p>
        </w:tc>
        <w:tc>
          <w:tcPr>
            <w:tcW w:w="1800"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rFonts w:eastAsia="Arial Unicode MS"/>
                <w:b/>
                <w:sz w:val="17"/>
              </w:rPr>
            </w:pPr>
          </w:p>
        </w:tc>
      </w:tr>
      <w:tr w:rsidR="0073290F" w:rsidRPr="0015391B">
        <w:tblPrEx>
          <w:tblCellMar>
            <w:top w:w="0" w:type="dxa"/>
            <w:bottom w:w="0" w:type="dxa"/>
          </w:tblCellMar>
        </w:tblPrEx>
        <w:tc>
          <w:tcPr>
            <w:tcW w:w="43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both"/>
              <w:rPr>
                <w:rFonts w:ascii="Times New Roman" w:hAnsi="Times New Roman" w:cs="Times New Roman"/>
                <w:b/>
                <w:sz w:val="17"/>
                <w:szCs w:val="24"/>
              </w:rPr>
            </w:pPr>
            <w:r w:rsidRPr="0015391B">
              <w:rPr>
                <w:rFonts w:ascii="Times New Roman" w:hAnsi="Times New Roman" w:cs="Times New Roman"/>
                <w:b/>
                <w:sz w:val="17"/>
                <w:szCs w:val="24"/>
              </w:rPr>
              <w:t>Nombre total de boursiers</w:t>
            </w:r>
          </w:p>
        </w:tc>
        <w:tc>
          <w:tcPr>
            <w:tcW w:w="1800" w:type="dxa"/>
            <w:shd w:val="clear" w:color="auto" w:fill="auto"/>
            <w:vAlign w:val="bottom"/>
          </w:tcPr>
          <w:p w:rsidR="0073290F" w:rsidRPr="0015391B" w:rsidRDefault="0073290F" w:rsidP="0015391B">
            <w:pPr>
              <w:pStyle w:val="CommentText"/>
              <w:tabs>
                <w:tab w:val="left" w:pos="288"/>
                <w:tab w:val="left" w:pos="576"/>
                <w:tab w:val="left" w:pos="864"/>
                <w:tab w:val="left" w:pos="1152"/>
              </w:tabs>
              <w:suppressAutoHyphens/>
              <w:spacing w:before="40" w:after="40" w:line="210" w:lineRule="exact"/>
              <w:ind w:right="43"/>
              <w:jc w:val="right"/>
              <w:rPr>
                <w:rFonts w:eastAsia="Arial Unicode MS"/>
                <w:b/>
                <w:sz w:val="17"/>
                <w:szCs w:val="24"/>
              </w:rPr>
            </w:pPr>
            <w:r w:rsidRPr="0015391B">
              <w:rPr>
                <w:rFonts w:eastAsia="Arial Unicode MS"/>
                <w:b/>
                <w:sz w:val="17"/>
                <w:szCs w:val="24"/>
              </w:rPr>
              <w:t>60.691</w:t>
            </w:r>
          </w:p>
        </w:tc>
        <w:tc>
          <w:tcPr>
            <w:tcW w:w="198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rFonts w:eastAsia="Arial Unicode MS"/>
                <w:b/>
                <w:sz w:val="17"/>
              </w:rPr>
            </w:pPr>
            <w:r w:rsidRPr="0015391B">
              <w:rPr>
                <w:rFonts w:eastAsia="Arial Unicode MS"/>
                <w:b/>
                <w:sz w:val="17"/>
              </w:rPr>
              <w:t>7.077</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rFonts w:eastAsia="Arial Unicode MS"/>
                <w:b/>
                <w:sz w:val="17"/>
              </w:rPr>
            </w:pPr>
            <w:r w:rsidRPr="0015391B">
              <w:rPr>
                <w:rFonts w:eastAsia="Arial Unicode MS"/>
                <w:b/>
                <w:sz w:val="17"/>
              </w:rPr>
              <w:t>53.579</w:t>
            </w:r>
          </w:p>
        </w:tc>
      </w:tr>
      <w:tr w:rsidR="0073290F" w:rsidRPr="0015391B">
        <w:tblPrEx>
          <w:tblCellMar>
            <w:top w:w="0" w:type="dxa"/>
            <w:bottom w:w="0" w:type="dxa"/>
          </w:tblCellMar>
        </w:tblPrEx>
        <w:tc>
          <w:tcPr>
            <w:tcW w:w="43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both"/>
              <w:rPr>
                <w:rFonts w:ascii="Times New Roman" w:hAnsi="Times New Roman" w:cs="Times New Roman"/>
                <w:bCs/>
                <w:sz w:val="17"/>
                <w:szCs w:val="24"/>
              </w:rPr>
            </w:pPr>
            <w:r w:rsidRPr="0015391B">
              <w:rPr>
                <w:rFonts w:ascii="Times New Roman" w:hAnsi="Times New Roman" w:cs="Times New Roman"/>
                <w:bCs/>
                <w:sz w:val="17"/>
                <w:szCs w:val="24"/>
              </w:rPr>
              <w:t>Filles</w:t>
            </w:r>
          </w:p>
        </w:tc>
        <w:tc>
          <w:tcPr>
            <w:tcW w:w="18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Cs/>
                <w:sz w:val="17"/>
                <w:szCs w:val="24"/>
              </w:rPr>
            </w:pPr>
            <w:r w:rsidRPr="0015391B">
              <w:rPr>
                <w:rFonts w:ascii="Times New Roman" w:hAnsi="Times New Roman" w:cs="Times New Roman"/>
                <w:bCs/>
                <w:sz w:val="17"/>
                <w:szCs w:val="24"/>
              </w:rPr>
              <w:t>33.187</w:t>
            </w:r>
          </w:p>
        </w:tc>
        <w:tc>
          <w:tcPr>
            <w:tcW w:w="198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Cs/>
                <w:sz w:val="17"/>
                <w:szCs w:val="24"/>
              </w:rPr>
            </w:pPr>
            <w:r w:rsidRPr="0015391B">
              <w:rPr>
                <w:rFonts w:ascii="Times New Roman" w:hAnsi="Times New Roman" w:cs="Times New Roman"/>
                <w:bCs/>
                <w:sz w:val="17"/>
                <w:szCs w:val="24"/>
              </w:rPr>
              <w:t>2.671</w:t>
            </w:r>
          </w:p>
        </w:tc>
        <w:tc>
          <w:tcPr>
            <w:tcW w:w="18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Cs/>
                <w:sz w:val="17"/>
                <w:szCs w:val="24"/>
              </w:rPr>
            </w:pPr>
            <w:r w:rsidRPr="0015391B">
              <w:rPr>
                <w:rFonts w:ascii="Times New Roman" w:hAnsi="Times New Roman" w:cs="Times New Roman"/>
                <w:bCs/>
                <w:sz w:val="17"/>
                <w:szCs w:val="24"/>
              </w:rPr>
              <w:t>30.516</w:t>
            </w:r>
          </w:p>
        </w:tc>
      </w:tr>
      <w:tr w:rsidR="0073290F" w:rsidRPr="0015391B">
        <w:tblPrEx>
          <w:tblCellMar>
            <w:top w:w="0" w:type="dxa"/>
            <w:bottom w:w="0" w:type="dxa"/>
          </w:tblCellMar>
        </w:tblPrEx>
        <w:tc>
          <w:tcPr>
            <w:tcW w:w="43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both"/>
              <w:rPr>
                <w:rFonts w:ascii="Times New Roman" w:hAnsi="Times New Roman" w:cs="Times New Roman"/>
                <w:bCs/>
                <w:sz w:val="17"/>
                <w:szCs w:val="24"/>
              </w:rPr>
            </w:pPr>
            <w:r w:rsidRPr="0015391B">
              <w:rPr>
                <w:rFonts w:ascii="Times New Roman" w:hAnsi="Times New Roman" w:cs="Times New Roman"/>
                <w:bCs/>
                <w:sz w:val="17"/>
                <w:szCs w:val="24"/>
              </w:rPr>
              <w:t>% de filles</w:t>
            </w:r>
          </w:p>
        </w:tc>
        <w:tc>
          <w:tcPr>
            <w:tcW w:w="18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Cs/>
                <w:sz w:val="17"/>
                <w:szCs w:val="24"/>
              </w:rPr>
            </w:pPr>
            <w:r w:rsidRPr="0015391B">
              <w:rPr>
                <w:rFonts w:ascii="Times New Roman" w:hAnsi="Times New Roman" w:cs="Times New Roman"/>
                <w:bCs/>
                <w:sz w:val="17"/>
                <w:szCs w:val="24"/>
              </w:rPr>
              <w:t>54,7</w:t>
            </w:r>
          </w:p>
        </w:tc>
        <w:tc>
          <w:tcPr>
            <w:tcW w:w="198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Cs/>
                <w:sz w:val="17"/>
                <w:szCs w:val="24"/>
              </w:rPr>
            </w:pPr>
            <w:r w:rsidRPr="0015391B">
              <w:rPr>
                <w:rFonts w:ascii="Times New Roman" w:hAnsi="Times New Roman" w:cs="Times New Roman"/>
                <w:bCs/>
                <w:sz w:val="17"/>
                <w:szCs w:val="24"/>
              </w:rPr>
              <w:t>37,7</w:t>
            </w:r>
          </w:p>
        </w:tc>
        <w:tc>
          <w:tcPr>
            <w:tcW w:w="18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Cs/>
                <w:sz w:val="17"/>
                <w:szCs w:val="24"/>
              </w:rPr>
            </w:pPr>
            <w:r w:rsidRPr="0015391B">
              <w:rPr>
                <w:rFonts w:ascii="Times New Roman" w:hAnsi="Times New Roman" w:cs="Times New Roman"/>
                <w:bCs/>
                <w:sz w:val="17"/>
                <w:szCs w:val="24"/>
              </w:rPr>
              <w:t>56,9</w:t>
            </w:r>
          </w:p>
        </w:tc>
      </w:tr>
      <w:tr w:rsidR="0073290F" w:rsidRPr="0015391B">
        <w:tblPrEx>
          <w:tblCellMar>
            <w:top w:w="0" w:type="dxa"/>
            <w:bottom w:w="0" w:type="dxa"/>
          </w:tblCellMar>
        </w:tblPrEx>
        <w:tc>
          <w:tcPr>
            <w:tcW w:w="43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both"/>
              <w:rPr>
                <w:rFonts w:ascii="Times New Roman" w:hAnsi="Times New Roman" w:cs="Times New Roman"/>
                <w:b/>
                <w:sz w:val="17"/>
                <w:szCs w:val="24"/>
              </w:rPr>
            </w:pPr>
            <w:r w:rsidRPr="0015391B">
              <w:rPr>
                <w:rFonts w:ascii="Times New Roman" w:hAnsi="Times New Roman" w:cs="Times New Roman"/>
                <w:b/>
                <w:sz w:val="17"/>
                <w:szCs w:val="24"/>
              </w:rPr>
              <w:t>Nombre total d’étudiants boursiers</w:t>
            </w:r>
          </w:p>
        </w:tc>
        <w:tc>
          <w:tcPr>
            <w:tcW w:w="18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
                <w:sz w:val="17"/>
                <w:szCs w:val="24"/>
              </w:rPr>
            </w:pPr>
            <w:r w:rsidRPr="0015391B">
              <w:rPr>
                <w:rFonts w:ascii="Times New Roman" w:hAnsi="Times New Roman" w:cs="Times New Roman"/>
                <w:b/>
                <w:sz w:val="17"/>
                <w:szCs w:val="24"/>
              </w:rPr>
              <w:t>24.016</w:t>
            </w:r>
          </w:p>
        </w:tc>
        <w:tc>
          <w:tcPr>
            <w:tcW w:w="198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
                <w:sz w:val="17"/>
                <w:szCs w:val="24"/>
              </w:rPr>
            </w:pPr>
            <w:r w:rsidRPr="0015391B">
              <w:rPr>
                <w:rFonts w:ascii="Times New Roman" w:hAnsi="Times New Roman" w:cs="Times New Roman"/>
                <w:b/>
                <w:sz w:val="17"/>
                <w:szCs w:val="24"/>
              </w:rPr>
              <w:t>4.449</w:t>
            </w:r>
          </w:p>
        </w:tc>
        <w:tc>
          <w:tcPr>
            <w:tcW w:w="18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
                <w:sz w:val="17"/>
                <w:szCs w:val="24"/>
              </w:rPr>
            </w:pPr>
            <w:r w:rsidRPr="0015391B">
              <w:rPr>
                <w:rFonts w:ascii="Times New Roman" w:hAnsi="Times New Roman" w:cs="Times New Roman"/>
                <w:b/>
                <w:sz w:val="17"/>
                <w:szCs w:val="24"/>
              </w:rPr>
              <w:t>19.567</w:t>
            </w:r>
          </w:p>
        </w:tc>
      </w:tr>
      <w:tr w:rsidR="0073290F" w:rsidRPr="0015391B">
        <w:tblPrEx>
          <w:tblCellMar>
            <w:top w:w="0" w:type="dxa"/>
            <w:bottom w:w="0" w:type="dxa"/>
          </w:tblCellMar>
        </w:tblPrEx>
        <w:tc>
          <w:tcPr>
            <w:tcW w:w="43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both"/>
              <w:rPr>
                <w:rFonts w:ascii="Times New Roman" w:hAnsi="Times New Roman" w:cs="Times New Roman"/>
                <w:bCs/>
                <w:sz w:val="17"/>
                <w:szCs w:val="24"/>
              </w:rPr>
            </w:pPr>
            <w:r w:rsidRPr="0015391B">
              <w:rPr>
                <w:rFonts w:ascii="Times New Roman" w:hAnsi="Times New Roman" w:cs="Times New Roman"/>
                <w:bCs/>
                <w:sz w:val="17"/>
                <w:szCs w:val="24"/>
              </w:rPr>
              <w:t>Filles</w:t>
            </w:r>
          </w:p>
        </w:tc>
        <w:tc>
          <w:tcPr>
            <w:tcW w:w="18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Cs/>
                <w:sz w:val="17"/>
                <w:szCs w:val="24"/>
              </w:rPr>
            </w:pPr>
            <w:r w:rsidRPr="0015391B">
              <w:rPr>
                <w:rFonts w:ascii="Times New Roman" w:hAnsi="Times New Roman" w:cs="Times New Roman"/>
                <w:bCs/>
                <w:sz w:val="17"/>
                <w:szCs w:val="24"/>
              </w:rPr>
              <w:t>14.444</w:t>
            </w:r>
          </w:p>
        </w:tc>
        <w:tc>
          <w:tcPr>
            <w:tcW w:w="198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Cs/>
                <w:sz w:val="17"/>
                <w:szCs w:val="24"/>
              </w:rPr>
            </w:pPr>
            <w:r w:rsidRPr="0015391B">
              <w:rPr>
                <w:rFonts w:ascii="Times New Roman" w:hAnsi="Times New Roman" w:cs="Times New Roman"/>
                <w:bCs/>
                <w:sz w:val="17"/>
                <w:szCs w:val="24"/>
              </w:rPr>
              <w:t>1.970</w:t>
            </w:r>
          </w:p>
        </w:tc>
        <w:tc>
          <w:tcPr>
            <w:tcW w:w="18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Cs/>
                <w:sz w:val="17"/>
                <w:szCs w:val="24"/>
              </w:rPr>
            </w:pPr>
            <w:r w:rsidRPr="0015391B">
              <w:rPr>
                <w:rFonts w:ascii="Times New Roman" w:hAnsi="Times New Roman" w:cs="Times New Roman"/>
                <w:bCs/>
                <w:sz w:val="17"/>
                <w:szCs w:val="24"/>
              </w:rPr>
              <w:t>12.474</w:t>
            </w:r>
          </w:p>
        </w:tc>
      </w:tr>
      <w:tr w:rsidR="0073290F" w:rsidRPr="0015391B">
        <w:tblPrEx>
          <w:tblCellMar>
            <w:top w:w="0" w:type="dxa"/>
            <w:bottom w:w="0" w:type="dxa"/>
          </w:tblCellMar>
        </w:tblPrEx>
        <w:tc>
          <w:tcPr>
            <w:tcW w:w="43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both"/>
              <w:rPr>
                <w:rFonts w:ascii="Times New Roman" w:hAnsi="Times New Roman" w:cs="Times New Roman"/>
                <w:bCs/>
                <w:sz w:val="17"/>
                <w:szCs w:val="24"/>
              </w:rPr>
            </w:pPr>
            <w:r w:rsidRPr="0015391B">
              <w:rPr>
                <w:rFonts w:ascii="Times New Roman" w:hAnsi="Times New Roman" w:cs="Times New Roman"/>
                <w:bCs/>
                <w:sz w:val="17"/>
                <w:szCs w:val="24"/>
              </w:rPr>
              <w:t>% de filles</w:t>
            </w:r>
          </w:p>
        </w:tc>
        <w:tc>
          <w:tcPr>
            <w:tcW w:w="18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Cs/>
                <w:sz w:val="17"/>
                <w:szCs w:val="24"/>
              </w:rPr>
            </w:pPr>
            <w:r w:rsidRPr="0015391B">
              <w:rPr>
                <w:rFonts w:ascii="Times New Roman" w:hAnsi="Times New Roman" w:cs="Times New Roman"/>
                <w:bCs/>
                <w:sz w:val="17"/>
                <w:szCs w:val="24"/>
              </w:rPr>
              <w:t>60,1</w:t>
            </w:r>
          </w:p>
        </w:tc>
        <w:tc>
          <w:tcPr>
            <w:tcW w:w="198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Cs/>
                <w:sz w:val="17"/>
                <w:szCs w:val="24"/>
              </w:rPr>
            </w:pPr>
            <w:r w:rsidRPr="0015391B">
              <w:rPr>
                <w:rFonts w:ascii="Times New Roman" w:hAnsi="Times New Roman" w:cs="Times New Roman"/>
                <w:bCs/>
                <w:sz w:val="17"/>
                <w:szCs w:val="24"/>
              </w:rPr>
              <w:t>44,3</w:t>
            </w:r>
          </w:p>
        </w:tc>
        <w:tc>
          <w:tcPr>
            <w:tcW w:w="18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Cs/>
                <w:sz w:val="17"/>
                <w:szCs w:val="24"/>
              </w:rPr>
            </w:pPr>
            <w:r w:rsidRPr="0015391B">
              <w:rPr>
                <w:rFonts w:ascii="Times New Roman" w:hAnsi="Times New Roman" w:cs="Times New Roman"/>
                <w:bCs/>
                <w:sz w:val="17"/>
                <w:szCs w:val="24"/>
              </w:rPr>
              <w:t>63,8</w:t>
            </w:r>
          </w:p>
        </w:tc>
      </w:tr>
      <w:tr w:rsidR="0073290F" w:rsidRPr="0015391B">
        <w:tblPrEx>
          <w:tblCellMar>
            <w:top w:w="0" w:type="dxa"/>
            <w:bottom w:w="0" w:type="dxa"/>
          </w:tblCellMar>
        </w:tblPrEx>
        <w:tc>
          <w:tcPr>
            <w:tcW w:w="43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both"/>
              <w:rPr>
                <w:rFonts w:ascii="Times New Roman" w:hAnsi="Times New Roman" w:cs="Times New Roman"/>
                <w:b/>
                <w:sz w:val="17"/>
                <w:szCs w:val="24"/>
              </w:rPr>
            </w:pPr>
            <w:r w:rsidRPr="0015391B">
              <w:rPr>
                <w:rFonts w:ascii="Times New Roman" w:hAnsi="Times New Roman" w:cs="Times New Roman"/>
                <w:b/>
                <w:sz w:val="17"/>
                <w:szCs w:val="24"/>
              </w:rPr>
              <w:t>Nombre total d’élèves boursiers</w:t>
            </w:r>
          </w:p>
        </w:tc>
        <w:tc>
          <w:tcPr>
            <w:tcW w:w="18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
                <w:sz w:val="17"/>
                <w:szCs w:val="24"/>
              </w:rPr>
            </w:pPr>
            <w:r w:rsidRPr="0015391B">
              <w:rPr>
                <w:rFonts w:ascii="Times New Roman" w:hAnsi="Times New Roman" w:cs="Times New Roman"/>
                <w:b/>
                <w:sz w:val="17"/>
                <w:szCs w:val="24"/>
              </w:rPr>
              <w:t>35.675</w:t>
            </w:r>
          </w:p>
        </w:tc>
        <w:tc>
          <w:tcPr>
            <w:tcW w:w="198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
                <w:sz w:val="17"/>
                <w:szCs w:val="24"/>
              </w:rPr>
            </w:pPr>
            <w:r w:rsidRPr="0015391B">
              <w:rPr>
                <w:rFonts w:ascii="Times New Roman" w:hAnsi="Times New Roman" w:cs="Times New Roman"/>
                <w:b/>
                <w:sz w:val="17"/>
                <w:szCs w:val="24"/>
              </w:rPr>
              <w:t>2.628</w:t>
            </w:r>
          </w:p>
        </w:tc>
        <w:tc>
          <w:tcPr>
            <w:tcW w:w="18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
                <w:sz w:val="17"/>
                <w:szCs w:val="24"/>
              </w:rPr>
            </w:pPr>
            <w:r w:rsidRPr="0015391B">
              <w:rPr>
                <w:rFonts w:ascii="Times New Roman" w:hAnsi="Times New Roman" w:cs="Times New Roman"/>
                <w:b/>
                <w:sz w:val="17"/>
                <w:szCs w:val="24"/>
              </w:rPr>
              <w:t>33.047</w:t>
            </w:r>
          </w:p>
        </w:tc>
      </w:tr>
      <w:tr w:rsidR="0073290F" w:rsidRPr="0015391B">
        <w:tblPrEx>
          <w:tblCellMar>
            <w:top w:w="0" w:type="dxa"/>
            <w:bottom w:w="0" w:type="dxa"/>
          </w:tblCellMar>
        </w:tblPrEx>
        <w:tc>
          <w:tcPr>
            <w:tcW w:w="43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both"/>
              <w:rPr>
                <w:rFonts w:ascii="Times New Roman" w:hAnsi="Times New Roman" w:cs="Times New Roman"/>
                <w:bCs/>
                <w:sz w:val="17"/>
                <w:szCs w:val="24"/>
              </w:rPr>
            </w:pPr>
            <w:r w:rsidRPr="0015391B">
              <w:rPr>
                <w:rFonts w:ascii="Times New Roman" w:hAnsi="Times New Roman" w:cs="Times New Roman"/>
                <w:bCs/>
                <w:sz w:val="17"/>
                <w:szCs w:val="24"/>
              </w:rPr>
              <w:t>Filles</w:t>
            </w:r>
          </w:p>
        </w:tc>
        <w:tc>
          <w:tcPr>
            <w:tcW w:w="18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Cs/>
                <w:sz w:val="17"/>
                <w:szCs w:val="24"/>
              </w:rPr>
            </w:pPr>
            <w:r w:rsidRPr="0015391B">
              <w:rPr>
                <w:rFonts w:ascii="Times New Roman" w:hAnsi="Times New Roman" w:cs="Times New Roman"/>
                <w:bCs/>
                <w:sz w:val="17"/>
                <w:szCs w:val="24"/>
              </w:rPr>
              <w:t>18.743</w:t>
            </w:r>
          </w:p>
        </w:tc>
        <w:tc>
          <w:tcPr>
            <w:tcW w:w="198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Cs/>
                <w:sz w:val="17"/>
                <w:szCs w:val="24"/>
              </w:rPr>
            </w:pPr>
            <w:r w:rsidRPr="0015391B">
              <w:rPr>
                <w:rFonts w:ascii="Times New Roman" w:hAnsi="Times New Roman" w:cs="Times New Roman"/>
                <w:bCs/>
                <w:sz w:val="17"/>
                <w:szCs w:val="24"/>
              </w:rPr>
              <w:t>701</w:t>
            </w:r>
          </w:p>
        </w:tc>
        <w:tc>
          <w:tcPr>
            <w:tcW w:w="1800" w:type="dxa"/>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Cs/>
                <w:sz w:val="17"/>
                <w:szCs w:val="24"/>
              </w:rPr>
            </w:pPr>
            <w:r w:rsidRPr="0015391B">
              <w:rPr>
                <w:rFonts w:ascii="Times New Roman" w:hAnsi="Times New Roman" w:cs="Times New Roman"/>
                <w:bCs/>
                <w:sz w:val="17"/>
                <w:szCs w:val="24"/>
              </w:rPr>
              <w:t>18.042</w:t>
            </w:r>
          </w:p>
        </w:tc>
      </w:tr>
      <w:tr w:rsidR="0073290F" w:rsidRPr="0015391B">
        <w:tblPrEx>
          <w:tblCellMar>
            <w:top w:w="0" w:type="dxa"/>
            <w:bottom w:w="0" w:type="dxa"/>
          </w:tblCellMar>
        </w:tblPrEx>
        <w:tc>
          <w:tcPr>
            <w:tcW w:w="4300" w:type="dxa"/>
            <w:tcBorders>
              <w:bottom w:val="single" w:sz="12" w:space="0" w:color="auto"/>
            </w:tcBorders>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both"/>
              <w:rPr>
                <w:rFonts w:ascii="Times New Roman" w:hAnsi="Times New Roman" w:cs="Times New Roman"/>
                <w:bCs/>
                <w:sz w:val="17"/>
                <w:szCs w:val="24"/>
              </w:rPr>
            </w:pPr>
            <w:r w:rsidRPr="0015391B">
              <w:rPr>
                <w:rFonts w:ascii="Times New Roman" w:hAnsi="Times New Roman" w:cs="Times New Roman"/>
                <w:bCs/>
                <w:sz w:val="17"/>
                <w:szCs w:val="24"/>
              </w:rPr>
              <w:t>% de filles</w:t>
            </w:r>
          </w:p>
        </w:tc>
        <w:tc>
          <w:tcPr>
            <w:tcW w:w="1800" w:type="dxa"/>
            <w:tcBorders>
              <w:bottom w:val="single" w:sz="12" w:space="0" w:color="auto"/>
            </w:tcBorders>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Cs/>
                <w:sz w:val="17"/>
                <w:szCs w:val="24"/>
              </w:rPr>
            </w:pPr>
            <w:r w:rsidRPr="0015391B">
              <w:rPr>
                <w:rFonts w:ascii="Times New Roman" w:hAnsi="Times New Roman" w:cs="Times New Roman"/>
                <w:bCs/>
                <w:sz w:val="17"/>
                <w:szCs w:val="24"/>
              </w:rPr>
              <w:t>51,1</w:t>
            </w:r>
          </w:p>
        </w:tc>
        <w:tc>
          <w:tcPr>
            <w:tcW w:w="1980" w:type="dxa"/>
            <w:tcBorders>
              <w:bottom w:val="single" w:sz="12" w:space="0" w:color="auto"/>
            </w:tcBorders>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Cs/>
                <w:sz w:val="17"/>
                <w:szCs w:val="24"/>
              </w:rPr>
            </w:pPr>
            <w:r w:rsidRPr="0015391B">
              <w:rPr>
                <w:rFonts w:ascii="Times New Roman" w:hAnsi="Times New Roman" w:cs="Times New Roman"/>
                <w:bCs/>
                <w:sz w:val="17"/>
                <w:szCs w:val="24"/>
              </w:rPr>
              <w:t>26,7</w:t>
            </w:r>
          </w:p>
        </w:tc>
        <w:tc>
          <w:tcPr>
            <w:tcW w:w="1800" w:type="dxa"/>
            <w:tcBorders>
              <w:bottom w:val="single" w:sz="12" w:space="0" w:color="auto"/>
            </w:tcBorders>
            <w:shd w:val="clear" w:color="auto" w:fill="auto"/>
            <w:vAlign w:val="bottom"/>
          </w:tcPr>
          <w:p w:rsidR="0073290F" w:rsidRPr="0015391B" w:rsidRDefault="0073290F" w:rsidP="0015391B">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bCs/>
                <w:sz w:val="17"/>
                <w:szCs w:val="24"/>
              </w:rPr>
            </w:pPr>
            <w:r w:rsidRPr="0015391B">
              <w:rPr>
                <w:rFonts w:ascii="Times New Roman" w:hAnsi="Times New Roman" w:cs="Times New Roman"/>
                <w:bCs/>
                <w:sz w:val="17"/>
                <w:szCs w:val="24"/>
              </w:rPr>
              <w:t>54,6</w:t>
            </w:r>
          </w:p>
        </w:tc>
      </w:tr>
    </w:tbl>
    <w:p w:rsidR="0015391B" w:rsidRPr="0015391B" w:rsidRDefault="0015391B" w:rsidP="0015391B">
      <w:pPr>
        <w:pStyle w:val="Predoblikovano"/>
        <w:tabs>
          <w:tab w:val="clear" w:pos="9590"/>
        </w:tabs>
        <w:spacing w:line="120" w:lineRule="exact"/>
        <w:jc w:val="both"/>
        <w:rPr>
          <w:rFonts w:ascii="Times New Roman" w:hAnsi="Times New Roman" w:cs="Times New Roman"/>
          <w:sz w:val="10"/>
          <w:szCs w:val="17"/>
          <w:lang w:val="fr-FR"/>
        </w:rPr>
      </w:pPr>
    </w:p>
    <w:p w:rsidR="0073290F" w:rsidRPr="0015391B" w:rsidRDefault="0073290F" w:rsidP="0015391B">
      <w:pPr>
        <w:pStyle w:val="Predoblikovano"/>
        <w:tabs>
          <w:tab w:val="clear" w:pos="9590"/>
          <w:tab w:val="left" w:pos="270"/>
        </w:tabs>
        <w:jc w:val="both"/>
        <w:rPr>
          <w:rFonts w:ascii="Times New Roman" w:hAnsi="Times New Roman" w:cs="Times New Roman"/>
          <w:sz w:val="17"/>
          <w:szCs w:val="17"/>
          <w:lang w:val="fr-FR"/>
        </w:rPr>
      </w:pPr>
      <w:r w:rsidRPr="0015391B">
        <w:rPr>
          <w:rFonts w:ascii="Times New Roman" w:hAnsi="Times New Roman" w:cs="Times New Roman"/>
          <w:sz w:val="17"/>
          <w:szCs w:val="17"/>
          <w:lang w:val="fr-FR"/>
        </w:rPr>
        <w:t xml:space="preserve">* </w:t>
      </w:r>
      <w:r w:rsidR="0015391B">
        <w:rPr>
          <w:rFonts w:ascii="Times New Roman" w:hAnsi="Times New Roman" w:cs="Times New Roman"/>
          <w:sz w:val="17"/>
          <w:szCs w:val="17"/>
          <w:lang w:val="fr-FR"/>
        </w:rPr>
        <w:tab/>
      </w:r>
      <w:r w:rsidRPr="0015391B">
        <w:rPr>
          <w:rFonts w:ascii="Times New Roman" w:hAnsi="Times New Roman" w:cs="Times New Roman"/>
          <w:sz w:val="17"/>
          <w:szCs w:val="17"/>
          <w:lang w:val="fr-FR"/>
        </w:rPr>
        <w:t>Bourses d’Etat et Bourses Zois réunies.</w:t>
      </w:r>
    </w:p>
    <w:p w:rsidR="0073290F" w:rsidRPr="00FF20BB" w:rsidRDefault="0073290F" w:rsidP="0073290F">
      <w:pPr>
        <w:pStyle w:val="Predoblikovano"/>
        <w:tabs>
          <w:tab w:val="clear" w:pos="9590"/>
        </w:tabs>
        <w:jc w:val="both"/>
        <w:rPr>
          <w:rFonts w:ascii="Times New Roman" w:hAnsi="Times New Roman" w:cs="Times New Roman"/>
          <w:sz w:val="24"/>
          <w:szCs w:val="24"/>
          <w:lang w:val="fr-FR"/>
        </w:rPr>
      </w:pPr>
      <w:r w:rsidRPr="0015391B">
        <w:rPr>
          <w:rFonts w:ascii="Times New Roman" w:hAnsi="Times New Roman" w:cs="Times New Roman"/>
          <w:i/>
          <w:sz w:val="17"/>
          <w:szCs w:val="17"/>
          <w:lang w:val="fr-FR"/>
        </w:rPr>
        <w:t>Source</w:t>
      </w:r>
      <w:r w:rsidRPr="0015391B">
        <w:rPr>
          <w:rFonts w:ascii="Times New Roman" w:hAnsi="Times New Roman" w:cs="Times New Roman"/>
          <w:sz w:val="17"/>
          <w:szCs w:val="17"/>
          <w:lang w:val="fr-FR"/>
        </w:rPr>
        <w:t>: Rapport “Rapid” No. 220/2005, Institut de la Statistique de la République de Slovénie.</w:t>
      </w:r>
    </w:p>
    <w:p w:rsidR="0015391B" w:rsidRPr="0015391B" w:rsidRDefault="0015391B" w:rsidP="0015391B">
      <w:pPr>
        <w:pStyle w:val="Predoblikovano"/>
        <w:tabs>
          <w:tab w:val="clear" w:pos="9590"/>
        </w:tabs>
        <w:spacing w:line="120" w:lineRule="exact"/>
        <w:jc w:val="both"/>
        <w:rPr>
          <w:rFonts w:ascii="Times New Roman" w:hAnsi="Times New Roman" w:cs="Times New Roman"/>
          <w:b/>
          <w:bCs/>
          <w:sz w:val="10"/>
          <w:szCs w:val="24"/>
          <w:lang w:val="fr-FR"/>
        </w:rPr>
      </w:pPr>
    </w:p>
    <w:p w:rsidR="0073290F" w:rsidRDefault="0073290F" w:rsidP="0015391B">
      <w:pPr>
        <w:pStyle w:val="SingleTxt"/>
        <w:jc w:val="left"/>
        <w:rPr>
          <w:b/>
          <w:lang w:val="fr-FR"/>
        </w:rPr>
      </w:pPr>
      <w:r w:rsidRPr="00FF20BB">
        <w:rPr>
          <w:lang w:val="fr-FR"/>
        </w:rPr>
        <w:t>Tableau 28</w:t>
      </w:r>
      <w:r w:rsidR="0015391B">
        <w:rPr>
          <w:lang w:val="fr-FR"/>
        </w:rPr>
        <w:br/>
      </w:r>
      <w:r w:rsidRPr="0015391B">
        <w:rPr>
          <w:b/>
          <w:lang w:val="fr-FR"/>
        </w:rPr>
        <w:t xml:space="preserve">Nombre de personnes de plus de 15 ans ayant suivi un enseignement </w:t>
      </w:r>
      <w:r w:rsidR="0015391B">
        <w:rPr>
          <w:b/>
          <w:lang w:val="fr-FR"/>
        </w:rPr>
        <w:br/>
      </w:r>
      <w:r w:rsidRPr="0015391B">
        <w:rPr>
          <w:b/>
          <w:lang w:val="fr-FR"/>
        </w:rPr>
        <w:t xml:space="preserve">formel, une formation permanente ou un enseignement informel </w:t>
      </w:r>
      <w:r w:rsidR="0015391B">
        <w:rPr>
          <w:b/>
          <w:lang w:val="fr-FR"/>
        </w:rPr>
        <w:br/>
      </w:r>
      <w:r w:rsidRPr="0015391B">
        <w:rPr>
          <w:b/>
          <w:lang w:val="fr-FR"/>
        </w:rPr>
        <w:t>(deuxième trimestre 2003)</w:t>
      </w:r>
    </w:p>
    <w:p w:rsidR="0015391B" w:rsidRPr="0015391B" w:rsidRDefault="0015391B" w:rsidP="0015391B">
      <w:pPr>
        <w:pStyle w:val="SingleTxt"/>
        <w:spacing w:after="0" w:line="120" w:lineRule="exact"/>
        <w:jc w:val="left"/>
        <w:rPr>
          <w:b/>
          <w:sz w:val="10"/>
          <w:lang w:val="fr-FR"/>
        </w:rPr>
      </w:pPr>
    </w:p>
    <w:tbl>
      <w:tblPr>
        <w:tblW w:w="8216" w:type="dxa"/>
        <w:tblInd w:w="1267" w:type="dxa"/>
        <w:tblCellMar>
          <w:left w:w="0" w:type="dxa"/>
          <w:right w:w="0" w:type="dxa"/>
        </w:tblCellMar>
        <w:tblLook w:val="0000" w:firstRow="0" w:lastRow="0" w:firstColumn="0" w:lastColumn="0" w:noHBand="0" w:noVBand="0"/>
      </w:tblPr>
      <w:tblGrid>
        <w:gridCol w:w="1649"/>
        <w:gridCol w:w="1641"/>
        <w:gridCol w:w="1642"/>
        <w:gridCol w:w="1642"/>
        <w:gridCol w:w="1642"/>
      </w:tblGrid>
      <w:tr w:rsidR="0073290F" w:rsidRPr="0015391B">
        <w:trPr>
          <w:trHeight w:val="471"/>
          <w:tblHeader/>
        </w:trPr>
        <w:tc>
          <w:tcPr>
            <w:tcW w:w="1649"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jc w:val="center"/>
              <w:rPr>
                <w:i/>
                <w:sz w:val="14"/>
              </w:rPr>
            </w:pPr>
          </w:p>
        </w:tc>
        <w:tc>
          <w:tcPr>
            <w:tcW w:w="1641"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jc w:val="right"/>
              <w:rPr>
                <w:b/>
                <w:bCs/>
                <w:i/>
                <w:sz w:val="14"/>
              </w:rPr>
            </w:pPr>
            <w:r w:rsidRPr="0015391B">
              <w:rPr>
                <w:b/>
                <w:bCs/>
                <w:i/>
                <w:sz w:val="14"/>
              </w:rPr>
              <w:t>Personnes de plus</w:t>
            </w:r>
            <w:r w:rsidR="0015391B">
              <w:rPr>
                <w:b/>
                <w:bCs/>
                <w:i/>
                <w:sz w:val="14"/>
              </w:rPr>
              <w:br/>
            </w:r>
            <w:r w:rsidRPr="0015391B">
              <w:rPr>
                <w:b/>
                <w:bCs/>
                <w:i/>
                <w:sz w:val="14"/>
              </w:rPr>
              <w:t xml:space="preserve"> de 15 ans</w:t>
            </w:r>
          </w:p>
        </w:tc>
        <w:tc>
          <w:tcPr>
            <w:tcW w:w="1642"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jc w:val="right"/>
              <w:rPr>
                <w:b/>
                <w:bCs/>
                <w:i/>
                <w:sz w:val="14"/>
              </w:rPr>
            </w:pPr>
            <w:r w:rsidRPr="0015391B">
              <w:rPr>
                <w:b/>
                <w:bCs/>
                <w:i/>
                <w:sz w:val="14"/>
              </w:rPr>
              <w:t>Enseignement traditionnel</w:t>
            </w:r>
          </w:p>
        </w:tc>
        <w:tc>
          <w:tcPr>
            <w:tcW w:w="1642"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jc w:val="right"/>
              <w:rPr>
                <w:b/>
                <w:bCs/>
                <w:i/>
                <w:sz w:val="14"/>
              </w:rPr>
            </w:pPr>
            <w:r w:rsidRPr="0015391B">
              <w:rPr>
                <w:b/>
                <w:bCs/>
                <w:i/>
                <w:sz w:val="14"/>
              </w:rPr>
              <w:t>Formation permanente</w:t>
            </w:r>
          </w:p>
        </w:tc>
        <w:tc>
          <w:tcPr>
            <w:tcW w:w="1642"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jc w:val="right"/>
              <w:rPr>
                <w:b/>
                <w:bCs/>
                <w:i/>
                <w:sz w:val="14"/>
              </w:rPr>
            </w:pPr>
            <w:r w:rsidRPr="0015391B">
              <w:rPr>
                <w:b/>
                <w:bCs/>
                <w:i/>
                <w:sz w:val="14"/>
              </w:rPr>
              <w:t>Enseignement informel</w:t>
            </w:r>
          </w:p>
        </w:tc>
      </w:tr>
      <w:tr w:rsidR="0015391B" w:rsidRPr="0015391B">
        <w:trPr>
          <w:trHeight w:hRule="exact" w:val="115"/>
          <w:tblHeader/>
        </w:trPr>
        <w:tc>
          <w:tcPr>
            <w:tcW w:w="1649"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rPr>
                <w:bCs/>
                <w:sz w:val="17"/>
              </w:rPr>
            </w:pPr>
          </w:p>
        </w:tc>
        <w:tc>
          <w:tcPr>
            <w:tcW w:w="1641"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bCs/>
                <w:sz w:val="17"/>
              </w:rPr>
            </w:pPr>
          </w:p>
        </w:tc>
        <w:tc>
          <w:tcPr>
            <w:tcW w:w="1642"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bCs/>
                <w:sz w:val="17"/>
              </w:rPr>
            </w:pPr>
          </w:p>
        </w:tc>
        <w:tc>
          <w:tcPr>
            <w:tcW w:w="1642"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bCs/>
                <w:sz w:val="17"/>
              </w:rPr>
            </w:pPr>
          </w:p>
        </w:tc>
        <w:tc>
          <w:tcPr>
            <w:tcW w:w="1642"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bCs/>
                <w:sz w:val="17"/>
              </w:rPr>
            </w:pPr>
          </w:p>
        </w:tc>
      </w:tr>
      <w:tr w:rsidR="0073290F" w:rsidRPr="0015391B">
        <w:tc>
          <w:tcPr>
            <w:tcW w:w="1649"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b/>
                <w:bCs/>
                <w:sz w:val="17"/>
              </w:rPr>
            </w:pPr>
            <w:r w:rsidRPr="0015391B">
              <w:rPr>
                <w:b/>
                <w:bCs/>
                <w:sz w:val="17"/>
              </w:rPr>
              <w:t xml:space="preserve">Nombre total </w:t>
            </w:r>
          </w:p>
        </w:tc>
        <w:tc>
          <w:tcPr>
            <w:tcW w:w="1641"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b/>
                <w:bCs/>
                <w:sz w:val="17"/>
              </w:rPr>
            </w:pPr>
            <w:r w:rsidRPr="0015391B">
              <w:rPr>
                <w:b/>
                <w:bCs/>
                <w:sz w:val="17"/>
              </w:rPr>
              <w:t>1.698.132</w:t>
            </w:r>
          </w:p>
        </w:tc>
        <w:tc>
          <w:tcPr>
            <w:tcW w:w="1642"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b/>
                <w:bCs/>
                <w:sz w:val="17"/>
              </w:rPr>
            </w:pPr>
            <w:r w:rsidRPr="0015391B">
              <w:rPr>
                <w:b/>
                <w:bCs/>
                <w:sz w:val="17"/>
              </w:rPr>
              <w:t>303.124</w:t>
            </w:r>
          </w:p>
        </w:tc>
        <w:tc>
          <w:tcPr>
            <w:tcW w:w="1642"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b/>
                <w:bCs/>
                <w:sz w:val="17"/>
              </w:rPr>
            </w:pPr>
            <w:r w:rsidRPr="0015391B">
              <w:rPr>
                <w:b/>
                <w:bCs/>
                <w:sz w:val="17"/>
              </w:rPr>
              <w:t>327.322</w:t>
            </w:r>
          </w:p>
        </w:tc>
        <w:tc>
          <w:tcPr>
            <w:tcW w:w="1642"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b/>
                <w:bCs/>
                <w:sz w:val="17"/>
              </w:rPr>
            </w:pPr>
            <w:r w:rsidRPr="0015391B">
              <w:rPr>
                <w:b/>
                <w:bCs/>
                <w:sz w:val="17"/>
              </w:rPr>
              <w:t>1.269.318</w:t>
            </w:r>
          </w:p>
        </w:tc>
      </w:tr>
      <w:tr w:rsidR="0073290F" w:rsidRPr="0015391B">
        <w:tc>
          <w:tcPr>
            <w:tcW w:w="1649"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sz w:val="17"/>
              </w:rPr>
            </w:pPr>
            <w:r w:rsidRPr="0015391B">
              <w:rPr>
                <w:sz w:val="17"/>
              </w:rPr>
              <w:t>Nombre de femmes</w:t>
            </w:r>
          </w:p>
        </w:tc>
        <w:tc>
          <w:tcPr>
            <w:tcW w:w="1641"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875.575</w:t>
            </w:r>
          </w:p>
        </w:tc>
        <w:tc>
          <w:tcPr>
            <w:tcW w:w="1642"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157.458</w:t>
            </w:r>
          </w:p>
        </w:tc>
        <w:tc>
          <w:tcPr>
            <w:tcW w:w="1642"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174.933</w:t>
            </w:r>
          </w:p>
        </w:tc>
        <w:tc>
          <w:tcPr>
            <w:tcW w:w="1642"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652.352</w:t>
            </w:r>
          </w:p>
        </w:tc>
      </w:tr>
      <w:tr w:rsidR="0073290F" w:rsidRPr="0015391B">
        <w:tc>
          <w:tcPr>
            <w:tcW w:w="1649"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sz w:val="17"/>
              </w:rPr>
            </w:pPr>
            <w:r w:rsidRPr="0015391B">
              <w:rPr>
                <w:sz w:val="17"/>
              </w:rPr>
              <w:t xml:space="preserve">% de femmes </w:t>
            </w:r>
          </w:p>
        </w:tc>
        <w:tc>
          <w:tcPr>
            <w:tcW w:w="1641"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51,6</w:t>
            </w:r>
          </w:p>
        </w:tc>
        <w:tc>
          <w:tcPr>
            <w:tcW w:w="1642"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51,9</w:t>
            </w:r>
          </w:p>
        </w:tc>
        <w:tc>
          <w:tcPr>
            <w:tcW w:w="1642"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53,4</w:t>
            </w:r>
          </w:p>
        </w:tc>
        <w:tc>
          <w:tcPr>
            <w:tcW w:w="1642"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51,4</w:t>
            </w:r>
          </w:p>
        </w:tc>
      </w:tr>
    </w:tbl>
    <w:p w:rsidR="0015391B" w:rsidRPr="0015391B" w:rsidRDefault="0015391B" w:rsidP="0015391B">
      <w:pPr>
        <w:spacing w:line="120" w:lineRule="exact"/>
        <w:rPr>
          <w:sz w:val="10"/>
        </w:rPr>
      </w:pPr>
    </w:p>
    <w:p w:rsidR="0073290F" w:rsidRPr="0015391B" w:rsidRDefault="0073290F" w:rsidP="0015391B">
      <w:pPr>
        <w:pStyle w:val="SingleTxt"/>
        <w:rPr>
          <w:sz w:val="17"/>
          <w:szCs w:val="17"/>
        </w:rPr>
      </w:pPr>
      <w:r w:rsidRPr="0015391B">
        <w:rPr>
          <w:i/>
          <w:sz w:val="17"/>
          <w:szCs w:val="17"/>
        </w:rPr>
        <w:t>Source</w:t>
      </w:r>
      <w:r w:rsidRPr="0015391B">
        <w:rPr>
          <w:sz w:val="17"/>
          <w:szCs w:val="17"/>
        </w:rPr>
        <w:t>: Rapport “Rapid” No. 118/2004, Institut de la Statistique de la République de Slovénie.</w:t>
      </w:r>
    </w:p>
    <w:p w:rsidR="0015391B" w:rsidRPr="0015391B" w:rsidRDefault="0015391B" w:rsidP="0015391B">
      <w:pPr>
        <w:pStyle w:val="SingleTxt"/>
        <w:spacing w:after="0" w:line="120" w:lineRule="exact"/>
        <w:rPr>
          <w:sz w:val="10"/>
        </w:rPr>
      </w:pPr>
    </w:p>
    <w:p w:rsidR="0073290F" w:rsidRDefault="0073290F" w:rsidP="0015391B">
      <w:pPr>
        <w:pStyle w:val="SingleTxt"/>
        <w:jc w:val="left"/>
        <w:rPr>
          <w:b/>
          <w:spacing w:val="-4"/>
          <w:lang w:val="fr-FR"/>
        </w:rPr>
      </w:pPr>
      <w:r w:rsidRPr="0015391B">
        <w:rPr>
          <w:lang w:val="fr-FR"/>
        </w:rPr>
        <w:t>Tableau 29</w:t>
      </w:r>
      <w:r w:rsidR="0015391B">
        <w:rPr>
          <w:lang w:val="fr-FR"/>
        </w:rPr>
        <w:br/>
      </w:r>
      <w:r w:rsidRPr="0015391B">
        <w:rPr>
          <w:b/>
          <w:lang w:val="fr-FR"/>
        </w:rPr>
        <w:t>Nombre de personnes de plus de 15 ans ayant suivi</w:t>
      </w:r>
      <w:r w:rsidRPr="0015391B">
        <w:rPr>
          <w:b/>
          <w:spacing w:val="-4"/>
          <w:lang w:val="fr-FR"/>
        </w:rPr>
        <w:t xml:space="preserve"> des cours de formation permanente – par sexe et nombre d’activités (deuxième trimestre 2003)</w:t>
      </w:r>
    </w:p>
    <w:p w:rsidR="0015391B" w:rsidRPr="0015391B" w:rsidRDefault="0015391B" w:rsidP="0015391B">
      <w:pPr>
        <w:pStyle w:val="SingleTxt"/>
        <w:spacing w:after="0" w:line="120" w:lineRule="exact"/>
        <w:jc w:val="left"/>
        <w:rPr>
          <w:b/>
          <w:spacing w:val="-4"/>
          <w:sz w:val="10"/>
          <w:lang w:val="fr-FR"/>
        </w:rPr>
      </w:pPr>
    </w:p>
    <w:tbl>
      <w:tblPr>
        <w:tblW w:w="8232" w:type="dxa"/>
        <w:tblInd w:w="1267" w:type="dxa"/>
        <w:tblLayout w:type="fixed"/>
        <w:tblCellMar>
          <w:left w:w="0" w:type="dxa"/>
          <w:right w:w="0" w:type="dxa"/>
        </w:tblCellMar>
        <w:tblLook w:val="0000" w:firstRow="0" w:lastRow="0" w:firstColumn="0" w:lastColumn="0" w:noHBand="0" w:noVBand="0"/>
      </w:tblPr>
      <w:tblGrid>
        <w:gridCol w:w="1662"/>
        <w:gridCol w:w="1314"/>
        <w:gridCol w:w="1314"/>
        <w:gridCol w:w="1314"/>
        <w:gridCol w:w="1314"/>
        <w:gridCol w:w="1314"/>
      </w:tblGrid>
      <w:tr w:rsidR="0073290F" w:rsidRPr="0015391B">
        <w:trPr>
          <w:trHeight w:val="1002"/>
          <w:tblHeader/>
        </w:trPr>
        <w:tc>
          <w:tcPr>
            <w:tcW w:w="1662"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jc w:val="center"/>
              <w:rPr>
                <w:i/>
                <w:sz w:val="14"/>
              </w:rPr>
            </w:pPr>
          </w:p>
        </w:tc>
        <w:tc>
          <w:tcPr>
            <w:tcW w:w="1314"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jc w:val="right"/>
              <w:rPr>
                <w:b/>
                <w:bCs/>
                <w:i/>
                <w:sz w:val="14"/>
              </w:rPr>
            </w:pPr>
            <w:r w:rsidRPr="0015391B">
              <w:rPr>
                <w:b/>
                <w:bCs/>
                <w:i/>
                <w:sz w:val="14"/>
              </w:rPr>
              <w:t>Nombre de personnes ayant suivi une formation permanente</w:t>
            </w:r>
          </w:p>
        </w:tc>
        <w:tc>
          <w:tcPr>
            <w:tcW w:w="1314"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jc w:val="right"/>
              <w:rPr>
                <w:b/>
                <w:bCs/>
                <w:i/>
                <w:sz w:val="14"/>
              </w:rPr>
            </w:pPr>
            <w:r w:rsidRPr="0015391B">
              <w:rPr>
                <w:b/>
                <w:bCs/>
                <w:i/>
                <w:sz w:val="14"/>
              </w:rPr>
              <w:t>Nombre de personnes ayant effectué un seul ensemble d’activités éducatives</w:t>
            </w:r>
          </w:p>
        </w:tc>
        <w:tc>
          <w:tcPr>
            <w:tcW w:w="1314" w:type="dxa"/>
            <w:tcBorders>
              <w:top w:val="single" w:sz="4" w:space="0" w:color="auto"/>
              <w:bottom w:val="single" w:sz="12" w:space="0" w:color="auto"/>
            </w:tcBorders>
            <w:shd w:val="clear" w:color="auto" w:fill="auto"/>
            <w:vAlign w:val="bottom"/>
          </w:tcPr>
          <w:p w:rsidR="0073290F" w:rsidRPr="000460CB" w:rsidRDefault="0073290F" w:rsidP="0015391B">
            <w:pPr>
              <w:suppressAutoHyphens/>
              <w:spacing w:before="80" w:after="80" w:line="160" w:lineRule="exact"/>
              <w:ind w:right="43"/>
              <w:jc w:val="right"/>
              <w:rPr>
                <w:b/>
                <w:bCs/>
                <w:i/>
                <w:sz w:val="14"/>
                <w:lang w:val="fr-FR"/>
              </w:rPr>
            </w:pPr>
            <w:r w:rsidRPr="0015391B">
              <w:rPr>
                <w:b/>
                <w:bCs/>
                <w:i/>
                <w:sz w:val="14"/>
              </w:rPr>
              <w:t>Nombre de personnes ayant effectué deux ensembles d’activités</w:t>
            </w:r>
          </w:p>
        </w:tc>
        <w:tc>
          <w:tcPr>
            <w:tcW w:w="1314"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jc w:val="right"/>
              <w:rPr>
                <w:b/>
                <w:bCs/>
                <w:i/>
                <w:sz w:val="14"/>
              </w:rPr>
            </w:pPr>
            <w:r w:rsidRPr="0015391B">
              <w:rPr>
                <w:b/>
                <w:bCs/>
                <w:i/>
                <w:sz w:val="14"/>
              </w:rPr>
              <w:t>Nombre de personnes ayant effectué trois ensembles d’activités</w:t>
            </w:r>
          </w:p>
        </w:tc>
        <w:tc>
          <w:tcPr>
            <w:tcW w:w="1314"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jc w:val="right"/>
              <w:rPr>
                <w:b/>
                <w:bCs/>
                <w:i/>
                <w:sz w:val="14"/>
              </w:rPr>
            </w:pPr>
            <w:r w:rsidRPr="0015391B">
              <w:rPr>
                <w:b/>
                <w:bCs/>
                <w:i/>
                <w:sz w:val="14"/>
              </w:rPr>
              <w:t>Nombre de personnes ayant effectué quatre ensembles d’activités ou plus</w:t>
            </w:r>
          </w:p>
        </w:tc>
      </w:tr>
      <w:tr w:rsidR="0015391B" w:rsidRPr="0015391B">
        <w:trPr>
          <w:trHeight w:hRule="exact" w:val="115"/>
          <w:tblHeader/>
        </w:trPr>
        <w:tc>
          <w:tcPr>
            <w:tcW w:w="1662"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rPr>
                <w:bCs/>
                <w:sz w:val="17"/>
              </w:rPr>
            </w:pPr>
          </w:p>
        </w:tc>
        <w:tc>
          <w:tcPr>
            <w:tcW w:w="1314"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bCs/>
                <w:sz w:val="17"/>
              </w:rPr>
            </w:pPr>
          </w:p>
        </w:tc>
        <w:tc>
          <w:tcPr>
            <w:tcW w:w="1314"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bCs/>
                <w:sz w:val="17"/>
              </w:rPr>
            </w:pPr>
          </w:p>
        </w:tc>
        <w:tc>
          <w:tcPr>
            <w:tcW w:w="1314"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bCs/>
                <w:sz w:val="17"/>
              </w:rPr>
            </w:pPr>
          </w:p>
        </w:tc>
        <w:tc>
          <w:tcPr>
            <w:tcW w:w="1314"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bCs/>
                <w:sz w:val="17"/>
              </w:rPr>
            </w:pPr>
          </w:p>
        </w:tc>
        <w:tc>
          <w:tcPr>
            <w:tcW w:w="1314"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bCs/>
                <w:sz w:val="17"/>
              </w:rPr>
            </w:pPr>
          </w:p>
        </w:tc>
      </w:tr>
      <w:tr w:rsidR="0073290F" w:rsidRPr="0015391B">
        <w:tc>
          <w:tcPr>
            <w:tcW w:w="1662"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b/>
                <w:bCs/>
                <w:sz w:val="17"/>
              </w:rPr>
            </w:pPr>
            <w:r w:rsidRPr="0015391B">
              <w:rPr>
                <w:b/>
                <w:bCs/>
                <w:sz w:val="17"/>
              </w:rPr>
              <w:t xml:space="preserve">Nombre total </w:t>
            </w:r>
          </w:p>
        </w:tc>
        <w:tc>
          <w:tcPr>
            <w:tcW w:w="1314"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b/>
                <w:bCs/>
                <w:sz w:val="17"/>
              </w:rPr>
            </w:pPr>
            <w:r w:rsidRPr="0015391B">
              <w:rPr>
                <w:b/>
                <w:bCs/>
                <w:sz w:val="17"/>
              </w:rPr>
              <w:t>327.322</w:t>
            </w:r>
          </w:p>
        </w:tc>
        <w:tc>
          <w:tcPr>
            <w:tcW w:w="1314"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b/>
                <w:bCs/>
                <w:sz w:val="17"/>
              </w:rPr>
            </w:pPr>
            <w:r w:rsidRPr="0015391B">
              <w:rPr>
                <w:b/>
                <w:bCs/>
                <w:sz w:val="17"/>
              </w:rPr>
              <w:t>269.002</w:t>
            </w:r>
          </w:p>
        </w:tc>
        <w:tc>
          <w:tcPr>
            <w:tcW w:w="1314"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b/>
                <w:bCs/>
                <w:sz w:val="17"/>
              </w:rPr>
            </w:pPr>
            <w:r w:rsidRPr="0015391B">
              <w:rPr>
                <w:b/>
                <w:bCs/>
                <w:sz w:val="17"/>
              </w:rPr>
              <w:t>42.762</w:t>
            </w:r>
          </w:p>
        </w:tc>
        <w:tc>
          <w:tcPr>
            <w:tcW w:w="1314"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b/>
                <w:bCs/>
                <w:sz w:val="17"/>
              </w:rPr>
            </w:pPr>
            <w:r w:rsidRPr="0015391B">
              <w:rPr>
                <w:b/>
                <w:bCs/>
                <w:sz w:val="17"/>
              </w:rPr>
              <w:t>10.410</w:t>
            </w:r>
          </w:p>
        </w:tc>
        <w:tc>
          <w:tcPr>
            <w:tcW w:w="1314"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b/>
                <w:bCs/>
                <w:sz w:val="17"/>
              </w:rPr>
            </w:pPr>
            <w:r w:rsidRPr="0015391B">
              <w:rPr>
                <w:b/>
                <w:bCs/>
                <w:sz w:val="17"/>
              </w:rPr>
              <w:t>5.148</w:t>
            </w:r>
          </w:p>
        </w:tc>
      </w:tr>
      <w:tr w:rsidR="0073290F" w:rsidRPr="0015391B">
        <w:tc>
          <w:tcPr>
            <w:tcW w:w="1662"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sz w:val="17"/>
              </w:rPr>
            </w:pPr>
            <w:r w:rsidRPr="0015391B">
              <w:rPr>
                <w:sz w:val="17"/>
              </w:rPr>
              <w:t>Nombre de femmes</w:t>
            </w:r>
          </w:p>
        </w:tc>
        <w:tc>
          <w:tcPr>
            <w:tcW w:w="1314"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174.933</w:t>
            </w:r>
          </w:p>
        </w:tc>
        <w:tc>
          <w:tcPr>
            <w:tcW w:w="1314"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139.528</w:t>
            </w:r>
          </w:p>
        </w:tc>
        <w:tc>
          <w:tcPr>
            <w:tcW w:w="1314"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25.239</w:t>
            </w:r>
          </w:p>
        </w:tc>
        <w:tc>
          <w:tcPr>
            <w:tcW w:w="1314"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6.603</w:t>
            </w:r>
          </w:p>
        </w:tc>
        <w:tc>
          <w:tcPr>
            <w:tcW w:w="1314"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3.563</w:t>
            </w:r>
          </w:p>
        </w:tc>
      </w:tr>
      <w:tr w:rsidR="0073290F" w:rsidRPr="0015391B">
        <w:tc>
          <w:tcPr>
            <w:tcW w:w="1662"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sz w:val="17"/>
              </w:rPr>
            </w:pPr>
            <w:r w:rsidRPr="0015391B">
              <w:rPr>
                <w:sz w:val="17"/>
              </w:rPr>
              <w:t xml:space="preserve">% de femmes </w:t>
            </w:r>
          </w:p>
        </w:tc>
        <w:tc>
          <w:tcPr>
            <w:tcW w:w="1314"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53,4</w:t>
            </w:r>
          </w:p>
        </w:tc>
        <w:tc>
          <w:tcPr>
            <w:tcW w:w="1314"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51,9</w:t>
            </w:r>
          </w:p>
        </w:tc>
        <w:tc>
          <w:tcPr>
            <w:tcW w:w="1314"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59,0</w:t>
            </w:r>
          </w:p>
        </w:tc>
        <w:tc>
          <w:tcPr>
            <w:tcW w:w="1314"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63,4</w:t>
            </w:r>
          </w:p>
        </w:tc>
        <w:tc>
          <w:tcPr>
            <w:tcW w:w="1314"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69,2</w:t>
            </w:r>
          </w:p>
        </w:tc>
      </w:tr>
    </w:tbl>
    <w:p w:rsidR="0015391B" w:rsidRPr="0015391B" w:rsidRDefault="0015391B" w:rsidP="0015391B">
      <w:pPr>
        <w:spacing w:line="120" w:lineRule="exact"/>
        <w:rPr>
          <w:sz w:val="10"/>
        </w:rPr>
      </w:pPr>
    </w:p>
    <w:p w:rsidR="0073290F" w:rsidRPr="0015391B" w:rsidRDefault="0073290F" w:rsidP="0015391B">
      <w:pPr>
        <w:pStyle w:val="SingleTxt"/>
        <w:rPr>
          <w:sz w:val="17"/>
          <w:szCs w:val="17"/>
        </w:rPr>
      </w:pPr>
      <w:r w:rsidRPr="0015391B">
        <w:rPr>
          <w:i/>
          <w:sz w:val="17"/>
          <w:szCs w:val="17"/>
        </w:rPr>
        <w:t>Source</w:t>
      </w:r>
      <w:r w:rsidRPr="0015391B">
        <w:rPr>
          <w:sz w:val="17"/>
          <w:szCs w:val="17"/>
        </w:rPr>
        <w:t>: Rapport “Rapid” No. 118/2004, Institut de la Statistique de la République de Slovénie.</w:t>
      </w:r>
    </w:p>
    <w:p w:rsidR="0073290F" w:rsidRPr="0040244E" w:rsidRDefault="0073290F" w:rsidP="0015391B">
      <w:pPr>
        <w:pStyle w:val="SingleTxt"/>
        <w:rPr>
          <w:b/>
          <w:bCs/>
        </w:rPr>
      </w:pPr>
    </w:p>
    <w:p w:rsidR="0073290F" w:rsidRDefault="0015391B" w:rsidP="0015391B">
      <w:pPr>
        <w:pStyle w:val="SingleTxt"/>
        <w:jc w:val="left"/>
        <w:rPr>
          <w:b/>
          <w:lang w:val="fr-FR"/>
        </w:rPr>
      </w:pPr>
      <w:r>
        <w:rPr>
          <w:sz w:val="24"/>
          <w:szCs w:val="24"/>
          <w:lang w:val="fr-FR"/>
        </w:rPr>
        <w:br w:type="page"/>
      </w:r>
      <w:r w:rsidR="0073290F" w:rsidRPr="0015391B">
        <w:rPr>
          <w:lang w:val="fr-FR"/>
        </w:rPr>
        <w:t>Tableau 30</w:t>
      </w:r>
      <w:r>
        <w:rPr>
          <w:lang w:val="fr-FR"/>
        </w:rPr>
        <w:br/>
      </w:r>
      <w:r w:rsidR="0073290F" w:rsidRPr="0015391B">
        <w:rPr>
          <w:b/>
          <w:lang w:val="fr-FR"/>
        </w:rPr>
        <w:t>Nombre de personnes de plus de 15 ans ayant suivi un enseignement informel – par sexe (deuxième trimestre 2003)</w:t>
      </w:r>
    </w:p>
    <w:p w:rsidR="0015391B" w:rsidRPr="0015391B" w:rsidRDefault="0015391B" w:rsidP="0015391B">
      <w:pPr>
        <w:pStyle w:val="SingleTxt"/>
        <w:spacing w:after="0" w:line="120" w:lineRule="exact"/>
        <w:jc w:val="left"/>
        <w:rPr>
          <w:b/>
          <w:sz w:val="10"/>
          <w:lang w:val="fr-FR"/>
        </w:rPr>
      </w:pPr>
    </w:p>
    <w:tbl>
      <w:tblPr>
        <w:tblW w:w="9810" w:type="dxa"/>
        <w:tblLayout w:type="fixed"/>
        <w:tblCellMar>
          <w:left w:w="0" w:type="dxa"/>
          <w:right w:w="0" w:type="dxa"/>
        </w:tblCellMar>
        <w:tblLook w:val="0000" w:firstRow="0" w:lastRow="0" w:firstColumn="0" w:lastColumn="0" w:noHBand="0" w:noVBand="0"/>
      </w:tblPr>
      <w:tblGrid>
        <w:gridCol w:w="1711"/>
        <w:gridCol w:w="1619"/>
        <w:gridCol w:w="1620"/>
        <w:gridCol w:w="1620"/>
        <w:gridCol w:w="1620"/>
        <w:gridCol w:w="1620"/>
      </w:tblGrid>
      <w:tr w:rsidR="0073290F" w:rsidRPr="0015391B">
        <w:trPr>
          <w:trHeight w:val="1011"/>
          <w:tblHeader/>
        </w:trPr>
        <w:tc>
          <w:tcPr>
            <w:tcW w:w="1711" w:type="dxa"/>
            <w:tcBorders>
              <w:top w:val="single" w:sz="4" w:space="0" w:color="auto"/>
              <w:bottom w:val="single" w:sz="12" w:space="0" w:color="auto"/>
            </w:tcBorders>
            <w:shd w:val="clear" w:color="auto" w:fill="auto"/>
            <w:vAlign w:val="bottom"/>
          </w:tcPr>
          <w:p w:rsidR="0073290F" w:rsidRPr="000460CB" w:rsidRDefault="0073290F" w:rsidP="0015391B">
            <w:pPr>
              <w:suppressAutoHyphens/>
              <w:spacing w:before="80" w:after="80" w:line="160" w:lineRule="exact"/>
              <w:ind w:right="43"/>
              <w:jc w:val="center"/>
              <w:rPr>
                <w:i/>
                <w:sz w:val="14"/>
                <w:lang w:val="fr-FR"/>
              </w:rPr>
            </w:pPr>
          </w:p>
        </w:tc>
        <w:tc>
          <w:tcPr>
            <w:tcW w:w="1619"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jc w:val="right"/>
              <w:rPr>
                <w:b/>
                <w:bCs/>
                <w:i/>
                <w:sz w:val="14"/>
              </w:rPr>
            </w:pPr>
            <w:r w:rsidRPr="0015391B">
              <w:rPr>
                <w:b/>
                <w:bCs/>
                <w:i/>
                <w:sz w:val="14"/>
              </w:rPr>
              <w:t>Participation à un type d’enseignem-ent informel au moins</w:t>
            </w:r>
          </w:p>
        </w:tc>
        <w:tc>
          <w:tcPr>
            <w:tcW w:w="1620"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jc w:val="right"/>
              <w:rPr>
                <w:b/>
                <w:bCs/>
                <w:i/>
                <w:sz w:val="14"/>
              </w:rPr>
            </w:pPr>
            <w:r w:rsidRPr="0015391B">
              <w:rPr>
                <w:b/>
                <w:bCs/>
                <w:i/>
                <w:sz w:val="14"/>
              </w:rPr>
              <w:t>Utilisation de documents écrits</w:t>
            </w:r>
          </w:p>
        </w:tc>
        <w:tc>
          <w:tcPr>
            <w:tcW w:w="1620"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jc w:val="right"/>
              <w:rPr>
                <w:b/>
                <w:bCs/>
                <w:i/>
                <w:sz w:val="14"/>
              </w:rPr>
            </w:pPr>
            <w:r w:rsidRPr="0015391B">
              <w:rPr>
                <w:b/>
                <w:bCs/>
                <w:i/>
                <w:sz w:val="14"/>
              </w:rPr>
              <w:t>Utilisation d’un ordinateur et de l’Internet</w:t>
            </w:r>
          </w:p>
        </w:tc>
        <w:tc>
          <w:tcPr>
            <w:tcW w:w="1620"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jc w:val="right"/>
              <w:rPr>
                <w:b/>
                <w:bCs/>
                <w:i/>
                <w:sz w:val="14"/>
              </w:rPr>
            </w:pPr>
            <w:r w:rsidRPr="0015391B">
              <w:rPr>
                <w:b/>
                <w:bCs/>
                <w:i/>
                <w:sz w:val="14"/>
              </w:rPr>
              <w:t xml:space="preserve">Apprentissagepar l’audiovisuel (émissions pédagogiques dans les médias, cassettes audio et vidéo) </w:t>
            </w:r>
          </w:p>
        </w:tc>
        <w:tc>
          <w:tcPr>
            <w:tcW w:w="1620"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jc w:val="right"/>
              <w:rPr>
                <w:b/>
                <w:bCs/>
                <w:i/>
                <w:sz w:val="14"/>
              </w:rPr>
            </w:pPr>
            <w:r w:rsidRPr="0015391B">
              <w:rPr>
                <w:b/>
                <w:bCs/>
                <w:i/>
                <w:sz w:val="14"/>
              </w:rPr>
              <w:t>Visites dans des établissementséducatifs et culturels, dans des bibliothèques, etc.</w:t>
            </w:r>
          </w:p>
        </w:tc>
      </w:tr>
      <w:tr w:rsidR="0015391B" w:rsidRPr="0015391B">
        <w:trPr>
          <w:trHeight w:hRule="exact" w:val="115"/>
          <w:tblHeader/>
        </w:trPr>
        <w:tc>
          <w:tcPr>
            <w:tcW w:w="1711"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rPr>
                <w:bCs/>
                <w:sz w:val="17"/>
              </w:rPr>
            </w:pPr>
          </w:p>
        </w:tc>
        <w:tc>
          <w:tcPr>
            <w:tcW w:w="1619"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bCs/>
                <w:sz w:val="17"/>
              </w:rPr>
            </w:pPr>
          </w:p>
        </w:tc>
        <w:tc>
          <w:tcPr>
            <w:tcW w:w="1620"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bCs/>
                <w:iCs/>
                <w:sz w:val="17"/>
              </w:rPr>
            </w:pPr>
          </w:p>
        </w:tc>
        <w:tc>
          <w:tcPr>
            <w:tcW w:w="1620"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bCs/>
                <w:iCs/>
                <w:sz w:val="17"/>
              </w:rPr>
            </w:pPr>
          </w:p>
        </w:tc>
        <w:tc>
          <w:tcPr>
            <w:tcW w:w="1620"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bCs/>
                <w:iCs/>
                <w:sz w:val="17"/>
              </w:rPr>
            </w:pPr>
          </w:p>
        </w:tc>
        <w:tc>
          <w:tcPr>
            <w:tcW w:w="1620"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bCs/>
                <w:iCs/>
                <w:sz w:val="17"/>
              </w:rPr>
            </w:pPr>
          </w:p>
        </w:tc>
      </w:tr>
      <w:tr w:rsidR="0073290F" w:rsidRPr="0015391B">
        <w:tc>
          <w:tcPr>
            <w:tcW w:w="1711"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b/>
                <w:bCs/>
                <w:sz w:val="17"/>
              </w:rPr>
            </w:pPr>
            <w:r w:rsidRPr="0015391B">
              <w:rPr>
                <w:b/>
                <w:bCs/>
                <w:sz w:val="17"/>
              </w:rPr>
              <w:t xml:space="preserve">Nombre total de personnes </w:t>
            </w:r>
          </w:p>
        </w:tc>
        <w:tc>
          <w:tcPr>
            <w:tcW w:w="1619"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b/>
                <w:bCs/>
                <w:sz w:val="17"/>
              </w:rPr>
            </w:pPr>
            <w:r w:rsidRPr="0015391B">
              <w:rPr>
                <w:b/>
                <w:bCs/>
                <w:sz w:val="17"/>
              </w:rPr>
              <w:t>1.269.318</w:t>
            </w:r>
          </w:p>
        </w:tc>
        <w:tc>
          <w:tcPr>
            <w:tcW w:w="162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b/>
                <w:bCs/>
                <w:iCs/>
                <w:sz w:val="17"/>
              </w:rPr>
            </w:pPr>
            <w:r w:rsidRPr="0015391B">
              <w:rPr>
                <w:b/>
                <w:bCs/>
                <w:iCs/>
                <w:sz w:val="17"/>
              </w:rPr>
              <w:t>754.336</w:t>
            </w:r>
          </w:p>
        </w:tc>
        <w:tc>
          <w:tcPr>
            <w:tcW w:w="162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b/>
                <w:bCs/>
                <w:iCs/>
                <w:sz w:val="17"/>
              </w:rPr>
            </w:pPr>
            <w:r w:rsidRPr="0015391B">
              <w:rPr>
                <w:b/>
                <w:bCs/>
                <w:iCs/>
                <w:sz w:val="17"/>
              </w:rPr>
              <w:t>463.265</w:t>
            </w:r>
          </w:p>
        </w:tc>
        <w:tc>
          <w:tcPr>
            <w:tcW w:w="162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b/>
                <w:bCs/>
                <w:iCs/>
                <w:sz w:val="17"/>
              </w:rPr>
            </w:pPr>
            <w:r w:rsidRPr="0015391B">
              <w:rPr>
                <w:b/>
                <w:bCs/>
                <w:iCs/>
                <w:sz w:val="17"/>
              </w:rPr>
              <w:t>1.128.795</w:t>
            </w:r>
          </w:p>
        </w:tc>
        <w:tc>
          <w:tcPr>
            <w:tcW w:w="162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b/>
                <w:bCs/>
                <w:iCs/>
                <w:sz w:val="17"/>
              </w:rPr>
            </w:pPr>
            <w:r w:rsidRPr="0015391B">
              <w:rPr>
                <w:b/>
                <w:bCs/>
                <w:iCs/>
                <w:sz w:val="17"/>
              </w:rPr>
              <w:t>224.013</w:t>
            </w:r>
          </w:p>
        </w:tc>
      </w:tr>
      <w:tr w:rsidR="0073290F" w:rsidRPr="0015391B">
        <w:tc>
          <w:tcPr>
            <w:tcW w:w="1711"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sz w:val="17"/>
              </w:rPr>
            </w:pPr>
            <w:r w:rsidRPr="0015391B">
              <w:rPr>
                <w:sz w:val="17"/>
              </w:rPr>
              <w:t>Nombre de femmes</w:t>
            </w:r>
          </w:p>
        </w:tc>
        <w:tc>
          <w:tcPr>
            <w:tcW w:w="1619"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652.352</w:t>
            </w:r>
          </w:p>
        </w:tc>
        <w:tc>
          <w:tcPr>
            <w:tcW w:w="162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iCs/>
                <w:sz w:val="17"/>
              </w:rPr>
            </w:pPr>
            <w:r w:rsidRPr="0015391B">
              <w:rPr>
                <w:iCs/>
                <w:sz w:val="17"/>
              </w:rPr>
              <w:t>397.247</w:t>
            </w:r>
          </w:p>
        </w:tc>
        <w:tc>
          <w:tcPr>
            <w:tcW w:w="162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iCs/>
                <w:sz w:val="17"/>
              </w:rPr>
            </w:pPr>
            <w:r w:rsidRPr="0015391B">
              <w:rPr>
                <w:iCs/>
                <w:sz w:val="17"/>
              </w:rPr>
              <w:t>217.949</w:t>
            </w:r>
          </w:p>
        </w:tc>
        <w:tc>
          <w:tcPr>
            <w:tcW w:w="162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iCs/>
                <w:sz w:val="17"/>
              </w:rPr>
            </w:pPr>
            <w:r w:rsidRPr="0015391B">
              <w:rPr>
                <w:iCs/>
                <w:sz w:val="17"/>
              </w:rPr>
              <w:t>575.914</w:t>
            </w:r>
          </w:p>
        </w:tc>
        <w:tc>
          <w:tcPr>
            <w:tcW w:w="162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iCs/>
                <w:sz w:val="17"/>
              </w:rPr>
            </w:pPr>
            <w:r w:rsidRPr="0015391B">
              <w:rPr>
                <w:iCs/>
                <w:sz w:val="17"/>
              </w:rPr>
              <w:t>138.971</w:t>
            </w:r>
          </w:p>
        </w:tc>
      </w:tr>
      <w:tr w:rsidR="0073290F" w:rsidRPr="0015391B">
        <w:tc>
          <w:tcPr>
            <w:tcW w:w="1711"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sz w:val="17"/>
              </w:rPr>
            </w:pPr>
            <w:r w:rsidRPr="0015391B">
              <w:rPr>
                <w:sz w:val="17"/>
              </w:rPr>
              <w:t xml:space="preserve">% de femmes </w:t>
            </w:r>
          </w:p>
        </w:tc>
        <w:tc>
          <w:tcPr>
            <w:tcW w:w="1619"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iCs/>
                <w:sz w:val="17"/>
              </w:rPr>
            </w:pPr>
            <w:r w:rsidRPr="0015391B">
              <w:rPr>
                <w:sz w:val="17"/>
              </w:rPr>
              <w:t>51,4</w:t>
            </w:r>
          </w:p>
        </w:tc>
        <w:tc>
          <w:tcPr>
            <w:tcW w:w="1620"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iCs/>
                <w:sz w:val="17"/>
              </w:rPr>
            </w:pPr>
            <w:r w:rsidRPr="0015391B">
              <w:rPr>
                <w:iCs/>
                <w:sz w:val="17"/>
              </w:rPr>
              <w:t>52,7</w:t>
            </w:r>
          </w:p>
        </w:tc>
        <w:tc>
          <w:tcPr>
            <w:tcW w:w="1620"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iCs/>
                <w:sz w:val="17"/>
              </w:rPr>
            </w:pPr>
            <w:r w:rsidRPr="0015391B">
              <w:rPr>
                <w:iCs/>
                <w:sz w:val="17"/>
              </w:rPr>
              <w:t>47,0</w:t>
            </w:r>
          </w:p>
        </w:tc>
        <w:tc>
          <w:tcPr>
            <w:tcW w:w="1620"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iCs/>
                <w:sz w:val="17"/>
              </w:rPr>
            </w:pPr>
            <w:r w:rsidRPr="0015391B">
              <w:rPr>
                <w:iCs/>
                <w:sz w:val="17"/>
              </w:rPr>
              <w:t>51,0</w:t>
            </w:r>
          </w:p>
        </w:tc>
        <w:tc>
          <w:tcPr>
            <w:tcW w:w="1620"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iCs/>
                <w:sz w:val="17"/>
              </w:rPr>
            </w:pPr>
            <w:r w:rsidRPr="0015391B">
              <w:rPr>
                <w:iCs/>
                <w:sz w:val="17"/>
              </w:rPr>
              <w:t>62,0</w:t>
            </w:r>
          </w:p>
        </w:tc>
      </w:tr>
    </w:tbl>
    <w:p w:rsidR="0015391B" w:rsidRPr="0015391B" w:rsidRDefault="0015391B" w:rsidP="0015391B">
      <w:pPr>
        <w:spacing w:line="120" w:lineRule="exact"/>
        <w:rPr>
          <w:sz w:val="10"/>
        </w:rPr>
      </w:pPr>
    </w:p>
    <w:p w:rsidR="0073290F" w:rsidRPr="0015391B" w:rsidRDefault="0073290F" w:rsidP="0015391B">
      <w:pPr>
        <w:rPr>
          <w:sz w:val="17"/>
          <w:szCs w:val="17"/>
        </w:rPr>
      </w:pPr>
      <w:r w:rsidRPr="0015391B">
        <w:rPr>
          <w:i/>
          <w:sz w:val="17"/>
          <w:szCs w:val="17"/>
        </w:rPr>
        <w:t>Source</w:t>
      </w:r>
      <w:r w:rsidRPr="0015391B">
        <w:rPr>
          <w:sz w:val="17"/>
          <w:szCs w:val="17"/>
        </w:rPr>
        <w:t>: Rapport “Rapid” No. 118/2004, Institut de la Statistique de la République de Slovénie.</w:t>
      </w:r>
    </w:p>
    <w:p w:rsidR="0015391B" w:rsidRPr="0015391B" w:rsidRDefault="0015391B" w:rsidP="0015391B">
      <w:pPr>
        <w:pStyle w:val="SingleTxt"/>
        <w:spacing w:after="0" w:line="120" w:lineRule="exact"/>
        <w:rPr>
          <w:sz w:val="10"/>
        </w:rPr>
      </w:pPr>
    </w:p>
    <w:p w:rsidR="0073290F" w:rsidRDefault="0073290F" w:rsidP="0015391B">
      <w:pPr>
        <w:pStyle w:val="SingleTxt"/>
        <w:jc w:val="left"/>
        <w:rPr>
          <w:b/>
          <w:lang w:val="fr-FR"/>
        </w:rPr>
      </w:pPr>
      <w:r w:rsidRPr="0015391B">
        <w:rPr>
          <w:lang w:val="fr-FR"/>
        </w:rPr>
        <w:t>Tableau 31</w:t>
      </w:r>
      <w:r w:rsidR="0015391B">
        <w:rPr>
          <w:lang w:val="fr-FR"/>
        </w:rPr>
        <w:br/>
      </w:r>
      <w:r w:rsidRPr="0015391B">
        <w:rPr>
          <w:b/>
          <w:lang w:val="fr-FR"/>
        </w:rPr>
        <w:t xml:space="preserve">Nombre de personnes de 15 ans et plus n’ayant suivi aucun type d’enseignement – par sexe et par motif de cette non participation </w:t>
      </w:r>
      <w:r w:rsidR="0015391B">
        <w:rPr>
          <w:b/>
          <w:lang w:val="fr-FR"/>
        </w:rPr>
        <w:br/>
      </w:r>
      <w:r w:rsidRPr="0015391B">
        <w:rPr>
          <w:b/>
          <w:lang w:val="fr-FR"/>
        </w:rPr>
        <w:t>(deuxième trimestre 2003)</w:t>
      </w:r>
    </w:p>
    <w:p w:rsidR="0015391B" w:rsidRPr="0015391B" w:rsidRDefault="0015391B" w:rsidP="0015391B">
      <w:pPr>
        <w:pStyle w:val="SingleTxt"/>
        <w:spacing w:after="0" w:line="120" w:lineRule="exact"/>
        <w:jc w:val="left"/>
        <w:rPr>
          <w:b/>
          <w:sz w:val="10"/>
          <w:lang w:val="fr-FR"/>
        </w:rPr>
      </w:pPr>
    </w:p>
    <w:tbl>
      <w:tblPr>
        <w:tblW w:w="0" w:type="auto"/>
        <w:tblInd w:w="1267" w:type="dxa"/>
        <w:tblCellMar>
          <w:left w:w="70" w:type="dxa"/>
          <w:right w:w="70" w:type="dxa"/>
        </w:tblCellMar>
        <w:tblLook w:val="0000" w:firstRow="0" w:lastRow="0" w:firstColumn="0" w:lastColumn="0" w:noHBand="0" w:noVBand="0"/>
      </w:tblPr>
      <w:tblGrid>
        <w:gridCol w:w="2590"/>
        <w:gridCol w:w="1800"/>
        <w:gridCol w:w="1800"/>
        <w:gridCol w:w="1800"/>
      </w:tblGrid>
      <w:tr w:rsidR="0073290F" w:rsidRPr="0015391B">
        <w:tblPrEx>
          <w:tblCellMar>
            <w:top w:w="0" w:type="dxa"/>
            <w:bottom w:w="0" w:type="dxa"/>
          </w:tblCellMar>
        </w:tblPrEx>
        <w:trPr>
          <w:tblHeader/>
        </w:trPr>
        <w:tc>
          <w:tcPr>
            <w:tcW w:w="2590"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rPr>
                <w:bCs/>
                <w:i/>
                <w:sz w:val="14"/>
              </w:rPr>
            </w:pPr>
            <w:r w:rsidRPr="0015391B">
              <w:rPr>
                <w:bCs/>
                <w:i/>
                <w:sz w:val="14"/>
              </w:rPr>
              <w:t>Raison de la non- participation</w:t>
            </w:r>
          </w:p>
        </w:tc>
        <w:tc>
          <w:tcPr>
            <w:tcW w:w="1800"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jc w:val="right"/>
              <w:rPr>
                <w:bCs/>
                <w:i/>
                <w:sz w:val="14"/>
              </w:rPr>
            </w:pPr>
            <w:r w:rsidRPr="0015391B">
              <w:rPr>
                <w:bCs/>
                <w:i/>
                <w:sz w:val="14"/>
              </w:rPr>
              <w:t>Nombre total de personnes</w:t>
            </w:r>
          </w:p>
        </w:tc>
        <w:tc>
          <w:tcPr>
            <w:tcW w:w="1800"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jc w:val="right"/>
              <w:rPr>
                <w:bCs/>
                <w:i/>
                <w:sz w:val="14"/>
              </w:rPr>
            </w:pPr>
            <w:r w:rsidRPr="0015391B">
              <w:rPr>
                <w:bCs/>
                <w:i/>
                <w:sz w:val="14"/>
              </w:rPr>
              <w:t>Nombre de femmes</w:t>
            </w:r>
          </w:p>
        </w:tc>
        <w:tc>
          <w:tcPr>
            <w:tcW w:w="1800" w:type="dxa"/>
            <w:tcBorders>
              <w:top w:val="single" w:sz="4" w:space="0" w:color="auto"/>
              <w:bottom w:val="single" w:sz="12" w:space="0" w:color="auto"/>
            </w:tcBorders>
            <w:shd w:val="clear" w:color="auto" w:fill="auto"/>
            <w:vAlign w:val="bottom"/>
          </w:tcPr>
          <w:p w:rsidR="0073290F" w:rsidRPr="0015391B" w:rsidRDefault="0073290F" w:rsidP="0015391B">
            <w:pPr>
              <w:suppressAutoHyphens/>
              <w:spacing w:before="80" w:after="80" w:line="160" w:lineRule="exact"/>
              <w:ind w:right="43"/>
              <w:jc w:val="right"/>
              <w:rPr>
                <w:bCs/>
                <w:i/>
                <w:sz w:val="14"/>
              </w:rPr>
            </w:pPr>
            <w:r w:rsidRPr="0015391B">
              <w:rPr>
                <w:bCs/>
                <w:i/>
                <w:sz w:val="14"/>
              </w:rPr>
              <w:t xml:space="preserve">% de femmes </w:t>
            </w:r>
          </w:p>
        </w:tc>
      </w:tr>
      <w:tr w:rsidR="0015391B" w:rsidRPr="0015391B">
        <w:tblPrEx>
          <w:tblCellMar>
            <w:top w:w="0" w:type="dxa"/>
            <w:bottom w:w="0" w:type="dxa"/>
          </w:tblCellMar>
        </w:tblPrEx>
        <w:trPr>
          <w:trHeight w:hRule="exact" w:val="115"/>
          <w:tblHeader/>
        </w:trPr>
        <w:tc>
          <w:tcPr>
            <w:tcW w:w="2590"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rPr>
                <w:sz w:val="17"/>
              </w:rPr>
            </w:pPr>
          </w:p>
        </w:tc>
        <w:tc>
          <w:tcPr>
            <w:tcW w:w="1800"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sz w:val="17"/>
              </w:rPr>
            </w:pPr>
          </w:p>
        </w:tc>
        <w:tc>
          <w:tcPr>
            <w:tcW w:w="1800"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sz w:val="17"/>
              </w:rPr>
            </w:pPr>
          </w:p>
        </w:tc>
        <w:tc>
          <w:tcPr>
            <w:tcW w:w="1800" w:type="dxa"/>
            <w:tcBorders>
              <w:top w:val="single" w:sz="12" w:space="0" w:color="auto"/>
            </w:tcBorders>
            <w:shd w:val="clear" w:color="auto" w:fill="auto"/>
            <w:vAlign w:val="bottom"/>
          </w:tcPr>
          <w:p w:rsidR="0015391B" w:rsidRPr="0015391B" w:rsidRDefault="0015391B" w:rsidP="0015391B">
            <w:pPr>
              <w:suppressAutoHyphens/>
              <w:spacing w:before="40" w:after="40" w:line="210" w:lineRule="exact"/>
              <w:ind w:right="43"/>
              <w:jc w:val="right"/>
              <w:rPr>
                <w:sz w:val="17"/>
              </w:rPr>
            </w:pPr>
          </w:p>
        </w:tc>
      </w:tr>
      <w:tr w:rsidR="0073290F" w:rsidRPr="0015391B">
        <w:tblPrEx>
          <w:tblCellMar>
            <w:top w:w="0" w:type="dxa"/>
            <w:bottom w:w="0" w:type="dxa"/>
          </w:tblCellMar>
        </w:tblPrEx>
        <w:tc>
          <w:tcPr>
            <w:tcW w:w="259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b/>
                <w:sz w:val="17"/>
              </w:rPr>
            </w:pPr>
            <w:r w:rsidRPr="0015391B">
              <w:rPr>
                <w:b/>
                <w:sz w:val="17"/>
              </w:rPr>
              <w:t>Total</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b/>
                <w:sz w:val="17"/>
              </w:rPr>
            </w:pPr>
            <w:r w:rsidRPr="0015391B">
              <w:rPr>
                <w:b/>
                <w:sz w:val="17"/>
              </w:rPr>
              <w:t>1.142.276</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b/>
                <w:sz w:val="17"/>
              </w:rPr>
            </w:pPr>
            <w:r w:rsidRPr="0015391B">
              <w:rPr>
                <w:b/>
                <w:sz w:val="17"/>
              </w:rPr>
              <w:t>585.281</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b/>
                <w:sz w:val="17"/>
              </w:rPr>
            </w:pPr>
            <w:r w:rsidRPr="0015391B">
              <w:rPr>
                <w:b/>
                <w:sz w:val="17"/>
              </w:rPr>
              <w:t>51,2</w:t>
            </w:r>
          </w:p>
        </w:tc>
      </w:tr>
      <w:tr w:rsidR="0073290F" w:rsidRPr="0015391B">
        <w:tblPrEx>
          <w:tblCellMar>
            <w:top w:w="0" w:type="dxa"/>
            <w:bottom w:w="0" w:type="dxa"/>
          </w:tblCellMar>
        </w:tblPrEx>
        <w:tc>
          <w:tcPr>
            <w:tcW w:w="259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sz w:val="17"/>
              </w:rPr>
            </w:pPr>
            <w:r w:rsidRPr="0015391B">
              <w:rPr>
                <w:sz w:val="17"/>
              </w:rPr>
              <w:t>Manque de temps</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202.930</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91.186</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44,9</w:t>
            </w:r>
          </w:p>
        </w:tc>
      </w:tr>
      <w:tr w:rsidR="0073290F" w:rsidRPr="0015391B">
        <w:tblPrEx>
          <w:tblCellMar>
            <w:top w:w="0" w:type="dxa"/>
            <w:bottom w:w="0" w:type="dxa"/>
          </w:tblCellMar>
        </w:tblPrEx>
        <w:tc>
          <w:tcPr>
            <w:tcW w:w="259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sz w:val="17"/>
              </w:rPr>
            </w:pPr>
            <w:r w:rsidRPr="0015391B">
              <w:rPr>
                <w:sz w:val="17"/>
              </w:rPr>
              <w:t>Personnes trop prises par leur travail</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51.311</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17.471</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34,0</w:t>
            </w:r>
          </w:p>
        </w:tc>
      </w:tr>
      <w:tr w:rsidR="0073290F" w:rsidRPr="0015391B">
        <w:tblPrEx>
          <w:tblCellMar>
            <w:top w:w="0" w:type="dxa"/>
            <w:bottom w:w="0" w:type="dxa"/>
          </w:tblCellMar>
        </w:tblPrEx>
        <w:tc>
          <w:tcPr>
            <w:tcW w:w="259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sz w:val="17"/>
              </w:rPr>
            </w:pPr>
            <w:r w:rsidRPr="0015391B">
              <w:rPr>
                <w:sz w:val="17"/>
              </w:rPr>
              <w:t>Pas d’équipement proche du domicile, et équipements disponibles trop éloignés</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16.867</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8.069</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47,8</w:t>
            </w:r>
          </w:p>
        </w:tc>
      </w:tr>
      <w:tr w:rsidR="0073290F" w:rsidRPr="0015391B">
        <w:tblPrEx>
          <w:tblCellMar>
            <w:top w:w="0" w:type="dxa"/>
            <w:bottom w:w="0" w:type="dxa"/>
          </w:tblCellMar>
        </w:tblPrEx>
        <w:tc>
          <w:tcPr>
            <w:tcW w:w="259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sz w:val="17"/>
              </w:rPr>
            </w:pPr>
            <w:r w:rsidRPr="0015391B">
              <w:rPr>
                <w:sz w:val="17"/>
              </w:rPr>
              <w:t>Responsabilités familiales</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27.576</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21.911</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79,5</w:t>
            </w:r>
          </w:p>
        </w:tc>
      </w:tr>
      <w:tr w:rsidR="0073290F" w:rsidRPr="0015391B">
        <w:tblPrEx>
          <w:tblCellMar>
            <w:top w:w="0" w:type="dxa"/>
            <w:bottom w:w="0" w:type="dxa"/>
          </w:tblCellMar>
        </w:tblPrEx>
        <w:tc>
          <w:tcPr>
            <w:tcW w:w="259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sz w:val="17"/>
              </w:rPr>
            </w:pPr>
            <w:r w:rsidRPr="0015391B">
              <w:rPr>
                <w:sz w:val="17"/>
              </w:rPr>
              <w:t>Trop coûteux/manque de moyens financiers</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27.209</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15.679</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57,6</w:t>
            </w:r>
          </w:p>
        </w:tc>
      </w:tr>
      <w:tr w:rsidR="0073290F" w:rsidRPr="0015391B">
        <w:tblPrEx>
          <w:tblCellMar>
            <w:top w:w="0" w:type="dxa"/>
            <w:bottom w:w="0" w:type="dxa"/>
          </w:tblCellMar>
        </w:tblPrEx>
        <w:tc>
          <w:tcPr>
            <w:tcW w:w="259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sz w:val="17"/>
              </w:rPr>
            </w:pPr>
            <w:r w:rsidRPr="0015391B">
              <w:rPr>
                <w:sz w:val="17"/>
              </w:rPr>
              <w:t>Bases éducatives insuffisantes</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1.858</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773</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41,6</w:t>
            </w:r>
          </w:p>
        </w:tc>
      </w:tr>
      <w:tr w:rsidR="0073290F" w:rsidRPr="0015391B">
        <w:tblPrEx>
          <w:tblCellMar>
            <w:top w:w="0" w:type="dxa"/>
            <w:bottom w:w="0" w:type="dxa"/>
          </w:tblCellMar>
        </w:tblPrEx>
        <w:tc>
          <w:tcPr>
            <w:tcW w:w="259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sz w:val="17"/>
                <w:lang w:val="en-GB"/>
              </w:rPr>
            </w:pPr>
            <w:r w:rsidRPr="0015391B">
              <w:rPr>
                <w:sz w:val="17"/>
                <w:lang w:val="en-GB"/>
              </w:rPr>
              <w:t>Aucune aide de l’employeur</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3.477</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1.567</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45,0</w:t>
            </w:r>
          </w:p>
        </w:tc>
      </w:tr>
      <w:tr w:rsidR="0073290F" w:rsidRPr="0015391B">
        <w:tblPrEx>
          <w:tblCellMar>
            <w:top w:w="0" w:type="dxa"/>
            <w:bottom w:w="0" w:type="dxa"/>
          </w:tblCellMar>
        </w:tblPrEx>
        <w:tc>
          <w:tcPr>
            <w:tcW w:w="259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sz w:val="17"/>
                <w:lang w:val="en-GB"/>
              </w:rPr>
            </w:pPr>
            <w:r w:rsidRPr="0015391B">
              <w:rPr>
                <w:sz w:val="17"/>
                <w:lang w:val="en-GB"/>
              </w:rPr>
              <w:t>Horaires impropres</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818</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358</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43,8</w:t>
            </w:r>
          </w:p>
        </w:tc>
      </w:tr>
      <w:tr w:rsidR="0073290F" w:rsidRPr="0015391B">
        <w:tblPrEx>
          <w:tblCellMar>
            <w:top w:w="0" w:type="dxa"/>
            <w:bottom w:w="0" w:type="dxa"/>
          </w:tblCellMar>
        </w:tblPrEx>
        <w:tc>
          <w:tcPr>
            <w:tcW w:w="259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sz w:val="17"/>
              </w:rPr>
            </w:pPr>
            <w:r w:rsidRPr="0015391B">
              <w:rPr>
                <w:sz w:val="17"/>
              </w:rPr>
              <w:t>Raisons linguistiques</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1.200</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1.001</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83,4</w:t>
            </w:r>
          </w:p>
        </w:tc>
      </w:tr>
      <w:tr w:rsidR="0073290F" w:rsidRPr="0015391B">
        <w:tblPrEx>
          <w:tblCellMar>
            <w:top w:w="0" w:type="dxa"/>
            <w:bottom w:w="0" w:type="dxa"/>
          </w:tblCellMar>
        </w:tblPrEx>
        <w:tc>
          <w:tcPr>
            <w:tcW w:w="259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sz w:val="17"/>
              </w:rPr>
            </w:pPr>
            <w:r w:rsidRPr="0015391B">
              <w:rPr>
                <w:sz w:val="17"/>
              </w:rPr>
              <w:t>Raisons de santé</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62.007</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33.173</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53,5</w:t>
            </w:r>
          </w:p>
        </w:tc>
      </w:tr>
      <w:tr w:rsidR="0073290F" w:rsidRPr="0015391B">
        <w:tblPrEx>
          <w:tblCellMar>
            <w:top w:w="0" w:type="dxa"/>
            <w:bottom w:w="0" w:type="dxa"/>
          </w:tblCellMar>
        </w:tblPrEx>
        <w:tc>
          <w:tcPr>
            <w:tcW w:w="259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sz w:val="17"/>
              </w:rPr>
            </w:pPr>
            <w:r w:rsidRPr="0015391B">
              <w:rPr>
                <w:sz w:val="17"/>
              </w:rPr>
              <w:t>Manque d’intérêt (en particulier à certains âges)</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744.628</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393.044</w:t>
            </w:r>
          </w:p>
        </w:tc>
        <w:tc>
          <w:tcPr>
            <w:tcW w:w="1800" w:type="dxa"/>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52,8</w:t>
            </w:r>
          </w:p>
        </w:tc>
      </w:tr>
      <w:tr w:rsidR="0073290F" w:rsidRPr="0015391B">
        <w:tblPrEx>
          <w:tblCellMar>
            <w:top w:w="0" w:type="dxa"/>
            <w:bottom w:w="0" w:type="dxa"/>
          </w:tblCellMar>
        </w:tblPrEx>
        <w:tc>
          <w:tcPr>
            <w:tcW w:w="2590"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rPr>
                <w:sz w:val="17"/>
              </w:rPr>
            </w:pPr>
            <w:r w:rsidRPr="0015391B">
              <w:rPr>
                <w:sz w:val="17"/>
              </w:rPr>
              <w:t>Autres motifs</w:t>
            </w:r>
          </w:p>
        </w:tc>
        <w:tc>
          <w:tcPr>
            <w:tcW w:w="1800"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2.395</w:t>
            </w:r>
          </w:p>
        </w:tc>
        <w:tc>
          <w:tcPr>
            <w:tcW w:w="1800"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1.049</w:t>
            </w:r>
          </w:p>
        </w:tc>
        <w:tc>
          <w:tcPr>
            <w:tcW w:w="1800" w:type="dxa"/>
            <w:tcBorders>
              <w:bottom w:val="single" w:sz="12" w:space="0" w:color="auto"/>
            </w:tcBorders>
            <w:shd w:val="clear" w:color="auto" w:fill="auto"/>
            <w:vAlign w:val="bottom"/>
          </w:tcPr>
          <w:p w:rsidR="0073290F" w:rsidRPr="0015391B" w:rsidRDefault="0073290F" w:rsidP="0015391B">
            <w:pPr>
              <w:tabs>
                <w:tab w:val="left" w:pos="288"/>
                <w:tab w:val="left" w:pos="576"/>
                <w:tab w:val="left" w:pos="864"/>
                <w:tab w:val="left" w:pos="1152"/>
              </w:tabs>
              <w:suppressAutoHyphens/>
              <w:spacing w:before="40" w:after="40" w:line="210" w:lineRule="exact"/>
              <w:ind w:right="43"/>
              <w:jc w:val="right"/>
              <w:rPr>
                <w:sz w:val="17"/>
              </w:rPr>
            </w:pPr>
            <w:r w:rsidRPr="0015391B">
              <w:rPr>
                <w:sz w:val="17"/>
              </w:rPr>
              <w:t>43,8</w:t>
            </w:r>
          </w:p>
        </w:tc>
      </w:tr>
    </w:tbl>
    <w:p w:rsidR="0015391B" w:rsidRPr="0015391B" w:rsidRDefault="0015391B" w:rsidP="0015391B">
      <w:pPr>
        <w:spacing w:line="120" w:lineRule="exact"/>
        <w:rPr>
          <w:sz w:val="10"/>
        </w:rPr>
      </w:pPr>
    </w:p>
    <w:p w:rsidR="0073290F" w:rsidRPr="0015391B" w:rsidRDefault="0073290F" w:rsidP="0015391B">
      <w:pPr>
        <w:pStyle w:val="SingleTxt"/>
        <w:rPr>
          <w:sz w:val="17"/>
          <w:szCs w:val="17"/>
        </w:rPr>
      </w:pPr>
      <w:r w:rsidRPr="0015391B">
        <w:rPr>
          <w:i/>
          <w:sz w:val="17"/>
          <w:szCs w:val="17"/>
        </w:rPr>
        <w:t>Source</w:t>
      </w:r>
      <w:r w:rsidRPr="0015391B">
        <w:rPr>
          <w:sz w:val="17"/>
          <w:szCs w:val="17"/>
        </w:rPr>
        <w:t>: Institut de la Statistique de la République de Slovénie – 2004.</w:t>
      </w:r>
    </w:p>
    <w:p w:rsidR="0073290F" w:rsidRPr="008D47ED" w:rsidRDefault="0073290F" w:rsidP="0015391B">
      <w:pPr>
        <w:pStyle w:val="SingleTxt"/>
        <w:rPr>
          <w:i/>
          <w:iCs/>
        </w:rPr>
      </w:pPr>
    </w:p>
    <w:p w:rsidR="0073290F" w:rsidRDefault="0015391B" w:rsidP="0015391B">
      <w:pPr>
        <w:pStyle w:val="SingleTxt"/>
        <w:jc w:val="left"/>
        <w:rPr>
          <w:b/>
          <w:bCs/>
          <w:lang w:val="fr-FR"/>
        </w:rPr>
      </w:pPr>
      <w:r>
        <w:rPr>
          <w:bCs/>
          <w:lang w:val="fr-FR"/>
        </w:rPr>
        <w:br w:type="page"/>
      </w:r>
      <w:r w:rsidR="0073290F" w:rsidRPr="008D47ED">
        <w:rPr>
          <w:bCs/>
          <w:lang w:val="fr-FR"/>
        </w:rPr>
        <w:t>Tableau 32</w:t>
      </w:r>
      <w:r>
        <w:rPr>
          <w:bCs/>
          <w:lang w:val="fr-FR"/>
        </w:rPr>
        <w:br/>
      </w:r>
      <w:r w:rsidR="0073290F" w:rsidRPr="0015391B">
        <w:rPr>
          <w:b/>
          <w:bCs/>
          <w:lang w:val="fr-FR"/>
        </w:rPr>
        <w:t>Taux d’activité, par sexe (moyennes annuelles) - 2003 et 2004</w:t>
      </w:r>
    </w:p>
    <w:p w:rsidR="0015391B" w:rsidRPr="0015391B" w:rsidRDefault="0015391B" w:rsidP="0015391B">
      <w:pPr>
        <w:pStyle w:val="SingleTxt"/>
        <w:spacing w:after="0" w:line="120" w:lineRule="exact"/>
        <w:jc w:val="left"/>
        <w:rPr>
          <w:b/>
          <w:bCs/>
          <w:sz w:val="10"/>
          <w:lang w:val="fr-FR"/>
        </w:rPr>
      </w:pPr>
    </w:p>
    <w:tbl>
      <w:tblPr>
        <w:tblW w:w="7050" w:type="dxa"/>
        <w:tblInd w:w="1267" w:type="dxa"/>
        <w:tblLayout w:type="fixed"/>
        <w:tblCellMar>
          <w:left w:w="30" w:type="dxa"/>
          <w:right w:w="30" w:type="dxa"/>
        </w:tblCellMar>
        <w:tblLook w:val="0000" w:firstRow="0" w:lastRow="0" w:firstColumn="0" w:lastColumn="0" w:noHBand="0" w:noVBand="0"/>
      </w:tblPr>
      <w:tblGrid>
        <w:gridCol w:w="3090"/>
        <w:gridCol w:w="1980"/>
        <w:gridCol w:w="1980"/>
      </w:tblGrid>
      <w:tr w:rsidR="0073290F" w:rsidRPr="00961E22">
        <w:tblPrEx>
          <w:tblCellMar>
            <w:top w:w="0" w:type="dxa"/>
            <w:bottom w:w="0" w:type="dxa"/>
          </w:tblCellMar>
        </w:tblPrEx>
        <w:trPr>
          <w:cantSplit/>
          <w:trHeight w:val="276"/>
          <w:tblHeader/>
        </w:trPr>
        <w:tc>
          <w:tcPr>
            <w:tcW w:w="3090" w:type="dxa"/>
            <w:tcBorders>
              <w:top w:val="single" w:sz="4" w:space="0" w:color="auto"/>
              <w:bottom w:val="single" w:sz="12" w:space="0" w:color="auto"/>
            </w:tcBorders>
            <w:shd w:val="clear" w:color="auto" w:fill="auto"/>
            <w:vAlign w:val="bottom"/>
          </w:tcPr>
          <w:p w:rsidR="0073290F" w:rsidRPr="00961E22" w:rsidRDefault="0073290F" w:rsidP="00961E22">
            <w:pPr>
              <w:suppressAutoHyphens/>
              <w:spacing w:before="80" w:after="80" w:line="160" w:lineRule="exact"/>
              <w:ind w:right="43"/>
              <w:jc w:val="right"/>
              <w:rPr>
                <w:i/>
                <w:color w:val="000000"/>
                <w:sz w:val="14"/>
              </w:rPr>
            </w:pPr>
          </w:p>
        </w:tc>
        <w:tc>
          <w:tcPr>
            <w:tcW w:w="1980" w:type="dxa"/>
            <w:tcBorders>
              <w:top w:val="single" w:sz="4" w:space="0" w:color="auto"/>
              <w:bottom w:val="single" w:sz="12" w:space="0" w:color="auto"/>
            </w:tcBorders>
            <w:shd w:val="clear" w:color="auto" w:fill="auto"/>
            <w:vAlign w:val="bottom"/>
          </w:tcPr>
          <w:p w:rsidR="0073290F" w:rsidRPr="00961E22" w:rsidRDefault="0073290F" w:rsidP="00961E22">
            <w:pPr>
              <w:suppressAutoHyphens/>
              <w:spacing w:before="80" w:after="80" w:line="160" w:lineRule="exact"/>
              <w:ind w:right="43"/>
              <w:jc w:val="right"/>
              <w:rPr>
                <w:i/>
                <w:color w:val="000000"/>
                <w:sz w:val="14"/>
              </w:rPr>
            </w:pPr>
            <w:r w:rsidRPr="00961E22">
              <w:rPr>
                <w:i/>
                <w:color w:val="000000"/>
                <w:sz w:val="14"/>
              </w:rPr>
              <w:t>2003</w:t>
            </w:r>
          </w:p>
        </w:tc>
        <w:tc>
          <w:tcPr>
            <w:tcW w:w="1980" w:type="dxa"/>
            <w:tcBorders>
              <w:top w:val="single" w:sz="4" w:space="0" w:color="auto"/>
              <w:bottom w:val="single" w:sz="12" w:space="0" w:color="auto"/>
            </w:tcBorders>
            <w:shd w:val="clear" w:color="auto" w:fill="auto"/>
            <w:vAlign w:val="bottom"/>
          </w:tcPr>
          <w:p w:rsidR="0073290F" w:rsidRPr="00961E22" w:rsidRDefault="0073290F" w:rsidP="00961E22">
            <w:pPr>
              <w:suppressAutoHyphens/>
              <w:spacing w:before="80" w:after="80" w:line="160" w:lineRule="exact"/>
              <w:ind w:right="43"/>
              <w:jc w:val="right"/>
              <w:rPr>
                <w:i/>
                <w:color w:val="000000"/>
                <w:sz w:val="14"/>
              </w:rPr>
            </w:pPr>
            <w:r w:rsidRPr="00961E22">
              <w:rPr>
                <w:i/>
                <w:color w:val="000000"/>
                <w:sz w:val="14"/>
              </w:rPr>
              <w:t>2004</w:t>
            </w:r>
          </w:p>
        </w:tc>
      </w:tr>
      <w:tr w:rsidR="00961E22" w:rsidRPr="00961E22">
        <w:tblPrEx>
          <w:tblCellMar>
            <w:top w:w="0" w:type="dxa"/>
            <w:bottom w:w="0" w:type="dxa"/>
          </w:tblCellMar>
        </w:tblPrEx>
        <w:trPr>
          <w:cantSplit/>
          <w:trHeight w:hRule="exact" w:val="115"/>
          <w:tblHeader/>
        </w:trPr>
        <w:tc>
          <w:tcPr>
            <w:tcW w:w="3090" w:type="dxa"/>
            <w:tcBorders>
              <w:top w:val="single" w:sz="12" w:space="0" w:color="auto"/>
            </w:tcBorders>
            <w:shd w:val="clear" w:color="auto" w:fill="auto"/>
            <w:vAlign w:val="bottom"/>
          </w:tcPr>
          <w:p w:rsidR="00961E22" w:rsidRPr="00961E22" w:rsidRDefault="00961E22" w:rsidP="00961E22">
            <w:pPr>
              <w:suppressAutoHyphens/>
              <w:spacing w:before="40" w:after="40" w:line="210" w:lineRule="exact"/>
              <w:ind w:right="43"/>
              <w:rPr>
                <w:b/>
                <w:color w:val="000000"/>
                <w:sz w:val="17"/>
              </w:rPr>
            </w:pPr>
          </w:p>
        </w:tc>
        <w:tc>
          <w:tcPr>
            <w:tcW w:w="1980" w:type="dxa"/>
            <w:tcBorders>
              <w:top w:val="single" w:sz="12" w:space="0" w:color="auto"/>
            </w:tcBorders>
            <w:shd w:val="clear" w:color="auto" w:fill="auto"/>
            <w:vAlign w:val="bottom"/>
          </w:tcPr>
          <w:p w:rsidR="00961E22" w:rsidRPr="00961E22" w:rsidRDefault="00961E22" w:rsidP="00961E22">
            <w:pPr>
              <w:suppressAutoHyphens/>
              <w:spacing w:before="40" w:after="40" w:line="210" w:lineRule="exact"/>
              <w:ind w:right="43"/>
              <w:jc w:val="right"/>
              <w:rPr>
                <w:color w:val="000000"/>
                <w:sz w:val="17"/>
              </w:rPr>
            </w:pPr>
          </w:p>
        </w:tc>
        <w:tc>
          <w:tcPr>
            <w:tcW w:w="1980" w:type="dxa"/>
            <w:tcBorders>
              <w:top w:val="single" w:sz="12" w:space="0" w:color="auto"/>
            </w:tcBorders>
            <w:shd w:val="clear" w:color="auto" w:fill="auto"/>
            <w:vAlign w:val="bottom"/>
          </w:tcPr>
          <w:p w:rsidR="00961E22" w:rsidRPr="00961E22" w:rsidRDefault="00961E22" w:rsidP="00961E22">
            <w:pPr>
              <w:suppressAutoHyphens/>
              <w:spacing w:before="40" w:after="40" w:line="210" w:lineRule="exact"/>
              <w:ind w:right="43"/>
              <w:jc w:val="right"/>
              <w:rPr>
                <w:color w:val="000000"/>
                <w:sz w:val="17"/>
              </w:rPr>
            </w:pPr>
          </w:p>
        </w:tc>
      </w:tr>
      <w:tr w:rsidR="0073290F" w:rsidRPr="00961E22">
        <w:tblPrEx>
          <w:tblCellMar>
            <w:top w:w="0" w:type="dxa"/>
            <w:bottom w:w="0" w:type="dxa"/>
          </w:tblCellMar>
        </w:tblPrEx>
        <w:trPr>
          <w:cantSplit/>
          <w:trHeight w:val="276"/>
        </w:trPr>
        <w:tc>
          <w:tcPr>
            <w:tcW w:w="309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b/>
                <w:color w:val="000000"/>
                <w:sz w:val="17"/>
              </w:rPr>
            </w:pPr>
            <w:r w:rsidRPr="00961E22">
              <w:rPr>
                <w:b/>
                <w:color w:val="000000"/>
                <w:sz w:val="17"/>
              </w:rPr>
              <w:t>Total</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p>
        </w:tc>
      </w:tr>
      <w:tr w:rsidR="0073290F" w:rsidRPr="00961E22">
        <w:tblPrEx>
          <w:tblCellMar>
            <w:top w:w="0" w:type="dxa"/>
            <w:bottom w:w="0" w:type="dxa"/>
          </w:tblCellMar>
        </w:tblPrEx>
        <w:trPr>
          <w:cantSplit/>
          <w:trHeight w:val="262"/>
        </w:trPr>
        <w:tc>
          <w:tcPr>
            <w:tcW w:w="309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color w:val="000000"/>
                <w:sz w:val="17"/>
              </w:rPr>
            </w:pPr>
            <w:r w:rsidRPr="00961E22">
              <w:rPr>
                <w:color w:val="000000"/>
                <w:sz w:val="17"/>
              </w:rPr>
              <w:t>Taux d’activité</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56,6</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59,0</w:t>
            </w:r>
          </w:p>
        </w:tc>
      </w:tr>
      <w:tr w:rsidR="0073290F" w:rsidRPr="00961E22">
        <w:tblPrEx>
          <w:tblCellMar>
            <w:top w:w="0" w:type="dxa"/>
            <w:bottom w:w="0" w:type="dxa"/>
          </w:tblCellMar>
        </w:tblPrEx>
        <w:trPr>
          <w:cantSplit/>
          <w:trHeight w:val="247"/>
        </w:trPr>
        <w:tc>
          <w:tcPr>
            <w:tcW w:w="309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color w:val="000000"/>
                <w:sz w:val="17"/>
              </w:rPr>
            </w:pPr>
            <w:r w:rsidRPr="00961E22">
              <w:rPr>
                <w:color w:val="000000"/>
                <w:sz w:val="17"/>
              </w:rPr>
              <w:t>Ratio emploi/population</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52,8</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55,3</w:t>
            </w:r>
          </w:p>
        </w:tc>
      </w:tr>
      <w:tr w:rsidR="0073290F" w:rsidRPr="00961E22">
        <w:tblPrEx>
          <w:tblCellMar>
            <w:top w:w="0" w:type="dxa"/>
            <w:bottom w:w="0" w:type="dxa"/>
          </w:tblCellMar>
        </w:tblPrEx>
        <w:trPr>
          <w:cantSplit/>
          <w:trHeight w:val="276"/>
        </w:trPr>
        <w:tc>
          <w:tcPr>
            <w:tcW w:w="309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b/>
                <w:sz w:val="17"/>
              </w:rPr>
            </w:pPr>
            <w:r w:rsidRPr="00961E22">
              <w:rPr>
                <w:b/>
                <w:sz w:val="17"/>
              </w:rPr>
              <w:t>Hommes</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p>
        </w:tc>
      </w:tr>
      <w:tr w:rsidR="0073290F" w:rsidRPr="00961E22">
        <w:tblPrEx>
          <w:tblCellMar>
            <w:top w:w="0" w:type="dxa"/>
            <w:bottom w:w="0" w:type="dxa"/>
          </w:tblCellMar>
        </w:tblPrEx>
        <w:trPr>
          <w:cantSplit/>
          <w:trHeight w:val="262"/>
        </w:trPr>
        <w:tc>
          <w:tcPr>
            <w:tcW w:w="309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color w:val="000000"/>
                <w:sz w:val="17"/>
              </w:rPr>
              <w:t>Taux d’activité</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63,5</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65,9</w:t>
            </w:r>
          </w:p>
        </w:tc>
      </w:tr>
      <w:tr w:rsidR="0073290F" w:rsidRPr="00961E22">
        <w:tblPrEx>
          <w:tblCellMar>
            <w:top w:w="0" w:type="dxa"/>
            <w:bottom w:w="0" w:type="dxa"/>
          </w:tblCellMar>
        </w:tblPrEx>
        <w:trPr>
          <w:cantSplit/>
          <w:trHeight w:val="247"/>
        </w:trPr>
        <w:tc>
          <w:tcPr>
            <w:tcW w:w="309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color w:val="000000"/>
                <w:sz w:val="17"/>
              </w:rPr>
              <w:t>Ratio emploi/population</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59,4</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62,0</w:t>
            </w:r>
          </w:p>
        </w:tc>
      </w:tr>
      <w:tr w:rsidR="0073290F" w:rsidRPr="00961E22">
        <w:tblPrEx>
          <w:tblCellMar>
            <w:top w:w="0" w:type="dxa"/>
            <w:bottom w:w="0" w:type="dxa"/>
          </w:tblCellMar>
        </w:tblPrEx>
        <w:trPr>
          <w:cantSplit/>
          <w:trHeight w:val="276"/>
        </w:trPr>
        <w:tc>
          <w:tcPr>
            <w:tcW w:w="309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b/>
                <w:sz w:val="17"/>
              </w:rPr>
            </w:pPr>
            <w:r w:rsidRPr="00961E22">
              <w:rPr>
                <w:b/>
                <w:sz w:val="17"/>
              </w:rPr>
              <w:t>Femmes</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p>
        </w:tc>
      </w:tr>
      <w:tr w:rsidR="0073290F" w:rsidRPr="00961E22">
        <w:tblPrEx>
          <w:tblCellMar>
            <w:top w:w="0" w:type="dxa"/>
            <w:bottom w:w="0" w:type="dxa"/>
          </w:tblCellMar>
        </w:tblPrEx>
        <w:trPr>
          <w:cantSplit/>
          <w:trHeight w:val="262"/>
        </w:trPr>
        <w:tc>
          <w:tcPr>
            <w:tcW w:w="309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color w:val="000000"/>
                <w:sz w:val="17"/>
              </w:rPr>
              <w:t>Taux d’activité</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50,0</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52,5</w:t>
            </w:r>
          </w:p>
        </w:tc>
      </w:tr>
      <w:tr w:rsidR="0073290F" w:rsidRPr="00961E22">
        <w:tblPrEx>
          <w:tblCellMar>
            <w:top w:w="0" w:type="dxa"/>
            <w:bottom w:w="0" w:type="dxa"/>
          </w:tblCellMar>
        </w:tblPrEx>
        <w:trPr>
          <w:cantSplit/>
          <w:trHeight w:val="247"/>
        </w:trPr>
        <w:tc>
          <w:tcPr>
            <w:tcW w:w="3090" w:type="dxa"/>
            <w:tcBorders>
              <w:bottom w:val="single" w:sz="12" w:space="0" w:color="auto"/>
            </w:tcBorders>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color w:val="000000"/>
                <w:sz w:val="17"/>
              </w:rPr>
              <w:t>Ratio emploi/population</w:t>
            </w:r>
          </w:p>
        </w:tc>
        <w:tc>
          <w:tcPr>
            <w:tcW w:w="1980" w:type="dxa"/>
            <w:tcBorders>
              <w:bottom w:val="single" w:sz="12" w:space="0" w:color="auto"/>
            </w:tcBorders>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46,5</w:t>
            </w:r>
          </w:p>
        </w:tc>
        <w:tc>
          <w:tcPr>
            <w:tcW w:w="1980" w:type="dxa"/>
            <w:tcBorders>
              <w:bottom w:val="single" w:sz="12" w:space="0" w:color="auto"/>
            </w:tcBorders>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48,9</w:t>
            </w:r>
          </w:p>
        </w:tc>
      </w:tr>
    </w:tbl>
    <w:p w:rsidR="00961E22" w:rsidRPr="00961E22" w:rsidRDefault="00961E22" w:rsidP="00961E22">
      <w:pPr>
        <w:spacing w:line="120" w:lineRule="exact"/>
        <w:rPr>
          <w:sz w:val="10"/>
        </w:rPr>
      </w:pPr>
    </w:p>
    <w:p w:rsidR="0073290F" w:rsidRPr="008D47ED" w:rsidRDefault="0073290F" w:rsidP="00961E22">
      <w:pPr>
        <w:pStyle w:val="SingleTxt"/>
      </w:pPr>
      <w:r w:rsidRPr="00961E22">
        <w:rPr>
          <w:i/>
          <w:sz w:val="17"/>
          <w:szCs w:val="17"/>
        </w:rPr>
        <w:t>Source</w:t>
      </w:r>
      <w:r w:rsidRPr="00961E22">
        <w:rPr>
          <w:sz w:val="17"/>
          <w:szCs w:val="17"/>
        </w:rPr>
        <w:t>: Rapports “Rapid” Nos 225 et 185, Institut de la Statistique de la République de Slovénie</w:t>
      </w:r>
      <w:r w:rsidRPr="008D47ED">
        <w:t>.</w:t>
      </w:r>
    </w:p>
    <w:p w:rsidR="0073290F" w:rsidRDefault="0073290F" w:rsidP="00961E22">
      <w:pPr>
        <w:pStyle w:val="SingleTxt"/>
        <w:jc w:val="left"/>
        <w:rPr>
          <w:b/>
          <w:lang w:val="fr-FR"/>
        </w:rPr>
      </w:pPr>
      <w:r w:rsidRPr="00B215AF">
        <w:rPr>
          <w:lang w:val="fr-FR"/>
        </w:rPr>
        <w:t>Tableau 33</w:t>
      </w:r>
      <w:r w:rsidR="00961E22">
        <w:rPr>
          <w:lang w:val="fr-FR"/>
        </w:rPr>
        <w:br/>
      </w:r>
      <w:r w:rsidRPr="00961E22">
        <w:rPr>
          <w:b/>
          <w:lang w:val="fr-FR"/>
        </w:rPr>
        <w:t>Ratio emploi/population, par tranches d’âge et par sexe (moyennes annuelles)</w:t>
      </w:r>
      <w:r w:rsidR="00961E22">
        <w:rPr>
          <w:b/>
          <w:lang w:val="fr-FR"/>
        </w:rPr>
        <w:br/>
      </w:r>
      <w:r w:rsidRPr="00961E22">
        <w:rPr>
          <w:b/>
          <w:lang w:val="fr-FR"/>
        </w:rPr>
        <w:t xml:space="preserve"> - 2003 et 2004</w:t>
      </w:r>
    </w:p>
    <w:p w:rsidR="00961E22" w:rsidRPr="00961E22" w:rsidRDefault="00961E22" w:rsidP="00961E22">
      <w:pPr>
        <w:pStyle w:val="SingleTxt"/>
        <w:spacing w:after="0" w:line="120" w:lineRule="exact"/>
        <w:jc w:val="left"/>
        <w:rPr>
          <w:b/>
          <w:sz w:val="10"/>
          <w:lang w:val="fr-FR"/>
        </w:rPr>
      </w:pPr>
    </w:p>
    <w:tbl>
      <w:tblPr>
        <w:tblW w:w="6870" w:type="dxa"/>
        <w:tblInd w:w="1267" w:type="dxa"/>
        <w:tblLayout w:type="fixed"/>
        <w:tblCellMar>
          <w:left w:w="30" w:type="dxa"/>
          <w:right w:w="30" w:type="dxa"/>
        </w:tblCellMar>
        <w:tblLook w:val="0000" w:firstRow="0" w:lastRow="0" w:firstColumn="0" w:lastColumn="0" w:noHBand="0" w:noVBand="0"/>
      </w:tblPr>
      <w:tblGrid>
        <w:gridCol w:w="3173"/>
        <w:gridCol w:w="1980"/>
        <w:gridCol w:w="1717"/>
      </w:tblGrid>
      <w:tr w:rsidR="0073290F" w:rsidRPr="00961E22">
        <w:tblPrEx>
          <w:tblCellMar>
            <w:top w:w="0" w:type="dxa"/>
            <w:bottom w:w="0" w:type="dxa"/>
          </w:tblCellMar>
        </w:tblPrEx>
        <w:trPr>
          <w:cantSplit/>
          <w:trHeight w:val="276"/>
          <w:tblHeader/>
        </w:trPr>
        <w:tc>
          <w:tcPr>
            <w:tcW w:w="3173" w:type="dxa"/>
            <w:tcBorders>
              <w:top w:val="single" w:sz="4" w:space="0" w:color="auto"/>
              <w:bottom w:val="single" w:sz="12" w:space="0" w:color="auto"/>
            </w:tcBorders>
            <w:shd w:val="clear" w:color="auto" w:fill="auto"/>
            <w:vAlign w:val="bottom"/>
          </w:tcPr>
          <w:p w:rsidR="0073290F" w:rsidRPr="00961E22" w:rsidRDefault="0073290F" w:rsidP="00961E22">
            <w:pPr>
              <w:suppressAutoHyphens/>
              <w:spacing w:before="80" w:after="80" w:line="160" w:lineRule="exact"/>
              <w:ind w:right="43"/>
              <w:jc w:val="right"/>
              <w:rPr>
                <w:i/>
                <w:color w:val="000000"/>
                <w:sz w:val="14"/>
              </w:rPr>
            </w:pPr>
          </w:p>
        </w:tc>
        <w:tc>
          <w:tcPr>
            <w:tcW w:w="1980" w:type="dxa"/>
            <w:tcBorders>
              <w:top w:val="single" w:sz="4" w:space="0" w:color="auto"/>
              <w:bottom w:val="single" w:sz="12" w:space="0" w:color="auto"/>
            </w:tcBorders>
            <w:shd w:val="clear" w:color="auto" w:fill="auto"/>
            <w:vAlign w:val="bottom"/>
          </w:tcPr>
          <w:p w:rsidR="0073290F" w:rsidRPr="00961E22" w:rsidRDefault="0073290F" w:rsidP="00961E22">
            <w:pPr>
              <w:suppressAutoHyphens/>
              <w:spacing w:before="80" w:after="80" w:line="160" w:lineRule="exact"/>
              <w:ind w:right="43"/>
              <w:jc w:val="right"/>
              <w:rPr>
                <w:i/>
                <w:color w:val="000000"/>
                <w:sz w:val="14"/>
              </w:rPr>
            </w:pPr>
            <w:r w:rsidRPr="00961E22">
              <w:rPr>
                <w:i/>
                <w:color w:val="000000"/>
                <w:sz w:val="14"/>
              </w:rPr>
              <w:t>2003</w:t>
            </w:r>
          </w:p>
        </w:tc>
        <w:tc>
          <w:tcPr>
            <w:tcW w:w="1717" w:type="dxa"/>
            <w:tcBorders>
              <w:top w:val="single" w:sz="4" w:space="0" w:color="auto"/>
              <w:bottom w:val="single" w:sz="12" w:space="0" w:color="auto"/>
            </w:tcBorders>
            <w:shd w:val="clear" w:color="auto" w:fill="auto"/>
            <w:vAlign w:val="bottom"/>
          </w:tcPr>
          <w:p w:rsidR="0073290F" w:rsidRPr="00961E22" w:rsidRDefault="0073290F" w:rsidP="00961E22">
            <w:pPr>
              <w:suppressAutoHyphens/>
              <w:spacing w:before="80" w:after="80" w:line="160" w:lineRule="exact"/>
              <w:ind w:right="43"/>
              <w:jc w:val="right"/>
              <w:rPr>
                <w:i/>
                <w:color w:val="000000"/>
                <w:sz w:val="14"/>
              </w:rPr>
            </w:pPr>
            <w:r w:rsidRPr="00961E22">
              <w:rPr>
                <w:i/>
                <w:color w:val="000000"/>
                <w:sz w:val="14"/>
              </w:rPr>
              <w:t>2004</w:t>
            </w:r>
          </w:p>
        </w:tc>
      </w:tr>
      <w:tr w:rsidR="00961E22" w:rsidRPr="00961E22">
        <w:tblPrEx>
          <w:tblCellMar>
            <w:top w:w="0" w:type="dxa"/>
            <w:bottom w:w="0" w:type="dxa"/>
          </w:tblCellMar>
        </w:tblPrEx>
        <w:trPr>
          <w:cantSplit/>
          <w:trHeight w:hRule="exact" w:val="115"/>
          <w:tblHeader/>
        </w:trPr>
        <w:tc>
          <w:tcPr>
            <w:tcW w:w="3173" w:type="dxa"/>
            <w:tcBorders>
              <w:top w:val="single" w:sz="12" w:space="0" w:color="auto"/>
            </w:tcBorders>
            <w:shd w:val="clear" w:color="auto" w:fill="auto"/>
            <w:vAlign w:val="bottom"/>
          </w:tcPr>
          <w:p w:rsidR="00961E22" w:rsidRPr="00961E22" w:rsidRDefault="00961E22" w:rsidP="00961E22">
            <w:pPr>
              <w:suppressAutoHyphens/>
              <w:spacing w:before="40" w:after="40" w:line="210" w:lineRule="exact"/>
              <w:ind w:right="43"/>
              <w:jc w:val="center"/>
              <w:rPr>
                <w:b/>
                <w:color w:val="000000"/>
                <w:sz w:val="17"/>
              </w:rPr>
            </w:pPr>
          </w:p>
        </w:tc>
        <w:tc>
          <w:tcPr>
            <w:tcW w:w="1980" w:type="dxa"/>
            <w:tcBorders>
              <w:top w:val="single" w:sz="12" w:space="0" w:color="auto"/>
            </w:tcBorders>
            <w:shd w:val="clear" w:color="auto" w:fill="auto"/>
            <w:vAlign w:val="bottom"/>
          </w:tcPr>
          <w:p w:rsidR="00961E22" w:rsidRPr="00961E22" w:rsidRDefault="00961E22" w:rsidP="00961E22">
            <w:pPr>
              <w:suppressAutoHyphens/>
              <w:spacing w:before="40" w:after="40" w:line="210" w:lineRule="exact"/>
              <w:ind w:right="43"/>
              <w:jc w:val="right"/>
              <w:rPr>
                <w:b/>
                <w:color w:val="000000"/>
                <w:sz w:val="17"/>
              </w:rPr>
            </w:pPr>
          </w:p>
        </w:tc>
        <w:tc>
          <w:tcPr>
            <w:tcW w:w="1717" w:type="dxa"/>
            <w:tcBorders>
              <w:top w:val="single" w:sz="12" w:space="0" w:color="auto"/>
            </w:tcBorders>
            <w:shd w:val="clear" w:color="auto" w:fill="auto"/>
            <w:vAlign w:val="bottom"/>
          </w:tcPr>
          <w:p w:rsidR="00961E22" w:rsidRPr="00961E22" w:rsidRDefault="00961E22" w:rsidP="00961E22">
            <w:pPr>
              <w:suppressAutoHyphens/>
              <w:spacing w:before="40" w:after="40" w:line="210" w:lineRule="exact"/>
              <w:ind w:right="43"/>
              <w:jc w:val="right"/>
              <w:rPr>
                <w:color w:val="000000"/>
                <w:sz w:val="17"/>
              </w:rPr>
            </w:pPr>
          </w:p>
        </w:tc>
      </w:tr>
      <w:tr w:rsidR="0073290F" w:rsidRPr="00961E22">
        <w:tblPrEx>
          <w:tblCellMar>
            <w:top w:w="0" w:type="dxa"/>
            <w:bottom w:w="0" w:type="dxa"/>
          </w:tblCellMar>
        </w:tblPrEx>
        <w:trPr>
          <w:cantSplit/>
          <w:trHeight w:val="276"/>
        </w:trPr>
        <w:tc>
          <w:tcPr>
            <w:tcW w:w="317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center"/>
              <w:rPr>
                <w:b/>
                <w:color w:val="000000"/>
                <w:sz w:val="17"/>
              </w:rPr>
            </w:pP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b/>
                <w:color w:val="000000"/>
                <w:sz w:val="17"/>
              </w:rPr>
              <w:t>Total</w:t>
            </w:r>
          </w:p>
        </w:tc>
        <w:tc>
          <w:tcPr>
            <w:tcW w:w="171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p>
        </w:tc>
      </w:tr>
      <w:tr w:rsidR="0073290F" w:rsidRPr="00961E22">
        <w:tblPrEx>
          <w:tblCellMar>
            <w:top w:w="0" w:type="dxa"/>
            <w:bottom w:w="0" w:type="dxa"/>
          </w:tblCellMar>
        </w:tblPrEx>
        <w:trPr>
          <w:cantSplit/>
          <w:trHeight w:val="262"/>
        </w:trPr>
        <w:tc>
          <w:tcPr>
            <w:tcW w:w="317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color w:val="000000"/>
                <w:sz w:val="17"/>
              </w:rPr>
              <w:t>Ratio emploi/population – 15 – 64 ans</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62,6</w:t>
            </w:r>
          </w:p>
        </w:tc>
        <w:tc>
          <w:tcPr>
            <w:tcW w:w="171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65,3</w:t>
            </w:r>
          </w:p>
        </w:tc>
      </w:tr>
      <w:tr w:rsidR="0073290F" w:rsidRPr="00961E22">
        <w:tblPrEx>
          <w:tblCellMar>
            <w:top w:w="0" w:type="dxa"/>
            <w:bottom w:w="0" w:type="dxa"/>
          </w:tblCellMar>
        </w:tblPrEx>
        <w:trPr>
          <w:cantSplit/>
          <w:trHeight w:val="262"/>
        </w:trPr>
        <w:tc>
          <w:tcPr>
            <w:tcW w:w="317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sz w:val="17"/>
              </w:rPr>
              <w:t xml:space="preserve">Ratio emploi/population - 15 – 24 ans </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29,2</w:t>
            </w:r>
          </w:p>
        </w:tc>
        <w:tc>
          <w:tcPr>
            <w:tcW w:w="171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34,0</w:t>
            </w:r>
          </w:p>
        </w:tc>
      </w:tr>
      <w:tr w:rsidR="0073290F" w:rsidRPr="00961E22">
        <w:tblPrEx>
          <w:tblCellMar>
            <w:top w:w="0" w:type="dxa"/>
            <w:bottom w:w="0" w:type="dxa"/>
          </w:tblCellMar>
        </w:tblPrEx>
        <w:trPr>
          <w:cantSplit/>
          <w:trHeight w:val="262"/>
        </w:trPr>
        <w:tc>
          <w:tcPr>
            <w:tcW w:w="317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color w:val="000000"/>
                <w:sz w:val="17"/>
              </w:rPr>
              <w:t>Ratio emploi/population –</w:t>
            </w:r>
            <w:r w:rsidR="00961E22">
              <w:rPr>
                <w:color w:val="000000"/>
                <w:sz w:val="17"/>
              </w:rPr>
              <w:t xml:space="preserve"> </w:t>
            </w:r>
            <w:r w:rsidRPr="00961E22">
              <w:rPr>
                <w:color w:val="000000"/>
                <w:sz w:val="17"/>
              </w:rPr>
              <w:t>25 – 49 ans</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85,5</w:t>
            </w:r>
          </w:p>
        </w:tc>
        <w:tc>
          <w:tcPr>
            <w:tcW w:w="171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86,3</w:t>
            </w:r>
          </w:p>
        </w:tc>
      </w:tr>
      <w:tr w:rsidR="0073290F" w:rsidRPr="00961E22">
        <w:tblPrEx>
          <w:tblCellMar>
            <w:top w:w="0" w:type="dxa"/>
            <w:bottom w:w="0" w:type="dxa"/>
          </w:tblCellMar>
        </w:tblPrEx>
        <w:trPr>
          <w:cantSplit/>
          <w:trHeight w:val="262"/>
        </w:trPr>
        <w:tc>
          <w:tcPr>
            <w:tcW w:w="317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color w:val="000000"/>
                <w:sz w:val="17"/>
              </w:rPr>
              <w:t>Ratio emploi/population –</w:t>
            </w:r>
            <w:r w:rsidR="00961E22">
              <w:rPr>
                <w:color w:val="000000"/>
                <w:sz w:val="17"/>
              </w:rPr>
              <w:t xml:space="preserve"> </w:t>
            </w:r>
            <w:r w:rsidRPr="00961E22">
              <w:rPr>
                <w:color w:val="000000"/>
                <w:sz w:val="17"/>
              </w:rPr>
              <w:t>50 – 64 ans</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41,4</w:t>
            </w:r>
          </w:p>
        </w:tc>
        <w:tc>
          <w:tcPr>
            <w:tcW w:w="171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45,8</w:t>
            </w:r>
          </w:p>
        </w:tc>
      </w:tr>
      <w:tr w:rsidR="0073290F" w:rsidRPr="00961E22">
        <w:tblPrEx>
          <w:tblCellMar>
            <w:top w:w="0" w:type="dxa"/>
            <w:bottom w:w="0" w:type="dxa"/>
          </w:tblCellMar>
        </w:tblPrEx>
        <w:trPr>
          <w:cantSplit/>
          <w:trHeight w:val="262"/>
        </w:trPr>
        <w:tc>
          <w:tcPr>
            <w:tcW w:w="317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color w:val="000000"/>
                <w:sz w:val="17"/>
              </w:rPr>
              <w:t>Ratio emploi/population –</w:t>
            </w:r>
            <w:r w:rsidR="00BA4F2E">
              <w:rPr>
                <w:color w:val="000000"/>
                <w:sz w:val="17"/>
              </w:rPr>
              <w:t xml:space="preserve"> </w:t>
            </w:r>
            <w:r w:rsidRPr="00961E22">
              <w:rPr>
                <w:color w:val="000000"/>
                <w:sz w:val="17"/>
              </w:rPr>
              <w:t>à 65 ans</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6,2</w:t>
            </w:r>
          </w:p>
        </w:tc>
        <w:tc>
          <w:tcPr>
            <w:tcW w:w="171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8,6</w:t>
            </w:r>
          </w:p>
        </w:tc>
      </w:tr>
      <w:tr w:rsidR="0073290F" w:rsidRPr="00961E22">
        <w:tblPrEx>
          <w:tblCellMar>
            <w:top w:w="0" w:type="dxa"/>
            <w:bottom w:w="0" w:type="dxa"/>
          </w:tblCellMar>
        </w:tblPrEx>
        <w:trPr>
          <w:cantSplit/>
          <w:trHeight w:val="276"/>
        </w:trPr>
        <w:tc>
          <w:tcPr>
            <w:tcW w:w="317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b/>
                <w:sz w:val="17"/>
              </w:rPr>
            </w:pP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b/>
                <w:sz w:val="17"/>
              </w:rPr>
              <w:t>Hommes</w:t>
            </w:r>
          </w:p>
        </w:tc>
        <w:tc>
          <w:tcPr>
            <w:tcW w:w="171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p>
        </w:tc>
      </w:tr>
      <w:tr w:rsidR="0073290F" w:rsidRPr="00961E22">
        <w:tblPrEx>
          <w:tblCellMar>
            <w:top w:w="0" w:type="dxa"/>
            <w:bottom w:w="0" w:type="dxa"/>
          </w:tblCellMar>
        </w:tblPrEx>
        <w:trPr>
          <w:cantSplit/>
          <w:trHeight w:val="262"/>
        </w:trPr>
        <w:tc>
          <w:tcPr>
            <w:tcW w:w="317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color w:val="000000"/>
                <w:sz w:val="17"/>
              </w:rPr>
              <w:t>Ratio emploi/population -</w:t>
            </w:r>
            <w:r w:rsidR="00BA4F2E">
              <w:rPr>
                <w:color w:val="000000"/>
                <w:sz w:val="17"/>
              </w:rPr>
              <w:t xml:space="preserve"> </w:t>
            </w:r>
            <w:r w:rsidRPr="00961E22">
              <w:rPr>
                <w:sz w:val="17"/>
              </w:rPr>
              <w:t>15- 64 ans</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67,4</w:t>
            </w:r>
          </w:p>
        </w:tc>
        <w:tc>
          <w:tcPr>
            <w:tcW w:w="171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70,0</w:t>
            </w:r>
          </w:p>
        </w:tc>
      </w:tr>
      <w:tr w:rsidR="0073290F" w:rsidRPr="00961E22">
        <w:tblPrEx>
          <w:tblCellMar>
            <w:top w:w="0" w:type="dxa"/>
            <w:bottom w:w="0" w:type="dxa"/>
          </w:tblCellMar>
        </w:tblPrEx>
        <w:trPr>
          <w:cantSplit/>
          <w:trHeight w:val="247"/>
        </w:trPr>
        <w:tc>
          <w:tcPr>
            <w:tcW w:w="317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sz w:val="17"/>
              </w:rPr>
              <w:t>Ratio emploi/population – 15 – 24 ans</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33,7</w:t>
            </w:r>
          </w:p>
        </w:tc>
        <w:tc>
          <w:tcPr>
            <w:tcW w:w="171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39,0</w:t>
            </w:r>
          </w:p>
        </w:tc>
      </w:tr>
      <w:tr w:rsidR="0073290F" w:rsidRPr="00961E22">
        <w:tblPrEx>
          <w:tblCellMar>
            <w:top w:w="0" w:type="dxa"/>
            <w:bottom w:w="0" w:type="dxa"/>
          </w:tblCellMar>
        </w:tblPrEx>
        <w:trPr>
          <w:cantSplit/>
          <w:trHeight w:val="262"/>
        </w:trPr>
        <w:tc>
          <w:tcPr>
            <w:tcW w:w="317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color w:val="000000"/>
                <w:sz w:val="17"/>
              </w:rPr>
              <w:t>Ratio emploi/population -</w:t>
            </w:r>
            <w:r w:rsidRPr="00961E22">
              <w:rPr>
                <w:sz w:val="17"/>
              </w:rPr>
              <w:t xml:space="preserve"> 25- 49 ans</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87,5</w:t>
            </w:r>
          </w:p>
        </w:tc>
        <w:tc>
          <w:tcPr>
            <w:tcW w:w="171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88,2</w:t>
            </w:r>
          </w:p>
        </w:tc>
      </w:tr>
      <w:tr w:rsidR="0073290F" w:rsidRPr="00961E22">
        <w:tblPrEx>
          <w:tblCellMar>
            <w:top w:w="0" w:type="dxa"/>
            <w:bottom w:w="0" w:type="dxa"/>
          </w:tblCellMar>
        </w:tblPrEx>
        <w:trPr>
          <w:cantSplit/>
          <w:trHeight w:val="262"/>
        </w:trPr>
        <w:tc>
          <w:tcPr>
            <w:tcW w:w="317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color w:val="000000"/>
                <w:sz w:val="17"/>
              </w:rPr>
              <w:t>Ratio emploi/population -</w:t>
            </w:r>
            <w:r w:rsidRPr="00961E22">
              <w:rPr>
                <w:sz w:val="17"/>
              </w:rPr>
              <w:t xml:space="preserve"> 50- 64 ans</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51,4</w:t>
            </w:r>
          </w:p>
        </w:tc>
        <w:tc>
          <w:tcPr>
            <w:tcW w:w="171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55,6</w:t>
            </w:r>
          </w:p>
        </w:tc>
      </w:tr>
      <w:tr w:rsidR="0073290F" w:rsidRPr="00961E22">
        <w:tblPrEx>
          <w:tblCellMar>
            <w:top w:w="0" w:type="dxa"/>
            <w:bottom w:w="0" w:type="dxa"/>
          </w:tblCellMar>
        </w:tblPrEx>
        <w:trPr>
          <w:cantSplit/>
          <w:trHeight w:val="262"/>
        </w:trPr>
        <w:tc>
          <w:tcPr>
            <w:tcW w:w="317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color w:val="000000"/>
                <w:sz w:val="17"/>
              </w:rPr>
              <w:t>Ratio emploi/population – 65 ans et plus</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9,5</w:t>
            </w:r>
          </w:p>
        </w:tc>
        <w:tc>
          <w:tcPr>
            <w:tcW w:w="171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12,8</w:t>
            </w:r>
          </w:p>
        </w:tc>
      </w:tr>
      <w:tr w:rsidR="0073290F" w:rsidRPr="00961E22">
        <w:tblPrEx>
          <w:tblCellMar>
            <w:top w:w="0" w:type="dxa"/>
            <w:bottom w:w="0" w:type="dxa"/>
          </w:tblCellMar>
        </w:tblPrEx>
        <w:trPr>
          <w:cantSplit/>
          <w:trHeight w:val="276"/>
        </w:trPr>
        <w:tc>
          <w:tcPr>
            <w:tcW w:w="317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b/>
                <w:sz w:val="17"/>
              </w:rPr>
            </w:pP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b/>
                <w:sz w:val="17"/>
              </w:rPr>
              <w:t>Femmes</w:t>
            </w:r>
          </w:p>
        </w:tc>
        <w:tc>
          <w:tcPr>
            <w:tcW w:w="171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p>
        </w:tc>
      </w:tr>
      <w:tr w:rsidR="0073290F" w:rsidRPr="00961E22">
        <w:tblPrEx>
          <w:tblCellMar>
            <w:top w:w="0" w:type="dxa"/>
            <w:bottom w:w="0" w:type="dxa"/>
          </w:tblCellMar>
        </w:tblPrEx>
        <w:trPr>
          <w:cantSplit/>
          <w:trHeight w:val="262"/>
        </w:trPr>
        <w:tc>
          <w:tcPr>
            <w:tcW w:w="317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color w:val="000000"/>
                <w:sz w:val="17"/>
              </w:rPr>
              <w:t>Ratio emploi/population -</w:t>
            </w:r>
            <w:r w:rsidRPr="00961E22">
              <w:rPr>
                <w:sz w:val="17"/>
              </w:rPr>
              <w:t xml:space="preserve"> 15- 64 ans</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57,6</w:t>
            </w:r>
          </w:p>
        </w:tc>
        <w:tc>
          <w:tcPr>
            <w:tcW w:w="171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60,5</w:t>
            </w:r>
          </w:p>
        </w:tc>
      </w:tr>
      <w:tr w:rsidR="0073290F" w:rsidRPr="00961E22">
        <w:tblPrEx>
          <w:tblCellMar>
            <w:top w:w="0" w:type="dxa"/>
            <w:bottom w:w="0" w:type="dxa"/>
          </w:tblCellMar>
        </w:tblPrEx>
        <w:trPr>
          <w:cantSplit/>
          <w:trHeight w:val="247"/>
        </w:trPr>
        <w:tc>
          <w:tcPr>
            <w:tcW w:w="317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color w:val="000000"/>
                <w:sz w:val="17"/>
              </w:rPr>
              <w:t>Ratio emploi/population -</w:t>
            </w:r>
            <w:r w:rsidRPr="00961E22">
              <w:rPr>
                <w:sz w:val="17"/>
              </w:rPr>
              <w:t xml:space="preserve"> 15- 24 ans</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24,4</w:t>
            </w:r>
          </w:p>
        </w:tc>
        <w:tc>
          <w:tcPr>
            <w:tcW w:w="171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28,7</w:t>
            </w:r>
          </w:p>
        </w:tc>
      </w:tr>
      <w:tr w:rsidR="0073290F" w:rsidRPr="00961E22">
        <w:tblPrEx>
          <w:tblCellMar>
            <w:top w:w="0" w:type="dxa"/>
            <w:bottom w:w="0" w:type="dxa"/>
          </w:tblCellMar>
        </w:tblPrEx>
        <w:trPr>
          <w:cantSplit/>
          <w:trHeight w:val="262"/>
        </w:trPr>
        <w:tc>
          <w:tcPr>
            <w:tcW w:w="317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color w:val="000000"/>
                <w:sz w:val="17"/>
              </w:rPr>
              <w:t>Ratio emploi/population -</w:t>
            </w:r>
            <w:r w:rsidRPr="00961E22">
              <w:rPr>
                <w:sz w:val="17"/>
              </w:rPr>
              <w:t xml:space="preserve"> 25- 49 ans</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83,4</w:t>
            </w:r>
          </w:p>
        </w:tc>
        <w:tc>
          <w:tcPr>
            <w:tcW w:w="171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84,3</w:t>
            </w:r>
          </w:p>
        </w:tc>
      </w:tr>
      <w:tr w:rsidR="0073290F" w:rsidRPr="00961E22">
        <w:tblPrEx>
          <w:tblCellMar>
            <w:top w:w="0" w:type="dxa"/>
            <w:bottom w:w="0" w:type="dxa"/>
          </w:tblCellMar>
        </w:tblPrEx>
        <w:trPr>
          <w:cantSplit/>
          <w:trHeight w:val="262"/>
        </w:trPr>
        <w:tc>
          <w:tcPr>
            <w:tcW w:w="317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color w:val="000000"/>
                <w:sz w:val="17"/>
              </w:rPr>
              <w:t>Ratio emploi/population -</w:t>
            </w:r>
            <w:r w:rsidRPr="00961E22">
              <w:rPr>
                <w:sz w:val="17"/>
              </w:rPr>
              <w:t xml:space="preserve"> 50- 64 ans</w:t>
            </w:r>
          </w:p>
        </w:tc>
        <w:tc>
          <w:tcPr>
            <w:tcW w:w="19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31,2</w:t>
            </w:r>
          </w:p>
        </w:tc>
        <w:tc>
          <w:tcPr>
            <w:tcW w:w="171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36,1</w:t>
            </w:r>
          </w:p>
        </w:tc>
      </w:tr>
      <w:tr w:rsidR="0073290F" w:rsidRPr="00961E22">
        <w:tblPrEx>
          <w:tblCellMar>
            <w:top w:w="0" w:type="dxa"/>
            <w:bottom w:w="0" w:type="dxa"/>
          </w:tblCellMar>
        </w:tblPrEx>
        <w:trPr>
          <w:cantSplit/>
          <w:trHeight w:val="262"/>
        </w:trPr>
        <w:tc>
          <w:tcPr>
            <w:tcW w:w="3173" w:type="dxa"/>
            <w:tcBorders>
              <w:bottom w:val="single" w:sz="12" w:space="0" w:color="auto"/>
            </w:tcBorders>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sz w:val="17"/>
              </w:rPr>
            </w:pPr>
            <w:r w:rsidRPr="00961E22">
              <w:rPr>
                <w:color w:val="000000"/>
                <w:sz w:val="17"/>
              </w:rPr>
              <w:t>Ratio emploi/population –</w:t>
            </w:r>
            <w:r w:rsidR="00961E22">
              <w:rPr>
                <w:color w:val="000000"/>
                <w:sz w:val="17"/>
              </w:rPr>
              <w:t xml:space="preserve"> </w:t>
            </w:r>
            <w:r w:rsidRPr="00961E22">
              <w:rPr>
                <w:color w:val="000000"/>
                <w:sz w:val="17"/>
              </w:rPr>
              <w:t>65 ans et plus</w:t>
            </w:r>
          </w:p>
        </w:tc>
        <w:tc>
          <w:tcPr>
            <w:tcW w:w="1980" w:type="dxa"/>
            <w:tcBorders>
              <w:bottom w:val="single" w:sz="12" w:space="0" w:color="auto"/>
            </w:tcBorders>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4,2</w:t>
            </w:r>
          </w:p>
        </w:tc>
        <w:tc>
          <w:tcPr>
            <w:tcW w:w="1717" w:type="dxa"/>
            <w:tcBorders>
              <w:bottom w:val="single" w:sz="12" w:space="0" w:color="auto"/>
            </w:tcBorders>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6,0</w:t>
            </w:r>
          </w:p>
        </w:tc>
      </w:tr>
    </w:tbl>
    <w:p w:rsidR="00961E22" w:rsidRPr="00961E22" w:rsidRDefault="00961E22" w:rsidP="00961E22">
      <w:pPr>
        <w:spacing w:line="120" w:lineRule="exact"/>
        <w:rPr>
          <w:sz w:val="10"/>
        </w:rPr>
      </w:pPr>
    </w:p>
    <w:p w:rsidR="0073290F" w:rsidRPr="00961E22" w:rsidRDefault="0073290F" w:rsidP="00961E22">
      <w:pPr>
        <w:pStyle w:val="SingleTxt"/>
        <w:rPr>
          <w:sz w:val="17"/>
          <w:szCs w:val="17"/>
        </w:rPr>
      </w:pPr>
      <w:r w:rsidRPr="00961E22">
        <w:rPr>
          <w:i/>
          <w:sz w:val="17"/>
          <w:szCs w:val="17"/>
        </w:rPr>
        <w:t>Source</w:t>
      </w:r>
      <w:r w:rsidRPr="00961E22">
        <w:rPr>
          <w:sz w:val="17"/>
          <w:szCs w:val="17"/>
        </w:rPr>
        <w:t>: Rapports “Rapid” Nos 225 et 185, Institut de la Statistique de la République de Slovénie.</w:t>
      </w:r>
    </w:p>
    <w:p w:rsidR="0073290F" w:rsidRPr="004914D3" w:rsidRDefault="0073290F" w:rsidP="0073290F"/>
    <w:p w:rsidR="0073290F" w:rsidRDefault="0073290F" w:rsidP="00961E22">
      <w:pPr>
        <w:pStyle w:val="SingleTxt"/>
        <w:jc w:val="left"/>
        <w:rPr>
          <w:b/>
          <w:lang w:val="fr-FR"/>
        </w:rPr>
      </w:pPr>
      <w:r w:rsidRPr="00DD65A7">
        <w:rPr>
          <w:lang w:val="fr-FR"/>
        </w:rPr>
        <w:t>Tableau 34</w:t>
      </w:r>
      <w:r w:rsidR="00961E22">
        <w:rPr>
          <w:lang w:val="fr-FR"/>
        </w:rPr>
        <w:br/>
      </w:r>
      <w:r w:rsidRPr="00961E22">
        <w:rPr>
          <w:b/>
          <w:lang w:val="fr-FR"/>
        </w:rPr>
        <w:t>Pourcentage de femmes parmi les employés, par grand secteur d’activité (moyennes annuelles) – 2003/2004</w:t>
      </w:r>
    </w:p>
    <w:p w:rsidR="00961E22" w:rsidRPr="00961E22" w:rsidRDefault="00961E22" w:rsidP="00961E22">
      <w:pPr>
        <w:pStyle w:val="SingleTxt"/>
        <w:spacing w:after="0" w:line="120" w:lineRule="exact"/>
        <w:jc w:val="left"/>
        <w:rPr>
          <w:b/>
          <w:sz w:val="10"/>
          <w:lang w:val="fr-FR"/>
        </w:rPr>
      </w:pPr>
    </w:p>
    <w:tbl>
      <w:tblPr>
        <w:tblW w:w="7950" w:type="dxa"/>
        <w:tblInd w:w="1267" w:type="dxa"/>
        <w:tblLayout w:type="fixed"/>
        <w:tblCellMar>
          <w:left w:w="30" w:type="dxa"/>
          <w:right w:w="30" w:type="dxa"/>
        </w:tblCellMar>
        <w:tblLook w:val="0000" w:firstRow="0" w:lastRow="0" w:firstColumn="0" w:lastColumn="0" w:noHBand="0" w:noVBand="0"/>
      </w:tblPr>
      <w:tblGrid>
        <w:gridCol w:w="5014"/>
        <w:gridCol w:w="1496"/>
        <w:gridCol w:w="1440"/>
      </w:tblGrid>
      <w:tr w:rsidR="0073290F" w:rsidRPr="00961E22">
        <w:tblPrEx>
          <w:tblCellMar>
            <w:top w:w="0" w:type="dxa"/>
            <w:bottom w:w="0" w:type="dxa"/>
          </w:tblCellMar>
        </w:tblPrEx>
        <w:trPr>
          <w:cantSplit/>
          <w:trHeight w:val="276"/>
          <w:tblHeader/>
        </w:trPr>
        <w:tc>
          <w:tcPr>
            <w:tcW w:w="5014" w:type="dxa"/>
            <w:tcBorders>
              <w:top w:val="single" w:sz="4" w:space="0" w:color="auto"/>
              <w:bottom w:val="single" w:sz="12" w:space="0" w:color="auto"/>
            </w:tcBorders>
            <w:shd w:val="clear" w:color="auto" w:fill="auto"/>
            <w:vAlign w:val="bottom"/>
          </w:tcPr>
          <w:p w:rsidR="0073290F" w:rsidRPr="00961E22" w:rsidRDefault="0073290F" w:rsidP="00961E22">
            <w:pPr>
              <w:suppressAutoHyphens/>
              <w:spacing w:before="80" w:after="80" w:line="160" w:lineRule="exact"/>
              <w:ind w:right="43"/>
              <w:jc w:val="right"/>
              <w:rPr>
                <w:i/>
                <w:color w:val="000000"/>
                <w:sz w:val="14"/>
              </w:rPr>
            </w:pPr>
          </w:p>
        </w:tc>
        <w:tc>
          <w:tcPr>
            <w:tcW w:w="1496" w:type="dxa"/>
            <w:tcBorders>
              <w:top w:val="single" w:sz="4" w:space="0" w:color="auto"/>
              <w:bottom w:val="single" w:sz="12" w:space="0" w:color="auto"/>
            </w:tcBorders>
            <w:shd w:val="clear" w:color="auto" w:fill="auto"/>
            <w:vAlign w:val="bottom"/>
          </w:tcPr>
          <w:p w:rsidR="0073290F" w:rsidRPr="00961E22" w:rsidRDefault="0073290F" w:rsidP="00961E22">
            <w:pPr>
              <w:suppressAutoHyphens/>
              <w:spacing w:before="80" w:after="80" w:line="160" w:lineRule="exact"/>
              <w:ind w:right="43"/>
              <w:jc w:val="right"/>
              <w:rPr>
                <w:i/>
                <w:color w:val="000000"/>
                <w:sz w:val="14"/>
              </w:rPr>
            </w:pPr>
            <w:r w:rsidRPr="00961E22">
              <w:rPr>
                <w:i/>
                <w:color w:val="000000"/>
                <w:sz w:val="14"/>
              </w:rPr>
              <w:t>2003</w:t>
            </w:r>
          </w:p>
        </w:tc>
        <w:tc>
          <w:tcPr>
            <w:tcW w:w="1440" w:type="dxa"/>
            <w:tcBorders>
              <w:top w:val="single" w:sz="4" w:space="0" w:color="auto"/>
              <w:bottom w:val="single" w:sz="12" w:space="0" w:color="auto"/>
            </w:tcBorders>
            <w:shd w:val="clear" w:color="auto" w:fill="auto"/>
            <w:vAlign w:val="bottom"/>
          </w:tcPr>
          <w:p w:rsidR="0073290F" w:rsidRPr="00961E22" w:rsidRDefault="0073290F" w:rsidP="00961E22">
            <w:pPr>
              <w:suppressAutoHyphens/>
              <w:spacing w:before="80" w:after="80" w:line="160" w:lineRule="exact"/>
              <w:ind w:right="43"/>
              <w:jc w:val="right"/>
              <w:rPr>
                <w:i/>
                <w:color w:val="000000"/>
                <w:sz w:val="14"/>
              </w:rPr>
            </w:pPr>
            <w:r w:rsidRPr="00961E22">
              <w:rPr>
                <w:i/>
                <w:color w:val="000000"/>
                <w:sz w:val="14"/>
              </w:rPr>
              <w:t>2004</w:t>
            </w:r>
          </w:p>
        </w:tc>
      </w:tr>
      <w:tr w:rsidR="00961E22" w:rsidRPr="00961E22">
        <w:tblPrEx>
          <w:tblCellMar>
            <w:top w:w="0" w:type="dxa"/>
            <w:bottom w:w="0" w:type="dxa"/>
          </w:tblCellMar>
        </w:tblPrEx>
        <w:trPr>
          <w:cantSplit/>
          <w:trHeight w:hRule="exact" w:val="115"/>
          <w:tblHeader/>
        </w:trPr>
        <w:tc>
          <w:tcPr>
            <w:tcW w:w="5014" w:type="dxa"/>
            <w:tcBorders>
              <w:top w:val="single" w:sz="12" w:space="0" w:color="auto"/>
            </w:tcBorders>
            <w:shd w:val="clear" w:color="auto" w:fill="auto"/>
            <w:vAlign w:val="bottom"/>
          </w:tcPr>
          <w:p w:rsidR="00961E22" w:rsidRPr="00961E22" w:rsidRDefault="00961E22" w:rsidP="00961E22">
            <w:pPr>
              <w:suppressAutoHyphens/>
              <w:spacing w:before="40" w:after="40" w:line="210" w:lineRule="exact"/>
              <w:ind w:right="43"/>
              <w:rPr>
                <w:b/>
                <w:bCs/>
                <w:color w:val="000000"/>
                <w:sz w:val="17"/>
              </w:rPr>
            </w:pPr>
          </w:p>
        </w:tc>
        <w:tc>
          <w:tcPr>
            <w:tcW w:w="1496" w:type="dxa"/>
            <w:tcBorders>
              <w:top w:val="single" w:sz="12" w:space="0" w:color="auto"/>
            </w:tcBorders>
            <w:shd w:val="clear" w:color="auto" w:fill="auto"/>
            <w:vAlign w:val="bottom"/>
          </w:tcPr>
          <w:p w:rsidR="00961E22" w:rsidRPr="00961E22" w:rsidRDefault="00961E22" w:rsidP="00961E22">
            <w:pPr>
              <w:suppressAutoHyphens/>
              <w:spacing w:before="40" w:after="40" w:line="210" w:lineRule="exact"/>
              <w:ind w:right="43"/>
              <w:jc w:val="right"/>
              <w:rPr>
                <w:color w:val="000000"/>
                <w:sz w:val="17"/>
              </w:rPr>
            </w:pPr>
          </w:p>
        </w:tc>
        <w:tc>
          <w:tcPr>
            <w:tcW w:w="1440" w:type="dxa"/>
            <w:tcBorders>
              <w:top w:val="single" w:sz="12" w:space="0" w:color="auto"/>
            </w:tcBorders>
            <w:shd w:val="clear" w:color="auto" w:fill="auto"/>
            <w:vAlign w:val="bottom"/>
          </w:tcPr>
          <w:p w:rsidR="00961E22" w:rsidRPr="00961E22" w:rsidRDefault="00961E22" w:rsidP="00961E22">
            <w:pPr>
              <w:suppressAutoHyphens/>
              <w:spacing w:before="40" w:after="40" w:line="210" w:lineRule="exact"/>
              <w:ind w:right="43"/>
              <w:jc w:val="right"/>
              <w:rPr>
                <w:color w:val="000000"/>
                <w:sz w:val="17"/>
              </w:rPr>
            </w:pPr>
          </w:p>
        </w:tc>
      </w:tr>
      <w:tr w:rsidR="0073290F" w:rsidRPr="00961E22">
        <w:tblPrEx>
          <w:tblCellMar>
            <w:top w:w="0" w:type="dxa"/>
            <w:bottom w:w="0" w:type="dxa"/>
          </w:tblCellMar>
        </w:tblPrEx>
        <w:trPr>
          <w:cantSplit/>
          <w:trHeight w:val="262"/>
        </w:trPr>
        <w:tc>
          <w:tcPr>
            <w:tcW w:w="5014"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b/>
                <w:bCs/>
                <w:color w:val="000000"/>
                <w:sz w:val="17"/>
              </w:rPr>
            </w:pPr>
            <w:r w:rsidRPr="00961E22">
              <w:rPr>
                <w:b/>
                <w:bCs/>
                <w:color w:val="000000"/>
                <w:sz w:val="17"/>
              </w:rPr>
              <w:t>Total</w:t>
            </w:r>
          </w:p>
        </w:tc>
        <w:tc>
          <w:tcPr>
            <w:tcW w:w="1496"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b/>
                <w:color w:val="000000"/>
                <w:sz w:val="17"/>
              </w:rPr>
            </w:pPr>
            <w:r w:rsidRPr="00961E22">
              <w:rPr>
                <w:b/>
                <w:color w:val="000000"/>
                <w:sz w:val="17"/>
              </w:rPr>
              <w:t>45,4</w:t>
            </w:r>
          </w:p>
        </w:tc>
        <w:tc>
          <w:tcPr>
            <w:tcW w:w="144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b/>
                <w:color w:val="000000"/>
                <w:sz w:val="17"/>
              </w:rPr>
            </w:pPr>
            <w:r w:rsidRPr="00961E22">
              <w:rPr>
                <w:b/>
                <w:color w:val="000000"/>
                <w:sz w:val="17"/>
              </w:rPr>
              <w:t>45,6</w:t>
            </w:r>
          </w:p>
        </w:tc>
      </w:tr>
      <w:tr w:rsidR="0073290F" w:rsidRPr="00961E22">
        <w:tblPrEx>
          <w:tblCellMar>
            <w:top w:w="0" w:type="dxa"/>
            <w:bottom w:w="0" w:type="dxa"/>
          </w:tblCellMar>
        </w:tblPrEx>
        <w:trPr>
          <w:cantSplit/>
          <w:trHeight w:val="247"/>
        </w:trPr>
        <w:tc>
          <w:tcPr>
            <w:tcW w:w="5014" w:type="dxa"/>
            <w:shd w:val="clear" w:color="auto" w:fill="auto"/>
            <w:vAlign w:val="bottom"/>
          </w:tcPr>
          <w:p w:rsidR="0073290F" w:rsidRPr="00961E22" w:rsidRDefault="00BA4F2E" w:rsidP="00961E22">
            <w:pPr>
              <w:tabs>
                <w:tab w:val="left" w:pos="288"/>
                <w:tab w:val="left" w:pos="576"/>
                <w:tab w:val="left" w:pos="864"/>
                <w:tab w:val="left" w:pos="1152"/>
              </w:tabs>
              <w:suppressAutoHyphens/>
              <w:spacing w:before="40" w:after="40" w:line="210" w:lineRule="exact"/>
              <w:ind w:right="43"/>
              <w:rPr>
                <w:color w:val="000000"/>
                <w:sz w:val="17"/>
              </w:rPr>
            </w:pPr>
            <w:r>
              <w:rPr>
                <w:color w:val="000000"/>
                <w:sz w:val="17"/>
              </w:rPr>
              <w:t xml:space="preserve"> </w:t>
            </w:r>
            <w:r w:rsidR="0073290F" w:rsidRPr="00961E22">
              <w:rPr>
                <w:color w:val="000000"/>
                <w:sz w:val="17"/>
              </w:rPr>
              <w:t>Législateurs et directeurs</w:t>
            </w:r>
          </w:p>
        </w:tc>
        <w:tc>
          <w:tcPr>
            <w:tcW w:w="1496"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33,2</w:t>
            </w:r>
          </w:p>
        </w:tc>
        <w:tc>
          <w:tcPr>
            <w:tcW w:w="144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33,3</w:t>
            </w:r>
          </w:p>
        </w:tc>
      </w:tr>
      <w:tr w:rsidR="0073290F" w:rsidRPr="00961E22">
        <w:tblPrEx>
          <w:tblCellMar>
            <w:top w:w="0" w:type="dxa"/>
            <w:bottom w:w="0" w:type="dxa"/>
          </w:tblCellMar>
        </w:tblPrEx>
        <w:trPr>
          <w:cantSplit/>
          <w:trHeight w:val="247"/>
        </w:trPr>
        <w:tc>
          <w:tcPr>
            <w:tcW w:w="5014" w:type="dxa"/>
            <w:shd w:val="clear" w:color="auto" w:fill="auto"/>
            <w:vAlign w:val="bottom"/>
          </w:tcPr>
          <w:p w:rsidR="0073290F" w:rsidRPr="00961E22" w:rsidRDefault="00BA4F2E" w:rsidP="00961E22">
            <w:pPr>
              <w:tabs>
                <w:tab w:val="left" w:pos="288"/>
                <w:tab w:val="left" w:pos="576"/>
                <w:tab w:val="left" w:pos="864"/>
                <w:tab w:val="left" w:pos="1152"/>
              </w:tabs>
              <w:suppressAutoHyphens/>
              <w:spacing w:before="40" w:after="40" w:line="210" w:lineRule="exact"/>
              <w:ind w:right="43"/>
              <w:rPr>
                <w:color w:val="000000"/>
                <w:sz w:val="17"/>
              </w:rPr>
            </w:pPr>
            <w:r>
              <w:rPr>
                <w:color w:val="000000"/>
                <w:sz w:val="17"/>
              </w:rPr>
              <w:t xml:space="preserve"> </w:t>
            </w:r>
            <w:r w:rsidR="0073290F" w:rsidRPr="00961E22">
              <w:rPr>
                <w:color w:val="000000"/>
                <w:sz w:val="17"/>
              </w:rPr>
              <w:t xml:space="preserve">Professionnels </w:t>
            </w:r>
          </w:p>
        </w:tc>
        <w:tc>
          <w:tcPr>
            <w:tcW w:w="1496"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59,6</w:t>
            </w:r>
          </w:p>
        </w:tc>
        <w:tc>
          <w:tcPr>
            <w:tcW w:w="144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60,2</w:t>
            </w:r>
          </w:p>
        </w:tc>
      </w:tr>
      <w:tr w:rsidR="0073290F" w:rsidRPr="00961E22">
        <w:tblPrEx>
          <w:tblCellMar>
            <w:top w:w="0" w:type="dxa"/>
            <w:bottom w:w="0" w:type="dxa"/>
          </w:tblCellMar>
        </w:tblPrEx>
        <w:trPr>
          <w:cantSplit/>
          <w:trHeight w:val="247"/>
        </w:trPr>
        <w:tc>
          <w:tcPr>
            <w:tcW w:w="5014" w:type="dxa"/>
            <w:shd w:val="clear" w:color="auto" w:fill="auto"/>
            <w:vAlign w:val="bottom"/>
          </w:tcPr>
          <w:p w:rsidR="0073290F" w:rsidRPr="00961E22" w:rsidRDefault="00BA4F2E" w:rsidP="00961E22">
            <w:pPr>
              <w:tabs>
                <w:tab w:val="left" w:pos="288"/>
                <w:tab w:val="left" w:pos="576"/>
                <w:tab w:val="left" w:pos="864"/>
                <w:tab w:val="left" w:pos="1152"/>
              </w:tabs>
              <w:suppressAutoHyphens/>
              <w:spacing w:before="40" w:after="40" w:line="210" w:lineRule="exact"/>
              <w:ind w:right="43"/>
              <w:rPr>
                <w:color w:val="000000"/>
                <w:sz w:val="17"/>
              </w:rPr>
            </w:pPr>
            <w:r>
              <w:rPr>
                <w:color w:val="000000"/>
                <w:sz w:val="17"/>
              </w:rPr>
              <w:t xml:space="preserve"> </w:t>
            </w:r>
            <w:r w:rsidR="0073290F" w:rsidRPr="00961E22">
              <w:rPr>
                <w:color w:val="000000"/>
                <w:sz w:val="17"/>
              </w:rPr>
              <w:t>Techniciens</w:t>
            </w:r>
          </w:p>
        </w:tc>
        <w:tc>
          <w:tcPr>
            <w:tcW w:w="1496"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53,3</w:t>
            </w:r>
          </w:p>
        </w:tc>
        <w:tc>
          <w:tcPr>
            <w:tcW w:w="144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53,6</w:t>
            </w:r>
          </w:p>
        </w:tc>
      </w:tr>
      <w:tr w:rsidR="0073290F" w:rsidRPr="00961E22">
        <w:tblPrEx>
          <w:tblCellMar>
            <w:top w:w="0" w:type="dxa"/>
            <w:bottom w:w="0" w:type="dxa"/>
          </w:tblCellMar>
        </w:tblPrEx>
        <w:trPr>
          <w:cantSplit/>
          <w:trHeight w:val="247"/>
        </w:trPr>
        <w:tc>
          <w:tcPr>
            <w:tcW w:w="5014" w:type="dxa"/>
            <w:shd w:val="clear" w:color="auto" w:fill="auto"/>
            <w:vAlign w:val="bottom"/>
          </w:tcPr>
          <w:p w:rsidR="0073290F" w:rsidRPr="00961E22" w:rsidRDefault="00BA4F2E" w:rsidP="00961E22">
            <w:pPr>
              <w:tabs>
                <w:tab w:val="left" w:pos="288"/>
                <w:tab w:val="left" w:pos="576"/>
                <w:tab w:val="left" w:pos="864"/>
                <w:tab w:val="left" w:pos="1152"/>
              </w:tabs>
              <w:suppressAutoHyphens/>
              <w:spacing w:before="40" w:after="40" w:line="210" w:lineRule="exact"/>
              <w:ind w:right="43"/>
              <w:rPr>
                <w:color w:val="000000"/>
                <w:sz w:val="17"/>
              </w:rPr>
            </w:pPr>
            <w:r>
              <w:rPr>
                <w:color w:val="000000"/>
                <w:sz w:val="17"/>
              </w:rPr>
              <w:t xml:space="preserve"> </w:t>
            </w:r>
            <w:r w:rsidR="0073290F" w:rsidRPr="00961E22">
              <w:rPr>
                <w:color w:val="000000"/>
                <w:sz w:val="17"/>
              </w:rPr>
              <w:t xml:space="preserve">Employés de bureau </w:t>
            </w:r>
          </w:p>
        </w:tc>
        <w:tc>
          <w:tcPr>
            <w:tcW w:w="1496"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65,4</w:t>
            </w:r>
          </w:p>
        </w:tc>
        <w:tc>
          <w:tcPr>
            <w:tcW w:w="144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65,3</w:t>
            </w:r>
          </w:p>
        </w:tc>
      </w:tr>
      <w:tr w:rsidR="0073290F" w:rsidRPr="00961E22">
        <w:tblPrEx>
          <w:tblCellMar>
            <w:top w:w="0" w:type="dxa"/>
            <w:bottom w:w="0" w:type="dxa"/>
          </w:tblCellMar>
        </w:tblPrEx>
        <w:trPr>
          <w:cantSplit/>
          <w:trHeight w:val="247"/>
        </w:trPr>
        <w:tc>
          <w:tcPr>
            <w:tcW w:w="5014" w:type="dxa"/>
            <w:shd w:val="clear" w:color="auto" w:fill="auto"/>
            <w:vAlign w:val="bottom"/>
          </w:tcPr>
          <w:p w:rsidR="0073290F" w:rsidRPr="00961E22" w:rsidRDefault="00BA4F2E" w:rsidP="00961E22">
            <w:pPr>
              <w:tabs>
                <w:tab w:val="left" w:pos="288"/>
                <w:tab w:val="left" w:pos="576"/>
                <w:tab w:val="left" w:pos="864"/>
                <w:tab w:val="left" w:pos="1152"/>
              </w:tabs>
              <w:suppressAutoHyphens/>
              <w:spacing w:before="40" w:after="40" w:line="210" w:lineRule="exact"/>
              <w:ind w:right="43"/>
              <w:rPr>
                <w:color w:val="000000"/>
                <w:sz w:val="17"/>
              </w:rPr>
            </w:pPr>
            <w:r>
              <w:rPr>
                <w:color w:val="000000"/>
                <w:sz w:val="17"/>
              </w:rPr>
              <w:t xml:space="preserve"> </w:t>
            </w:r>
            <w:r w:rsidR="0073290F" w:rsidRPr="00961E22">
              <w:rPr>
                <w:color w:val="000000"/>
                <w:sz w:val="17"/>
              </w:rPr>
              <w:t xml:space="preserve">Secteurs des services et de la vente </w:t>
            </w:r>
          </w:p>
        </w:tc>
        <w:tc>
          <w:tcPr>
            <w:tcW w:w="1496"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64,9</w:t>
            </w:r>
          </w:p>
        </w:tc>
        <w:tc>
          <w:tcPr>
            <w:tcW w:w="144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63,8</w:t>
            </w:r>
          </w:p>
        </w:tc>
      </w:tr>
      <w:tr w:rsidR="0073290F" w:rsidRPr="00961E22">
        <w:tblPrEx>
          <w:tblCellMar>
            <w:top w:w="0" w:type="dxa"/>
            <w:bottom w:w="0" w:type="dxa"/>
          </w:tblCellMar>
        </w:tblPrEx>
        <w:trPr>
          <w:cantSplit/>
          <w:trHeight w:val="247"/>
        </w:trPr>
        <w:tc>
          <w:tcPr>
            <w:tcW w:w="5014" w:type="dxa"/>
            <w:shd w:val="clear" w:color="auto" w:fill="auto"/>
            <w:vAlign w:val="bottom"/>
          </w:tcPr>
          <w:p w:rsidR="0073290F" w:rsidRPr="00961E22" w:rsidRDefault="00BA4F2E" w:rsidP="00961E22">
            <w:pPr>
              <w:tabs>
                <w:tab w:val="left" w:pos="288"/>
                <w:tab w:val="left" w:pos="576"/>
                <w:tab w:val="left" w:pos="864"/>
                <w:tab w:val="left" w:pos="1152"/>
              </w:tabs>
              <w:suppressAutoHyphens/>
              <w:spacing w:before="40" w:after="40" w:line="210" w:lineRule="exact"/>
              <w:ind w:right="43"/>
              <w:rPr>
                <w:color w:val="000000"/>
                <w:sz w:val="17"/>
              </w:rPr>
            </w:pPr>
            <w:r>
              <w:rPr>
                <w:color w:val="000000"/>
                <w:sz w:val="17"/>
              </w:rPr>
              <w:t xml:space="preserve"> </w:t>
            </w:r>
            <w:r w:rsidR="0073290F" w:rsidRPr="00961E22">
              <w:rPr>
                <w:color w:val="000000"/>
                <w:sz w:val="17"/>
              </w:rPr>
              <w:t xml:space="preserve">Agriculture et Pêche </w:t>
            </w:r>
          </w:p>
        </w:tc>
        <w:tc>
          <w:tcPr>
            <w:tcW w:w="1496"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43,7</w:t>
            </w:r>
          </w:p>
        </w:tc>
        <w:tc>
          <w:tcPr>
            <w:tcW w:w="144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45,5</w:t>
            </w:r>
          </w:p>
        </w:tc>
      </w:tr>
      <w:tr w:rsidR="0073290F" w:rsidRPr="00961E22">
        <w:tblPrEx>
          <w:tblCellMar>
            <w:top w:w="0" w:type="dxa"/>
            <w:bottom w:w="0" w:type="dxa"/>
          </w:tblCellMar>
        </w:tblPrEx>
        <w:trPr>
          <w:cantSplit/>
          <w:trHeight w:val="247"/>
        </w:trPr>
        <w:tc>
          <w:tcPr>
            <w:tcW w:w="5014" w:type="dxa"/>
            <w:shd w:val="clear" w:color="auto" w:fill="auto"/>
            <w:vAlign w:val="bottom"/>
          </w:tcPr>
          <w:p w:rsidR="0073290F" w:rsidRPr="00961E22" w:rsidRDefault="00BA4F2E" w:rsidP="00961E22">
            <w:pPr>
              <w:tabs>
                <w:tab w:val="left" w:pos="288"/>
                <w:tab w:val="left" w:pos="576"/>
                <w:tab w:val="left" w:pos="864"/>
                <w:tab w:val="left" w:pos="1152"/>
              </w:tabs>
              <w:suppressAutoHyphens/>
              <w:spacing w:before="40" w:after="40" w:line="210" w:lineRule="exact"/>
              <w:ind w:right="43"/>
              <w:rPr>
                <w:color w:val="000000"/>
                <w:sz w:val="17"/>
                <w:lang w:val="en-GB"/>
              </w:rPr>
            </w:pPr>
            <w:r>
              <w:rPr>
                <w:color w:val="000000"/>
                <w:sz w:val="17"/>
                <w:lang w:val="en-GB"/>
              </w:rPr>
              <w:t xml:space="preserve"> </w:t>
            </w:r>
            <w:r w:rsidR="0073290F" w:rsidRPr="00961E22">
              <w:rPr>
                <w:color w:val="000000"/>
                <w:sz w:val="17"/>
                <w:lang w:val="en-GB"/>
              </w:rPr>
              <w:t>Artisans et métiers connexes</w:t>
            </w:r>
          </w:p>
        </w:tc>
        <w:tc>
          <w:tcPr>
            <w:tcW w:w="1496"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8,0</w:t>
            </w:r>
          </w:p>
        </w:tc>
        <w:tc>
          <w:tcPr>
            <w:tcW w:w="144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8,2</w:t>
            </w:r>
          </w:p>
        </w:tc>
      </w:tr>
      <w:tr w:rsidR="0073290F" w:rsidRPr="00961E22">
        <w:tblPrEx>
          <w:tblCellMar>
            <w:top w:w="0" w:type="dxa"/>
            <w:bottom w:w="0" w:type="dxa"/>
          </w:tblCellMar>
        </w:tblPrEx>
        <w:trPr>
          <w:cantSplit/>
          <w:trHeight w:val="247"/>
        </w:trPr>
        <w:tc>
          <w:tcPr>
            <w:tcW w:w="5014" w:type="dxa"/>
            <w:shd w:val="clear" w:color="auto" w:fill="auto"/>
            <w:vAlign w:val="bottom"/>
          </w:tcPr>
          <w:p w:rsidR="0073290F" w:rsidRPr="00961E22" w:rsidRDefault="00BA4F2E" w:rsidP="00961E22">
            <w:pPr>
              <w:tabs>
                <w:tab w:val="left" w:pos="288"/>
                <w:tab w:val="left" w:pos="576"/>
                <w:tab w:val="left" w:pos="864"/>
                <w:tab w:val="left" w:pos="1152"/>
              </w:tabs>
              <w:suppressAutoHyphens/>
              <w:spacing w:before="40" w:after="40" w:line="210" w:lineRule="exact"/>
              <w:ind w:right="43"/>
              <w:rPr>
                <w:color w:val="000000"/>
                <w:sz w:val="17"/>
              </w:rPr>
            </w:pPr>
            <w:r>
              <w:rPr>
                <w:color w:val="000000"/>
                <w:sz w:val="17"/>
              </w:rPr>
              <w:t xml:space="preserve"> </w:t>
            </w:r>
            <w:r w:rsidR="0073290F" w:rsidRPr="00961E22">
              <w:rPr>
                <w:color w:val="000000"/>
                <w:sz w:val="17"/>
              </w:rPr>
              <w:t>Ouvriers d’usine, machinistes, opérateurs et assembleurs</w:t>
            </w:r>
          </w:p>
        </w:tc>
        <w:tc>
          <w:tcPr>
            <w:tcW w:w="1496"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35,2</w:t>
            </w:r>
          </w:p>
        </w:tc>
        <w:tc>
          <w:tcPr>
            <w:tcW w:w="144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34,0</w:t>
            </w:r>
          </w:p>
        </w:tc>
      </w:tr>
      <w:tr w:rsidR="0073290F" w:rsidRPr="00961E22">
        <w:tblPrEx>
          <w:tblCellMar>
            <w:top w:w="0" w:type="dxa"/>
            <w:bottom w:w="0" w:type="dxa"/>
          </w:tblCellMar>
        </w:tblPrEx>
        <w:trPr>
          <w:cantSplit/>
          <w:trHeight w:val="247"/>
        </w:trPr>
        <w:tc>
          <w:tcPr>
            <w:tcW w:w="5014" w:type="dxa"/>
            <w:tcBorders>
              <w:bottom w:val="single" w:sz="12" w:space="0" w:color="auto"/>
            </w:tcBorders>
            <w:shd w:val="clear" w:color="auto" w:fill="auto"/>
            <w:vAlign w:val="bottom"/>
          </w:tcPr>
          <w:p w:rsidR="0073290F" w:rsidRPr="00961E22" w:rsidRDefault="00BA4F2E" w:rsidP="00961E22">
            <w:pPr>
              <w:tabs>
                <w:tab w:val="left" w:pos="288"/>
                <w:tab w:val="left" w:pos="576"/>
                <w:tab w:val="left" w:pos="864"/>
                <w:tab w:val="left" w:pos="1152"/>
              </w:tabs>
              <w:suppressAutoHyphens/>
              <w:spacing w:before="40" w:after="40" w:line="210" w:lineRule="exact"/>
              <w:ind w:right="43"/>
              <w:rPr>
                <w:color w:val="000000"/>
                <w:sz w:val="17"/>
              </w:rPr>
            </w:pPr>
            <w:r>
              <w:rPr>
                <w:color w:val="000000"/>
                <w:sz w:val="17"/>
              </w:rPr>
              <w:t xml:space="preserve"> </w:t>
            </w:r>
            <w:r w:rsidR="0073290F" w:rsidRPr="00961E22">
              <w:rPr>
                <w:color w:val="000000"/>
                <w:sz w:val="17"/>
              </w:rPr>
              <w:t>Emplois élémentaires</w:t>
            </w:r>
          </w:p>
        </w:tc>
        <w:tc>
          <w:tcPr>
            <w:tcW w:w="1496" w:type="dxa"/>
            <w:tcBorders>
              <w:bottom w:val="single" w:sz="12" w:space="0" w:color="auto"/>
            </w:tcBorders>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56,0</w:t>
            </w:r>
          </w:p>
        </w:tc>
        <w:tc>
          <w:tcPr>
            <w:tcW w:w="1440" w:type="dxa"/>
            <w:tcBorders>
              <w:bottom w:val="single" w:sz="12" w:space="0" w:color="auto"/>
            </w:tcBorders>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57,4</w:t>
            </w:r>
          </w:p>
        </w:tc>
      </w:tr>
    </w:tbl>
    <w:p w:rsidR="00961E22" w:rsidRPr="00961E22" w:rsidRDefault="00961E22" w:rsidP="00961E22">
      <w:pPr>
        <w:spacing w:line="120" w:lineRule="exact"/>
        <w:rPr>
          <w:sz w:val="10"/>
        </w:rPr>
      </w:pPr>
    </w:p>
    <w:p w:rsidR="0073290F" w:rsidRPr="00961E22" w:rsidRDefault="0073290F" w:rsidP="00961E22">
      <w:pPr>
        <w:pStyle w:val="SingleTxt"/>
        <w:rPr>
          <w:sz w:val="17"/>
          <w:szCs w:val="17"/>
        </w:rPr>
      </w:pPr>
      <w:r w:rsidRPr="00961E22">
        <w:rPr>
          <w:i/>
          <w:sz w:val="17"/>
          <w:szCs w:val="17"/>
        </w:rPr>
        <w:t>Source</w:t>
      </w:r>
      <w:r w:rsidRPr="00961E22">
        <w:rPr>
          <w:sz w:val="17"/>
          <w:szCs w:val="17"/>
        </w:rPr>
        <w:t>: Annuaire statistique 2005, Institut de la Statistique de la République de Slovénie.</w:t>
      </w:r>
    </w:p>
    <w:p w:rsidR="00961E22" w:rsidRPr="00961E22" w:rsidRDefault="00961E22" w:rsidP="00961E22">
      <w:pPr>
        <w:spacing w:line="120" w:lineRule="exact"/>
        <w:rPr>
          <w:sz w:val="10"/>
        </w:rPr>
      </w:pPr>
    </w:p>
    <w:p w:rsidR="0073290F" w:rsidRDefault="0073290F" w:rsidP="00961E22">
      <w:pPr>
        <w:pStyle w:val="SingleTxt"/>
        <w:jc w:val="left"/>
        <w:rPr>
          <w:b/>
        </w:rPr>
      </w:pPr>
      <w:r w:rsidRPr="00961E22">
        <w:t>Tableau 35</w:t>
      </w:r>
      <w:r w:rsidR="00961E22">
        <w:br/>
      </w:r>
      <w:r w:rsidRPr="00961E22">
        <w:rPr>
          <w:b/>
        </w:rPr>
        <w:t>Pourcentage de femmes parmi les employés, par secteur d’activité (moyennes annuelles) – 2003/2004</w:t>
      </w:r>
    </w:p>
    <w:p w:rsidR="00961E22" w:rsidRPr="00961E22" w:rsidRDefault="00961E22" w:rsidP="00961E22">
      <w:pPr>
        <w:pStyle w:val="SingleTxt"/>
        <w:spacing w:after="0" w:line="120" w:lineRule="exact"/>
        <w:jc w:val="left"/>
        <w:rPr>
          <w:b/>
          <w:sz w:val="10"/>
        </w:rPr>
      </w:pPr>
    </w:p>
    <w:tbl>
      <w:tblPr>
        <w:tblW w:w="6870" w:type="dxa"/>
        <w:tblInd w:w="1267" w:type="dxa"/>
        <w:tblLayout w:type="fixed"/>
        <w:tblCellMar>
          <w:left w:w="30" w:type="dxa"/>
          <w:right w:w="30" w:type="dxa"/>
        </w:tblCellMar>
        <w:tblLook w:val="0000" w:firstRow="0" w:lastRow="0" w:firstColumn="0" w:lastColumn="0" w:noHBand="0" w:noVBand="0"/>
      </w:tblPr>
      <w:tblGrid>
        <w:gridCol w:w="4793"/>
        <w:gridCol w:w="1080"/>
        <w:gridCol w:w="997"/>
      </w:tblGrid>
      <w:tr w:rsidR="0073290F" w:rsidRPr="00961E22">
        <w:tblPrEx>
          <w:tblCellMar>
            <w:top w:w="0" w:type="dxa"/>
            <w:bottom w:w="0" w:type="dxa"/>
          </w:tblCellMar>
        </w:tblPrEx>
        <w:trPr>
          <w:cantSplit/>
          <w:trHeight w:val="276"/>
          <w:tblHeader/>
        </w:trPr>
        <w:tc>
          <w:tcPr>
            <w:tcW w:w="4793" w:type="dxa"/>
            <w:tcBorders>
              <w:top w:val="single" w:sz="4" w:space="0" w:color="auto"/>
              <w:bottom w:val="single" w:sz="12" w:space="0" w:color="auto"/>
            </w:tcBorders>
            <w:shd w:val="clear" w:color="auto" w:fill="auto"/>
            <w:vAlign w:val="bottom"/>
          </w:tcPr>
          <w:p w:rsidR="0073290F" w:rsidRPr="00961E22" w:rsidRDefault="0073290F" w:rsidP="00961E22">
            <w:pPr>
              <w:suppressAutoHyphens/>
              <w:spacing w:before="80" w:after="80" w:line="160" w:lineRule="exact"/>
              <w:ind w:right="43"/>
              <w:jc w:val="right"/>
              <w:rPr>
                <w:i/>
                <w:color w:val="000000"/>
                <w:sz w:val="14"/>
              </w:rPr>
            </w:pPr>
          </w:p>
        </w:tc>
        <w:tc>
          <w:tcPr>
            <w:tcW w:w="1080" w:type="dxa"/>
            <w:tcBorders>
              <w:top w:val="single" w:sz="4" w:space="0" w:color="auto"/>
              <w:bottom w:val="single" w:sz="12" w:space="0" w:color="auto"/>
            </w:tcBorders>
            <w:shd w:val="clear" w:color="auto" w:fill="auto"/>
            <w:vAlign w:val="bottom"/>
          </w:tcPr>
          <w:p w:rsidR="0073290F" w:rsidRPr="00961E22" w:rsidRDefault="0073290F" w:rsidP="00961E22">
            <w:pPr>
              <w:suppressAutoHyphens/>
              <w:spacing w:before="80" w:after="80" w:line="160" w:lineRule="exact"/>
              <w:ind w:right="43"/>
              <w:jc w:val="right"/>
              <w:rPr>
                <w:i/>
                <w:color w:val="000000"/>
                <w:sz w:val="14"/>
              </w:rPr>
            </w:pPr>
            <w:r w:rsidRPr="00961E22">
              <w:rPr>
                <w:i/>
                <w:color w:val="000000"/>
                <w:sz w:val="14"/>
              </w:rPr>
              <w:t>2003</w:t>
            </w:r>
          </w:p>
        </w:tc>
        <w:tc>
          <w:tcPr>
            <w:tcW w:w="997" w:type="dxa"/>
            <w:tcBorders>
              <w:top w:val="single" w:sz="4" w:space="0" w:color="auto"/>
              <w:bottom w:val="single" w:sz="12" w:space="0" w:color="auto"/>
            </w:tcBorders>
            <w:shd w:val="clear" w:color="auto" w:fill="auto"/>
            <w:vAlign w:val="bottom"/>
          </w:tcPr>
          <w:p w:rsidR="0073290F" w:rsidRPr="00961E22" w:rsidRDefault="0073290F" w:rsidP="00961E22">
            <w:pPr>
              <w:suppressAutoHyphens/>
              <w:spacing w:before="80" w:after="80" w:line="160" w:lineRule="exact"/>
              <w:ind w:right="43"/>
              <w:jc w:val="right"/>
              <w:rPr>
                <w:i/>
                <w:color w:val="000000"/>
                <w:sz w:val="14"/>
              </w:rPr>
            </w:pPr>
            <w:r w:rsidRPr="00961E22">
              <w:rPr>
                <w:i/>
                <w:color w:val="000000"/>
                <w:sz w:val="14"/>
              </w:rPr>
              <w:t>2004</w:t>
            </w:r>
          </w:p>
        </w:tc>
      </w:tr>
      <w:tr w:rsidR="00961E22" w:rsidRPr="00961E22">
        <w:tblPrEx>
          <w:tblCellMar>
            <w:top w:w="0" w:type="dxa"/>
            <w:bottom w:w="0" w:type="dxa"/>
          </w:tblCellMar>
        </w:tblPrEx>
        <w:trPr>
          <w:cantSplit/>
          <w:trHeight w:hRule="exact" w:val="115"/>
          <w:tblHeader/>
        </w:trPr>
        <w:tc>
          <w:tcPr>
            <w:tcW w:w="4793" w:type="dxa"/>
            <w:tcBorders>
              <w:top w:val="single" w:sz="12" w:space="0" w:color="auto"/>
            </w:tcBorders>
            <w:shd w:val="clear" w:color="auto" w:fill="auto"/>
            <w:vAlign w:val="bottom"/>
          </w:tcPr>
          <w:p w:rsidR="00961E22" w:rsidRPr="00961E22" w:rsidRDefault="00961E22" w:rsidP="00961E22">
            <w:pPr>
              <w:suppressAutoHyphens/>
              <w:spacing w:before="40" w:after="40" w:line="210" w:lineRule="exact"/>
              <w:ind w:right="43"/>
              <w:rPr>
                <w:b/>
                <w:color w:val="000000"/>
                <w:sz w:val="17"/>
              </w:rPr>
            </w:pPr>
          </w:p>
        </w:tc>
        <w:tc>
          <w:tcPr>
            <w:tcW w:w="1080" w:type="dxa"/>
            <w:tcBorders>
              <w:top w:val="single" w:sz="12" w:space="0" w:color="auto"/>
            </w:tcBorders>
            <w:shd w:val="clear" w:color="auto" w:fill="auto"/>
            <w:vAlign w:val="bottom"/>
          </w:tcPr>
          <w:p w:rsidR="00961E22" w:rsidRPr="00961E22" w:rsidRDefault="00961E22" w:rsidP="00961E22">
            <w:pPr>
              <w:suppressAutoHyphens/>
              <w:spacing w:before="40" w:after="40" w:line="210" w:lineRule="exact"/>
              <w:ind w:right="43"/>
              <w:jc w:val="right"/>
              <w:rPr>
                <w:color w:val="000000"/>
                <w:sz w:val="17"/>
              </w:rPr>
            </w:pPr>
          </w:p>
        </w:tc>
        <w:tc>
          <w:tcPr>
            <w:tcW w:w="997" w:type="dxa"/>
            <w:tcBorders>
              <w:top w:val="single" w:sz="12" w:space="0" w:color="auto"/>
            </w:tcBorders>
            <w:shd w:val="clear" w:color="auto" w:fill="auto"/>
            <w:vAlign w:val="bottom"/>
          </w:tcPr>
          <w:p w:rsidR="00961E22" w:rsidRPr="00961E22" w:rsidRDefault="00961E22" w:rsidP="00961E22">
            <w:pPr>
              <w:suppressAutoHyphens/>
              <w:spacing w:before="40" w:after="40" w:line="210" w:lineRule="exact"/>
              <w:ind w:right="43"/>
              <w:jc w:val="right"/>
              <w:rPr>
                <w:color w:val="000000"/>
                <w:sz w:val="17"/>
              </w:rPr>
            </w:pPr>
          </w:p>
        </w:tc>
      </w:tr>
      <w:tr w:rsidR="0073290F" w:rsidRPr="00961E22">
        <w:tblPrEx>
          <w:tblCellMar>
            <w:top w:w="0" w:type="dxa"/>
            <w:bottom w:w="0" w:type="dxa"/>
          </w:tblCellMar>
        </w:tblPrEx>
        <w:trPr>
          <w:cantSplit/>
          <w:trHeight w:val="276"/>
        </w:trPr>
        <w:tc>
          <w:tcPr>
            <w:tcW w:w="479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b/>
                <w:color w:val="000000"/>
                <w:sz w:val="17"/>
              </w:rPr>
            </w:pPr>
            <w:r w:rsidRPr="00961E22">
              <w:rPr>
                <w:b/>
                <w:color w:val="000000"/>
                <w:sz w:val="17"/>
              </w:rPr>
              <w:t>Total</w:t>
            </w:r>
          </w:p>
        </w:tc>
        <w:tc>
          <w:tcPr>
            <w:tcW w:w="10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b/>
                <w:color w:val="000000"/>
                <w:sz w:val="17"/>
              </w:rPr>
            </w:pPr>
            <w:r w:rsidRPr="00961E22">
              <w:rPr>
                <w:b/>
                <w:color w:val="000000"/>
                <w:sz w:val="17"/>
              </w:rPr>
              <w:t>45,4</w:t>
            </w:r>
          </w:p>
        </w:tc>
        <w:tc>
          <w:tcPr>
            <w:tcW w:w="99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b/>
                <w:color w:val="000000"/>
                <w:sz w:val="17"/>
              </w:rPr>
            </w:pPr>
            <w:r w:rsidRPr="00961E22">
              <w:rPr>
                <w:b/>
                <w:color w:val="000000"/>
                <w:sz w:val="17"/>
              </w:rPr>
              <w:t>45,6</w:t>
            </w:r>
          </w:p>
        </w:tc>
      </w:tr>
      <w:tr w:rsidR="0073290F" w:rsidRPr="00961E22">
        <w:tblPrEx>
          <w:tblCellMar>
            <w:top w:w="0" w:type="dxa"/>
            <w:bottom w:w="0" w:type="dxa"/>
          </w:tblCellMar>
        </w:tblPrEx>
        <w:trPr>
          <w:cantSplit/>
          <w:trHeight w:val="276"/>
        </w:trPr>
        <w:tc>
          <w:tcPr>
            <w:tcW w:w="479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b/>
                <w:color w:val="000000"/>
                <w:sz w:val="17"/>
              </w:rPr>
            </w:pPr>
            <w:r w:rsidRPr="00961E22">
              <w:rPr>
                <w:b/>
                <w:color w:val="000000"/>
                <w:sz w:val="17"/>
              </w:rPr>
              <w:t>Agriculture</w:t>
            </w:r>
          </w:p>
        </w:tc>
        <w:tc>
          <w:tcPr>
            <w:tcW w:w="10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43,5</w:t>
            </w:r>
          </w:p>
        </w:tc>
        <w:tc>
          <w:tcPr>
            <w:tcW w:w="99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45,2</w:t>
            </w:r>
          </w:p>
        </w:tc>
      </w:tr>
      <w:tr w:rsidR="0073290F" w:rsidRPr="00961E22">
        <w:tblPrEx>
          <w:tblCellMar>
            <w:top w:w="0" w:type="dxa"/>
            <w:bottom w:w="0" w:type="dxa"/>
          </w:tblCellMar>
        </w:tblPrEx>
        <w:trPr>
          <w:cantSplit/>
          <w:trHeight w:val="262"/>
        </w:trPr>
        <w:tc>
          <w:tcPr>
            <w:tcW w:w="479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b/>
                <w:color w:val="000000"/>
                <w:sz w:val="17"/>
              </w:rPr>
            </w:pPr>
            <w:r w:rsidRPr="00961E22">
              <w:rPr>
                <w:b/>
                <w:color w:val="000000"/>
                <w:sz w:val="17"/>
              </w:rPr>
              <w:t>Industrie (à l’exception des services)</w:t>
            </w:r>
          </w:p>
        </w:tc>
        <w:tc>
          <w:tcPr>
            <w:tcW w:w="10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32,3</w:t>
            </w:r>
          </w:p>
        </w:tc>
        <w:tc>
          <w:tcPr>
            <w:tcW w:w="99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31,7</w:t>
            </w:r>
          </w:p>
        </w:tc>
      </w:tr>
      <w:tr w:rsidR="0073290F" w:rsidRPr="00961E22">
        <w:tblPrEx>
          <w:tblCellMar>
            <w:top w:w="0" w:type="dxa"/>
            <w:bottom w:w="0" w:type="dxa"/>
          </w:tblCellMar>
        </w:tblPrEx>
        <w:trPr>
          <w:cantSplit/>
          <w:trHeight w:val="247"/>
        </w:trPr>
        <w:tc>
          <w:tcPr>
            <w:tcW w:w="479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color w:val="000000"/>
                <w:sz w:val="17"/>
              </w:rPr>
            </w:pPr>
            <w:r w:rsidRPr="00961E22">
              <w:rPr>
                <w:color w:val="000000"/>
                <w:sz w:val="17"/>
              </w:rPr>
              <w:t>Mines et extraction</w:t>
            </w:r>
          </w:p>
        </w:tc>
        <w:tc>
          <w:tcPr>
            <w:tcW w:w="10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w:t>
            </w:r>
          </w:p>
        </w:tc>
        <w:tc>
          <w:tcPr>
            <w:tcW w:w="99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w:t>
            </w:r>
          </w:p>
        </w:tc>
      </w:tr>
      <w:tr w:rsidR="0073290F" w:rsidRPr="00961E22">
        <w:tblPrEx>
          <w:tblCellMar>
            <w:top w:w="0" w:type="dxa"/>
            <w:bottom w:w="0" w:type="dxa"/>
          </w:tblCellMar>
        </w:tblPrEx>
        <w:trPr>
          <w:cantSplit/>
          <w:trHeight w:val="247"/>
        </w:trPr>
        <w:tc>
          <w:tcPr>
            <w:tcW w:w="479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color w:val="000000"/>
                <w:sz w:val="17"/>
              </w:rPr>
            </w:pPr>
            <w:r w:rsidRPr="00961E22">
              <w:rPr>
                <w:color w:val="000000"/>
                <w:sz w:val="17"/>
              </w:rPr>
              <w:t>Industries manufacturières</w:t>
            </w:r>
          </w:p>
        </w:tc>
        <w:tc>
          <w:tcPr>
            <w:tcW w:w="10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37,8</w:t>
            </w:r>
          </w:p>
        </w:tc>
        <w:tc>
          <w:tcPr>
            <w:tcW w:w="99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37,4</w:t>
            </w:r>
          </w:p>
        </w:tc>
      </w:tr>
      <w:tr w:rsidR="0073290F" w:rsidRPr="00961E22">
        <w:tblPrEx>
          <w:tblCellMar>
            <w:top w:w="0" w:type="dxa"/>
            <w:bottom w:w="0" w:type="dxa"/>
          </w:tblCellMar>
        </w:tblPrEx>
        <w:trPr>
          <w:cantSplit/>
          <w:trHeight w:val="247"/>
        </w:trPr>
        <w:tc>
          <w:tcPr>
            <w:tcW w:w="479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color w:val="000000"/>
                <w:sz w:val="17"/>
              </w:rPr>
            </w:pPr>
            <w:r w:rsidRPr="00961E22">
              <w:rPr>
                <w:color w:val="000000"/>
                <w:sz w:val="17"/>
              </w:rPr>
              <w:t>Electricité, gaz et approvisionnement en eau</w:t>
            </w:r>
          </w:p>
        </w:tc>
        <w:tc>
          <w:tcPr>
            <w:tcW w:w="10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(16,0)</w:t>
            </w:r>
          </w:p>
        </w:tc>
        <w:tc>
          <w:tcPr>
            <w:tcW w:w="99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w:t>
            </w:r>
          </w:p>
        </w:tc>
      </w:tr>
      <w:tr w:rsidR="0073290F" w:rsidRPr="00961E22">
        <w:tblPrEx>
          <w:tblCellMar>
            <w:top w:w="0" w:type="dxa"/>
            <w:bottom w:w="0" w:type="dxa"/>
          </w:tblCellMar>
        </w:tblPrEx>
        <w:trPr>
          <w:cantSplit/>
          <w:trHeight w:val="262"/>
        </w:trPr>
        <w:tc>
          <w:tcPr>
            <w:tcW w:w="479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color w:val="000000"/>
                <w:sz w:val="17"/>
              </w:rPr>
            </w:pPr>
            <w:r w:rsidRPr="00961E22">
              <w:rPr>
                <w:color w:val="000000"/>
                <w:sz w:val="17"/>
              </w:rPr>
              <w:t>Construction</w:t>
            </w:r>
          </w:p>
        </w:tc>
        <w:tc>
          <w:tcPr>
            <w:tcW w:w="10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9,9</w:t>
            </w:r>
          </w:p>
        </w:tc>
        <w:tc>
          <w:tcPr>
            <w:tcW w:w="99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8,6</w:t>
            </w:r>
          </w:p>
        </w:tc>
      </w:tr>
      <w:tr w:rsidR="0073290F" w:rsidRPr="00961E22">
        <w:tblPrEx>
          <w:tblCellMar>
            <w:top w:w="0" w:type="dxa"/>
            <w:bottom w:w="0" w:type="dxa"/>
          </w:tblCellMar>
        </w:tblPrEx>
        <w:trPr>
          <w:cantSplit/>
          <w:trHeight w:val="262"/>
        </w:trPr>
        <w:tc>
          <w:tcPr>
            <w:tcW w:w="479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b/>
                <w:color w:val="000000"/>
                <w:sz w:val="17"/>
              </w:rPr>
            </w:pPr>
            <w:r w:rsidRPr="00961E22">
              <w:rPr>
                <w:b/>
                <w:color w:val="000000"/>
                <w:sz w:val="17"/>
              </w:rPr>
              <w:t>Services</w:t>
            </w:r>
          </w:p>
        </w:tc>
        <w:tc>
          <w:tcPr>
            <w:tcW w:w="10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54,9</w:t>
            </w:r>
          </w:p>
        </w:tc>
        <w:tc>
          <w:tcPr>
            <w:tcW w:w="99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55,3</w:t>
            </w:r>
          </w:p>
        </w:tc>
      </w:tr>
      <w:tr w:rsidR="0073290F" w:rsidRPr="00961E22">
        <w:tblPrEx>
          <w:tblCellMar>
            <w:top w:w="0" w:type="dxa"/>
            <w:bottom w:w="0" w:type="dxa"/>
          </w:tblCellMar>
        </w:tblPrEx>
        <w:trPr>
          <w:cantSplit/>
          <w:trHeight w:val="247"/>
        </w:trPr>
        <w:tc>
          <w:tcPr>
            <w:tcW w:w="479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color w:val="000000"/>
                <w:sz w:val="17"/>
              </w:rPr>
            </w:pPr>
            <w:r w:rsidRPr="00961E22">
              <w:rPr>
                <w:color w:val="000000"/>
                <w:sz w:val="17"/>
              </w:rPr>
              <w:t>Vente en gros et au détail; certains types de réparation</w:t>
            </w:r>
            <w:r w:rsidR="00BA4F2E">
              <w:rPr>
                <w:color w:val="000000"/>
                <w:sz w:val="17"/>
              </w:rPr>
              <w:t xml:space="preserve"> </w:t>
            </w:r>
          </w:p>
        </w:tc>
        <w:tc>
          <w:tcPr>
            <w:tcW w:w="10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54,1</w:t>
            </w:r>
          </w:p>
        </w:tc>
        <w:tc>
          <w:tcPr>
            <w:tcW w:w="99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53,5</w:t>
            </w:r>
          </w:p>
        </w:tc>
      </w:tr>
      <w:tr w:rsidR="0073290F" w:rsidRPr="00961E22">
        <w:tblPrEx>
          <w:tblCellMar>
            <w:top w:w="0" w:type="dxa"/>
            <w:bottom w:w="0" w:type="dxa"/>
          </w:tblCellMar>
        </w:tblPrEx>
        <w:trPr>
          <w:cantSplit/>
          <w:trHeight w:val="247"/>
        </w:trPr>
        <w:tc>
          <w:tcPr>
            <w:tcW w:w="479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color w:val="000000"/>
                <w:sz w:val="17"/>
              </w:rPr>
            </w:pPr>
            <w:r w:rsidRPr="00961E22">
              <w:rPr>
                <w:color w:val="000000"/>
                <w:sz w:val="17"/>
              </w:rPr>
              <w:t>Hôtellerie et Restauration</w:t>
            </w:r>
          </w:p>
        </w:tc>
        <w:tc>
          <w:tcPr>
            <w:tcW w:w="10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60,3</w:t>
            </w:r>
          </w:p>
        </w:tc>
        <w:tc>
          <w:tcPr>
            <w:tcW w:w="99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59,8</w:t>
            </w:r>
          </w:p>
        </w:tc>
      </w:tr>
      <w:tr w:rsidR="0073290F" w:rsidRPr="00961E22">
        <w:tblPrEx>
          <w:tblCellMar>
            <w:top w:w="0" w:type="dxa"/>
            <w:bottom w:w="0" w:type="dxa"/>
          </w:tblCellMar>
        </w:tblPrEx>
        <w:trPr>
          <w:cantSplit/>
          <w:trHeight w:val="247"/>
        </w:trPr>
        <w:tc>
          <w:tcPr>
            <w:tcW w:w="479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color w:val="000000"/>
                <w:sz w:val="17"/>
              </w:rPr>
            </w:pPr>
            <w:r w:rsidRPr="00961E22">
              <w:rPr>
                <w:color w:val="000000"/>
                <w:sz w:val="17"/>
              </w:rPr>
              <w:t>Transports, entreposage et</w:t>
            </w:r>
            <w:r w:rsidR="00BA4F2E">
              <w:rPr>
                <w:color w:val="000000"/>
                <w:sz w:val="17"/>
              </w:rPr>
              <w:t xml:space="preserve"> </w:t>
            </w:r>
            <w:r w:rsidRPr="00961E22">
              <w:rPr>
                <w:color w:val="000000"/>
                <w:sz w:val="17"/>
              </w:rPr>
              <w:t>communications</w:t>
            </w:r>
          </w:p>
        </w:tc>
        <w:tc>
          <w:tcPr>
            <w:tcW w:w="10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21,1</w:t>
            </w:r>
          </w:p>
        </w:tc>
        <w:tc>
          <w:tcPr>
            <w:tcW w:w="99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21,4</w:t>
            </w:r>
          </w:p>
        </w:tc>
      </w:tr>
      <w:tr w:rsidR="0073290F" w:rsidRPr="00961E22">
        <w:tblPrEx>
          <w:tblCellMar>
            <w:top w:w="0" w:type="dxa"/>
            <w:bottom w:w="0" w:type="dxa"/>
          </w:tblCellMar>
        </w:tblPrEx>
        <w:trPr>
          <w:cantSplit/>
          <w:trHeight w:val="247"/>
        </w:trPr>
        <w:tc>
          <w:tcPr>
            <w:tcW w:w="479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color w:val="000000"/>
                <w:sz w:val="17"/>
              </w:rPr>
            </w:pPr>
            <w:r w:rsidRPr="00961E22">
              <w:rPr>
                <w:color w:val="000000"/>
                <w:sz w:val="17"/>
              </w:rPr>
              <w:t>Médiation financière</w:t>
            </w:r>
          </w:p>
        </w:tc>
        <w:tc>
          <w:tcPr>
            <w:tcW w:w="10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68,5</w:t>
            </w:r>
          </w:p>
        </w:tc>
        <w:tc>
          <w:tcPr>
            <w:tcW w:w="99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67,7</w:t>
            </w:r>
          </w:p>
        </w:tc>
      </w:tr>
      <w:tr w:rsidR="0073290F" w:rsidRPr="00961E22">
        <w:tblPrEx>
          <w:tblCellMar>
            <w:top w:w="0" w:type="dxa"/>
            <w:bottom w:w="0" w:type="dxa"/>
          </w:tblCellMar>
        </w:tblPrEx>
        <w:trPr>
          <w:cantSplit/>
          <w:trHeight w:val="247"/>
        </w:trPr>
        <w:tc>
          <w:tcPr>
            <w:tcW w:w="4793" w:type="dxa"/>
            <w:shd w:val="clear" w:color="auto" w:fill="auto"/>
            <w:vAlign w:val="bottom"/>
          </w:tcPr>
          <w:p w:rsidR="0073290F" w:rsidRPr="00E30EA9" w:rsidRDefault="0073290F" w:rsidP="00961E22">
            <w:pPr>
              <w:tabs>
                <w:tab w:val="left" w:pos="288"/>
                <w:tab w:val="left" w:pos="576"/>
                <w:tab w:val="left" w:pos="864"/>
                <w:tab w:val="left" w:pos="1152"/>
              </w:tabs>
              <w:suppressAutoHyphens/>
              <w:spacing w:before="40" w:after="40" w:line="210" w:lineRule="exact"/>
              <w:ind w:right="43"/>
              <w:rPr>
                <w:color w:val="000000"/>
                <w:sz w:val="17"/>
                <w:lang w:val="fr-FR"/>
              </w:rPr>
            </w:pPr>
            <w:r w:rsidRPr="00E30EA9">
              <w:rPr>
                <w:color w:val="000000"/>
                <w:sz w:val="17"/>
                <w:lang w:val="fr-FR"/>
              </w:rPr>
              <w:t>Immobilier, location et activités commerciales</w:t>
            </w:r>
          </w:p>
        </w:tc>
        <w:tc>
          <w:tcPr>
            <w:tcW w:w="10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44,0</w:t>
            </w:r>
          </w:p>
        </w:tc>
        <w:tc>
          <w:tcPr>
            <w:tcW w:w="99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47,5</w:t>
            </w:r>
          </w:p>
        </w:tc>
      </w:tr>
      <w:tr w:rsidR="0073290F" w:rsidRPr="00961E22">
        <w:tblPrEx>
          <w:tblCellMar>
            <w:top w:w="0" w:type="dxa"/>
            <w:bottom w:w="0" w:type="dxa"/>
          </w:tblCellMar>
        </w:tblPrEx>
        <w:trPr>
          <w:cantSplit/>
          <w:trHeight w:val="247"/>
        </w:trPr>
        <w:tc>
          <w:tcPr>
            <w:tcW w:w="479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color w:val="000000"/>
                <w:sz w:val="17"/>
              </w:rPr>
            </w:pPr>
            <w:r w:rsidRPr="00961E22">
              <w:rPr>
                <w:color w:val="000000"/>
                <w:sz w:val="17"/>
              </w:rPr>
              <w:t>Fonction publique, Défense, Sécurité sociale obligatoire</w:t>
            </w:r>
          </w:p>
        </w:tc>
        <w:tc>
          <w:tcPr>
            <w:tcW w:w="10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53,1</w:t>
            </w:r>
          </w:p>
        </w:tc>
        <w:tc>
          <w:tcPr>
            <w:tcW w:w="99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50,2</w:t>
            </w:r>
          </w:p>
        </w:tc>
      </w:tr>
      <w:tr w:rsidR="0073290F" w:rsidRPr="00961E22">
        <w:tblPrEx>
          <w:tblCellMar>
            <w:top w:w="0" w:type="dxa"/>
            <w:bottom w:w="0" w:type="dxa"/>
          </w:tblCellMar>
        </w:tblPrEx>
        <w:trPr>
          <w:cantSplit/>
          <w:trHeight w:val="247"/>
        </w:trPr>
        <w:tc>
          <w:tcPr>
            <w:tcW w:w="4793" w:type="dxa"/>
            <w:shd w:val="clear" w:color="auto" w:fill="auto"/>
            <w:vAlign w:val="bottom"/>
          </w:tcPr>
          <w:p w:rsidR="0073290F" w:rsidRPr="00961E22" w:rsidRDefault="00221C8A" w:rsidP="00961E22">
            <w:pPr>
              <w:tabs>
                <w:tab w:val="left" w:pos="288"/>
                <w:tab w:val="left" w:pos="576"/>
                <w:tab w:val="left" w:pos="864"/>
                <w:tab w:val="left" w:pos="1152"/>
              </w:tabs>
              <w:suppressAutoHyphens/>
              <w:spacing w:before="40" w:after="40" w:line="210" w:lineRule="exact"/>
              <w:ind w:right="43"/>
              <w:rPr>
                <w:color w:val="000000"/>
                <w:sz w:val="17"/>
              </w:rPr>
            </w:pPr>
            <w:r w:rsidRPr="00961E22">
              <w:rPr>
                <w:color w:val="000000"/>
                <w:sz w:val="17"/>
              </w:rPr>
              <w:t>Éducation</w:t>
            </w:r>
          </w:p>
        </w:tc>
        <w:tc>
          <w:tcPr>
            <w:tcW w:w="10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76,0</w:t>
            </w:r>
          </w:p>
        </w:tc>
        <w:tc>
          <w:tcPr>
            <w:tcW w:w="99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76,4</w:t>
            </w:r>
          </w:p>
        </w:tc>
      </w:tr>
      <w:tr w:rsidR="0073290F" w:rsidRPr="00961E22">
        <w:tblPrEx>
          <w:tblCellMar>
            <w:top w:w="0" w:type="dxa"/>
            <w:bottom w:w="0" w:type="dxa"/>
          </w:tblCellMar>
        </w:tblPrEx>
        <w:trPr>
          <w:cantSplit/>
          <w:trHeight w:val="247"/>
        </w:trPr>
        <w:tc>
          <w:tcPr>
            <w:tcW w:w="4793"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color w:val="000000"/>
                <w:sz w:val="17"/>
              </w:rPr>
            </w:pPr>
            <w:r w:rsidRPr="00961E22">
              <w:rPr>
                <w:color w:val="000000"/>
                <w:sz w:val="17"/>
              </w:rPr>
              <w:t>Santé et assistance sociale</w:t>
            </w:r>
          </w:p>
        </w:tc>
        <w:tc>
          <w:tcPr>
            <w:tcW w:w="1080"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80,2</w:t>
            </w:r>
          </w:p>
        </w:tc>
        <w:tc>
          <w:tcPr>
            <w:tcW w:w="997" w:type="dxa"/>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82,5</w:t>
            </w:r>
          </w:p>
        </w:tc>
      </w:tr>
      <w:tr w:rsidR="0073290F" w:rsidRPr="00961E22">
        <w:tblPrEx>
          <w:tblCellMar>
            <w:top w:w="0" w:type="dxa"/>
            <w:bottom w:w="0" w:type="dxa"/>
          </w:tblCellMar>
        </w:tblPrEx>
        <w:trPr>
          <w:cantSplit/>
          <w:trHeight w:val="262"/>
        </w:trPr>
        <w:tc>
          <w:tcPr>
            <w:tcW w:w="4793" w:type="dxa"/>
            <w:tcBorders>
              <w:bottom w:val="single" w:sz="12" w:space="0" w:color="auto"/>
            </w:tcBorders>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rPr>
                <w:color w:val="000000"/>
                <w:sz w:val="17"/>
              </w:rPr>
            </w:pPr>
            <w:r w:rsidRPr="00961E22">
              <w:rPr>
                <w:color w:val="000000"/>
                <w:sz w:val="17"/>
              </w:rPr>
              <w:t>Autres services sociaux et à la personne</w:t>
            </w:r>
          </w:p>
        </w:tc>
        <w:tc>
          <w:tcPr>
            <w:tcW w:w="1080" w:type="dxa"/>
            <w:tcBorders>
              <w:bottom w:val="single" w:sz="12" w:space="0" w:color="auto"/>
            </w:tcBorders>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50,5</w:t>
            </w:r>
          </w:p>
        </w:tc>
        <w:tc>
          <w:tcPr>
            <w:tcW w:w="997" w:type="dxa"/>
            <w:tcBorders>
              <w:bottom w:val="single" w:sz="12" w:space="0" w:color="auto"/>
            </w:tcBorders>
            <w:shd w:val="clear" w:color="auto" w:fill="auto"/>
            <w:vAlign w:val="bottom"/>
          </w:tcPr>
          <w:p w:rsidR="0073290F" w:rsidRPr="00961E22" w:rsidRDefault="0073290F" w:rsidP="00961E22">
            <w:pPr>
              <w:tabs>
                <w:tab w:val="left" w:pos="288"/>
                <w:tab w:val="left" w:pos="576"/>
                <w:tab w:val="left" w:pos="864"/>
                <w:tab w:val="left" w:pos="1152"/>
              </w:tabs>
              <w:suppressAutoHyphens/>
              <w:spacing w:before="40" w:after="40" w:line="210" w:lineRule="exact"/>
              <w:ind w:right="43"/>
              <w:jc w:val="right"/>
              <w:rPr>
                <w:color w:val="000000"/>
                <w:sz w:val="17"/>
              </w:rPr>
            </w:pPr>
            <w:r w:rsidRPr="00961E22">
              <w:rPr>
                <w:color w:val="000000"/>
                <w:sz w:val="17"/>
              </w:rPr>
              <w:t>48,2</w:t>
            </w:r>
          </w:p>
        </w:tc>
      </w:tr>
    </w:tbl>
    <w:p w:rsidR="00961E22" w:rsidRPr="00961E22" w:rsidRDefault="00961E22" w:rsidP="00961E22">
      <w:pPr>
        <w:spacing w:line="120" w:lineRule="exact"/>
        <w:jc w:val="both"/>
        <w:rPr>
          <w:sz w:val="10"/>
        </w:rPr>
      </w:pPr>
    </w:p>
    <w:p w:rsidR="0073290F" w:rsidRPr="00E30EA9" w:rsidRDefault="0073290F" w:rsidP="00961E22">
      <w:pPr>
        <w:pStyle w:val="SingleTxt"/>
        <w:rPr>
          <w:sz w:val="17"/>
          <w:szCs w:val="17"/>
          <w:lang w:val="fr-FR"/>
        </w:rPr>
      </w:pPr>
      <w:r w:rsidRPr="00961E22">
        <w:rPr>
          <w:i/>
          <w:sz w:val="17"/>
          <w:szCs w:val="17"/>
        </w:rPr>
        <w:t>Source</w:t>
      </w:r>
      <w:r w:rsidRPr="00961E22">
        <w:rPr>
          <w:sz w:val="17"/>
          <w:szCs w:val="17"/>
        </w:rPr>
        <w:t>: Rapports “Rapid” Nos 225 (16. 08. 2004) et 185 (15. 07. 2005), Institut de la Statistique de la République de Slovénie.</w:t>
      </w:r>
    </w:p>
    <w:p w:rsidR="0073290F" w:rsidRDefault="0073290F" w:rsidP="005B0CE2">
      <w:pPr>
        <w:pStyle w:val="SingleTxt"/>
        <w:jc w:val="left"/>
        <w:rPr>
          <w:b/>
          <w:lang w:val="fr-FR"/>
        </w:rPr>
      </w:pPr>
      <w:r w:rsidRPr="006853C3">
        <w:rPr>
          <w:lang w:val="fr-FR"/>
        </w:rPr>
        <w:t>Tableau 36</w:t>
      </w:r>
      <w:r w:rsidR="005B0CE2">
        <w:rPr>
          <w:lang w:val="fr-FR"/>
        </w:rPr>
        <w:br/>
      </w:r>
      <w:r w:rsidRPr="005B0CE2">
        <w:rPr>
          <w:b/>
          <w:lang w:val="fr-FR"/>
        </w:rPr>
        <w:t xml:space="preserve">Le salaire brut mensuel moyen d’employées d’entreprises ou d’organisations </w:t>
      </w:r>
      <w:r w:rsidR="005B0CE2" w:rsidRPr="005B0CE2">
        <w:rPr>
          <w:b/>
          <w:lang w:val="fr-FR"/>
        </w:rPr>
        <w:br/>
      </w:r>
      <w:r w:rsidRPr="005B0CE2">
        <w:rPr>
          <w:b/>
          <w:lang w:val="fr-FR"/>
        </w:rPr>
        <w:t>(en pourcentage du salaire masculin), par niveau de qualification professionnelle – 2000 et 2002.</w:t>
      </w:r>
    </w:p>
    <w:p w:rsidR="005B0CE2" w:rsidRPr="005B0CE2" w:rsidRDefault="005B0CE2" w:rsidP="005B0CE2">
      <w:pPr>
        <w:pStyle w:val="SingleTxt"/>
        <w:spacing w:after="0" w:line="120" w:lineRule="exact"/>
        <w:jc w:val="left"/>
        <w:rPr>
          <w:b/>
          <w:sz w:val="10"/>
          <w:lang w:val="fr-FR"/>
        </w:rPr>
      </w:pPr>
    </w:p>
    <w:tbl>
      <w:tblPr>
        <w:tblW w:w="9880" w:type="dxa"/>
        <w:tblLayout w:type="fixed"/>
        <w:tblCellMar>
          <w:left w:w="70" w:type="dxa"/>
          <w:right w:w="70" w:type="dxa"/>
        </w:tblCellMar>
        <w:tblLook w:val="0000" w:firstRow="0" w:lastRow="0" w:firstColumn="0" w:lastColumn="0" w:noHBand="0" w:noVBand="0"/>
      </w:tblPr>
      <w:tblGrid>
        <w:gridCol w:w="698"/>
        <w:gridCol w:w="542"/>
        <w:gridCol w:w="720"/>
        <w:gridCol w:w="720"/>
        <w:gridCol w:w="720"/>
        <w:gridCol w:w="810"/>
        <w:gridCol w:w="1260"/>
        <w:gridCol w:w="1080"/>
        <w:gridCol w:w="900"/>
        <w:gridCol w:w="810"/>
        <w:gridCol w:w="810"/>
        <w:gridCol w:w="810"/>
      </w:tblGrid>
      <w:tr w:rsidR="00D200A9" w:rsidRPr="005B0CE2">
        <w:tblPrEx>
          <w:tblCellMar>
            <w:top w:w="0" w:type="dxa"/>
            <w:bottom w:w="0" w:type="dxa"/>
          </w:tblCellMar>
        </w:tblPrEx>
        <w:trPr>
          <w:cantSplit/>
          <w:trHeight w:val="741"/>
          <w:tblHeader/>
        </w:trPr>
        <w:tc>
          <w:tcPr>
            <w:tcW w:w="698" w:type="dxa"/>
            <w:tcBorders>
              <w:top w:val="single" w:sz="4" w:space="0" w:color="auto"/>
            </w:tcBorders>
            <w:shd w:val="clear" w:color="auto" w:fill="auto"/>
            <w:vAlign w:val="bottom"/>
          </w:tcPr>
          <w:p w:rsidR="00D200A9" w:rsidRPr="005B0CE2" w:rsidRDefault="00D200A9" w:rsidP="005B0CE2">
            <w:pPr>
              <w:pStyle w:val="PlainText2"/>
              <w:widowControl/>
              <w:suppressAutoHyphens/>
              <w:spacing w:before="80" w:after="80" w:line="160" w:lineRule="exact"/>
              <w:ind w:right="43"/>
              <w:rPr>
                <w:rFonts w:ascii="Times New Roman" w:hAnsi="Times New Roman"/>
                <w:i/>
                <w:sz w:val="14"/>
                <w:szCs w:val="18"/>
              </w:rPr>
            </w:pPr>
          </w:p>
        </w:tc>
        <w:tc>
          <w:tcPr>
            <w:tcW w:w="542" w:type="dxa"/>
            <w:tcBorders>
              <w:top w:val="single" w:sz="4" w:space="0" w:color="auto"/>
            </w:tcBorders>
            <w:shd w:val="clear" w:color="auto" w:fill="auto"/>
            <w:vAlign w:val="bottom"/>
          </w:tcPr>
          <w:p w:rsidR="00D200A9" w:rsidRPr="005B0CE2" w:rsidRDefault="00D200A9" w:rsidP="005B0CE2">
            <w:pPr>
              <w:pStyle w:val="PlainText2"/>
              <w:widowControl/>
              <w:suppressAutoHyphens/>
              <w:spacing w:before="80" w:after="80" w:line="160" w:lineRule="exact"/>
              <w:ind w:right="43"/>
              <w:jc w:val="right"/>
              <w:rPr>
                <w:rFonts w:ascii="Times New Roman" w:hAnsi="Times New Roman"/>
                <w:i/>
                <w:sz w:val="14"/>
                <w:szCs w:val="18"/>
              </w:rPr>
            </w:pPr>
          </w:p>
        </w:tc>
        <w:tc>
          <w:tcPr>
            <w:tcW w:w="2160" w:type="dxa"/>
            <w:gridSpan w:val="3"/>
            <w:tcBorders>
              <w:top w:val="single" w:sz="4" w:space="0" w:color="auto"/>
              <w:bottom w:val="single" w:sz="4" w:space="0" w:color="auto"/>
            </w:tcBorders>
            <w:shd w:val="clear" w:color="auto" w:fill="auto"/>
            <w:vAlign w:val="bottom"/>
          </w:tcPr>
          <w:p w:rsidR="00D200A9" w:rsidRPr="00D200A9" w:rsidRDefault="00D200A9" w:rsidP="00D200A9">
            <w:pPr>
              <w:pStyle w:val="PlainText2"/>
              <w:widowControl/>
              <w:suppressAutoHyphens/>
              <w:spacing w:before="80" w:after="80" w:line="160" w:lineRule="exact"/>
              <w:ind w:right="43"/>
              <w:jc w:val="center"/>
              <w:rPr>
                <w:rFonts w:ascii="Times New Roman" w:hAnsi="Times New Roman"/>
                <w:i/>
                <w:sz w:val="14"/>
                <w:szCs w:val="18"/>
              </w:rPr>
            </w:pPr>
            <w:r w:rsidRPr="00D200A9">
              <w:rPr>
                <w:rFonts w:ascii="Times New Roman" w:hAnsi="Times New Roman"/>
                <w:i/>
                <w:sz w:val="14"/>
                <w:szCs w:val="18"/>
              </w:rPr>
              <w:t>Diplôme universitaire</w:t>
            </w:r>
          </w:p>
        </w:tc>
        <w:tc>
          <w:tcPr>
            <w:tcW w:w="810" w:type="dxa"/>
            <w:vMerge w:val="restart"/>
            <w:tcBorders>
              <w:top w:val="single" w:sz="4" w:space="0" w:color="auto"/>
            </w:tcBorders>
            <w:shd w:val="clear" w:color="auto" w:fill="auto"/>
            <w:vAlign w:val="bottom"/>
          </w:tcPr>
          <w:p w:rsidR="00D200A9" w:rsidRPr="005B0CE2" w:rsidRDefault="00D200A9" w:rsidP="005B0CE2">
            <w:pPr>
              <w:pStyle w:val="PlainText2"/>
              <w:widowControl/>
              <w:suppressAutoHyphens/>
              <w:spacing w:before="80" w:after="80" w:line="160" w:lineRule="exact"/>
              <w:ind w:right="43"/>
              <w:jc w:val="right"/>
              <w:rPr>
                <w:rFonts w:ascii="Times New Roman" w:hAnsi="Times New Roman"/>
                <w:i/>
                <w:sz w:val="14"/>
                <w:szCs w:val="18"/>
              </w:rPr>
            </w:pPr>
            <w:r w:rsidRPr="005B0CE2">
              <w:rPr>
                <w:rFonts w:ascii="Times New Roman" w:hAnsi="Times New Roman"/>
                <w:i/>
                <w:sz w:val="14"/>
                <w:szCs w:val="18"/>
              </w:rPr>
              <w:t>Diplôme autre qu’unive</w:t>
            </w:r>
            <w:r>
              <w:rPr>
                <w:rFonts w:ascii="Times New Roman" w:hAnsi="Times New Roman"/>
                <w:i/>
                <w:sz w:val="14"/>
                <w:szCs w:val="18"/>
              </w:rPr>
              <w:t>-</w:t>
            </w:r>
            <w:r w:rsidRPr="005B0CE2">
              <w:rPr>
                <w:rFonts w:ascii="Times New Roman" w:hAnsi="Times New Roman"/>
                <w:i/>
                <w:sz w:val="14"/>
                <w:szCs w:val="18"/>
              </w:rPr>
              <w:t>rsitaire</w:t>
            </w:r>
          </w:p>
        </w:tc>
        <w:tc>
          <w:tcPr>
            <w:tcW w:w="1260" w:type="dxa"/>
            <w:vMerge w:val="restart"/>
            <w:tcBorders>
              <w:top w:val="single" w:sz="4" w:space="0" w:color="auto"/>
            </w:tcBorders>
            <w:shd w:val="clear" w:color="auto" w:fill="auto"/>
            <w:vAlign w:val="bottom"/>
          </w:tcPr>
          <w:p w:rsidR="00D200A9" w:rsidRPr="005B0CE2" w:rsidRDefault="00D200A9" w:rsidP="005B0CE2">
            <w:pPr>
              <w:spacing w:before="80" w:after="80" w:line="170" w:lineRule="exact"/>
              <w:ind w:right="43"/>
              <w:jc w:val="right"/>
              <w:rPr>
                <w:i/>
                <w:sz w:val="14"/>
                <w:szCs w:val="14"/>
              </w:rPr>
            </w:pPr>
            <w:r w:rsidRPr="005B0CE2">
              <w:rPr>
                <w:i/>
                <w:sz w:val="14"/>
                <w:szCs w:val="14"/>
              </w:rPr>
              <w:t>Diplôme professionnel (niveau enseignement secondaire)</w:t>
            </w:r>
          </w:p>
        </w:tc>
        <w:tc>
          <w:tcPr>
            <w:tcW w:w="1080" w:type="dxa"/>
            <w:vMerge w:val="restart"/>
            <w:tcBorders>
              <w:top w:val="single" w:sz="4" w:space="0" w:color="auto"/>
            </w:tcBorders>
            <w:shd w:val="clear" w:color="auto" w:fill="auto"/>
            <w:vAlign w:val="bottom"/>
          </w:tcPr>
          <w:p w:rsidR="00D200A9" w:rsidRPr="005B0CE2" w:rsidRDefault="00D200A9" w:rsidP="005B0CE2">
            <w:pPr>
              <w:spacing w:before="80" w:after="80" w:line="170" w:lineRule="exact"/>
              <w:ind w:right="43"/>
              <w:jc w:val="right"/>
              <w:rPr>
                <w:i/>
                <w:sz w:val="14"/>
                <w:szCs w:val="14"/>
              </w:rPr>
            </w:pPr>
            <w:r w:rsidRPr="005B0CE2">
              <w:rPr>
                <w:i/>
                <w:sz w:val="14"/>
                <w:szCs w:val="14"/>
              </w:rPr>
              <w:t>Diplôme professionnel (niveau enseignement élémentaire)</w:t>
            </w:r>
          </w:p>
        </w:tc>
        <w:tc>
          <w:tcPr>
            <w:tcW w:w="900" w:type="dxa"/>
            <w:vMerge w:val="restart"/>
            <w:tcBorders>
              <w:top w:val="single" w:sz="4" w:space="0" w:color="auto"/>
            </w:tcBorders>
            <w:shd w:val="clear" w:color="auto" w:fill="auto"/>
            <w:vAlign w:val="bottom"/>
          </w:tcPr>
          <w:p w:rsidR="00D200A9" w:rsidRPr="005B0CE2" w:rsidRDefault="00D200A9" w:rsidP="005B0CE2">
            <w:pPr>
              <w:spacing w:before="80" w:after="80" w:line="170" w:lineRule="exact"/>
              <w:ind w:right="43"/>
              <w:jc w:val="right"/>
              <w:rPr>
                <w:i/>
                <w:sz w:val="14"/>
                <w:szCs w:val="14"/>
              </w:rPr>
            </w:pPr>
            <w:r w:rsidRPr="005B0CE2">
              <w:rPr>
                <w:i/>
                <w:sz w:val="14"/>
                <w:szCs w:val="14"/>
              </w:rPr>
              <w:t>Ouvriers hautement qualifiés</w:t>
            </w:r>
          </w:p>
        </w:tc>
        <w:tc>
          <w:tcPr>
            <w:tcW w:w="810" w:type="dxa"/>
            <w:vMerge w:val="restart"/>
            <w:tcBorders>
              <w:top w:val="single" w:sz="4" w:space="0" w:color="auto"/>
            </w:tcBorders>
            <w:shd w:val="clear" w:color="auto" w:fill="auto"/>
            <w:vAlign w:val="bottom"/>
          </w:tcPr>
          <w:p w:rsidR="00D200A9" w:rsidRPr="005B0CE2" w:rsidRDefault="00D200A9" w:rsidP="005B0CE2">
            <w:pPr>
              <w:spacing w:before="80" w:after="80" w:line="170" w:lineRule="exact"/>
              <w:ind w:right="43"/>
              <w:jc w:val="right"/>
              <w:rPr>
                <w:i/>
                <w:sz w:val="14"/>
                <w:szCs w:val="14"/>
              </w:rPr>
            </w:pPr>
            <w:r w:rsidRPr="005B0CE2">
              <w:rPr>
                <w:i/>
                <w:sz w:val="14"/>
                <w:szCs w:val="14"/>
              </w:rPr>
              <w:t>Ouvriers qualifiés</w:t>
            </w:r>
          </w:p>
        </w:tc>
        <w:tc>
          <w:tcPr>
            <w:tcW w:w="810" w:type="dxa"/>
            <w:vMerge w:val="restart"/>
            <w:tcBorders>
              <w:top w:val="single" w:sz="4" w:space="0" w:color="auto"/>
            </w:tcBorders>
            <w:shd w:val="clear" w:color="auto" w:fill="auto"/>
            <w:vAlign w:val="bottom"/>
          </w:tcPr>
          <w:p w:rsidR="00D200A9" w:rsidRPr="005B0CE2" w:rsidRDefault="00D200A9" w:rsidP="005B0CE2">
            <w:pPr>
              <w:spacing w:before="80" w:after="80" w:line="170" w:lineRule="exact"/>
              <w:ind w:right="43"/>
              <w:jc w:val="right"/>
              <w:rPr>
                <w:i/>
                <w:sz w:val="14"/>
                <w:szCs w:val="14"/>
              </w:rPr>
            </w:pPr>
            <w:r w:rsidRPr="005B0CE2">
              <w:rPr>
                <w:i/>
                <w:sz w:val="14"/>
                <w:szCs w:val="14"/>
              </w:rPr>
              <w:t>Ouvriers semi-qualifiés</w:t>
            </w:r>
          </w:p>
        </w:tc>
        <w:tc>
          <w:tcPr>
            <w:tcW w:w="810" w:type="dxa"/>
            <w:vMerge w:val="restart"/>
            <w:tcBorders>
              <w:top w:val="single" w:sz="4" w:space="0" w:color="auto"/>
            </w:tcBorders>
            <w:shd w:val="clear" w:color="auto" w:fill="auto"/>
            <w:vAlign w:val="bottom"/>
          </w:tcPr>
          <w:p w:rsidR="00D200A9" w:rsidRPr="005B0CE2" w:rsidRDefault="00D200A9" w:rsidP="005B0CE2">
            <w:pPr>
              <w:spacing w:before="80" w:after="80" w:line="170" w:lineRule="exact"/>
              <w:ind w:right="43"/>
              <w:jc w:val="right"/>
              <w:rPr>
                <w:i/>
                <w:sz w:val="14"/>
                <w:szCs w:val="14"/>
              </w:rPr>
            </w:pPr>
            <w:r w:rsidRPr="005B0CE2">
              <w:rPr>
                <w:i/>
                <w:sz w:val="14"/>
                <w:szCs w:val="14"/>
              </w:rPr>
              <w:t>Ouvriers non qualifiés</w:t>
            </w:r>
          </w:p>
        </w:tc>
      </w:tr>
      <w:tr w:rsidR="00D200A9" w:rsidRPr="005B0CE2">
        <w:tblPrEx>
          <w:tblCellMar>
            <w:top w:w="0" w:type="dxa"/>
            <w:bottom w:w="0" w:type="dxa"/>
          </w:tblCellMar>
        </w:tblPrEx>
        <w:trPr>
          <w:cantSplit/>
          <w:trHeight w:val="273"/>
          <w:tblHeader/>
        </w:trPr>
        <w:tc>
          <w:tcPr>
            <w:tcW w:w="698" w:type="dxa"/>
            <w:tcBorders>
              <w:bottom w:val="single" w:sz="12" w:space="0" w:color="auto"/>
            </w:tcBorders>
            <w:shd w:val="clear" w:color="auto" w:fill="auto"/>
            <w:vAlign w:val="bottom"/>
          </w:tcPr>
          <w:p w:rsidR="005B0CE2" w:rsidRPr="005B0CE2" w:rsidRDefault="005B0CE2" w:rsidP="005B0CE2">
            <w:pPr>
              <w:pStyle w:val="PlainText2"/>
              <w:widowControl/>
              <w:suppressAutoHyphens/>
              <w:spacing w:before="80" w:after="80" w:line="160" w:lineRule="exact"/>
              <w:ind w:right="43"/>
              <w:rPr>
                <w:rFonts w:ascii="Times New Roman" w:hAnsi="Times New Roman"/>
                <w:i/>
                <w:sz w:val="14"/>
                <w:szCs w:val="18"/>
              </w:rPr>
            </w:pPr>
          </w:p>
        </w:tc>
        <w:tc>
          <w:tcPr>
            <w:tcW w:w="542" w:type="dxa"/>
            <w:tcBorders>
              <w:bottom w:val="single" w:sz="12" w:space="0" w:color="auto"/>
            </w:tcBorders>
            <w:shd w:val="clear" w:color="auto" w:fill="auto"/>
            <w:vAlign w:val="bottom"/>
          </w:tcPr>
          <w:p w:rsidR="005B0CE2" w:rsidRPr="005B0CE2" w:rsidRDefault="005B0CE2" w:rsidP="005B0CE2">
            <w:pPr>
              <w:pStyle w:val="PlainText2"/>
              <w:widowControl/>
              <w:suppressAutoHyphens/>
              <w:spacing w:before="80" w:after="80" w:line="160" w:lineRule="exact"/>
              <w:ind w:right="43"/>
              <w:jc w:val="right"/>
              <w:rPr>
                <w:rFonts w:ascii="Times New Roman" w:hAnsi="Times New Roman"/>
                <w:i/>
                <w:sz w:val="14"/>
                <w:szCs w:val="18"/>
              </w:rPr>
            </w:pPr>
          </w:p>
        </w:tc>
        <w:tc>
          <w:tcPr>
            <w:tcW w:w="720" w:type="dxa"/>
            <w:tcBorders>
              <w:top w:val="single" w:sz="4" w:space="0" w:color="auto"/>
              <w:bottom w:val="single" w:sz="12" w:space="0" w:color="auto"/>
            </w:tcBorders>
            <w:shd w:val="clear" w:color="auto" w:fill="auto"/>
            <w:vAlign w:val="bottom"/>
          </w:tcPr>
          <w:p w:rsidR="005B0CE2" w:rsidRPr="00D200A9" w:rsidRDefault="005B0CE2" w:rsidP="00D200A9">
            <w:pPr>
              <w:spacing w:before="40" w:after="40" w:line="170" w:lineRule="exact"/>
              <w:jc w:val="center"/>
              <w:rPr>
                <w:i/>
                <w:sz w:val="14"/>
                <w:szCs w:val="14"/>
              </w:rPr>
            </w:pPr>
            <w:r w:rsidRPr="00D200A9">
              <w:rPr>
                <w:i/>
                <w:sz w:val="14"/>
                <w:szCs w:val="14"/>
              </w:rPr>
              <w:t>Doctorat</w:t>
            </w:r>
          </w:p>
        </w:tc>
        <w:tc>
          <w:tcPr>
            <w:tcW w:w="720" w:type="dxa"/>
            <w:tcBorders>
              <w:top w:val="single" w:sz="4" w:space="0" w:color="auto"/>
              <w:bottom w:val="single" w:sz="12" w:space="0" w:color="auto"/>
            </w:tcBorders>
            <w:shd w:val="clear" w:color="auto" w:fill="auto"/>
            <w:vAlign w:val="bottom"/>
          </w:tcPr>
          <w:p w:rsidR="005B0CE2" w:rsidRPr="00D200A9" w:rsidRDefault="005B0CE2" w:rsidP="00D200A9">
            <w:pPr>
              <w:spacing w:before="40" w:after="40" w:line="170" w:lineRule="exact"/>
              <w:jc w:val="center"/>
              <w:rPr>
                <w:i/>
                <w:sz w:val="14"/>
                <w:szCs w:val="14"/>
              </w:rPr>
            </w:pPr>
            <w:r w:rsidRPr="00D200A9">
              <w:rPr>
                <w:i/>
                <w:sz w:val="14"/>
                <w:szCs w:val="14"/>
              </w:rPr>
              <w:t>Maîtrise</w:t>
            </w:r>
          </w:p>
        </w:tc>
        <w:tc>
          <w:tcPr>
            <w:tcW w:w="720" w:type="dxa"/>
            <w:tcBorders>
              <w:top w:val="single" w:sz="4" w:space="0" w:color="auto"/>
              <w:bottom w:val="single" w:sz="12" w:space="0" w:color="auto"/>
            </w:tcBorders>
            <w:shd w:val="clear" w:color="auto" w:fill="auto"/>
            <w:vAlign w:val="bottom"/>
          </w:tcPr>
          <w:p w:rsidR="005B0CE2" w:rsidRPr="00D200A9" w:rsidRDefault="005B0CE2" w:rsidP="00D200A9">
            <w:pPr>
              <w:spacing w:before="40" w:after="40" w:line="170" w:lineRule="exact"/>
              <w:jc w:val="center"/>
              <w:rPr>
                <w:i/>
                <w:sz w:val="14"/>
                <w:szCs w:val="14"/>
              </w:rPr>
            </w:pPr>
            <w:r w:rsidRPr="00D200A9">
              <w:rPr>
                <w:i/>
                <w:sz w:val="14"/>
                <w:szCs w:val="14"/>
              </w:rPr>
              <w:t>Total</w:t>
            </w:r>
          </w:p>
        </w:tc>
        <w:tc>
          <w:tcPr>
            <w:tcW w:w="810" w:type="dxa"/>
            <w:vMerge/>
            <w:tcBorders>
              <w:bottom w:val="single" w:sz="12" w:space="0" w:color="auto"/>
            </w:tcBorders>
            <w:shd w:val="clear" w:color="auto" w:fill="auto"/>
            <w:vAlign w:val="bottom"/>
          </w:tcPr>
          <w:p w:rsidR="005B0CE2" w:rsidRPr="005B0CE2" w:rsidRDefault="005B0CE2" w:rsidP="005B0CE2">
            <w:pPr>
              <w:pStyle w:val="PlainText2"/>
              <w:widowControl/>
              <w:suppressAutoHyphens/>
              <w:spacing w:before="80" w:after="80" w:line="160" w:lineRule="exact"/>
              <w:ind w:right="43"/>
              <w:jc w:val="right"/>
              <w:rPr>
                <w:rFonts w:ascii="Times New Roman" w:hAnsi="Times New Roman"/>
                <w:i/>
                <w:sz w:val="14"/>
                <w:szCs w:val="18"/>
              </w:rPr>
            </w:pPr>
          </w:p>
        </w:tc>
        <w:tc>
          <w:tcPr>
            <w:tcW w:w="1260" w:type="dxa"/>
            <w:vMerge/>
            <w:tcBorders>
              <w:bottom w:val="single" w:sz="12" w:space="0" w:color="auto"/>
            </w:tcBorders>
            <w:shd w:val="clear" w:color="auto" w:fill="auto"/>
            <w:vAlign w:val="bottom"/>
          </w:tcPr>
          <w:p w:rsidR="005B0CE2" w:rsidRPr="005B0CE2" w:rsidRDefault="005B0CE2" w:rsidP="005B0CE2">
            <w:pPr>
              <w:pStyle w:val="PlainText2"/>
              <w:widowControl/>
              <w:suppressAutoHyphens/>
              <w:spacing w:before="80" w:after="80" w:line="160" w:lineRule="exact"/>
              <w:ind w:right="43"/>
              <w:jc w:val="right"/>
              <w:rPr>
                <w:rFonts w:ascii="Times New Roman" w:hAnsi="Times New Roman"/>
                <w:i/>
                <w:sz w:val="14"/>
                <w:szCs w:val="18"/>
              </w:rPr>
            </w:pPr>
          </w:p>
        </w:tc>
        <w:tc>
          <w:tcPr>
            <w:tcW w:w="1080" w:type="dxa"/>
            <w:vMerge/>
            <w:tcBorders>
              <w:bottom w:val="single" w:sz="12" w:space="0" w:color="auto"/>
            </w:tcBorders>
            <w:shd w:val="clear" w:color="auto" w:fill="auto"/>
            <w:vAlign w:val="bottom"/>
          </w:tcPr>
          <w:p w:rsidR="005B0CE2" w:rsidRPr="005B0CE2" w:rsidRDefault="005B0CE2" w:rsidP="005B0CE2">
            <w:pPr>
              <w:pStyle w:val="PlainText2"/>
              <w:widowControl/>
              <w:suppressAutoHyphens/>
              <w:spacing w:before="80" w:after="80" w:line="160" w:lineRule="exact"/>
              <w:ind w:right="43"/>
              <w:jc w:val="right"/>
              <w:rPr>
                <w:rFonts w:ascii="Times New Roman" w:hAnsi="Times New Roman"/>
                <w:i/>
                <w:sz w:val="14"/>
                <w:szCs w:val="18"/>
              </w:rPr>
            </w:pPr>
          </w:p>
        </w:tc>
        <w:tc>
          <w:tcPr>
            <w:tcW w:w="900" w:type="dxa"/>
            <w:vMerge/>
            <w:tcBorders>
              <w:bottom w:val="single" w:sz="12" w:space="0" w:color="auto"/>
            </w:tcBorders>
            <w:shd w:val="clear" w:color="auto" w:fill="auto"/>
            <w:vAlign w:val="bottom"/>
          </w:tcPr>
          <w:p w:rsidR="005B0CE2" w:rsidRPr="005B0CE2" w:rsidRDefault="005B0CE2" w:rsidP="005B0CE2">
            <w:pPr>
              <w:pStyle w:val="PlainText2"/>
              <w:widowControl/>
              <w:suppressAutoHyphens/>
              <w:spacing w:before="80" w:after="80" w:line="160" w:lineRule="exact"/>
              <w:ind w:right="43"/>
              <w:jc w:val="right"/>
              <w:rPr>
                <w:rFonts w:ascii="Times New Roman" w:hAnsi="Times New Roman"/>
                <w:i/>
                <w:sz w:val="14"/>
                <w:szCs w:val="18"/>
              </w:rPr>
            </w:pPr>
          </w:p>
        </w:tc>
        <w:tc>
          <w:tcPr>
            <w:tcW w:w="810" w:type="dxa"/>
            <w:vMerge/>
            <w:tcBorders>
              <w:bottom w:val="single" w:sz="12" w:space="0" w:color="auto"/>
            </w:tcBorders>
            <w:shd w:val="clear" w:color="auto" w:fill="auto"/>
            <w:vAlign w:val="bottom"/>
          </w:tcPr>
          <w:p w:rsidR="005B0CE2" w:rsidRPr="005B0CE2" w:rsidRDefault="005B0CE2" w:rsidP="005B0CE2">
            <w:pPr>
              <w:pStyle w:val="PlainText2"/>
              <w:widowControl/>
              <w:suppressAutoHyphens/>
              <w:spacing w:before="80" w:after="80" w:line="160" w:lineRule="exact"/>
              <w:ind w:right="43"/>
              <w:jc w:val="right"/>
              <w:rPr>
                <w:rFonts w:ascii="Times New Roman" w:hAnsi="Times New Roman"/>
                <w:i/>
                <w:sz w:val="14"/>
                <w:szCs w:val="18"/>
              </w:rPr>
            </w:pPr>
          </w:p>
        </w:tc>
        <w:tc>
          <w:tcPr>
            <w:tcW w:w="810" w:type="dxa"/>
            <w:vMerge/>
            <w:tcBorders>
              <w:bottom w:val="single" w:sz="12" w:space="0" w:color="auto"/>
            </w:tcBorders>
            <w:shd w:val="clear" w:color="auto" w:fill="auto"/>
            <w:vAlign w:val="bottom"/>
          </w:tcPr>
          <w:p w:rsidR="005B0CE2" w:rsidRPr="005B0CE2" w:rsidRDefault="005B0CE2" w:rsidP="005B0CE2">
            <w:pPr>
              <w:pStyle w:val="PlainText2"/>
              <w:widowControl/>
              <w:suppressAutoHyphens/>
              <w:spacing w:before="80" w:after="80" w:line="160" w:lineRule="exact"/>
              <w:ind w:right="43"/>
              <w:jc w:val="right"/>
              <w:rPr>
                <w:rFonts w:ascii="Times New Roman" w:hAnsi="Times New Roman"/>
                <w:i/>
                <w:sz w:val="14"/>
                <w:szCs w:val="18"/>
              </w:rPr>
            </w:pPr>
          </w:p>
        </w:tc>
        <w:tc>
          <w:tcPr>
            <w:tcW w:w="810" w:type="dxa"/>
            <w:vMerge/>
            <w:tcBorders>
              <w:bottom w:val="single" w:sz="12" w:space="0" w:color="auto"/>
            </w:tcBorders>
            <w:shd w:val="clear" w:color="auto" w:fill="auto"/>
            <w:vAlign w:val="bottom"/>
          </w:tcPr>
          <w:p w:rsidR="005B0CE2" w:rsidRPr="005B0CE2" w:rsidRDefault="005B0CE2" w:rsidP="005B0CE2">
            <w:pPr>
              <w:pStyle w:val="PlainText2"/>
              <w:widowControl/>
              <w:suppressAutoHyphens/>
              <w:spacing w:before="80" w:after="80" w:line="160" w:lineRule="exact"/>
              <w:ind w:right="43"/>
              <w:jc w:val="right"/>
              <w:rPr>
                <w:rFonts w:ascii="Times New Roman" w:hAnsi="Times New Roman"/>
                <w:i/>
                <w:sz w:val="14"/>
                <w:szCs w:val="18"/>
              </w:rPr>
            </w:pPr>
          </w:p>
        </w:tc>
      </w:tr>
      <w:tr w:rsidR="00D200A9" w:rsidRPr="005B0CE2">
        <w:tblPrEx>
          <w:tblCellMar>
            <w:top w:w="0" w:type="dxa"/>
            <w:bottom w:w="0" w:type="dxa"/>
          </w:tblCellMar>
        </w:tblPrEx>
        <w:trPr>
          <w:cantSplit/>
          <w:trHeight w:hRule="exact" w:val="115"/>
          <w:tblHeader/>
        </w:trPr>
        <w:tc>
          <w:tcPr>
            <w:tcW w:w="698" w:type="dxa"/>
            <w:tcBorders>
              <w:top w:val="single" w:sz="12" w:space="0" w:color="auto"/>
            </w:tcBorders>
            <w:shd w:val="clear" w:color="auto" w:fill="auto"/>
            <w:vAlign w:val="bottom"/>
          </w:tcPr>
          <w:p w:rsidR="005B0CE2" w:rsidRPr="005B0CE2" w:rsidRDefault="005B0CE2" w:rsidP="005B0CE2">
            <w:pPr>
              <w:pStyle w:val="PlainText2"/>
              <w:widowControl/>
              <w:suppressAutoHyphens/>
              <w:spacing w:before="40" w:after="40" w:line="210" w:lineRule="exact"/>
              <w:ind w:right="43"/>
              <w:rPr>
                <w:rFonts w:ascii="Times New Roman" w:hAnsi="Times New Roman"/>
                <w:sz w:val="17"/>
                <w:szCs w:val="18"/>
              </w:rPr>
            </w:pPr>
          </w:p>
        </w:tc>
        <w:tc>
          <w:tcPr>
            <w:tcW w:w="542" w:type="dxa"/>
            <w:tcBorders>
              <w:top w:val="single" w:sz="12" w:space="0" w:color="auto"/>
            </w:tcBorders>
            <w:shd w:val="clear" w:color="auto" w:fill="auto"/>
            <w:vAlign w:val="bottom"/>
          </w:tcPr>
          <w:p w:rsidR="005B0CE2" w:rsidRPr="005B0CE2" w:rsidRDefault="005B0CE2" w:rsidP="005B0CE2">
            <w:pPr>
              <w:pStyle w:val="PlainText2"/>
              <w:widowControl/>
              <w:suppressAutoHyphens/>
              <w:spacing w:before="40" w:after="40" w:line="210" w:lineRule="exact"/>
              <w:ind w:right="43"/>
              <w:jc w:val="right"/>
              <w:rPr>
                <w:rFonts w:ascii="Times New Roman" w:hAnsi="Times New Roman"/>
                <w:sz w:val="17"/>
                <w:szCs w:val="18"/>
              </w:rPr>
            </w:pPr>
          </w:p>
        </w:tc>
        <w:tc>
          <w:tcPr>
            <w:tcW w:w="720" w:type="dxa"/>
            <w:tcBorders>
              <w:top w:val="single" w:sz="12" w:space="0" w:color="auto"/>
            </w:tcBorders>
            <w:shd w:val="clear" w:color="auto" w:fill="auto"/>
            <w:vAlign w:val="bottom"/>
          </w:tcPr>
          <w:p w:rsidR="005B0CE2" w:rsidRPr="005B0CE2" w:rsidRDefault="005B0CE2" w:rsidP="005B0CE2">
            <w:pPr>
              <w:pStyle w:val="PlainText2"/>
              <w:widowControl/>
              <w:suppressAutoHyphens/>
              <w:spacing w:before="40" w:after="40" w:line="210" w:lineRule="exact"/>
              <w:ind w:right="43"/>
              <w:jc w:val="right"/>
              <w:rPr>
                <w:rFonts w:ascii="Times New Roman" w:hAnsi="Times New Roman"/>
                <w:sz w:val="17"/>
                <w:szCs w:val="18"/>
              </w:rPr>
            </w:pPr>
          </w:p>
        </w:tc>
        <w:tc>
          <w:tcPr>
            <w:tcW w:w="720" w:type="dxa"/>
            <w:tcBorders>
              <w:top w:val="single" w:sz="12" w:space="0" w:color="auto"/>
            </w:tcBorders>
            <w:shd w:val="clear" w:color="auto" w:fill="auto"/>
            <w:vAlign w:val="bottom"/>
          </w:tcPr>
          <w:p w:rsidR="005B0CE2" w:rsidRPr="005B0CE2" w:rsidRDefault="005B0CE2" w:rsidP="005B0CE2">
            <w:pPr>
              <w:pStyle w:val="PlainText2"/>
              <w:widowControl/>
              <w:suppressAutoHyphens/>
              <w:spacing w:before="40" w:after="40" w:line="210" w:lineRule="exact"/>
              <w:ind w:right="43"/>
              <w:jc w:val="right"/>
              <w:rPr>
                <w:rFonts w:ascii="Times New Roman" w:hAnsi="Times New Roman"/>
                <w:sz w:val="17"/>
                <w:szCs w:val="18"/>
              </w:rPr>
            </w:pPr>
          </w:p>
        </w:tc>
        <w:tc>
          <w:tcPr>
            <w:tcW w:w="720" w:type="dxa"/>
            <w:tcBorders>
              <w:top w:val="single" w:sz="12" w:space="0" w:color="auto"/>
            </w:tcBorders>
            <w:shd w:val="clear" w:color="auto" w:fill="auto"/>
            <w:vAlign w:val="bottom"/>
          </w:tcPr>
          <w:p w:rsidR="005B0CE2" w:rsidRPr="005B0CE2" w:rsidRDefault="005B0CE2" w:rsidP="005B0CE2">
            <w:pPr>
              <w:pStyle w:val="PlainText2"/>
              <w:widowControl/>
              <w:suppressAutoHyphens/>
              <w:spacing w:before="40" w:after="40" w:line="210" w:lineRule="exact"/>
              <w:ind w:right="43"/>
              <w:jc w:val="right"/>
              <w:rPr>
                <w:rFonts w:ascii="Times New Roman" w:hAnsi="Times New Roman"/>
                <w:sz w:val="17"/>
                <w:szCs w:val="18"/>
              </w:rPr>
            </w:pPr>
          </w:p>
        </w:tc>
        <w:tc>
          <w:tcPr>
            <w:tcW w:w="810" w:type="dxa"/>
            <w:tcBorders>
              <w:top w:val="single" w:sz="12" w:space="0" w:color="auto"/>
            </w:tcBorders>
            <w:shd w:val="clear" w:color="auto" w:fill="auto"/>
            <w:vAlign w:val="bottom"/>
          </w:tcPr>
          <w:p w:rsidR="005B0CE2" w:rsidRPr="005B0CE2" w:rsidRDefault="005B0CE2" w:rsidP="005B0CE2">
            <w:pPr>
              <w:pStyle w:val="PlainText2"/>
              <w:widowControl/>
              <w:suppressAutoHyphens/>
              <w:spacing w:before="40" w:after="40" w:line="210" w:lineRule="exact"/>
              <w:ind w:right="43"/>
              <w:jc w:val="right"/>
              <w:rPr>
                <w:rFonts w:ascii="Times New Roman" w:hAnsi="Times New Roman"/>
                <w:sz w:val="17"/>
                <w:szCs w:val="18"/>
              </w:rPr>
            </w:pPr>
          </w:p>
        </w:tc>
        <w:tc>
          <w:tcPr>
            <w:tcW w:w="1260" w:type="dxa"/>
            <w:tcBorders>
              <w:top w:val="single" w:sz="12" w:space="0" w:color="auto"/>
            </w:tcBorders>
            <w:shd w:val="clear" w:color="auto" w:fill="auto"/>
            <w:vAlign w:val="bottom"/>
          </w:tcPr>
          <w:p w:rsidR="005B0CE2" w:rsidRPr="005B0CE2" w:rsidRDefault="005B0CE2" w:rsidP="005B0CE2">
            <w:pPr>
              <w:pStyle w:val="PlainText2"/>
              <w:widowControl/>
              <w:suppressAutoHyphens/>
              <w:spacing w:before="40" w:after="40" w:line="210" w:lineRule="exact"/>
              <w:ind w:right="43"/>
              <w:jc w:val="right"/>
              <w:rPr>
                <w:rFonts w:ascii="Times New Roman" w:hAnsi="Times New Roman"/>
                <w:sz w:val="17"/>
                <w:szCs w:val="18"/>
              </w:rPr>
            </w:pPr>
          </w:p>
        </w:tc>
        <w:tc>
          <w:tcPr>
            <w:tcW w:w="1080" w:type="dxa"/>
            <w:tcBorders>
              <w:top w:val="single" w:sz="12" w:space="0" w:color="auto"/>
            </w:tcBorders>
            <w:shd w:val="clear" w:color="auto" w:fill="auto"/>
            <w:vAlign w:val="bottom"/>
          </w:tcPr>
          <w:p w:rsidR="005B0CE2" w:rsidRPr="005B0CE2" w:rsidRDefault="005B0CE2" w:rsidP="005B0CE2">
            <w:pPr>
              <w:pStyle w:val="PlainText2"/>
              <w:widowControl/>
              <w:suppressAutoHyphens/>
              <w:spacing w:before="40" w:after="40" w:line="210" w:lineRule="exact"/>
              <w:ind w:right="43"/>
              <w:jc w:val="right"/>
              <w:rPr>
                <w:rFonts w:ascii="Times New Roman" w:hAnsi="Times New Roman"/>
                <w:sz w:val="17"/>
                <w:szCs w:val="18"/>
              </w:rPr>
            </w:pPr>
          </w:p>
        </w:tc>
        <w:tc>
          <w:tcPr>
            <w:tcW w:w="900" w:type="dxa"/>
            <w:tcBorders>
              <w:top w:val="single" w:sz="12" w:space="0" w:color="auto"/>
            </w:tcBorders>
            <w:shd w:val="clear" w:color="auto" w:fill="auto"/>
            <w:vAlign w:val="bottom"/>
          </w:tcPr>
          <w:p w:rsidR="005B0CE2" w:rsidRPr="005B0CE2" w:rsidRDefault="005B0CE2" w:rsidP="005B0CE2">
            <w:pPr>
              <w:pStyle w:val="PlainText2"/>
              <w:widowControl/>
              <w:suppressAutoHyphens/>
              <w:spacing w:before="40" w:after="40" w:line="210" w:lineRule="exact"/>
              <w:ind w:right="43"/>
              <w:jc w:val="right"/>
              <w:rPr>
                <w:rFonts w:ascii="Times New Roman" w:hAnsi="Times New Roman"/>
                <w:sz w:val="17"/>
                <w:szCs w:val="18"/>
              </w:rPr>
            </w:pPr>
          </w:p>
        </w:tc>
        <w:tc>
          <w:tcPr>
            <w:tcW w:w="810" w:type="dxa"/>
            <w:tcBorders>
              <w:top w:val="single" w:sz="12" w:space="0" w:color="auto"/>
            </w:tcBorders>
            <w:shd w:val="clear" w:color="auto" w:fill="auto"/>
            <w:vAlign w:val="bottom"/>
          </w:tcPr>
          <w:p w:rsidR="005B0CE2" w:rsidRPr="005B0CE2" w:rsidRDefault="005B0CE2" w:rsidP="005B0CE2">
            <w:pPr>
              <w:pStyle w:val="PlainText2"/>
              <w:widowControl/>
              <w:suppressAutoHyphens/>
              <w:spacing w:before="40" w:after="40" w:line="210" w:lineRule="exact"/>
              <w:ind w:right="43"/>
              <w:jc w:val="right"/>
              <w:rPr>
                <w:rFonts w:ascii="Times New Roman" w:hAnsi="Times New Roman"/>
                <w:sz w:val="17"/>
                <w:szCs w:val="18"/>
              </w:rPr>
            </w:pPr>
          </w:p>
        </w:tc>
        <w:tc>
          <w:tcPr>
            <w:tcW w:w="810" w:type="dxa"/>
            <w:tcBorders>
              <w:top w:val="single" w:sz="12" w:space="0" w:color="auto"/>
            </w:tcBorders>
            <w:shd w:val="clear" w:color="auto" w:fill="auto"/>
            <w:vAlign w:val="bottom"/>
          </w:tcPr>
          <w:p w:rsidR="005B0CE2" w:rsidRPr="005B0CE2" w:rsidRDefault="005B0CE2" w:rsidP="005B0CE2">
            <w:pPr>
              <w:pStyle w:val="PlainText2"/>
              <w:widowControl/>
              <w:suppressAutoHyphens/>
              <w:spacing w:before="40" w:after="40" w:line="210" w:lineRule="exact"/>
              <w:ind w:right="43"/>
              <w:jc w:val="right"/>
              <w:rPr>
                <w:rFonts w:ascii="Times New Roman" w:hAnsi="Times New Roman"/>
                <w:sz w:val="17"/>
                <w:szCs w:val="18"/>
              </w:rPr>
            </w:pPr>
          </w:p>
        </w:tc>
        <w:tc>
          <w:tcPr>
            <w:tcW w:w="810" w:type="dxa"/>
            <w:tcBorders>
              <w:top w:val="single" w:sz="12" w:space="0" w:color="auto"/>
            </w:tcBorders>
            <w:shd w:val="clear" w:color="auto" w:fill="auto"/>
            <w:vAlign w:val="bottom"/>
          </w:tcPr>
          <w:p w:rsidR="005B0CE2" w:rsidRPr="005B0CE2" w:rsidRDefault="005B0CE2" w:rsidP="005B0CE2">
            <w:pPr>
              <w:pStyle w:val="PlainText2"/>
              <w:widowControl/>
              <w:suppressAutoHyphens/>
              <w:spacing w:before="40" w:after="40" w:line="210" w:lineRule="exact"/>
              <w:ind w:right="43"/>
              <w:jc w:val="right"/>
              <w:rPr>
                <w:rFonts w:ascii="Times New Roman" w:hAnsi="Times New Roman"/>
                <w:sz w:val="17"/>
                <w:szCs w:val="18"/>
              </w:rPr>
            </w:pPr>
          </w:p>
        </w:tc>
      </w:tr>
      <w:tr w:rsidR="00D200A9" w:rsidRPr="005B0CE2">
        <w:tblPrEx>
          <w:tblCellMar>
            <w:top w:w="0" w:type="dxa"/>
            <w:bottom w:w="0" w:type="dxa"/>
          </w:tblCellMar>
        </w:tblPrEx>
        <w:trPr>
          <w:cantSplit/>
          <w:trHeight w:val="273"/>
        </w:trPr>
        <w:tc>
          <w:tcPr>
            <w:tcW w:w="698" w:type="dxa"/>
            <w:shd w:val="clear" w:color="auto" w:fill="auto"/>
            <w:vAlign w:val="bottom"/>
          </w:tcPr>
          <w:p w:rsidR="0073290F" w:rsidRPr="005B0CE2" w:rsidRDefault="0073290F" w:rsidP="005B0CE2">
            <w:pPr>
              <w:pStyle w:val="PlainText2"/>
              <w:widowControl/>
              <w:tabs>
                <w:tab w:val="left" w:pos="288"/>
                <w:tab w:val="left" w:pos="576"/>
                <w:tab w:val="left" w:pos="864"/>
                <w:tab w:val="left" w:pos="1152"/>
              </w:tabs>
              <w:suppressAutoHyphens/>
              <w:spacing w:before="40" w:after="40" w:line="210" w:lineRule="exact"/>
              <w:ind w:right="43"/>
              <w:rPr>
                <w:rFonts w:ascii="Times New Roman" w:hAnsi="Times New Roman"/>
                <w:sz w:val="17"/>
                <w:szCs w:val="18"/>
              </w:rPr>
            </w:pPr>
            <w:r w:rsidRPr="005B0CE2">
              <w:rPr>
                <w:rFonts w:ascii="Times New Roman" w:hAnsi="Times New Roman"/>
                <w:sz w:val="17"/>
                <w:szCs w:val="18"/>
              </w:rPr>
              <w:t>2000</w:t>
            </w:r>
          </w:p>
        </w:tc>
        <w:tc>
          <w:tcPr>
            <w:tcW w:w="542" w:type="dxa"/>
            <w:shd w:val="clear" w:color="auto" w:fill="auto"/>
            <w:vAlign w:val="bottom"/>
          </w:tcPr>
          <w:p w:rsidR="0073290F" w:rsidRPr="005B0CE2" w:rsidRDefault="0073290F" w:rsidP="005B0CE2">
            <w:pPr>
              <w:pStyle w:val="PlainText2"/>
              <w:widowControl/>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18"/>
              </w:rPr>
            </w:pPr>
            <w:r w:rsidRPr="005B0CE2">
              <w:rPr>
                <w:rFonts w:ascii="Times New Roman" w:hAnsi="Times New Roman"/>
                <w:sz w:val="17"/>
                <w:szCs w:val="18"/>
              </w:rPr>
              <w:t>87,8</w:t>
            </w:r>
          </w:p>
        </w:tc>
        <w:tc>
          <w:tcPr>
            <w:tcW w:w="720" w:type="dxa"/>
            <w:shd w:val="clear" w:color="auto" w:fill="auto"/>
            <w:vAlign w:val="bottom"/>
          </w:tcPr>
          <w:p w:rsidR="0073290F" w:rsidRPr="005B0CE2" w:rsidRDefault="0073290F" w:rsidP="005B0CE2">
            <w:pPr>
              <w:pStyle w:val="PlainText2"/>
              <w:widowControl/>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18"/>
              </w:rPr>
            </w:pPr>
            <w:r w:rsidRPr="005B0CE2">
              <w:rPr>
                <w:rFonts w:ascii="Times New Roman" w:hAnsi="Times New Roman"/>
                <w:sz w:val="17"/>
                <w:szCs w:val="18"/>
              </w:rPr>
              <w:t>85,9</w:t>
            </w:r>
          </w:p>
        </w:tc>
        <w:tc>
          <w:tcPr>
            <w:tcW w:w="720" w:type="dxa"/>
            <w:shd w:val="clear" w:color="auto" w:fill="auto"/>
            <w:vAlign w:val="bottom"/>
          </w:tcPr>
          <w:p w:rsidR="0073290F" w:rsidRPr="005B0CE2" w:rsidRDefault="0073290F" w:rsidP="005B0CE2">
            <w:pPr>
              <w:pStyle w:val="PlainText2"/>
              <w:widowControl/>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18"/>
              </w:rPr>
            </w:pPr>
            <w:r w:rsidRPr="005B0CE2">
              <w:rPr>
                <w:rFonts w:ascii="Times New Roman" w:hAnsi="Times New Roman"/>
                <w:sz w:val="17"/>
                <w:szCs w:val="18"/>
              </w:rPr>
              <w:t>83,2</w:t>
            </w:r>
          </w:p>
        </w:tc>
        <w:tc>
          <w:tcPr>
            <w:tcW w:w="720" w:type="dxa"/>
            <w:shd w:val="clear" w:color="auto" w:fill="auto"/>
            <w:vAlign w:val="bottom"/>
          </w:tcPr>
          <w:p w:rsidR="0073290F" w:rsidRPr="005B0CE2" w:rsidRDefault="0073290F" w:rsidP="005B0CE2">
            <w:pPr>
              <w:pStyle w:val="PlainText2"/>
              <w:widowControl/>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18"/>
              </w:rPr>
            </w:pPr>
            <w:r w:rsidRPr="005B0CE2">
              <w:rPr>
                <w:rFonts w:ascii="Times New Roman" w:hAnsi="Times New Roman"/>
                <w:sz w:val="17"/>
                <w:szCs w:val="18"/>
              </w:rPr>
              <w:t>79,3</w:t>
            </w:r>
          </w:p>
        </w:tc>
        <w:tc>
          <w:tcPr>
            <w:tcW w:w="810" w:type="dxa"/>
            <w:shd w:val="clear" w:color="auto" w:fill="auto"/>
            <w:vAlign w:val="bottom"/>
          </w:tcPr>
          <w:p w:rsidR="0073290F" w:rsidRPr="005B0CE2" w:rsidRDefault="0073290F" w:rsidP="005B0CE2">
            <w:pPr>
              <w:pStyle w:val="PlainText2"/>
              <w:widowControl/>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18"/>
              </w:rPr>
            </w:pPr>
            <w:r w:rsidRPr="005B0CE2">
              <w:rPr>
                <w:rFonts w:ascii="Times New Roman" w:hAnsi="Times New Roman"/>
                <w:sz w:val="17"/>
                <w:szCs w:val="18"/>
              </w:rPr>
              <w:t>87,5</w:t>
            </w:r>
          </w:p>
        </w:tc>
        <w:tc>
          <w:tcPr>
            <w:tcW w:w="1260" w:type="dxa"/>
            <w:shd w:val="clear" w:color="auto" w:fill="auto"/>
            <w:vAlign w:val="bottom"/>
          </w:tcPr>
          <w:p w:rsidR="0073290F" w:rsidRPr="005B0CE2" w:rsidRDefault="0073290F" w:rsidP="005B0CE2">
            <w:pPr>
              <w:pStyle w:val="PlainText2"/>
              <w:widowControl/>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18"/>
              </w:rPr>
            </w:pPr>
            <w:r w:rsidRPr="005B0CE2">
              <w:rPr>
                <w:rFonts w:ascii="Times New Roman" w:hAnsi="Times New Roman"/>
                <w:sz w:val="17"/>
                <w:szCs w:val="18"/>
              </w:rPr>
              <w:t>88,5</w:t>
            </w:r>
          </w:p>
        </w:tc>
        <w:tc>
          <w:tcPr>
            <w:tcW w:w="1080" w:type="dxa"/>
            <w:shd w:val="clear" w:color="auto" w:fill="auto"/>
            <w:vAlign w:val="bottom"/>
          </w:tcPr>
          <w:p w:rsidR="0073290F" w:rsidRPr="005B0CE2" w:rsidRDefault="0073290F" w:rsidP="005B0CE2">
            <w:pPr>
              <w:pStyle w:val="PlainText2"/>
              <w:widowControl/>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18"/>
              </w:rPr>
            </w:pPr>
            <w:r w:rsidRPr="005B0CE2">
              <w:rPr>
                <w:rFonts w:ascii="Times New Roman" w:hAnsi="Times New Roman"/>
                <w:sz w:val="17"/>
                <w:szCs w:val="18"/>
              </w:rPr>
              <w:t>85,9</w:t>
            </w:r>
          </w:p>
        </w:tc>
        <w:tc>
          <w:tcPr>
            <w:tcW w:w="900" w:type="dxa"/>
            <w:shd w:val="clear" w:color="auto" w:fill="auto"/>
            <w:vAlign w:val="bottom"/>
          </w:tcPr>
          <w:p w:rsidR="0073290F" w:rsidRPr="005B0CE2" w:rsidRDefault="0073290F" w:rsidP="005B0CE2">
            <w:pPr>
              <w:pStyle w:val="PlainText2"/>
              <w:widowControl/>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18"/>
              </w:rPr>
            </w:pPr>
            <w:r w:rsidRPr="005B0CE2">
              <w:rPr>
                <w:rFonts w:ascii="Times New Roman" w:hAnsi="Times New Roman"/>
                <w:sz w:val="17"/>
                <w:szCs w:val="18"/>
              </w:rPr>
              <w:t>83,0</w:t>
            </w:r>
          </w:p>
        </w:tc>
        <w:tc>
          <w:tcPr>
            <w:tcW w:w="810" w:type="dxa"/>
            <w:shd w:val="clear" w:color="auto" w:fill="auto"/>
            <w:vAlign w:val="bottom"/>
          </w:tcPr>
          <w:p w:rsidR="0073290F" w:rsidRPr="005B0CE2" w:rsidRDefault="0073290F" w:rsidP="005B0CE2">
            <w:pPr>
              <w:pStyle w:val="PlainText2"/>
              <w:widowControl/>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18"/>
              </w:rPr>
            </w:pPr>
            <w:r w:rsidRPr="005B0CE2">
              <w:rPr>
                <w:rFonts w:ascii="Times New Roman" w:hAnsi="Times New Roman"/>
                <w:sz w:val="17"/>
                <w:szCs w:val="18"/>
              </w:rPr>
              <w:t>80,1</w:t>
            </w:r>
          </w:p>
        </w:tc>
        <w:tc>
          <w:tcPr>
            <w:tcW w:w="810" w:type="dxa"/>
            <w:shd w:val="clear" w:color="auto" w:fill="auto"/>
            <w:vAlign w:val="bottom"/>
          </w:tcPr>
          <w:p w:rsidR="0073290F" w:rsidRPr="005B0CE2" w:rsidRDefault="0073290F" w:rsidP="005B0CE2">
            <w:pPr>
              <w:pStyle w:val="PlainText2"/>
              <w:widowControl/>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18"/>
              </w:rPr>
            </w:pPr>
            <w:r w:rsidRPr="005B0CE2">
              <w:rPr>
                <w:rFonts w:ascii="Times New Roman" w:hAnsi="Times New Roman"/>
                <w:sz w:val="17"/>
                <w:szCs w:val="18"/>
              </w:rPr>
              <w:t>84,8</w:t>
            </w:r>
          </w:p>
        </w:tc>
        <w:tc>
          <w:tcPr>
            <w:tcW w:w="810" w:type="dxa"/>
            <w:shd w:val="clear" w:color="auto" w:fill="auto"/>
            <w:vAlign w:val="bottom"/>
          </w:tcPr>
          <w:p w:rsidR="0073290F" w:rsidRPr="005B0CE2" w:rsidRDefault="0073290F" w:rsidP="005B0CE2">
            <w:pPr>
              <w:pStyle w:val="PlainText2"/>
              <w:widowControl/>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18"/>
              </w:rPr>
            </w:pPr>
            <w:r w:rsidRPr="005B0CE2">
              <w:rPr>
                <w:rFonts w:ascii="Times New Roman" w:hAnsi="Times New Roman"/>
                <w:sz w:val="17"/>
                <w:szCs w:val="18"/>
              </w:rPr>
              <w:t>88,0</w:t>
            </w:r>
          </w:p>
        </w:tc>
      </w:tr>
      <w:tr w:rsidR="00D200A9" w:rsidRPr="005B0CE2">
        <w:tblPrEx>
          <w:tblCellMar>
            <w:top w:w="0" w:type="dxa"/>
            <w:bottom w:w="0" w:type="dxa"/>
          </w:tblCellMar>
        </w:tblPrEx>
        <w:trPr>
          <w:cantSplit/>
          <w:trHeight w:val="273"/>
        </w:trPr>
        <w:tc>
          <w:tcPr>
            <w:tcW w:w="698" w:type="dxa"/>
            <w:tcBorders>
              <w:bottom w:val="single" w:sz="12" w:space="0" w:color="auto"/>
            </w:tcBorders>
            <w:shd w:val="clear" w:color="auto" w:fill="auto"/>
            <w:vAlign w:val="bottom"/>
          </w:tcPr>
          <w:p w:rsidR="0073290F" w:rsidRPr="005B0CE2" w:rsidRDefault="0073290F" w:rsidP="005B0CE2">
            <w:pPr>
              <w:pStyle w:val="PlainText1"/>
              <w:widowControl/>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18"/>
              </w:rPr>
            </w:pPr>
            <w:r w:rsidRPr="005B0CE2">
              <w:rPr>
                <w:rFonts w:ascii="Times New Roman" w:hAnsi="Times New Roman" w:cs="Times New Roman"/>
                <w:sz w:val="17"/>
                <w:szCs w:val="18"/>
              </w:rPr>
              <w:t>2002</w:t>
            </w:r>
          </w:p>
        </w:tc>
        <w:tc>
          <w:tcPr>
            <w:tcW w:w="542" w:type="dxa"/>
            <w:tcBorders>
              <w:bottom w:val="single" w:sz="12" w:space="0" w:color="auto"/>
            </w:tcBorders>
            <w:shd w:val="clear" w:color="auto" w:fill="auto"/>
            <w:vAlign w:val="bottom"/>
          </w:tcPr>
          <w:p w:rsidR="0073290F" w:rsidRPr="005B0CE2" w:rsidRDefault="0073290F" w:rsidP="005B0CE2">
            <w:pPr>
              <w:pStyle w:val="PlainText1"/>
              <w:widowControl/>
              <w:tabs>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18"/>
              </w:rPr>
            </w:pPr>
            <w:r w:rsidRPr="005B0CE2">
              <w:rPr>
                <w:rFonts w:ascii="Times New Roman" w:hAnsi="Times New Roman" w:cs="Times New Roman"/>
                <w:sz w:val="17"/>
                <w:szCs w:val="18"/>
              </w:rPr>
              <w:t>90,5</w:t>
            </w:r>
          </w:p>
        </w:tc>
        <w:tc>
          <w:tcPr>
            <w:tcW w:w="720" w:type="dxa"/>
            <w:tcBorders>
              <w:bottom w:val="single" w:sz="12" w:space="0" w:color="auto"/>
            </w:tcBorders>
            <w:shd w:val="clear" w:color="auto" w:fill="auto"/>
            <w:vAlign w:val="bottom"/>
          </w:tcPr>
          <w:p w:rsidR="0073290F" w:rsidRPr="005B0CE2" w:rsidRDefault="0073290F" w:rsidP="005B0CE2">
            <w:pPr>
              <w:pStyle w:val="PlainText1"/>
              <w:widowControl/>
              <w:tabs>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18"/>
              </w:rPr>
            </w:pPr>
            <w:r w:rsidRPr="005B0CE2">
              <w:rPr>
                <w:rFonts w:ascii="Times New Roman" w:hAnsi="Times New Roman" w:cs="Times New Roman"/>
                <w:sz w:val="17"/>
                <w:szCs w:val="18"/>
              </w:rPr>
              <w:t>92,2</w:t>
            </w:r>
          </w:p>
        </w:tc>
        <w:tc>
          <w:tcPr>
            <w:tcW w:w="720" w:type="dxa"/>
            <w:tcBorders>
              <w:bottom w:val="single" w:sz="12" w:space="0" w:color="auto"/>
            </w:tcBorders>
            <w:shd w:val="clear" w:color="auto" w:fill="auto"/>
            <w:vAlign w:val="bottom"/>
          </w:tcPr>
          <w:p w:rsidR="0073290F" w:rsidRPr="005B0CE2" w:rsidRDefault="0073290F" w:rsidP="005B0CE2">
            <w:pPr>
              <w:pStyle w:val="PlainText1"/>
              <w:widowControl/>
              <w:tabs>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18"/>
              </w:rPr>
            </w:pPr>
            <w:r w:rsidRPr="005B0CE2">
              <w:rPr>
                <w:rFonts w:ascii="Times New Roman" w:hAnsi="Times New Roman" w:cs="Times New Roman"/>
                <w:sz w:val="17"/>
                <w:szCs w:val="18"/>
              </w:rPr>
              <w:t>88,2</w:t>
            </w:r>
          </w:p>
        </w:tc>
        <w:tc>
          <w:tcPr>
            <w:tcW w:w="720" w:type="dxa"/>
            <w:tcBorders>
              <w:bottom w:val="single" w:sz="12" w:space="0" w:color="auto"/>
            </w:tcBorders>
            <w:shd w:val="clear" w:color="auto" w:fill="auto"/>
            <w:vAlign w:val="bottom"/>
          </w:tcPr>
          <w:p w:rsidR="0073290F" w:rsidRPr="005B0CE2" w:rsidRDefault="0073290F" w:rsidP="005B0CE2">
            <w:pPr>
              <w:pStyle w:val="PlainText1"/>
              <w:widowControl/>
              <w:tabs>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18"/>
              </w:rPr>
            </w:pPr>
            <w:r w:rsidRPr="005B0CE2">
              <w:rPr>
                <w:rFonts w:ascii="Times New Roman" w:hAnsi="Times New Roman" w:cs="Times New Roman"/>
                <w:sz w:val="17"/>
                <w:szCs w:val="18"/>
              </w:rPr>
              <w:t>80,3</w:t>
            </w:r>
          </w:p>
        </w:tc>
        <w:tc>
          <w:tcPr>
            <w:tcW w:w="810" w:type="dxa"/>
            <w:tcBorders>
              <w:bottom w:val="single" w:sz="12" w:space="0" w:color="auto"/>
            </w:tcBorders>
            <w:shd w:val="clear" w:color="auto" w:fill="auto"/>
            <w:vAlign w:val="bottom"/>
          </w:tcPr>
          <w:p w:rsidR="0073290F" w:rsidRPr="005B0CE2" w:rsidRDefault="0073290F" w:rsidP="005B0CE2">
            <w:pPr>
              <w:pStyle w:val="PlainText1"/>
              <w:widowControl/>
              <w:tabs>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18"/>
              </w:rPr>
            </w:pPr>
            <w:r w:rsidRPr="005B0CE2">
              <w:rPr>
                <w:rFonts w:ascii="Times New Roman" w:hAnsi="Times New Roman" w:cs="Times New Roman"/>
                <w:sz w:val="17"/>
                <w:szCs w:val="18"/>
              </w:rPr>
              <w:t>91,3</w:t>
            </w:r>
          </w:p>
        </w:tc>
        <w:tc>
          <w:tcPr>
            <w:tcW w:w="1260" w:type="dxa"/>
            <w:tcBorders>
              <w:bottom w:val="single" w:sz="12" w:space="0" w:color="auto"/>
            </w:tcBorders>
            <w:shd w:val="clear" w:color="auto" w:fill="auto"/>
            <w:vAlign w:val="bottom"/>
          </w:tcPr>
          <w:p w:rsidR="0073290F" w:rsidRPr="005B0CE2" w:rsidRDefault="0073290F" w:rsidP="005B0CE2">
            <w:pPr>
              <w:pStyle w:val="PlainText1"/>
              <w:widowControl/>
              <w:tabs>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18"/>
              </w:rPr>
            </w:pPr>
            <w:r w:rsidRPr="005B0CE2">
              <w:rPr>
                <w:rFonts w:ascii="Times New Roman" w:hAnsi="Times New Roman" w:cs="Times New Roman"/>
                <w:sz w:val="17"/>
                <w:szCs w:val="18"/>
              </w:rPr>
              <w:t>91,8</w:t>
            </w:r>
          </w:p>
        </w:tc>
        <w:tc>
          <w:tcPr>
            <w:tcW w:w="1080" w:type="dxa"/>
            <w:tcBorders>
              <w:bottom w:val="single" w:sz="12" w:space="0" w:color="auto"/>
            </w:tcBorders>
            <w:shd w:val="clear" w:color="auto" w:fill="auto"/>
            <w:vAlign w:val="bottom"/>
          </w:tcPr>
          <w:p w:rsidR="0073290F" w:rsidRPr="005B0CE2" w:rsidRDefault="0073290F" w:rsidP="005B0CE2">
            <w:pPr>
              <w:pStyle w:val="PlainText1"/>
              <w:widowControl/>
              <w:tabs>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18"/>
              </w:rPr>
            </w:pPr>
            <w:r w:rsidRPr="005B0CE2">
              <w:rPr>
                <w:rFonts w:ascii="Times New Roman" w:hAnsi="Times New Roman" w:cs="Times New Roman"/>
                <w:sz w:val="17"/>
                <w:szCs w:val="18"/>
              </w:rPr>
              <w:t>90,9</w:t>
            </w:r>
          </w:p>
        </w:tc>
        <w:tc>
          <w:tcPr>
            <w:tcW w:w="900" w:type="dxa"/>
            <w:tcBorders>
              <w:bottom w:val="single" w:sz="12" w:space="0" w:color="auto"/>
            </w:tcBorders>
            <w:shd w:val="clear" w:color="auto" w:fill="auto"/>
            <w:vAlign w:val="bottom"/>
          </w:tcPr>
          <w:p w:rsidR="0073290F" w:rsidRPr="005B0CE2" w:rsidRDefault="0073290F" w:rsidP="005B0CE2">
            <w:pPr>
              <w:pStyle w:val="PlainText1"/>
              <w:widowControl/>
              <w:tabs>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18"/>
              </w:rPr>
            </w:pPr>
            <w:r w:rsidRPr="005B0CE2">
              <w:rPr>
                <w:rFonts w:ascii="Times New Roman" w:hAnsi="Times New Roman" w:cs="Times New Roman"/>
                <w:sz w:val="17"/>
                <w:szCs w:val="18"/>
              </w:rPr>
              <w:t>80,0</w:t>
            </w:r>
          </w:p>
        </w:tc>
        <w:tc>
          <w:tcPr>
            <w:tcW w:w="810" w:type="dxa"/>
            <w:tcBorders>
              <w:bottom w:val="single" w:sz="12" w:space="0" w:color="auto"/>
            </w:tcBorders>
            <w:shd w:val="clear" w:color="auto" w:fill="auto"/>
            <w:vAlign w:val="bottom"/>
          </w:tcPr>
          <w:p w:rsidR="0073290F" w:rsidRPr="005B0CE2" w:rsidRDefault="0073290F" w:rsidP="005B0CE2">
            <w:pPr>
              <w:pStyle w:val="PlainText1"/>
              <w:widowControl/>
              <w:tabs>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18"/>
              </w:rPr>
            </w:pPr>
            <w:r w:rsidRPr="005B0CE2">
              <w:rPr>
                <w:rFonts w:ascii="Times New Roman" w:hAnsi="Times New Roman" w:cs="Times New Roman"/>
                <w:sz w:val="17"/>
                <w:szCs w:val="18"/>
              </w:rPr>
              <w:t>76,2</w:t>
            </w:r>
          </w:p>
        </w:tc>
        <w:tc>
          <w:tcPr>
            <w:tcW w:w="810" w:type="dxa"/>
            <w:tcBorders>
              <w:bottom w:val="single" w:sz="12" w:space="0" w:color="auto"/>
            </w:tcBorders>
            <w:shd w:val="clear" w:color="auto" w:fill="auto"/>
            <w:vAlign w:val="bottom"/>
          </w:tcPr>
          <w:p w:rsidR="0073290F" w:rsidRPr="005B0CE2" w:rsidRDefault="0073290F" w:rsidP="005B0CE2">
            <w:pPr>
              <w:pStyle w:val="PlainText1"/>
              <w:widowControl/>
              <w:tabs>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18"/>
              </w:rPr>
            </w:pPr>
            <w:r w:rsidRPr="005B0CE2">
              <w:rPr>
                <w:rFonts w:ascii="Times New Roman" w:hAnsi="Times New Roman" w:cs="Times New Roman"/>
                <w:sz w:val="17"/>
                <w:szCs w:val="18"/>
              </w:rPr>
              <w:t>88,1</w:t>
            </w:r>
          </w:p>
        </w:tc>
        <w:tc>
          <w:tcPr>
            <w:tcW w:w="810" w:type="dxa"/>
            <w:tcBorders>
              <w:bottom w:val="single" w:sz="12" w:space="0" w:color="auto"/>
            </w:tcBorders>
            <w:shd w:val="clear" w:color="auto" w:fill="auto"/>
            <w:vAlign w:val="bottom"/>
          </w:tcPr>
          <w:p w:rsidR="0073290F" w:rsidRPr="005B0CE2" w:rsidRDefault="0073290F" w:rsidP="005B0CE2">
            <w:pPr>
              <w:pStyle w:val="PlainText1"/>
              <w:widowControl/>
              <w:tabs>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18"/>
              </w:rPr>
            </w:pPr>
            <w:r w:rsidRPr="005B0CE2">
              <w:rPr>
                <w:rFonts w:ascii="Times New Roman" w:hAnsi="Times New Roman" w:cs="Times New Roman"/>
                <w:sz w:val="17"/>
                <w:szCs w:val="18"/>
              </w:rPr>
              <w:t>88,6</w:t>
            </w:r>
          </w:p>
        </w:tc>
      </w:tr>
    </w:tbl>
    <w:p w:rsidR="00D200A9" w:rsidRPr="00D200A9" w:rsidRDefault="00D200A9" w:rsidP="00D200A9">
      <w:pPr>
        <w:pStyle w:val="SingleTxt"/>
        <w:spacing w:after="0" w:line="120" w:lineRule="exact"/>
        <w:rPr>
          <w:sz w:val="10"/>
          <w:lang w:val="fr-FR"/>
        </w:rPr>
      </w:pPr>
    </w:p>
    <w:p w:rsidR="0073290F" w:rsidRPr="00D200A9" w:rsidRDefault="0073290F" w:rsidP="00D200A9">
      <w:pPr>
        <w:rPr>
          <w:sz w:val="17"/>
          <w:szCs w:val="17"/>
        </w:rPr>
      </w:pPr>
      <w:r w:rsidRPr="00D200A9">
        <w:rPr>
          <w:i/>
          <w:sz w:val="17"/>
          <w:szCs w:val="17"/>
          <w:lang w:val="fr-FR"/>
        </w:rPr>
        <w:t>Source</w:t>
      </w:r>
      <w:r w:rsidRPr="00D200A9">
        <w:rPr>
          <w:sz w:val="17"/>
          <w:szCs w:val="17"/>
          <w:lang w:val="fr-FR"/>
        </w:rPr>
        <w:t>:</w:t>
      </w:r>
      <w:r w:rsidRPr="00D200A9">
        <w:rPr>
          <w:sz w:val="17"/>
          <w:szCs w:val="17"/>
        </w:rPr>
        <w:t xml:space="preserve"> Annuaire statistique 2005, Institut de la Statistique de la République de Slovénie.</w:t>
      </w:r>
    </w:p>
    <w:p w:rsidR="00D200A9" w:rsidRPr="00D200A9" w:rsidRDefault="00D200A9" w:rsidP="00D200A9">
      <w:pPr>
        <w:pStyle w:val="SingleTxt"/>
        <w:spacing w:after="0" w:line="120" w:lineRule="exact"/>
        <w:rPr>
          <w:b/>
          <w:bCs/>
          <w:sz w:val="10"/>
          <w:szCs w:val="24"/>
          <w:lang w:val="fr-FR"/>
        </w:rPr>
      </w:pPr>
    </w:p>
    <w:p w:rsidR="0073290F" w:rsidRDefault="0073290F" w:rsidP="00D200A9">
      <w:pPr>
        <w:pStyle w:val="SingleTxt"/>
        <w:jc w:val="left"/>
        <w:rPr>
          <w:b/>
          <w:bCs/>
          <w:szCs w:val="24"/>
          <w:lang w:val="fr-FR"/>
        </w:rPr>
      </w:pPr>
      <w:r w:rsidRPr="00D200A9">
        <w:rPr>
          <w:bCs/>
          <w:szCs w:val="24"/>
          <w:lang w:val="fr-FR"/>
        </w:rPr>
        <w:t>Tableau 37</w:t>
      </w:r>
      <w:r w:rsidR="00D200A9">
        <w:rPr>
          <w:b/>
          <w:bCs/>
          <w:szCs w:val="24"/>
          <w:lang w:val="fr-FR"/>
        </w:rPr>
        <w:br/>
      </w:r>
      <w:r w:rsidRPr="006853C3">
        <w:rPr>
          <w:b/>
          <w:bCs/>
          <w:szCs w:val="24"/>
          <w:lang w:val="fr-FR"/>
        </w:rPr>
        <w:t xml:space="preserve">Taux de chômage moyen officiel, de 2000 à 2004 </w:t>
      </w:r>
    </w:p>
    <w:p w:rsidR="00D200A9" w:rsidRPr="00D200A9" w:rsidRDefault="00D200A9" w:rsidP="00D200A9">
      <w:pPr>
        <w:pStyle w:val="SingleTxt"/>
        <w:spacing w:after="0" w:line="120" w:lineRule="exact"/>
        <w:jc w:val="left"/>
        <w:rPr>
          <w:b/>
          <w:bCs/>
          <w:sz w:val="10"/>
          <w:szCs w:val="24"/>
          <w:lang w:val="fr-FR"/>
        </w:rPr>
      </w:pPr>
    </w:p>
    <w:tbl>
      <w:tblPr>
        <w:tblW w:w="8613" w:type="dxa"/>
        <w:tblInd w:w="1267" w:type="dxa"/>
        <w:tblCellMar>
          <w:left w:w="70" w:type="dxa"/>
          <w:right w:w="70" w:type="dxa"/>
        </w:tblCellMar>
        <w:tblLook w:val="0000" w:firstRow="0" w:lastRow="0" w:firstColumn="0" w:lastColumn="0" w:noHBand="0" w:noVBand="0"/>
      </w:tblPr>
      <w:tblGrid>
        <w:gridCol w:w="1690"/>
        <w:gridCol w:w="1384"/>
        <w:gridCol w:w="1385"/>
        <w:gridCol w:w="1384"/>
        <w:gridCol w:w="1385"/>
        <w:gridCol w:w="1385"/>
      </w:tblGrid>
      <w:tr w:rsidR="0073290F" w:rsidRPr="00D200A9">
        <w:tblPrEx>
          <w:tblCellMar>
            <w:top w:w="0" w:type="dxa"/>
            <w:bottom w:w="0" w:type="dxa"/>
          </w:tblCellMar>
        </w:tblPrEx>
        <w:trPr>
          <w:tblHeader/>
        </w:trPr>
        <w:tc>
          <w:tcPr>
            <w:tcW w:w="1690" w:type="dxa"/>
            <w:tcBorders>
              <w:top w:val="single" w:sz="4" w:space="0" w:color="auto"/>
              <w:bottom w:val="single" w:sz="12" w:space="0" w:color="auto"/>
            </w:tcBorders>
            <w:shd w:val="clear" w:color="auto" w:fill="auto"/>
            <w:vAlign w:val="bottom"/>
          </w:tcPr>
          <w:p w:rsidR="0073290F" w:rsidRPr="00D200A9" w:rsidRDefault="0073290F" w:rsidP="00D200A9">
            <w:pPr>
              <w:pStyle w:val="telo"/>
              <w:suppressAutoHyphens/>
              <w:spacing w:before="80" w:after="80" w:line="160" w:lineRule="exact"/>
              <w:ind w:right="43"/>
              <w:jc w:val="center"/>
              <w:rPr>
                <w:rFonts w:ascii="Times New Roman" w:hAnsi="Times New Roman"/>
                <w:b/>
                <w:bCs/>
                <w:i/>
                <w:sz w:val="14"/>
                <w:szCs w:val="24"/>
                <w:lang w:val="fr-FR"/>
              </w:rPr>
            </w:pPr>
          </w:p>
        </w:tc>
        <w:tc>
          <w:tcPr>
            <w:tcW w:w="1384" w:type="dxa"/>
            <w:tcBorders>
              <w:top w:val="single" w:sz="4" w:space="0" w:color="auto"/>
              <w:bottom w:val="single" w:sz="12" w:space="0" w:color="auto"/>
            </w:tcBorders>
            <w:shd w:val="clear" w:color="auto" w:fill="auto"/>
            <w:vAlign w:val="bottom"/>
          </w:tcPr>
          <w:p w:rsidR="0073290F" w:rsidRPr="006B0220" w:rsidRDefault="0073290F" w:rsidP="006B0220">
            <w:pPr>
              <w:pStyle w:val="telo"/>
              <w:suppressAutoHyphens/>
              <w:spacing w:before="80" w:after="80" w:line="160" w:lineRule="exact"/>
              <w:ind w:right="43"/>
              <w:jc w:val="right"/>
              <w:rPr>
                <w:rFonts w:ascii="Times New Roman" w:hAnsi="Times New Roman"/>
                <w:bCs/>
                <w:i/>
                <w:sz w:val="14"/>
                <w:szCs w:val="24"/>
              </w:rPr>
            </w:pPr>
            <w:r w:rsidRPr="006B0220">
              <w:rPr>
                <w:rFonts w:ascii="Times New Roman" w:hAnsi="Times New Roman"/>
                <w:bCs/>
                <w:i/>
                <w:sz w:val="14"/>
                <w:szCs w:val="24"/>
              </w:rPr>
              <w:t>2000</w:t>
            </w:r>
          </w:p>
        </w:tc>
        <w:tc>
          <w:tcPr>
            <w:tcW w:w="1385" w:type="dxa"/>
            <w:tcBorders>
              <w:top w:val="single" w:sz="4" w:space="0" w:color="auto"/>
              <w:bottom w:val="single" w:sz="12" w:space="0" w:color="auto"/>
            </w:tcBorders>
            <w:shd w:val="clear" w:color="auto" w:fill="auto"/>
            <w:vAlign w:val="bottom"/>
          </w:tcPr>
          <w:p w:rsidR="0073290F" w:rsidRPr="006B0220" w:rsidRDefault="0073290F" w:rsidP="006B0220">
            <w:pPr>
              <w:pStyle w:val="telo"/>
              <w:suppressAutoHyphens/>
              <w:spacing w:before="80" w:after="80" w:line="160" w:lineRule="exact"/>
              <w:ind w:right="43"/>
              <w:jc w:val="right"/>
              <w:rPr>
                <w:rFonts w:ascii="Times New Roman" w:hAnsi="Times New Roman"/>
                <w:bCs/>
                <w:i/>
                <w:sz w:val="14"/>
                <w:szCs w:val="24"/>
              </w:rPr>
            </w:pPr>
            <w:r w:rsidRPr="006B0220">
              <w:rPr>
                <w:rFonts w:ascii="Times New Roman" w:hAnsi="Times New Roman"/>
                <w:bCs/>
                <w:i/>
                <w:sz w:val="14"/>
                <w:szCs w:val="24"/>
              </w:rPr>
              <w:t>2001</w:t>
            </w:r>
          </w:p>
        </w:tc>
        <w:tc>
          <w:tcPr>
            <w:tcW w:w="1384" w:type="dxa"/>
            <w:tcBorders>
              <w:top w:val="single" w:sz="4" w:space="0" w:color="auto"/>
              <w:bottom w:val="single" w:sz="12" w:space="0" w:color="auto"/>
            </w:tcBorders>
            <w:shd w:val="clear" w:color="auto" w:fill="auto"/>
            <w:vAlign w:val="bottom"/>
          </w:tcPr>
          <w:p w:rsidR="0073290F" w:rsidRPr="006B0220" w:rsidRDefault="0073290F" w:rsidP="006B0220">
            <w:pPr>
              <w:pStyle w:val="telo"/>
              <w:suppressAutoHyphens/>
              <w:spacing w:before="80" w:after="80" w:line="160" w:lineRule="exact"/>
              <w:ind w:right="43"/>
              <w:jc w:val="right"/>
              <w:rPr>
                <w:rFonts w:ascii="Times New Roman" w:hAnsi="Times New Roman"/>
                <w:bCs/>
                <w:i/>
                <w:sz w:val="14"/>
                <w:szCs w:val="24"/>
              </w:rPr>
            </w:pPr>
            <w:r w:rsidRPr="006B0220">
              <w:rPr>
                <w:rFonts w:ascii="Times New Roman" w:hAnsi="Times New Roman"/>
                <w:bCs/>
                <w:i/>
                <w:sz w:val="14"/>
                <w:szCs w:val="24"/>
              </w:rPr>
              <w:t>2002</w:t>
            </w:r>
          </w:p>
        </w:tc>
        <w:tc>
          <w:tcPr>
            <w:tcW w:w="1385" w:type="dxa"/>
            <w:tcBorders>
              <w:top w:val="single" w:sz="4" w:space="0" w:color="auto"/>
              <w:bottom w:val="single" w:sz="12" w:space="0" w:color="auto"/>
            </w:tcBorders>
            <w:shd w:val="clear" w:color="auto" w:fill="auto"/>
            <w:vAlign w:val="bottom"/>
          </w:tcPr>
          <w:p w:rsidR="0073290F" w:rsidRPr="006B0220" w:rsidRDefault="0073290F" w:rsidP="006B0220">
            <w:pPr>
              <w:pStyle w:val="telo"/>
              <w:suppressAutoHyphens/>
              <w:spacing w:before="80" w:after="80" w:line="160" w:lineRule="exact"/>
              <w:ind w:right="43"/>
              <w:jc w:val="right"/>
              <w:rPr>
                <w:rFonts w:ascii="Times New Roman" w:hAnsi="Times New Roman"/>
                <w:bCs/>
                <w:i/>
                <w:sz w:val="14"/>
                <w:szCs w:val="24"/>
              </w:rPr>
            </w:pPr>
            <w:r w:rsidRPr="006B0220">
              <w:rPr>
                <w:rFonts w:ascii="Times New Roman" w:hAnsi="Times New Roman"/>
                <w:bCs/>
                <w:i/>
                <w:sz w:val="14"/>
                <w:szCs w:val="24"/>
              </w:rPr>
              <w:t>2003</w:t>
            </w:r>
          </w:p>
        </w:tc>
        <w:tc>
          <w:tcPr>
            <w:tcW w:w="1385" w:type="dxa"/>
            <w:tcBorders>
              <w:top w:val="single" w:sz="4" w:space="0" w:color="auto"/>
              <w:bottom w:val="single" w:sz="12" w:space="0" w:color="auto"/>
            </w:tcBorders>
            <w:shd w:val="clear" w:color="auto" w:fill="auto"/>
            <w:vAlign w:val="bottom"/>
          </w:tcPr>
          <w:p w:rsidR="0073290F" w:rsidRPr="006B0220" w:rsidRDefault="0073290F" w:rsidP="006B0220">
            <w:pPr>
              <w:pStyle w:val="telo"/>
              <w:suppressAutoHyphens/>
              <w:spacing w:before="80" w:after="80" w:line="160" w:lineRule="exact"/>
              <w:ind w:right="43"/>
              <w:jc w:val="right"/>
              <w:rPr>
                <w:rFonts w:ascii="Times New Roman" w:hAnsi="Times New Roman"/>
                <w:bCs/>
                <w:i/>
                <w:sz w:val="14"/>
                <w:szCs w:val="24"/>
              </w:rPr>
            </w:pPr>
            <w:r w:rsidRPr="006B0220">
              <w:rPr>
                <w:rFonts w:ascii="Times New Roman" w:hAnsi="Times New Roman"/>
                <w:bCs/>
                <w:i/>
                <w:sz w:val="14"/>
                <w:szCs w:val="24"/>
              </w:rPr>
              <w:t>2004</w:t>
            </w:r>
          </w:p>
        </w:tc>
      </w:tr>
      <w:tr w:rsidR="00D200A9" w:rsidRPr="00D200A9">
        <w:tblPrEx>
          <w:tblCellMar>
            <w:top w:w="0" w:type="dxa"/>
            <w:bottom w:w="0" w:type="dxa"/>
          </w:tblCellMar>
        </w:tblPrEx>
        <w:trPr>
          <w:trHeight w:hRule="exact" w:val="115"/>
          <w:tblHeader/>
        </w:trPr>
        <w:tc>
          <w:tcPr>
            <w:tcW w:w="1690" w:type="dxa"/>
            <w:tcBorders>
              <w:top w:val="single" w:sz="12" w:space="0" w:color="auto"/>
            </w:tcBorders>
            <w:shd w:val="clear" w:color="auto" w:fill="auto"/>
            <w:vAlign w:val="bottom"/>
          </w:tcPr>
          <w:p w:rsidR="00D200A9" w:rsidRPr="00D200A9" w:rsidRDefault="00D200A9" w:rsidP="00D200A9">
            <w:pPr>
              <w:pStyle w:val="telo"/>
              <w:suppressAutoHyphens/>
              <w:spacing w:before="40" w:after="40" w:line="210" w:lineRule="exact"/>
              <w:ind w:right="43"/>
              <w:rPr>
                <w:rFonts w:ascii="Times New Roman" w:hAnsi="Times New Roman"/>
                <w:sz w:val="17"/>
                <w:szCs w:val="24"/>
              </w:rPr>
            </w:pPr>
          </w:p>
        </w:tc>
        <w:tc>
          <w:tcPr>
            <w:tcW w:w="1384" w:type="dxa"/>
            <w:tcBorders>
              <w:top w:val="single" w:sz="12" w:space="0" w:color="auto"/>
            </w:tcBorders>
            <w:shd w:val="clear" w:color="auto" w:fill="auto"/>
            <w:vAlign w:val="bottom"/>
          </w:tcPr>
          <w:p w:rsidR="00D200A9" w:rsidRPr="00D200A9" w:rsidRDefault="00D200A9" w:rsidP="006B0220">
            <w:pPr>
              <w:pStyle w:val="telo"/>
              <w:suppressAutoHyphens/>
              <w:spacing w:before="40" w:after="40" w:line="210" w:lineRule="exact"/>
              <w:ind w:right="43"/>
              <w:jc w:val="right"/>
              <w:rPr>
                <w:rFonts w:ascii="Times New Roman" w:hAnsi="Times New Roman"/>
                <w:sz w:val="17"/>
                <w:szCs w:val="24"/>
              </w:rPr>
            </w:pPr>
          </w:p>
        </w:tc>
        <w:tc>
          <w:tcPr>
            <w:tcW w:w="1385" w:type="dxa"/>
            <w:tcBorders>
              <w:top w:val="single" w:sz="12" w:space="0" w:color="auto"/>
            </w:tcBorders>
            <w:shd w:val="clear" w:color="auto" w:fill="auto"/>
            <w:vAlign w:val="bottom"/>
          </w:tcPr>
          <w:p w:rsidR="00D200A9" w:rsidRPr="00D200A9" w:rsidRDefault="00D200A9" w:rsidP="006B0220">
            <w:pPr>
              <w:pStyle w:val="telo"/>
              <w:suppressAutoHyphens/>
              <w:spacing w:before="40" w:after="40" w:line="210" w:lineRule="exact"/>
              <w:ind w:right="43"/>
              <w:jc w:val="right"/>
              <w:rPr>
                <w:rFonts w:ascii="Times New Roman" w:hAnsi="Times New Roman"/>
                <w:sz w:val="17"/>
                <w:szCs w:val="24"/>
              </w:rPr>
            </w:pPr>
          </w:p>
        </w:tc>
        <w:tc>
          <w:tcPr>
            <w:tcW w:w="1384" w:type="dxa"/>
            <w:tcBorders>
              <w:top w:val="single" w:sz="12" w:space="0" w:color="auto"/>
            </w:tcBorders>
            <w:shd w:val="clear" w:color="auto" w:fill="auto"/>
            <w:vAlign w:val="bottom"/>
          </w:tcPr>
          <w:p w:rsidR="00D200A9" w:rsidRPr="00D200A9" w:rsidRDefault="00D200A9" w:rsidP="006B0220">
            <w:pPr>
              <w:pStyle w:val="telo"/>
              <w:suppressAutoHyphens/>
              <w:spacing w:before="40" w:after="40" w:line="210" w:lineRule="exact"/>
              <w:ind w:right="43"/>
              <w:jc w:val="right"/>
              <w:rPr>
                <w:rFonts w:ascii="Times New Roman" w:hAnsi="Times New Roman"/>
                <w:sz w:val="17"/>
                <w:szCs w:val="24"/>
              </w:rPr>
            </w:pPr>
          </w:p>
        </w:tc>
        <w:tc>
          <w:tcPr>
            <w:tcW w:w="1385" w:type="dxa"/>
            <w:tcBorders>
              <w:top w:val="single" w:sz="12" w:space="0" w:color="auto"/>
            </w:tcBorders>
            <w:shd w:val="clear" w:color="auto" w:fill="auto"/>
            <w:vAlign w:val="bottom"/>
          </w:tcPr>
          <w:p w:rsidR="00D200A9" w:rsidRPr="00D200A9" w:rsidRDefault="00D200A9" w:rsidP="006B0220">
            <w:pPr>
              <w:pStyle w:val="telo"/>
              <w:suppressAutoHyphens/>
              <w:spacing w:before="40" w:after="40" w:line="210" w:lineRule="exact"/>
              <w:ind w:right="43"/>
              <w:jc w:val="right"/>
              <w:rPr>
                <w:rFonts w:ascii="Times New Roman" w:hAnsi="Times New Roman"/>
                <w:sz w:val="17"/>
                <w:szCs w:val="24"/>
              </w:rPr>
            </w:pPr>
          </w:p>
        </w:tc>
        <w:tc>
          <w:tcPr>
            <w:tcW w:w="1385" w:type="dxa"/>
            <w:tcBorders>
              <w:top w:val="single" w:sz="12" w:space="0" w:color="auto"/>
            </w:tcBorders>
            <w:shd w:val="clear" w:color="auto" w:fill="auto"/>
            <w:vAlign w:val="bottom"/>
          </w:tcPr>
          <w:p w:rsidR="00D200A9" w:rsidRPr="00D200A9" w:rsidRDefault="00D200A9" w:rsidP="006B0220">
            <w:pPr>
              <w:pStyle w:val="telo"/>
              <w:suppressAutoHyphens/>
              <w:spacing w:before="40" w:after="40" w:line="210" w:lineRule="exact"/>
              <w:ind w:right="43"/>
              <w:jc w:val="right"/>
              <w:rPr>
                <w:rFonts w:ascii="Times New Roman" w:hAnsi="Times New Roman"/>
                <w:sz w:val="17"/>
                <w:szCs w:val="24"/>
              </w:rPr>
            </w:pPr>
          </w:p>
        </w:tc>
      </w:tr>
      <w:tr w:rsidR="0073290F" w:rsidRPr="00D200A9">
        <w:tblPrEx>
          <w:tblCellMar>
            <w:top w:w="0" w:type="dxa"/>
            <w:bottom w:w="0" w:type="dxa"/>
          </w:tblCellMar>
        </w:tblPrEx>
        <w:tc>
          <w:tcPr>
            <w:tcW w:w="1690" w:type="dxa"/>
            <w:shd w:val="clear" w:color="auto" w:fill="auto"/>
            <w:vAlign w:val="bottom"/>
          </w:tcPr>
          <w:p w:rsidR="0073290F" w:rsidRPr="006B0220" w:rsidRDefault="0073290F" w:rsidP="00D200A9">
            <w:pPr>
              <w:pStyle w:val="telo"/>
              <w:tabs>
                <w:tab w:val="left" w:pos="288"/>
                <w:tab w:val="left" w:pos="576"/>
                <w:tab w:val="left" w:pos="864"/>
                <w:tab w:val="left" w:pos="1152"/>
              </w:tabs>
              <w:suppressAutoHyphens/>
              <w:spacing w:before="40" w:after="40" w:line="210" w:lineRule="exact"/>
              <w:ind w:right="43"/>
              <w:rPr>
                <w:rFonts w:ascii="Times New Roman" w:hAnsi="Times New Roman"/>
                <w:b/>
                <w:sz w:val="17"/>
                <w:szCs w:val="24"/>
              </w:rPr>
            </w:pPr>
            <w:r w:rsidRPr="006B0220">
              <w:rPr>
                <w:rFonts w:ascii="Times New Roman" w:hAnsi="Times New Roman"/>
                <w:b/>
                <w:sz w:val="17"/>
                <w:szCs w:val="24"/>
              </w:rPr>
              <w:t>Total</w:t>
            </w:r>
          </w:p>
        </w:tc>
        <w:tc>
          <w:tcPr>
            <w:tcW w:w="1384" w:type="dxa"/>
            <w:shd w:val="clear" w:color="auto" w:fill="auto"/>
            <w:vAlign w:val="bottom"/>
          </w:tcPr>
          <w:p w:rsidR="0073290F" w:rsidRPr="006B0220"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b/>
                <w:sz w:val="17"/>
                <w:szCs w:val="24"/>
              </w:rPr>
            </w:pPr>
            <w:r w:rsidRPr="006B0220">
              <w:rPr>
                <w:rFonts w:ascii="Times New Roman" w:hAnsi="Times New Roman"/>
                <w:b/>
                <w:sz w:val="17"/>
                <w:szCs w:val="24"/>
              </w:rPr>
              <w:t>12,2</w:t>
            </w:r>
          </w:p>
        </w:tc>
        <w:tc>
          <w:tcPr>
            <w:tcW w:w="1385" w:type="dxa"/>
            <w:shd w:val="clear" w:color="auto" w:fill="auto"/>
            <w:vAlign w:val="bottom"/>
          </w:tcPr>
          <w:p w:rsidR="0073290F" w:rsidRPr="006B0220"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b/>
                <w:sz w:val="17"/>
                <w:szCs w:val="24"/>
              </w:rPr>
            </w:pPr>
            <w:r w:rsidRPr="006B0220">
              <w:rPr>
                <w:rFonts w:ascii="Times New Roman" w:hAnsi="Times New Roman"/>
                <w:b/>
                <w:sz w:val="17"/>
                <w:szCs w:val="24"/>
              </w:rPr>
              <w:t>11,6</w:t>
            </w:r>
          </w:p>
        </w:tc>
        <w:tc>
          <w:tcPr>
            <w:tcW w:w="1384" w:type="dxa"/>
            <w:shd w:val="clear" w:color="auto" w:fill="auto"/>
            <w:vAlign w:val="bottom"/>
          </w:tcPr>
          <w:p w:rsidR="0073290F" w:rsidRPr="006B0220"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b/>
                <w:sz w:val="17"/>
                <w:szCs w:val="24"/>
              </w:rPr>
            </w:pPr>
            <w:r w:rsidRPr="006B0220">
              <w:rPr>
                <w:rFonts w:ascii="Times New Roman" w:hAnsi="Times New Roman"/>
                <w:b/>
                <w:sz w:val="17"/>
                <w:szCs w:val="24"/>
              </w:rPr>
              <w:t>11,6</w:t>
            </w:r>
          </w:p>
        </w:tc>
        <w:tc>
          <w:tcPr>
            <w:tcW w:w="1385" w:type="dxa"/>
            <w:shd w:val="clear" w:color="auto" w:fill="auto"/>
            <w:vAlign w:val="bottom"/>
          </w:tcPr>
          <w:p w:rsidR="0073290F" w:rsidRPr="006B0220"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b/>
                <w:sz w:val="17"/>
                <w:szCs w:val="24"/>
              </w:rPr>
            </w:pPr>
            <w:r w:rsidRPr="006B0220">
              <w:rPr>
                <w:rFonts w:ascii="Times New Roman" w:hAnsi="Times New Roman"/>
                <w:b/>
                <w:sz w:val="17"/>
                <w:szCs w:val="24"/>
              </w:rPr>
              <w:t>11,2</w:t>
            </w:r>
          </w:p>
        </w:tc>
        <w:tc>
          <w:tcPr>
            <w:tcW w:w="1385" w:type="dxa"/>
            <w:shd w:val="clear" w:color="auto" w:fill="auto"/>
            <w:vAlign w:val="bottom"/>
          </w:tcPr>
          <w:p w:rsidR="0073290F" w:rsidRPr="006B0220"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b/>
                <w:sz w:val="17"/>
                <w:szCs w:val="24"/>
              </w:rPr>
            </w:pPr>
            <w:r w:rsidRPr="006B0220">
              <w:rPr>
                <w:rFonts w:ascii="Times New Roman" w:hAnsi="Times New Roman"/>
                <w:b/>
                <w:sz w:val="17"/>
                <w:szCs w:val="24"/>
              </w:rPr>
              <w:t>10,6</w:t>
            </w:r>
          </w:p>
        </w:tc>
      </w:tr>
      <w:tr w:rsidR="0073290F" w:rsidRPr="00D200A9">
        <w:tblPrEx>
          <w:tblCellMar>
            <w:top w:w="0" w:type="dxa"/>
            <w:bottom w:w="0" w:type="dxa"/>
          </w:tblCellMar>
        </w:tblPrEx>
        <w:tc>
          <w:tcPr>
            <w:tcW w:w="1690" w:type="dxa"/>
            <w:shd w:val="clear" w:color="auto" w:fill="auto"/>
            <w:vAlign w:val="bottom"/>
          </w:tcPr>
          <w:p w:rsidR="0073290F" w:rsidRPr="00D200A9" w:rsidRDefault="0073290F" w:rsidP="00D200A9">
            <w:pPr>
              <w:pStyle w:val="telo"/>
              <w:tabs>
                <w:tab w:val="left" w:pos="288"/>
                <w:tab w:val="left" w:pos="576"/>
                <w:tab w:val="left" w:pos="864"/>
                <w:tab w:val="left" w:pos="1152"/>
              </w:tabs>
              <w:suppressAutoHyphens/>
              <w:spacing w:before="40" w:after="40" w:line="210" w:lineRule="exact"/>
              <w:ind w:right="43"/>
              <w:rPr>
                <w:rFonts w:ascii="Times New Roman" w:hAnsi="Times New Roman"/>
                <w:sz w:val="17"/>
                <w:szCs w:val="24"/>
              </w:rPr>
            </w:pPr>
            <w:r w:rsidRPr="00D200A9">
              <w:rPr>
                <w:rFonts w:ascii="Times New Roman" w:hAnsi="Times New Roman"/>
                <w:sz w:val="17"/>
                <w:szCs w:val="24"/>
              </w:rPr>
              <w:t>Hommes</w:t>
            </w:r>
          </w:p>
        </w:tc>
        <w:tc>
          <w:tcPr>
            <w:tcW w:w="1384" w:type="dxa"/>
            <w:shd w:val="clear" w:color="auto" w:fill="auto"/>
            <w:vAlign w:val="bottom"/>
          </w:tcPr>
          <w:p w:rsidR="0073290F" w:rsidRPr="00D200A9"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D200A9">
              <w:rPr>
                <w:rFonts w:ascii="Times New Roman" w:hAnsi="Times New Roman"/>
                <w:sz w:val="17"/>
                <w:szCs w:val="24"/>
              </w:rPr>
              <w:t>11,1</w:t>
            </w:r>
          </w:p>
        </w:tc>
        <w:tc>
          <w:tcPr>
            <w:tcW w:w="1385" w:type="dxa"/>
            <w:shd w:val="clear" w:color="auto" w:fill="auto"/>
            <w:vAlign w:val="bottom"/>
          </w:tcPr>
          <w:p w:rsidR="0073290F" w:rsidRPr="00D200A9"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D200A9">
              <w:rPr>
                <w:rFonts w:ascii="Times New Roman" w:hAnsi="Times New Roman"/>
                <w:sz w:val="17"/>
                <w:szCs w:val="24"/>
              </w:rPr>
              <w:t>10,4</w:t>
            </w:r>
          </w:p>
        </w:tc>
        <w:tc>
          <w:tcPr>
            <w:tcW w:w="1384" w:type="dxa"/>
            <w:shd w:val="clear" w:color="auto" w:fill="auto"/>
            <w:vAlign w:val="bottom"/>
          </w:tcPr>
          <w:p w:rsidR="0073290F" w:rsidRPr="00D200A9"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D200A9">
              <w:rPr>
                <w:rFonts w:ascii="Times New Roman" w:hAnsi="Times New Roman"/>
                <w:sz w:val="17"/>
                <w:szCs w:val="24"/>
              </w:rPr>
              <w:t>10,4</w:t>
            </w:r>
          </w:p>
        </w:tc>
        <w:tc>
          <w:tcPr>
            <w:tcW w:w="1385" w:type="dxa"/>
            <w:shd w:val="clear" w:color="auto" w:fill="auto"/>
            <w:vAlign w:val="bottom"/>
          </w:tcPr>
          <w:p w:rsidR="0073290F" w:rsidRPr="00D200A9"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D200A9">
              <w:rPr>
                <w:rFonts w:ascii="Times New Roman" w:hAnsi="Times New Roman"/>
                <w:sz w:val="17"/>
                <w:szCs w:val="24"/>
              </w:rPr>
              <w:t>9,7</w:t>
            </w:r>
          </w:p>
        </w:tc>
        <w:tc>
          <w:tcPr>
            <w:tcW w:w="1385" w:type="dxa"/>
            <w:shd w:val="clear" w:color="auto" w:fill="auto"/>
            <w:vAlign w:val="bottom"/>
          </w:tcPr>
          <w:p w:rsidR="0073290F" w:rsidRPr="00D200A9"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D200A9">
              <w:rPr>
                <w:rFonts w:ascii="Times New Roman" w:hAnsi="Times New Roman"/>
                <w:sz w:val="17"/>
                <w:szCs w:val="24"/>
              </w:rPr>
              <w:t>9,1</w:t>
            </w:r>
          </w:p>
        </w:tc>
      </w:tr>
      <w:tr w:rsidR="0073290F" w:rsidRPr="00D200A9">
        <w:tblPrEx>
          <w:tblCellMar>
            <w:top w:w="0" w:type="dxa"/>
            <w:bottom w:w="0" w:type="dxa"/>
          </w:tblCellMar>
        </w:tblPrEx>
        <w:tc>
          <w:tcPr>
            <w:tcW w:w="1690" w:type="dxa"/>
            <w:shd w:val="clear" w:color="auto" w:fill="auto"/>
            <w:vAlign w:val="bottom"/>
          </w:tcPr>
          <w:p w:rsidR="0073290F" w:rsidRPr="00D200A9" w:rsidRDefault="0073290F" w:rsidP="00D200A9">
            <w:pPr>
              <w:pStyle w:val="telo"/>
              <w:tabs>
                <w:tab w:val="left" w:pos="288"/>
                <w:tab w:val="left" w:pos="576"/>
                <w:tab w:val="left" w:pos="864"/>
                <w:tab w:val="left" w:pos="1152"/>
              </w:tabs>
              <w:suppressAutoHyphens/>
              <w:spacing w:before="40" w:after="40" w:line="210" w:lineRule="exact"/>
              <w:ind w:right="43"/>
              <w:rPr>
                <w:rFonts w:ascii="Times New Roman" w:hAnsi="Times New Roman"/>
                <w:sz w:val="17"/>
                <w:szCs w:val="24"/>
              </w:rPr>
            </w:pPr>
            <w:r w:rsidRPr="00D200A9">
              <w:rPr>
                <w:rFonts w:ascii="Times New Roman" w:hAnsi="Times New Roman"/>
                <w:sz w:val="17"/>
                <w:szCs w:val="24"/>
              </w:rPr>
              <w:t>Femmes</w:t>
            </w:r>
          </w:p>
        </w:tc>
        <w:tc>
          <w:tcPr>
            <w:tcW w:w="1384" w:type="dxa"/>
            <w:shd w:val="clear" w:color="auto" w:fill="auto"/>
            <w:vAlign w:val="bottom"/>
          </w:tcPr>
          <w:p w:rsidR="0073290F" w:rsidRPr="00D200A9"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D200A9">
              <w:rPr>
                <w:rFonts w:ascii="Times New Roman" w:hAnsi="Times New Roman"/>
                <w:sz w:val="17"/>
                <w:szCs w:val="24"/>
              </w:rPr>
              <w:t>13,5</w:t>
            </w:r>
          </w:p>
        </w:tc>
        <w:tc>
          <w:tcPr>
            <w:tcW w:w="1385" w:type="dxa"/>
            <w:shd w:val="clear" w:color="auto" w:fill="auto"/>
            <w:vAlign w:val="bottom"/>
          </w:tcPr>
          <w:p w:rsidR="0073290F" w:rsidRPr="00D200A9"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D200A9">
              <w:rPr>
                <w:rFonts w:ascii="Times New Roman" w:hAnsi="Times New Roman"/>
                <w:sz w:val="17"/>
                <w:szCs w:val="24"/>
              </w:rPr>
              <w:t>12,9</w:t>
            </w:r>
          </w:p>
        </w:tc>
        <w:tc>
          <w:tcPr>
            <w:tcW w:w="1384" w:type="dxa"/>
            <w:shd w:val="clear" w:color="auto" w:fill="auto"/>
            <w:vAlign w:val="bottom"/>
          </w:tcPr>
          <w:p w:rsidR="0073290F" w:rsidRPr="00D200A9"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D200A9">
              <w:rPr>
                <w:rFonts w:ascii="Times New Roman" w:hAnsi="Times New Roman"/>
                <w:sz w:val="17"/>
                <w:szCs w:val="24"/>
              </w:rPr>
              <w:t>13,1</w:t>
            </w:r>
          </w:p>
        </w:tc>
        <w:tc>
          <w:tcPr>
            <w:tcW w:w="1385" w:type="dxa"/>
            <w:shd w:val="clear" w:color="auto" w:fill="auto"/>
            <w:vAlign w:val="bottom"/>
          </w:tcPr>
          <w:p w:rsidR="0073290F" w:rsidRPr="00D200A9"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D200A9">
              <w:rPr>
                <w:rFonts w:ascii="Times New Roman" w:hAnsi="Times New Roman"/>
                <w:sz w:val="17"/>
                <w:szCs w:val="24"/>
              </w:rPr>
              <w:t>13,0</w:t>
            </w:r>
          </w:p>
        </w:tc>
        <w:tc>
          <w:tcPr>
            <w:tcW w:w="1385" w:type="dxa"/>
            <w:shd w:val="clear" w:color="auto" w:fill="auto"/>
            <w:vAlign w:val="bottom"/>
          </w:tcPr>
          <w:p w:rsidR="0073290F" w:rsidRPr="00D200A9"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D200A9">
              <w:rPr>
                <w:rFonts w:ascii="Times New Roman" w:hAnsi="Times New Roman"/>
                <w:sz w:val="17"/>
                <w:szCs w:val="24"/>
              </w:rPr>
              <w:t>12,4</w:t>
            </w:r>
          </w:p>
        </w:tc>
      </w:tr>
      <w:tr w:rsidR="0073290F" w:rsidRPr="00D200A9">
        <w:tblPrEx>
          <w:tblCellMar>
            <w:top w:w="0" w:type="dxa"/>
            <w:bottom w:w="0" w:type="dxa"/>
          </w:tblCellMar>
        </w:tblPrEx>
        <w:tc>
          <w:tcPr>
            <w:tcW w:w="1690" w:type="dxa"/>
            <w:shd w:val="clear" w:color="auto" w:fill="auto"/>
            <w:vAlign w:val="bottom"/>
          </w:tcPr>
          <w:p w:rsidR="0073290F" w:rsidRPr="00D200A9" w:rsidRDefault="0073290F" w:rsidP="00D200A9">
            <w:pPr>
              <w:pStyle w:val="telo"/>
              <w:tabs>
                <w:tab w:val="left" w:pos="288"/>
                <w:tab w:val="left" w:pos="576"/>
                <w:tab w:val="left" w:pos="864"/>
                <w:tab w:val="left" w:pos="1152"/>
              </w:tabs>
              <w:suppressAutoHyphens/>
              <w:spacing w:before="40" w:after="40" w:line="210" w:lineRule="exact"/>
              <w:ind w:right="43"/>
              <w:rPr>
                <w:rFonts w:ascii="Times New Roman" w:hAnsi="Times New Roman"/>
                <w:sz w:val="17"/>
                <w:szCs w:val="24"/>
              </w:rPr>
            </w:pPr>
            <w:r w:rsidRPr="00D200A9">
              <w:rPr>
                <w:rFonts w:ascii="Times New Roman" w:hAnsi="Times New Roman"/>
                <w:sz w:val="17"/>
                <w:szCs w:val="24"/>
              </w:rPr>
              <w:t>% de femmes</w:t>
            </w:r>
          </w:p>
        </w:tc>
        <w:tc>
          <w:tcPr>
            <w:tcW w:w="1384" w:type="dxa"/>
            <w:shd w:val="clear" w:color="auto" w:fill="auto"/>
            <w:vAlign w:val="bottom"/>
          </w:tcPr>
          <w:p w:rsidR="0073290F" w:rsidRPr="00D200A9"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D200A9">
              <w:rPr>
                <w:rFonts w:ascii="Times New Roman" w:hAnsi="Times New Roman"/>
                <w:sz w:val="17"/>
                <w:szCs w:val="24"/>
              </w:rPr>
              <w:t>50,7</w:t>
            </w:r>
          </w:p>
        </w:tc>
        <w:tc>
          <w:tcPr>
            <w:tcW w:w="1385" w:type="dxa"/>
            <w:shd w:val="clear" w:color="auto" w:fill="auto"/>
            <w:vAlign w:val="bottom"/>
          </w:tcPr>
          <w:p w:rsidR="0073290F" w:rsidRPr="00D200A9"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D200A9">
              <w:rPr>
                <w:rFonts w:ascii="Times New Roman" w:hAnsi="Times New Roman"/>
                <w:sz w:val="17"/>
                <w:szCs w:val="24"/>
              </w:rPr>
              <w:t>50,8</w:t>
            </w:r>
          </w:p>
        </w:tc>
        <w:tc>
          <w:tcPr>
            <w:tcW w:w="1384" w:type="dxa"/>
            <w:shd w:val="clear" w:color="auto" w:fill="auto"/>
            <w:vAlign w:val="bottom"/>
          </w:tcPr>
          <w:p w:rsidR="0073290F" w:rsidRPr="00D200A9"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D200A9">
              <w:rPr>
                <w:rFonts w:ascii="Times New Roman" w:hAnsi="Times New Roman"/>
                <w:sz w:val="17"/>
                <w:szCs w:val="24"/>
              </w:rPr>
              <w:t>51,1</w:t>
            </w:r>
          </w:p>
        </w:tc>
        <w:tc>
          <w:tcPr>
            <w:tcW w:w="1385" w:type="dxa"/>
            <w:shd w:val="clear" w:color="auto" w:fill="auto"/>
            <w:vAlign w:val="bottom"/>
          </w:tcPr>
          <w:p w:rsidR="0073290F" w:rsidRPr="00D200A9"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D200A9">
              <w:rPr>
                <w:rFonts w:ascii="Times New Roman" w:hAnsi="Times New Roman"/>
                <w:sz w:val="17"/>
                <w:szCs w:val="24"/>
              </w:rPr>
              <w:t>52,8</w:t>
            </w:r>
          </w:p>
        </w:tc>
        <w:tc>
          <w:tcPr>
            <w:tcW w:w="1385" w:type="dxa"/>
            <w:shd w:val="clear" w:color="auto" w:fill="auto"/>
            <w:vAlign w:val="bottom"/>
          </w:tcPr>
          <w:p w:rsidR="0073290F" w:rsidRPr="00D200A9" w:rsidRDefault="0073290F" w:rsidP="006B0220">
            <w:pPr>
              <w:pStyle w:val="telo"/>
              <w:tabs>
                <w:tab w:val="left" w:pos="288"/>
                <w:tab w:val="left" w:pos="576"/>
                <w:tab w:val="left" w:pos="864"/>
                <w:tab w:val="left" w:pos="1152"/>
              </w:tabs>
              <w:suppressAutoHyphens/>
              <w:spacing w:before="40" w:after="40" w:line="210" w:lineRule="exact"/>
              <w:ind w:right="43"/>
              <w:jc w:val="right"/>
              <w:rPr>
                <w:rFonts w:ascii="Times New Roman" w:hAnsi="Times New Roman"/>
                <w:sz w:val="17"/>
                <w:szCs w:val="24"/>
              </w:rPr>
            </w:pPr>
            <w:r w:rsidRPr="00D200A9">
              <w:rPr>
                <w:rFonts w:ascii="Times New Roman" w:hAnsi="Times New Roman"/>
                <w:sz w:val="17"/>
                <w:szCs w:val="24"/>
              </w:rPr>
              <w:t>53,1</w:t>
            </w:r>
          </w:p>
        </w:tc>
      </w:tr>
      <w:tr w:rsidR="0073290F" w:rsidRPr="00D200A9">
        <w:tblPrEx>
          <w:tblCellMar>
            <w:top w:w="0" w:type="dxa"/>
            <w:bottom w:w="0" w:type="dxa"/>
          </w:tblCellMar>
        </w:tblPrEx>
        <w:tc>
          <w:tcPr>
            <w:tcW w:w="1690" w:type="dxa"/>
            <w:shd w:val="clear" w:color="auto" w:fill="auto"/>
            <w:vAlign w:val="bottom"/>
          </w:tcPr>
          <w:p w:rsidR="0073290F" w:rsidRPr="00D200A9" w:rsidRDefault="0073290F" w:rsidP="00D200A9">
            <w:pPr>
              <w:pStyle w:val="telo"/>
              <w:tabs>
                <w:tab w:val="left" w:pos="288"/>
                <w:tab w:val="left" w:pos="576"/>
                <w:tab w:val="left" w:pos="864"/>
                <w:tab w:val="left" w:pos="1152"/>
              </w:tabs>
              <w:suppressAutoHyphens/>
              <w:spacing w:before="40" w:after="40" w:line="210" w:lineRule="exact"/>
              <w:ind w:right="43"/>
              <w:rPr>
                <w:rFonts w:ascii="Times New Roman" w:hAnsi="Times New Roman"/>
                <w:sz w:val="17"/>
                <w:szCs w:val="24"/>
              </w:rPr>
            </w:pPr>
            <w:r w:rsidRPr="00D200A9">
              <w:rPr>
                <w:rFonts w:ascii="Times New Roman" w:hAnsi="Times New Roman"/>
                <w:sz w:val="17"/>
                <w:szCs w:val="24"/>
              </w:rPr>
              <w:t>Demandeurs</w:t>
            </w:r>
            <w:r w:rsidR="00BA4F2E">
              <w:rPr>
                <w:rFonts w:ascii="Times New Roman" w:hAnsi="Times New Roman"/>
                <w:sz w:val="17"/>
                <w:szCs w:val="24"/>
              </w:rPr>
              <w:t xml:space="preserve"> </w:t>
            </w:r>
            <w:r w:rsidRPr="00D200A9">
              <w:rPr>
                <w:rFonts w:ascii="Times New Roman" w:hAnsi="Times New Roman"/>
                <w:sz w:val="17"/>
                <w:szCs w:val="24"/>
              </w:rPr>
              <w:t>d’un premier emploi</w:t>
            </w:r>
          </w:p>
        </w:tc>
        <w:tc>
          <w:tcPr>
            <w:tcW w:w="1384" w:type="dxa"/>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D200A9">
              <w:rPr>
                <w:sz w:val="17"/>
              </w:rPr>
              <w:t>17,9</w:t>
            </w:r>
          </w:p>
        </w:tc>
        <w:tc>
          <w:tcPr>
            <w:tcW w:w="1385" w:type="dxa"/>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D200A9">
              <w:rPr>
                <w:sz w:val="17"/>
              </w:rPr>
              <w:t>18,8</w:t>
            </w:r>
          </w:p>
        </w:tc>
        <w:tc>
          <w:tcPr>
            <w:tcW w:w="1384" w:type="dxa"/>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D200A9">
              <w:rPr>
                <w:sz w:val="17"/>
              </w:rPr>
              <w:t>19,6</w:t>
            </w:r>
          </w:p>
        </w:tc>
        <w:tc>
          <w:tcPr>
            <w:tcW w:w="1385" w:type="dxa"/>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D200A9">
              <w:rPr>
                <w:sz w:val="17"/>
              </w:rPr>
              <w:t>23,2</w:t>
            </w:r>
          </w:p>
        </w:tc>
        <w:tc>
          <w:tcPr>
            <w:tcW w:w="1385" w:type="dxa"/>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D200A9">
              <w:rPr>
                <w:sz w:val="17"/>
              </w:rPr>
              <w:t>25,2</w:t>
            </w:r>
          </w:p>
        </w:tc>
      </w:tr>
      <w:tr w:rsidR="0073290F" w:rsidRPr="00D200A9">
        <w:tblPrEx>
          <w:tblCellMar>
            <w:top w:w="0" w:type="dxa"/>
            <w:bottom w:w="0" w:type="dxa"/>
          </w:tblCellMar>
        </w:tblPrEx>
        <w:tc>
          <w:tcPr>
            <w:tcW w:w="1690" w:type="dxa"/>
            <w:shd w:val="clear" w:color="auto" w:fill="auto"/>
            <w:vAlign w:val="bottom"/>
          </w:tcPr>
          <w:p w:rsidR="0073290F" w:rsidRPr="00D200A9" w:rsidRDefault="0073290F" w:rsidP="00D200A9">
            <w:pPr>
              <w:pStyle w:val="telo"/>
              <w:tabs>
                <w:tab w:val="left" w:pos="288"/>
                <w:tab w:val="left" w:pos="576"/>
                <w:tab w:val="left" w:pos="864"/>
                <w:tab w:val="left" w:pos="1152"/>
              </w:tabs>
              <w:suppressAutoHyphens/>
              <w:spacing w:before="40" w:after="40" w:line="210" w:lineRule="exact"/>
              <w:ind w:right="43"/>
              <w:rPr>
                <w:rFonts w:ascii="Times New Roman" w:hAnsi="Times New Roman"/>
                <w:sz w:val="17"/>
                <w:szCs w:val="24"/>
              </w:rPr>
            </w:pPr>
            <w:r w:rsidRPr="00D200A9">
              <w:rPr>
                <w:rFonts w:ascii="Times New Roman" w:hAnsi="Times New Roman"/>
                <w:sz w:val="17"/>
                <w:szCs w:val="24"/>
              </w:rPr>
              <w:t xml:space="preserve">% de femmes </w:t>
            </w:r>
          </w:p>
        </w:tc>
        <w:tc>
          <w:tcPr>
            <w:tcW w:w="1384" w:type="dxa"/>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sz w:val="17"/>
              </w:rPr>
            </w:pPr>
            <w:r w:rsidRPr="00D200A9">
              <w:rPr>
                <w:sz w:val="17"/>
              </w:rPr>
              <w:t>54,1</w:t>
            </w:r>
          </w:p>
        </w:tc>
        <w:tc>
          <w:tcPr>
            <w:tcW w:w="1385" w:type="dxa"/>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sz w:val="17"/>
              </w:rPr>
            </w:pPr>
            <w:r w:rsidRPr="00D200A9">
              <w:rPr>
                <w:sz w:val="17"/>
              </w:rPr>
              <w:t>54,8</w:t>
            </w:r>
          </w:p>
        </w:tc>
        <w:tc>
          <w:tcPr>
            <w:tcW w:w="1384" w:type="dxa"/>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sz w:val="17"/>
              </w:rPr>
            </w:pPr>
            <w:r w:rsidRPr="00D200A9">
              <w:rPr>
                <w:sz w:val="17"/>
              </w:rPr>
              <w:t>55,5</w:t>
            </w:r>
          </w:p>
        </w:tc>
        <w:tc>
          <w:tcPr>
            <w:tcW w:w="1385" w:type="dxa"/>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sz w:val="17"/>
              </w:rPr>
            </w:pPr>
            <w:r w:rsidRPr="00D200A9">
              <w:rPr>
                <w:sz w:val="17"/>
              </w:rPr>
              <w:t>56,2</w:t>
            </w:r>
          </w:p>
        </w:tc>
        <w:tc>
          <w:tcPr>
            <w:tcW w:w="1385" w:type="dxa"/>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sz w:val="17"/>
              </w:rPr>
            </w:pPr>
            <w:r w:rsidRPr="00D200A9">
              <w:rPr>
                <w:sz w:val="17"/>
              </w:rPr>
              <w:t>56,6</w:t>
            </w:r>
          </w:p>
        </w:tc>
      </w:tr>
      <w:tr w:rsidR="0073290F" w:rsidRPr="00D200A9">
        <w:tblPrEx>
          <w:tblCellMar>
            <w:top w:w="0" w:type="dxa"/>
            <w:bottom w:w="0" w:type="dxa"/>
          </w:tblCellMar>
        </w:tblPrEx>
        <w:tc>
          <w:tcPr>
            <w:tcW w:w="1690" w:type="dxa"/>
            <w:shd w:val="clear" w:color="auto" w:fill="auto"/>
            <w:vAlign w:val="bottom"/>
          </w:tcPr>
          <w:p w:rsidR="0073290F" w:rsidRPr="00D200A9" w:rsidRDefault="0073290F" w:rsidP="00D200A9">
            <w:pPr>
              <w:pStyle w:val="telo"/>
              <w:tabs>
                <w:tab w:val="left" w:pos="288"/>
                <w:tab w:val="left" w:pos="576"/>
                <w:tab w:val="left" w:pos="864"/>
                <w:tab w:val="left" w:pos="1152"/>
              </w:tabs>
              <w:suppressAutoHyphens/>
              <w:spacing w:before="40" w:after="40" w:line="210" w:lineRule="exact"/>
              <w:ind w:right="43"/>
              <w:rPr>
                <w:rFonts w:ascii="Times New Roman" w:hAnsi="Times New Roman"/>
                <w:sz w:val="17"/>
                <w:szCs w:val="24"/>
                <w:lang w:val="fr-FR"/>
              </w:rPr>
            </w:pPr>
            <w:r w:rsidRPr="00D200A9">
              <w:rPr>
                <w:rFonts w:ascii="Times New Roman" w:hAnsi="Times New Roman"/>
                <w:sz w:val="17"/>
                <w:szCs w:val="24"/>
                <w:lang w:val="fr-FR"/>
              </w:rPr>
              <w:t>Chômeurs depuis plus d’un an</w:t>
            </w:r>
          </w:p>
        </w:tc>
        <w:tc>
          <w:tcPr>
            <w:tcW w:w="1384" w:type="dxa"/>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sz w:val="17"/>
              </w:rPr>
            </w:pPr>
            <w:r w:rsidRPr="00D200A9">
              <w:rPr>
                <w:sz w:val="17"/>
              </w:rPr>
              <w:t>62,9</w:t>
            </w:r>
          </w:p>
        </w:tc>
        <w:tc>
          <w:tcPr>
            <w:tcW w:w="1385" w:type="dxa"/>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sz w:val="17"/>
              </w:rPr>
            </w:pPr>
            <w:r w:rsidRPr="00D200A9">
              <w:rPr>
                <w:sz w:val="17"/>
              </w:rPr>
              <w:t>58,9</w:t>
            </w:r>
          </w:p>
        </w:tc>
        <w:tc>
          <w:tcPr>
            <w:tcW w:w="1384" w:type="dxa"/>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sz w:val="17"/>
              </w:rPr>
            </w:pPr>
            <w:r w:rsidRPr="00D200A9">
              <w:rPr>
                <w:sz w:val="17"/>
              </w:rPr>
              <w:t>54,4</w:t>
            </w:r>
          </w:p>
        </w:tc>
        <w:tc>
          <w:tcPr>
            <w:tcW w:w="1385" w:type="dxa"/>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sz w:val="17"/>
              </w:rPr>
            </w:pPr>
            <w:r w:rsidRPr="00D200A9">
              <w:rPr>
                <w:sz w:val="17"/>
              </w:rPr>
              <w:t>48,6</w:t>
            </w:r>
          </w:p>
        </w:tc>
        <w:tc>
          <w:tcPr>
            <w:tcW w:w="1385" w:type="dxa"/>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sz w:val="17"/>
              </w:rPr>
            </w:pPr>
            <w:r w:rsidRPr="00D200A9">
              <w:rPr>
                <w:sz w:val="17"/>
              </w:rPr>
              <w:t>46,2</w:t>
            </w:r>
          </w:p>
        </w:tc>
      </w:tr>
      <w:tr w:rsidR="0073290F" w:rsidRPr="00D200A9">
        <w:tblPrEx>
          <w:tblCellMar>
            <w:top w:w="0" w:type="dxa"/>
            <w:bottom w:w="0" w:type="dxa"/>
          </w:tblCellMar>
        </w:tblPrEx>
        <w:tc>
          <w:tcPr>
            <w:tcW w:w="1690" w:type="dxa"/>
            <w:tcBorders>
              <w:bottom w:val="single" w:sz="12" w:space="0" w:color="auto"/>
            </w:tcBorders>
            <w:shd w:val="clear" w:color="auto" w:fill="auto"/>
            <w:vAlign w:val="bottom"/>
          </w:tcPr>
          <w:p w:rsidR="0073290F" w:rsidRPr="00D200A9" w:rsidRDefault="0073290F" w:rsidP="00D200A9">
            <w:pPr>
              <w:pStyle w:val="telo"/>
              <w:tabs>
                <w:tab w:val="left" w:pos="288"/>
                <w:tab w:val="left" w:pos="576"/>
                <w:tab w:val="left" w:pos="864"/>
                <w:tab w:val="left" w:pos="1152"/>
              </w:tabs>
              <w:suppressAutoHyphens/>
              <w:spacing w:before="40" w:after="40" w:line="210" w:lineRule="exact"/>
              <w:ind w:right="43"/>
              <w:rPr>
                <w:rFonts w:ascii="Times New Roman" w:hAnsi="Times New Roman"/>
                <w:sz w:val="17"/>
                <w:szCs w:val="24"/>
              </w:rPr>
            </w:pPr>
            <w:r w:rsidRPr="00D200A9">
              <w:rPr>
                <w:rFonts w:ascii="Times New Roman" w:hAnsi="Times New Roman"/>
                <w:sz w:val="17"/>
                <w:szCs w:val="24"/>
              </w:rPr>
              <w:t>% de femmes</w:t>
            </w:r>
          </w:p>
        </w:tc>
        <w:tc>
          <w:tcPr>
            <w:tcW w:w="1384" w:type="dxa"/>
            <w:tcBorders>
              <w:bottom w:val="single" w:sz="12" w:space="0" w:color="auto"/>
            </w:tcBorders>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sz w:val="17"/>
              </w:rPr>
            </w:pPr>
            <w:r w:rsidRPr="00D200A9">
              <w:rPr>
                <w:sz w:val="17"/>
              </w:rPr>
              <w:t>51,3</w:t>
            </w:r>
          </w:p>
        </w:tc>
        <w:tc>
          <w:tcPr>
            <w:tcW w:w="1385" w:type="dxa"/>
            <w:tcBorders>
              <w:bottom w:val="single" w:sz="12" w:space="0" w:color="auto"/>
            </w:tcBorders>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sz w:val="17"/>
              </w:rPr>
            </w:pPr>
            <w:r w:rsidRPr="00D200A9">
              <w:rPr>
                <w:sz w:val="17"/>
              </w:rPr>
              <w:t>50,9</w:t>
            </w:r>
          </w:p>
        </w:tc>
        <w:tc>
          <w:tcPr>
            <w:tcW w:w="1384" w:type="dxa"/>
            <w:tcBorders>
              <w:bottom w:val="single" w:sz="12" w:space="0" w:color="auto"/>
            </w:tcBorders>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sz w:val="17"/>
              </w:rPr>
            </w:pPr>
            <w:r w:rsidRPr="00D200A9">
              <w:rPr>
                <w:sz w:val="17"/>
              </w:rPr>
              <w:t>51,0</w:t>
            </w:r>
          </w:p>
        </w:tc>
        <w:tc>
          <w:tcPr>
            <w:tcW w:w="1385" w:type="dxa"/>
            <w:tcBorders>
              <w:bottom w:val="single" w:sz="12" w:space="0" w:color="auto"/>
            </w:tcBorders>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sz w:val="17"/>
              </w:rPr>
            </w:pPr>
            <w:r w:rsidRPr="00D200A9">
              <w:rPr>
                <w:sz w:val="17"/>
              </w:rPr>
              <w:t>54,1</w:t>
            </w:r>
          </w:p>
        </w:tc>
        <w:tc>
          <w:tcPr>
            <w:tcW w:w="1385" w:type="dxa"/>
            <w:tcBorders>
              <w:bottom w:val="single" w:sz="12" w:space="0" w:color="auto"/>
            </w:tcBorders>
            <w:shd w:val="clear" w:color="auto" w:fill="auto"/>
            <w:vAlign w:val="bottom"/>
          </w:tcPr>
          <w:p w:rsidR="0073290F" w:rsidRPr="00D200A9" w:rsidRDefault="0073290F" w:rsidP="006B0220">
            <w:pPr>
              <w:tabs>
                <w:tab w:val="left" w:pos="288"/>
                <w:tab w:val="left" w:pos="576"/>
                <w:tab w:val="left" w:pos="864"/>
                <w:tab w:val="left" w:pos="1152"/>
              </w:tabs>
              <w:suppressAutoHyphens/>
              <w:spacing w:before="40" w:after="40" w:line="210" w:lineRule="exact"/>
              <w:ind w:right="43"/>
              <w:jc w:val="right"/>
              <w:rPr>
                <w:sz w:val="17"/>
              </w:rPr>
            </w:pPr>
            <w:r w:rsidRPr="00D200A9">
              <w:rPr>
                <w:sz w:val="17"/>
              </w:rPr>
              <w:t>54,1</w:t>
            </w:r>
          </w:p>
        </w:tc>
      </w:tr>
    </w:tbl>
    <w:p w:rsidR="006B0220" w:rsidRPr="006B0220" w:rsidRDefault="006B0220" w:rsidP="006B0220">
      <w:pPr>
        <w:pStyle w:val="FootnoteText"/>
        <w:tabs>
          <w:tab w:val="clear" w:pos="418"/>
          <w:tab w:val="right" w:pos="1476"/>
          <w:tab w:val="left" w:pos="1548"/>
          <w:tab w:val="right" w:pos="1836"/>
          <w:tab w:val="left" w:pos="1908"/>
        </w:tabs>
        <w:spacing w:line="120" w:lineRule="exact"/>
        <w:ind w:left="1548" w:hanging="288"/>
        <w:rPr>
          <w:sz w:val="10"/>
          <w:lang w:val="fr-FR"/>
        </w:rPr>
      </w:pPr>
    </w:p>
    <w:p w:rsidR="0073290F" w:rsidRPr="00DC67B7" w:rsidRDefault="0073290F" w:rsidP="006B0220">
      <w:pPr>
        <w:pStyle w:val="FootnoteText"/>
        <w:tabs>
          <w:tab w:val="clear" w:pos="418"/>
          <w:tab w:val="right" w:pos="1476"/>
          <w:tab w:val="left" w:pos="1548"/>
          <w:tab w:val="right" w:pos="1836"/>
          <w:tab w:val="left" w:pos="1908"/>
        </w:tabs>
        <w:ind w:left="1548" w:hanging="288"/>
        <w:rPr>
          <w:sz w:val="24"/>
          <w:szCs w:val="24"/>
          <w:lang w:val="fr-FR"/>
        </w:rPr>
      </w:pPr>
      <w:r w:rsidRPr="006B0220">
        <w:rPr>
          <w:i/>
          <w:lang w:val="fr-FR"/>
        </w:rPr>
        <w:t>Source</w:t>
      </w:r>
      <w:r w:rsidRPr="006853C3">
        <w:rPr>
          <w:lang w:val="fr-FR"/>
        </w:rPr>
        <w:t>: Rapports annuels 2000, 2001, 2002, 2003 et 2004, Bureau national de l’Emploi</w:t>
      </w:r>
      <w:r w:rsidRPr="00DC67B7">
        <w:rPr>
          <w:sz w:val="24"/>
          <w:szCs w:val="24"/>
          <w:lang w:val="fr-FR"/>
        </w:rPr>
        <w:t xml:space="preserve">. </w:t>
      </w:r>
    </w:p>
    <w:p w:rsidR="006B0220" w:rsidRPr="006B0220" w:rsidRDefault="006B0220" w:rsidP="006B0220">
      <w:pPr>
        <w:pStyle w:val="SingleTxt"/>
        <w:spacing w:after="0" w:line="120" w:lineRule="exact"/>
        <w:rPr>
          <w:sz w:val="10"/>
          <w:lang w:val="fr-FR"/>
        </w:rPr>
      </w:pPr>
    </w:p>
    <w:p w:rsidR="0073290F" w:rsidRDefault="0073290F" w:rsidP="006B0220">
      <w:pPr>
        <w:pStyle w:val="SingleTxt"/>
        <w:jc w:val="left"/>
        <w:rPr>
          <w:b/>
        </w:rPr>
      </w:pPr>
      <w:r w:rsidRPr="00DC67B7">
        <w:rPr>
          <w:lang w:val="fr-FR"/>
        </w:rPr>
        <w:t>Tableau 38</w:t>
      </w:r>
      <w:r w:rsidR="006B0220">
        <w:rPr>
          <w:lang w:val="fr-FR"/>
        </w:rPr>
        <w:br/>
      </w:r>
      <w:r w:rsidRPr="006B0220">
        <w:rPr>
          <w:b/>
          <w:lang w:val="fr-FR"/>
        </w:rPr>
        <w:t xml:space="preserve">Structure des personnes inscrites au chômage, par niveau d’instruction, et pourcentage de femmes, au 31. </w:t>
      </w:r>
      <w:r w:rsidRPr="006B0220">
        <w:rPr>
          <w:b/>
        </w:rPr>
        <w:t>12. 2002,</w:t>
      </w:r>
      <w:r w:rsidR="00BA4F2E">
        <w:rPr>
          <w:b/>
        </w:rPr>
        <w:t xml:space="preserve"> </w:t>
      </w:r>
      <w:r w:rsidRPr="006B0220">
        <w:rPr>
          <w:b/>
        </w:rPr>
        <w:t>31. 12. 2003 et 31. 12. 2004</w:t>
      </w:r>
    </w:p>
    <w:p w:rsidR="006B0220" w:rsidRPr="006B0220" w:rsidRDefault="006B0220" w:rsidP="006B0220">
      <w:pPr>
        <w:pStyle w:val="SingleTxt"/>
        <w:spacing w:after="0" w:line="120" w:lineRule="exact"/>
        <w:jc w:val="left"/>
        <w:rPr>
          <w:b/>
          <w:sz w:val="10"/>
        </w:rPr>
      </w:pPr>
    </w:p>
    <w:tbl>
      <w:tblPr>
        <w:tblW w:w="9810" w:type="dxa"/>
        <w:tblInd w:w="120" w:type="dxa"/>
        <w:tblCellMar>
          <w:left w:w="30" w:type="dxa"/>
          <w:right w:w="30" w:type="dxa"/>
        </w:tblCellMar>
        <w:tblLook w:val="0000" w:firstRow="0" w:lastRow="0" w:firstColumn="0" w:lastColumn="0" w:noHBand="0" w:noVBand="0"/>
      </w:tblPr>
      <w:tblGrid>
        <w:gridCol w:w="2880"/>
        <w:gridCol w:w="770"/>
        <w:gridCol w:w="770"/>
        <w:gridCol w:w="770"/>
        <w:gridCol w:w="770"/>
        <w:gridCol w:w="770"/>
        <w:gridCol w:w="770"/>
        <w:gridCol w:w="770"/>
        <w:gridCol w:w="770"/>
        <w:gridCol w:w="770"/>
      </w:tblGrid>
      <w:tr w:rsidR="00F80145" w:rsidRPr="006B0220">
        <w:tblPrEx>
          <w:tblCellMar>
            <w:top w:w="0" w:type="dxa"/>
            <w:bottom w:w="0" w:type="dxa"/>
          </w:tblCellMar>
        </w:tblPrEx>
        <w:trPr>
          <w:cantSplit/>
          <w:trHeight w:val="276"/>
          <w:tblHeader/>
        </w:trPr>
        <w:tc>
          <w:tcPr>
            <w:tcW w:w="2880" w:type="dxa"/>
            <w:tcBorders>
              <w:top w:val="single" w:sz="4" w:space="0" w:color="auto"/>
            </w:tcBorders>
            <w:shd w:val="clear" w:color="auto" w:fill="auto"/>
            <w:vAlign w:val="bottom"/>
          </w:tcPr>
          <w:p w:rsidR="00F80145" w:rsidRPr="006B0220" w:rsidRDefault="00F80145" w:rsidP="006B0220">
            <w:pPr>
              <w:pStyle w:val="Heading7"/>
              <w:suppressAutoHyphens/>
              <w:spacing w:before="80" w:after="80" w:line="160" w:lineRule="exact"/>
              <w:ind w:right="43"/>
              <w:rPr>
                <w:bCs/>
                <w:i/>
                <w:sz w:val="14"/>
                <w:szCs w:val="24"/>
              </w:rPr>
            </w:pPr>
          </w:p>
        </w:tc>
        <w:tc>
          <w:tcPr>
            <w:tcW w:w="770" w:type="dxa"/>
            <w:tcBorders>
              <w:top w:val="single" w:sz="4" w:space="0" w:color="auto"/>
            </w:tcBorders>
            <w:shd w:val="clear" w:color="auto" w:fill="auto"/>
            <w:vAlign w:val="bottom"/>
          </w:tcPr>
          <w:p w:rsidR="00F80145" w:rsidRPr="006B0220" w:rsidRDefault="00F80145" w:rsidP="006B0220">
            <w:pPr>
              <w:suppressAutoHyphens/>
              <w:spacing w:before="80" w:after="80" w:line="160" w:lineRule="exact"/>
              <w:ind w:right="43"/>
              <w:jc w:val="right"/>
              <w:rPr>
                <w:bCs/>
                <w:i/>
                <w:color w:val="000000"/>
                <w:sz w:val="14"/>
              </w:rPr>
            </w:pPr>
          </w:p>
        </w:tc>
        <w:tc>
          <w:tcPr>
            <w:tcW w:w="770" w:type="dxa"/>
            <w:tcBorders>
              <w:top w:val="single" w:sz="4" w:space="0" w:color="auto"/>
              <w:bottom w:val="single" w:sz="4" w:space="0" w:color="auto"/>
            </w:tcBorders>
            <w:shd w:val="clear" w:color="auto" w:fill="auto"/>
            <w:vAlign w:val="bottom"/>
          </w:tcPr>
          <w:p w:rsidR="00F80145" w:rsidRPr="006B0220" w:rsidRDefault="00F80145" w:rsidP="006A4084">
            <w:pPr>
              <w:suppressAutoHyphens/>
              <w:spacing w:before="80" w:after="80" w:line="160" w:lineRule="exact"/>
              <w:ind w:right="43"/>
              <w:jc w:val="right"/>
              <w:rPr>
                <w:bCs/>
                <w:i/>
                <w:color w:val="000000"/>
                <w:sz w:val="14"/>
              </w:rPr>
            </w:pPr>
            <w:r>
              <w:rPr>
                <w:bCs/>
                <w:i/>
                <w:color w:val="000000"/>
                <w:sz w:val="14"/>
              </w:rPr>
              <w:t>2002</w:t>
            </w:r>
          </w:p>
        </w:tc>
        <w:tc>
          <w:tcPr>
            <w:tcW w:w="770" w:type="dxa"/>
            <w:tcBorders>
              <w:top w:val="single" w:sz="4" w:space="0" w:color="auto"/>
            </w:tcBorders>
            <w:shd w:val="clear" w:color="auto" w:fill="auto"/>
            <w:vAlign w:val="bottom"/>
          </w:tcPr>
          <w:p w:rsidR="00F80145" w:rsidRPr="006B0220" w:rsidRDefault="00F80145" w:rsidP="006A4084">
            <w:pPr>
              <w:suppressAutoHyphens/>
              <w:spacing w:before="80" w:after="80" w:line="160" w:lineRule="exact"/>
              <w:ind w:right="43"/>
              <w:jc w:val="right"/>
              <w:rPr>
                <w:bCs/>
                <w:i/>
                <w:color w:val="000000"/>
                <w:sz w:val="14"/>
              </w:rPr>
            </w:pPr>
          </w:p>
        </w:tc>
        <w:tc>
          <w:tcPr>
            <w:tcW w:w="770" w:type="dxa"/>
            <w:tcBorders>
              <w:top w:val="single" w:sz="4" w:space="0" w:color="auto"/>
            </w:tcBorders>
            <w:shd w:val="clear" w:color="auto" w:fill="auto"/>
            <w:vAlign w:val="bottom"/>
          </w:tcPr>
          <w:p w:rsidR="00F80145" w:rsidRPr="006B0220" w:rsidRDefault="00F80145" w:rsidP="006B0220">
            <w:pPr>
              <w:suppressAutoHyphens/>
              <w:spacing w:before="80" w:after="80" w:line="160" w:lineRule="exact"/>
              <w:ind w:right="43"/>
              <w:jc w:val="right"/>
              <w:rPr>
                <w:bCs/>
                <w:i/>
                <w:color w:val="000000"/>
                <w:sz w:val="14"/>
              </w:rPr>
            </w:pPr>
          </w:p>
        </w:tc>
        <w:tc>
          <w:tcPr>
            <w:tcW w:w="770" w:type="dxa"/>
            <w:tcBorders>
              <w:top w:val="single" w:sz="4" w:space="0" w:color="auto"/>
              <w:bottom w:val="single" w:sz="4" w:space="0" w:color="auto"/>
            </w:tcBorders>
            <w:shd w:val="clear" w:color="auto" w:fill="auto"/>
            <w:vAlign w:val="bottom"/>
          </w:tcPr>
          <w:p w:rsidR="00F80145" w:rsidRPr="006B0220" w:rsidRDefault="00F80145" w:rsidP="006A4084">
            <w:pPr>
              <w:suppressAutoHyphens/>
              <w:spacing w:before="80" w:after="80" w:line="160" w:lineRule="exact"/>
              <w:ind w:right="43"/>
              <w:jc w:val="right"/>
              <w:rPr>
                <w:bCs/>
                <w:i/>
                <w:color w:val="000000"/>
                <w:sz w:val="14"/>
              </w:rPr>
            </w:pPr>
            <w:r>
              <w:rPr>
                <w:bCs/>
                <w:i/>
                <w:color w:val="000000"/>
                <w:sz w:val="14"/>
              </w:rPr>
              <w:t>2003</w:t>
            </w:r>
          </w:p>
        </w:tc>
        <w:tc>
          <w:tcPr>
            <w:tcW w:w="770" w:type="dxa"/>
            <w:tcBorders>
              <w:top w:val="single" w:sz="4" w:space="0" w:color="auto"/>
            </w:tcBorders>
            <w:shd w:val="clear" w:color="auto" w:fill="auto"/>
            <w:vAlign w:val="bottom"/>
          </w:tcPr>
          <w:p w:rsidR="00F80145" w:rsidRPr="006B0220" w:rsidRDefault="00F80145" w:rsidP="006A4084">
            <w:pPr>
              <w:suppressAutoHyphens/>
              <w:spacing w:before="80" w:after="80" w:line="160" w:lineRule="exact"/>
              <w:ind w:right="43"/>
              <w:jc w:val="right"/>
              <w:rPr>
                <w:bCs/>
                <w:i/>
                <w:color w:val="000000"/>
                <w:sz w:val="14"/>
              </w:rPr>
            </w:pPr>
          </w:p>
        </w:tc>
        <w:tc>
          <w:tcPr>
            <w:tcW w:w="770" w:type="dxa"/>
            <w:tcBorders>
              <w:top w:val="single" w:sz="4" w:space="0" w:color="auto"/>
            </w:tcBorders>
            <w:shd w:val="clear" w:color="auto" w:fill="auto"/>
            <w:vAlign w:val="bottom"/>
          </w:tcPr>
          <w:p w:rsidR="00F80145" w:rsidRPr="006B0220" w:rsidRDefault="00F80145" w:rsidP="006B0220">
            <w:pPr>
              <w:suppressAutoHyphens/>
              <w:spacing w:before="80" w:after="80" w:line="160" w:lineRule="exact"/>
              <w:ind w:right="43"/>
              <w:jc w:val="right"/>
              <w:rPr>
                <w:bCs/>
                <w:i/>
                <w:color w:val="000000"/>
                <w:sz w:val="14"/>
              </w:rPr>
            </w:pPr>
          </w:p>
        </w:tc>
        <w:tc>
          <w:tcPr>
            <w:tcW w:w="770" w:type="dxa"/>
            <w:tcBorders>
              <w:top w:val="single" w:sz="4" w:space="0" w:color="auto"/>
              <w:bottom w:val="single" w:sz="4" w:space="0" w:color="auto"/>
            </w:tcBorders>
            <w:shd w:val="clear" w:color="auto" w:fill="auto"/>
            <w:vAlign w:val="bottom"/>
          </w:tcPr>
          <w:p w:rsidR="00F80145" w:rsidRPr="006B0220" w:rsidRDefault="00F80145" w:rsidP="006A4084">
            <w:pPr>
              <w:suppressAutoHyphens/>
              <w:spacing w:before="80" w:after="80" w:line="160" w:lineRule="exact"/>
              <w:ind w:right="43"/>
              <w:jc w:val="right"/>
              <w:rPr>
                <w:bCs/>
                <w:i/>
                <w:color w:val="000000"/>
                <w:sz w:val="14"/>
              </w:rPr>
            </w:pPr>
            <w:r>
              <w:rPr>
                <w:bCs/>
                <w:i/>
                <w:color w:val="000000"/>
                <w:sz w:val="14"/>
              </w:rPr>
              <w:t>2004</w:t>
            </w:r>
          </w:p>
        </w:tc>
        <w:tc>
          <w:tcPr>
            <w:tcW w:w="770" w:type="dxa"/>
            <w:tcBorders>
              <w:top w:val="single" w:sz="4" w:space="0" w:color="auto"/>
            </w:tcBorders>
            <w:shd w:val="clear" w:color="auto" w:fill="auto"/>
            <w:vAlign w:val="bottom"/>
          </w:tcPr>
          <w:p w:rsidR="00F80145" w:rsidRPr="006B0220" w:rsidRDefault="00F80145" w:rsidP="006A4084">
            <w:pPr>
              <w:suppressAutoHyphens/>
              <w:spacing w:before="80" w:after="80" w:line="160" w:lineRule="exact"/>
              <w:ind w:right="43"/>
              <w:jc w:val="right"/>
              <w:rPr>
                <w:bCs/>
                <w:i/>
                <w:color w:val="000000"/>
                <w:sz w:val="14"/>
              </w:rPr>
            </w:pPr>
          </w:p>
        </w:tc>
      </w:tr>
      <w:tr w:rsidR="00F80145" w:rsidRPr="006B0220">
        <w:tblPrEx>
          <w:tblCellMar>
            <w:top w:w="0" w:type="dxa"/>
            <w:bottom w:w="0" w:type="dxa"/>
          </w:tblCellMar>
        </w:tblPrEx>
        <w:trPr>
          <w:cantSplit/>
          <w:trHeight w:val="276"/>
          <w:tblHeader/>
        </w:trPr>
        <w:tc>
          <w:tcPr>
            <w:tcW w:w="2880" w:type="dxa"/>
            <w:tcBorders>
              <w:bottom w:val="single" w:sz="12" w:space="0" w:color="auto"/>
            </w:tcBorders>
            <w:shd w:val="clear" w:color="auto" w:fill="auto"/>
            <w:vAlign w:val="bottom"/>
          </w:tcPr>
          <w:p w:rsidR="00F80145" w:rsidRPr="00F80145" w:rsidRDefault="00F80145" w:rsidP="006B0220">
            <w:pPr>
              <w:pStyle w:val="Heading7"/>
              <w:suppressAutoHyphens/>
              <w:spacing w:before="80" w:after="80" w:line="160" w:lineRule="exact"/>
              <w:ind w:right="43"/>
              <w:jc w:val="left"/>
              <w:rPr>
                <w:b w:val="0"/>
                <w:bCs/>
                <w:i/>
                <w:sz w:val="14"/>
                <w:szCs w:val="24"/>
              </w:rPr>
            </w:pPr>
            <w:r w:rsidRPr="00F80145">
              <w:rPr>
                <w:b w:val="0"/>
                <w:bCs/>
                <w:i/>
                <w:sz w:val="14"/>
                <w:szCs w:val="24"/>
              </w:rPr>
              <w:t>Total</w:t>
            </w:r>
          </w:p>
        </w:tc>
        <w:tc>
          <w:tcPr>
            <w:tcW w:w="770" w:type="dxa"/>
            <w:tcBorders>
              <w:bottom w:val="single" w:sz="12" w:space="0" w:color="auto"/>
            </w:tcBorders>
            <w:shd w:val="clear" w:color="auto" w:fill="auto"/>
            <w:vAlign w:val="bottom"/>
          </w:tcPr>
          <w:p w:rsidR="00F80145" w:rsidRPr="006B0220" w:rsidRDefault="00F80145" w:rsidP="006B0220">
            <w:pPr>
              <w:suppressAutoHyphens/>
              <w:spacing w:before="80" w:after="80" w:line="160" w:lineRule="exact"/>
              <w:ind w:right="43"/>
              <w:jc w:val="right"/>
              <w:rPr>
                <w:bCs/>
                <w:i/>
                <w:color w:val="000000"/>
                <w:sz w:val="14"/>
              </w:rPr>
            </w:pPr>
            <w:r>
              <w:rPr>
                <w:bCs/>
                <w:i/>
                <w:color w:val="000000"/>
                <w:sz w:val="14"/>
              </w:rPr>
              <w:t>Total</w:t>
            </w:r>
          </w:p>
        </w:tc>
        <w:tc>
          <w:tcPr>
            <w:tcW w:w="770" w:type="dxa"/>
            <w:tcBorders>
              <w:top w:val="single" w:sz="4" w:space="0" w:color="auto"/>
              <w:bottom w:val="single" w:sz="12" w:space="0" w:color="auto"/>
            </w:tcBorders>
            <w:shd w:val="clear" w:color="auto" w:fill="auto"/>
            <w:vAlign w:val="bottom"/>
          </w:tcPr>
          <w:p w:rsidR="00F80145" w:rsidRPr="006B0220" w:rsidRDefault="00F80145" w:rsidP="006A4084">
            <w:pPr>
              <w:suppressAutoHyphens/>
              <w:spacing w:before="80" w:after="80" w:line="160" w:lineRule="exact"/>
              <w:ind w:right="43"/>
              <w:jc w:val="right"/>
              <w:rPr>
                <w:bCs/>
                <w:i/>
                <w:color w:val="000000"/>
                <w:sz w:val="14"/>
              </w:rPr>
            </w:pPr>
            <w:r>
              <w:rPr>
                <w:bCs/>
                <w:i/>
                <w:color w:val="000000"/>
                <w:sz w:val="14"/>
              </w:rPr>
              <w:t>Nombre de femmes</w:t>
            </w:r>
          </w:p>
        </w:tc>
        <w:tc>
          <w:tcPr>
            <w:tcW w:w="770" w:type="dxa"/>
            <w:tcBorders>
              <w:bottom w:val="single" w:sz="12" w:space="0" w:color="auto"/>
            </w:tcBorders>
            <w:shd w:val="clear" w:color="auto" w:fill="auto"/>
          </w:tcPr>
          <w:p w:rsidR="00F80145" w:rsidRPr="00F80145" w:rsidRDefault="00F80145" w:rsidP="006A4084">
            <w:pPr>
              <w:spacing w:before="80" w:after="80" w:line="170" w:lineRule="exact"/>
              <w:ind w:right="43"/>
              <w:jc w:val="right"/>
              <w:rPr>
                <w:i/>
                <w:sz w:val="14"/>
                <w:szCs w:val="14"/>
              </w:rPr>
            </w:pPr>
            <w:r w:rsidRPr="00F80145">
              <w:rPr>
                <w:i/>
                <w:sz w:val="14"/>
                <w:szCs w:val="14"/>
              </w:rPr>
              <w:t>% de femmes</w:t>
            </w:r>
          </w:p>
        </w:tc>
        <w:tc>
          <w:tcPr>
            <w:tcW w:w="770" w:type="dxa"/>
            <w:tcBorders>
              <w:bottom w:val="single" w:sz="12" w:space="0" w:color="auto"/>
            </w:tcBorders>
            <w:shd w:val="clear" w:color="auto" w:fill="auto"/>
            <w:vAlign w:val="bottom"/>
          </w:tcPr>
          <w:p w:rsidR="00F80145" w:rsidRPr="00F80145" w:rsidRDefault="00F80145" w:rsidP="00F80145">
            <w:pPr>
              <w:spacing w:before="80" w:after="80" w:line="170" w:lineRule="exact"/>
              <w:ind w:right="43"/>
              <w:jc w:val="right"/>
              <w:rPr>
                <w:i/>
                <w:sz w:val="14"/>
                <w:szCs w:val="14"/>
              </w:rPr>
            </w:pPr>
            <w:r>
              <w:rPr>
                <w:i/>
                <w:sz w:val="14"/>
                <w:szCs w:val="14"/>
              </w:rPr>
              <w:t>Total</w:t>
            </w:r>
          </w:p>
        </w:tc>
        <w:tc>
          <w:tcPr>
            <w:tcW w:w="770" w:type="dxa"/>
            <w:tcBorders>
              <w:top w:val="single" w:sz="4" w:space="0" w:color="auto"/>
              <w:bottom w:val="single" w:sz="12" w:space="0" w:color="auto"/>
            </w:tcBorders>
            <w:shd w:val="clear" w:color="auto" w:fill="auto"/>
          </w:tcPr>
          <w:p w:rsidR="00F80145" w:rsidRPr="00F80145" w:rsidRDefault="00F80145" w:rsidP="006A4084">
            <w:pPr>
              <w:spacing w:before="80" w:after="80" w:line="170" w:lineRule="exact"/>
              <w:ind w:right="43"/>
              <w:jc w:val="right"/>
              <w:rPr>
                <w:i/>
                <w:sz w:val="14"/>
                <w:szCs w:val="14"/>
              </w:rPr>
            </w:pPr>
            <w:r w:rsidRPr="00F80145">
              <w:rPr>
                <w:i/>
                <w:sz w:val="14"/>
                <w:szCs w:val="14"/>
              </w:rPr>
              <w:t>Nombre de femmes</w:t>
            </w:r>
          </w:p>
        </w:tc>
        <w:tc>
          <w:tcPr>
            <w:tcW w:w="770" w:type="dxa"/>
            <w:tcBorders>
              <w:bottom w:val="single" w:sz="12" w:space="0" w:color="auto"/>
            </w:tcBorders>
            <w:shd w:val="clear" w:color="auto" w:fill="auto"/>
          </w:tcPr>
          <w:p w:rsidR="00F80145" w:rsidRPr="00F80145" w:rsidRDefault="00F80145" w:rsidP="006A4084">
            <w:pPr>
              <w:spacing w:before="80" w:after="80" w:line="170" w:lineRule="exact"/>
              <w:ind w:right="43"/>
              <w:jc w:val="right"/>
              <w:rPr>
                <w:i/>
                <w:sz w:val="14"/>
                <w:szCs w:val="14"/>
              </w:rPr>
            </w:pPr>
            <w:r w:rsidRPr="00F80145">
              <w:rPr>
                <w:i/>
                <w:sz w:val="14"/>
                <w:szCs w:val="14"/>
              </w:rPr>
              <w:t>% de femmes</w:t>
            </w:r>
          </w:p>
        </w:tc>
        <w:tc>
          <w:tcPr>
            <w:tcW w:w="770" w:type="dxa"/>
            <w:tcBorders>
              <w:bottom w:val="single" w:sz="12" w:space="0" w:color="auto"/>
            </w:tcBorders>
            <w:shd w:val="clear" w:color="auto" w:fill="auto"/>
            <w:vAlign w:val="bottom"/>
          </w:tcPr>
          <w:p w:rsidR="00F80145" w:rsidRPr="00F80145" w:rsidRDefault="00F80145" w:rsidP="00F80145">
            <w:pPr>
              <w:spacing w:before="80" w:after="80" w:line="170" w:lineRule="exact"/>
              <w:ind w:right="43"/>
              <w:jc w:val="right"/>
              <w:rPr>
                <w:i/>
                <w:sz w:val="14"/>
                <w:szCs w:val="14"/>
              </w:rPr>
            </w:pPr>
            <w:r>
              <w:rPr>
                <w:i/>
                <w:sz w:val="14"/>
                <w:szCs w:val="14"/>
              </w:rPr>
              <w:t>total</w:t>
            </w:r>
          </w:p>
        </w:tc>
        <w:tc>
          <w:tcPr>
            <w:tcW w:w="770" w:type="dxa"/>
            <w:tcBorders>
              <w:top w:val="single" w:sz="4" w:space="0" w:color="auto"/>
              <w:bottom w:val="single" w:sz="12" w:space="0" w:color="auto"/>
            </w:tcBorders>
            <w:shd w:val="clear" w:color="auto" w:fill="auto"/>
          </w:tcPr>
          <w:p w:rsidR="00F80145" w:rsidRPr="00F80145" w:rsidRDefault="00F80145" w:rsidP="006A4084">
            <w:pPr>
              <w:spacing w:before="80" w:after="80" w:line="170" w:lineRule="exact"/>
              <w:ind w:right="43"/>
              <w:jc w:val="right"/>
              <w:rPr>
                <w:i/>
                <w:sz w:val="14"/>
                <w:szCs w:val="14"/>
              </w:rPr>
            </w:pPr>
            <w:r w:rsidRPr="00F80145">
              <w:rPr>
                <w:i/>
                <w:sz w:val="14"/>
                <w:szCs w:val="14"/>
              </w:rPr>
              <w:t>Nombre de femmes</w:t>
            </w:r>
          </w:p>
        </w:tc>
        <w:tc>
          <w:tcPr>
            <w:tcW w:w="770" w:type="dxa"/>
            <w:tcBorders>
              <w:bottom w:val="single" w:sz="12" w:space="0" w:color="auto"/>
            </w:tcBorders>
            <w:shd w:val="clear" w:color="auto" w:fill="auto"/>
          </w:tcPr>
          <w:p w:rsidR="00F80145" w:rsidRPr="00F80145" w:rsidRDefault="00F80145" w:rsidP="006A4084">
            <w:pPr>
              <w:spacing w:before="80" w:after="80" w:line="170" w:lineRule="exact"/>
              <w:ind w:right="43"/>
              <w:jc w:val="right"/>
              <w:rPr>
                <w:i/>
                <w:sz w:val="14"/>
                <w:szCs w:val="14"/>
              </w:rPr>
            </w:pPr>
            <w:r w:rsidRPr="00F80145">
              <w:rPr>
                <w:i/>
                <w:sz w:val="14"/>
                <w:szCs w:val="14"/>
              </w:rPr>
              <w:t>% de femmes</w:t>
            </w:r>
          </w:p>
        </w:tc>
      </w:tr>
      <w:tr w:rsidR="006B0220" w:rsidRPr="006B0220">
        <w:tblPrEx>
          <w:tblCellMar>
            <w:top w:w="0" w:type="dxa"/>
            <w:bottom w:w="0" w:type="dxa"/>
          </w:tblCellMar>
        </w:tblPrEx>
        <w:trPr>
          <w:cantSplit/>
          <w:trHeight w:hRule="exact" w:val="115"/>
          <w:tblHeader/>
        </w:trPr>
        <w:tc>
          <w:tcPr>
            <w:tcW w:w="2880" w:type="dxa"/>
            <w:tcBorders>
              <w:top w:val="single" w:sz="12" w:space="0" w:color="auto"/>
            </w:tcBorders>
            <w:shd w:val="clear" w:color="auto" w:fill="auto"/>
            <w:vAlign w:val="bottom"/>
          </w:tcPr>
          <w:p w:rsidR="006B0220" w:rsidRPr="006B0220" w:rsidRDefault="006B0220" w:rsidP="006B0220">
            <w:pPr>
              <w:pStyle w:val="Heading7"/>
              <w:suppressAutoHyphens/>
              <w:spacing w:before="40" w:after="40" w:line="210" w:lineRule="exact"/>
              <w:ind w:right="43"/>
              <w:rPr>
                <w:bCs/>
                <w:sz w:val="17"/>
                <w:szCs w:val="24"/>
              </w:rPr>
            </w:pPr>
          </w:p>
        </w:tc>
        <w:tc>
          <w:tcPr>
            <w:tcW w:w="770" w:type="dxa"/>
            <w:tcBorders>
              <w:top w:val="single" w:sz="12" w:space="0" w:color="auto"/>
            </w:tcBorders>
            <w:shd w:val="clear" w:color="auto" w:fill="auto"/>
            <w:vAlign w:val="bottom"/>
          </w:tcPr>
          <w:p w:rsidR="006B0220" w:rsidRPr="006B0220" w:rsidRDefault="006B0220" w:rsidP="006B0220">
            <w:pPr>
              <w:suppressAutoHyphens/>
              <w:spacing w:before="40" w:after="40" w:line="210" w:lineRule="exact"/>
              <w:ind w:right="43"/>
              <w:jc w:val="right"/>
              <w:rPr>
                <w:bCs/>
                <w:color w:val="000000"/>
                <w:sz w:val="17"/>
              </w:rPr>
            </w:pPr>
          </w:p>
        </w:tc>
        <w:tc>
          <w:tcPr>
            <w:tcW w:w="770" w:type="dxa"/>
            <w:tcBorders>
              <w:top w:val="single" w:sz="12" w:space="0" w:color="auto"/>
            </w:tcBorders>
            <w:shd w:val="clear" w:color="auto" w:fill="auto"/>
            <w:vAlign w:val="bottom"/>
          </w:tcPr>
          <w:p w:rsidR="006B0220" w:rsidRPr="006B0220" w:rsidRDefault="006B0220" w:rsidP="006B0220">
            <w:pPr>
              <w:suppressAutoHyphens/>
              <w:spacing w:before="40" w:after="40" w:line="210" w:lineRule="exact"/>
              <w:ind w:right="43"/>
              <w:jc w:val="right"/>
              <w:rPr>
                <w:bCs/>
                <w:color w:val="000000"/>
                <w:sz w:val="17"/>
              </w:rPr>
            </w:pPr>
          </w:p>
        </w:tc>
        <w:tc>
          <w:tcPr>
            <w:tcW w:w="770" w:type="dxa"/>
            <w:tcBorders>
              <w:top w:val="single" w:sz="12" w:space="0" w:color="auto"/>
            </w:tcBorders>
            <w:shd w:val="clear" w:color="auto" w:fill="auto"/>
            <w:vAlign w:val="bottom"/>
          </w:tcPr>
          <w:p w:rsidR="006B0220" w:rsidRPr="006B0220" w:rsidRDefault="006B0220" w:rsidP="006B0220">
            <w:pPr>
              <w:suppressAutoHyphens/>
              <w:spacing w:before="40" w:after="40" w:line="210" w:lineRule="exact"/>
              <w:ind w:right="43"/>
              <w:jc w:val="right"/>
              <w:rPr>
                <w:bCs/>
                <w:color w:val="000000"/>
                <w:sz w:val="17"/>
              </w:rPr>
            </w:pPr>
          </w:p>
        </w:tc>
        <w:tc>
          <w:tcPr>
            <w:tcW w:w="770" w:type="dxa"/>
            <w:tcBorders>
              <w:top w:val="single" w:sz="12" w:space="0" w:color="auto"/>
            </w:tcBorders>
            <w:shd w:val="clear" w:color="auto" w:fill="auto"/>
            <w:vAlign w:val="bottom"/>
          </w:tcPr>
          <w:p w:rsidR="006B0220" w:rsidRPr="006B0220" w:rsidRDefault="006B0220" w:rsidP="006B0220">
            <w:pPr>
              <w:suppressAutoHyphens/>
              <w:spacing w:before="40" w:after="40" w:line="210" w:lineRule="exact"/>
              <w:ind w:right="43"/>
              <w:jc w:val="right"/>
              <w:rPr>
                <w:bCs/>
                <w:color w:val="000000"/>
                <w:sz w:val="17"/>
              </w:rPr>
            </w:pPr>
          </w:p>
        </w:tc>
        <w:tc>
          <w:tcPr>
            <w:tcW w:w="770" w:type="dxa"/>
            <w:tcBorders>
              <w:top w:val="single" w:sz="12" w:space="0" w:color="auto"/>
            </w:tcBorders>
            <w:shd w:val="clear" w:color="auto" w:fill="auto"/>
            <w:vAlign w:val="bottom"/>
          </w:tcPr>
          <w:p w:rsidR="006B0220" w:rsidRPr="006B0220" w:rsidRDefault="006B0220" w:rsidP="006B0220">
            <w:pPr>
              <w:suppressAutoHyphens/>
              <w:spacing w:before="40" w:after="40" w:line="210" w:lineRule="exact"/>
              <w:ind w:right="43"/>
              <w:jc w:val="right"/>
              <w:rPr>
                <w:bCs/>
                <w:color w:val="000000"/>
                <w:sz w:val="17"/>
              </w:rPr>
            </w:pPr>
          </w:p>
        </w:tc>
        <w:tc>
          <w:tcPr>
            <w:tcW w:w="770" w:type="dxa"/>
            <w:tcBorders>
              <w:top w:val="single" w:sz="12" w:space="0" w:color="auto"/>
            </w:tcBorders>
            <w:shd w:val="clear" w:color="auto" w:fill="auto"/>
            <w:vAlign w:val="bottom"/>
          </w:tcPr>
          <w:p w:rsidR="006B0220" w:rsidRPr="006B0220" w:rsidRDefault="006B0220" w:rsidP="006B0220">
            <w:pPr>
              <w:suppressAutoHyphens/>
              <w:spacing w:before="40" w:after="40" w:line="210" w:lineRule="exact"/>
              <w:ind w:right="43"/>
              <w:jc w:val="right"/>
              <w:rPr>
                <w:bCs/>
                <w:color w:val="000000"/>
                <w:sz w:val="17"/>
              </w:rPr>
            </w:pPr>
          </w:p>
        </w:tc>
        <w:tc>
          <w:tcPr>
            <w:tcW w:w="770" w:type="dxa"/>
            <w:tcBorders>
              <w:top w:val="single" w:sz="12" w:space="0" w:color="auto"/>
            </w:tcBorders>
            <w:shd w:val="clear" w:color="auto" w:fill="auto"/>
            <w:vAlign w:val="bottom"/>
          </w:tcPr>
          <w:p w:rsidR="006B0220" w:rsidRPr="006B0220" w:rsidRDefault="006B0220" w:rsidP="006B0220">
            <w:pPr>
              <w:suppressAutoHyphens/>
              <w:spacing w:before="40" w:after="40" w:line="210" w:lineRule="exact"/>
              <w:ind w:right="43"/>
              <w:jc w:val="right"/>
              <w:rPr>
                <w:bCs/>
                <w:color w:val="000000"/>
                <w:sz w:val="17"/>
              </w:rPr>
            </w:pPr>
          </w:p>
        </w:tc>
        <w:tc>
          <w:tcPr>
            <w:tcW w:w="770" w:type="dxa"/>
            <w:tcBorders>
              <w:top w:val="single" w:sz="12" w:space="0" w:color="auto"/>
            </w:tcBorders>
            <w:shd w:val="clear" w:color="auto" w:fill="auto"/>
            <w:vAlign w:val="bottom"/>
          </w:tcPr>
          <w:p w:rsidR="006B0220" w:rsidRPr="006B0220" w:rsidRDefault="006B0220" w:rsidP="006B0220">
            <w:pPr>
              <w:suppressAutoHyphens/>
              <w:spacing w:before="40" w:after="40" w:line="210" w:lineRule="exact"/>
              <w:ind w:right="43"/>
              <w:jc w:val="right"/>
              <w:rPr>
                <w:bCs/>
                <w:color w:val="000000"/>
                <w:sz w:val="17"/>
              </w:rPr>
            </w:pPr>
          </w:p>
        </w:tc>
        <w:tc>
          <w:tcPr>
            <w:tcW w:w="770" w:type="dxa"/>
            <w:tcBorders>
              <w:top w:val="single" w:sz="12" w:space="0" w:color="auto"/>
            </w:tcBorders>
            <w:shd w:val="clear" w:color="auto" w:fill="auto"/>
            <w:vAlign w:val="bottom"/>
          </w:tcPr>
          <w:p w:rsidR="006B0220" w:rsidRPr="006B0220" w:rsidRDefault="006B0220" w:rsidP="006B0220">
            <w:pPr>
              <w:suppressAutoHyphens/>
              <w:spacing w:before="40" w:after="40" w:line="210" w:lineRule="exact"/>
              <w:ind w:right="43"/>
              <w:jc w:val="right"/>
              <w:rPr>
                <w:bCs/>
                <w:color w:val="000000"/>
                <w:sz w:val="17"/>
              </w:rPr>
            </w:pPr>
          </w:p>
        </w:tc>
      </w:tr>
      <w:tr w:rsidR="00F80145" w:rsidRPr="006B0220">
        <w:tblPrEx>
          <w:tblCellMar>
            <w:top w:w="0" w:type="dxa"/>
            <w:bottom w:w="0" w:type="dxa"/>
          </w:tblCellMar>
        </w:tblPrEx>
        <w:trPr>
          <w:cantSplit/>
          <w:trHeight w:val="276"/>
        </w:trPr>
        <w:tc>
          <w:tcPr>
            <w:tcW w:w="2880" w:type="dxa"/>
            <w:shd w:val="clear" w:color="auto" w:fill="auto"/>
            <w:vAlign w:val="bottom"/>
          </w:tcPr>
          <w:p w:rsidR="0073290F" w:rsidRPr="00F80145" w:rsidRDefault="0073290F" w:rsidP="006B0220">
            <w:pPr>
              <w:spacing w:before="40" w:after="40" w:line="210" w:lineRule="exact"/>
              <w:rPr>
                <w:b/>
                <w:color w:val="000000"/>
                <w:sz w:val="17"/>
                <w:szCs w:val="17"/>
              </w:rPr>
            </w:pPr>
            <w:r w:rsidRPr="00F80145">
              <w:rPr>
                <w:b/>
                <w:sz w:val="17"/>
                <w:szCs w:val="17"/>
              </w:rPr>
              <w:t>Total</w:t>
            </w:r>
          </w:p>
        </w:tc>
        <w:tc>
          <w:tcPr>
            <w:tcW w:w="770" w:type="dxa"/>
            <w:shd w:val="clear" w:color="auto" w:fill="auto"/>
            <w:vAlign w:val="bottom"/>
          </w:tcPr>
          <w:p w:rsidR="0073290F" w:rsidRPr="00F80145" w:rsidRDefault="0073290F" w:rsidP="006B0220">
            <w:pPr>
              <w:tabs>
                <w:tab w:val="left" w:pos="288"/>
                <w:tab w:val="left" w:pos="576"/>
                <w:tab w:val="left" w:pos="864"/>
                <w:tab w:val="left" w:pos="1152"/>
              </w:tabs>
              <w:suppressAutoHyphens/>
              <w:spacing w:before="40" w:after="40" w:line="210" w:lineRule="exact"/>
              <w:ind w:right="43"/>
              <w:jc w:val="right"/>
              <w:rPr>
                <w:b/>
                <w:bCs/>
                <w:color w:val="000000"/>
                <w:sz w:val="17"/>
              </w:rPr>
            </w:pPr>
            <w:r w:rsidRPr="00F80145">
              <w:rPr>
                <w:b/>
                <w:bCs/>
                <w:color w:val="000000"/>
                <w:sz w:val="17"/>
              </w:rPr>
              <w:t>99.607</w:t>
            </w:r>
          </w:p>
        </w:tc>
        <w:tc>
          <w:tcPr>
            <w:tcW w:w="770" w:type="dxa"/>
            <w:shd w:val="clear" w:color="auto" w:fill="auto"/>
            <w:vAlign w:val="bottom"/>
          </w:tcPr>
          <w:p w:rsidR="0073290F" w:rsidRPr="00F80145" w:rsidRDefault="0073290F" w:rsidP="006B0220">
            <w:pPr>
              <w:tabs>
                <w:tab w:val="left" w:pos="288"/>
                <w:tab w:val="left" w:pos="576"/>
                <w:tab w:val="left" w:pos="864"/>
                <w:tab w:val="left" w:pos="1152"/>
              </w:tabs>
              <w:suppressAutoHyphens/>
              <w:spacing w:before="40" w:after="40" w:line="210" w:lineRule="exact"/>
              <w:ind w:right="43"/>
              <w:jc w:val="right"/>
              <w:rPr>
                <w:b/>
                <w:bCs/>
                <w:color w:val="000000"/>
                <w:sz w:val="17"/>
              </w:rPr>
            </w:pPr>
            <w:r w:rsidRPr="00F80145">
              <w:rPr>
                <w:b/>
                <w:bCs/>
                <w:color w:val="000000"/>
                <w:sz w:val="17"/>
              </w:rPr>
              <w:t>51.378</w:t>
            </w:r>
          </w:p>
        </w:tc>
        <w:tc>
          <w:tcPr>
            <w:tcW w:w="770" w:type="dxa"/>
            <w:shd w:val="clear" w:color="auto" w:fill="auto"/>
            <w:vAlign w:val="bottom"/>
          </w:tcPr>
          <w:p w:rsidR="0073290F" w:rsidRPr="00F80145" w:rsidRDefault="0073290F" w:rsidP="006B0220">
            <w:pPr>
              <w:tabs>
                <w:tab w:val="left" w:pos="288"/>
                <w:tab w:val="left" w:pos="576"/>
                <w:tab w:val="left" w:pos="864"/>
                <w:tab w:val="left" w:pos="1152"/>
              </w:tabs>
              <w:suppressAutoHyphens/>
              <w:spacing w:before="40" w:after="40" w:line="210" w:lineRule="exact"/>
              <w:ind w:right="43"/>
              <w:jc w:val="right"/>
              <w:rPr>
                <w:b/>
                <w:bCs/>
                <w:color w:val="000000"/>
                <w:sz w:val="17"/>
              </w:rPr>
            </w:pPr>
            <w:r w:rsidRPr="00F80145">
              <w:rPr>
                <w:b/>
                <w:bCs/>
                <w:color w:val="000000"/>
                <w:sz w:val="17"/>
              </w:rPr>
              <w:t>51,6</w:t>
            </w:r>
          </w:p>
        </w:tc>
        <w:tc>
          <w:tcPr>
            <w:tcW w:w="770" w:type="dxa"/>
            <w:shd w:val="clear" w:color="auto" w:fill="auto"/>
            <w:vAlign w:val="bottom"/>
          </w:tcPr>
          <w:p w:rsidR="0073290F" w:rsidRPr="00F80145" w:rsidRDefault="0073290F" w:rsidP="006B0220">
            <w:pPr>
              <w:tabs>
                <w:tab w:val="left" w:pos="288"/>
                <w:tab w:val="left" w:pos="576"/>
                <w:tab w:val="left" w:pos="864"/>
                <w:tab w:val="left" w:pos="1152"/>
              </w:tabs>
              <w:suppressAutoHyphens/>
              <w:spacing w:before="40" w:after="40" w:line="210" w:lineRule="exact"/>
              <w:ind w:right="43"/>
              <w:jc w:val="right"/>
              <w:rPr>
                <w:b/>
                <w:bCs/>
                <w:color w:val="000000"/>
                <w:sz w:val="17"/>
              </w:rPr>
            </w:pPr>
            <w:r w:rsidRPr="00F80145">
              <w:rPr>
                <w:b/>
                <w:bCs/>
                <w:color w:val="000000"/>
                <w:sz w:val="17"/>
              </w:rPr>
              <w:t>95.993</w:t>
            </w:r>
          </w:p>
        </w:tc>
        <w:tc>
          <w:tcPr>
            <w:tcW w:w="770" w:type="dxa"/>
            <w:shd w:val="clear" w:color="auto" w:fill="auto"/>
            <w:vAlign w:val="bottom"/>
          </w:tcPr>
          <w:p w:rsidR="0073290F" w:rsidRPr="00F80145" w:rsidRDefault="0073290F" w:rsidP="006B0220">
            <w:pPr>
              <w:tabs>
                <w:tab w:val="left" w:pos="288"/>
                <w:tab w:val="left" w:pos="576"/>
                <w:tab w:val="left" w:pos="864"/>
                <w:tab w:val="left" w:pos="1152"/>
              </w:tabs>
              <w:suppressAutoHyphens/>
              <w:spacing w:before="40" w:after="40" w:line="210" w:lineRule="exact"/>
              <w:ind w:right="43"/>
              <w:jc w:val="right"/>
              <w:rPr>
                <w:b/>
                <w:bCs/>
                <w:color w:val="000000"/>
                <w:sz w:val="17"/>
              </w:rPr>
            </w:pPr>
            <w:r w:rsidRPr="00F80145">
              <w:rPr>
                <w:b/>
                <w:bCs/>
                <w:color w:val="000000"/>
                <w:sz w:val="17"/>
              </w:rPr>
              <w:t>50.324</w:t>
            </w:r>
          </w:p>
        </w:tc>
        <w:tc>
          <w:tcPr>
            <w:tcW w:w="770" w:type="dxa"/>
            <w:shd w:val="clear" w:color="auto" w:fill="auto"/>
            <w:vAlign w:val="bottom"/>
          </w:tcPr>
          <w:p w:rsidR="0073290F" w:rsidRPr="00F80145" w:rsidRDefault="0073290F" w:rsidP="006B0220">
            <w:pPr>
              <w:tabs>
                <w:tab w:val="left" w:pos="288"/>
                <w:tab w:val="left" w:pos="576"/>
                <w:tab w:val="left" w:pos="864"/>
                <w:tab w:val="left" w:pos="1152"/>
              </w:tabs>
              <w:suppressAutoHyphens/>
              <w:spacing w:before="40" w:after="40" w:line="210" w:lineRule="exact"/>
              <w:ind w:right="43"/>
              <w:jc w:val="right"/>
              <w:rPr>
                <w:b/>
                <w:bCs/>
                <w:color w:val="000000"/>
                <w:sz w:val="17"/>
              </w:rPr>
            </w:pPr>
            <w:r w:rsidRPr="00F80145">
              <w:rPr>
                <w:b/>
                <w:bCs/>
                <w:color w:val="000000"/>
                <w:sz w:val="17"/>
              </w:rPr>
              <w:t>52,4</w:t>
            </w:r>
          </w:p>
        </w:tc>
        <w:tc>
          <w:tcPr>
            <w:tcW w:w="770" w:type="dxa"/>
            <w:shd w:val="clear" w:color="auto" w:fill="auto"/>
            <w:vAlign w:val="bottom"/>
          </w:tcPr>
          <w:p w:rsidR="0073290F" w:rsidRPr="00F80145" w:rsidRDefault="0073290F" w:rsidP="006B0220">
            <w:pPr>
              <w:tabs>
                <w:tab w:val="left" w:pos="288"/>
                <w:tab w:val="left" w:pos="576"/>
                <w:tab w:val="left" w:pos="864"/>
                <w:tab w:val="left" w:pos="1152"/>
              </w:tabs>
              <w:suppressAutoHyphens/>
              <w:spacing w:before="40" w:after="40" w:line="210" w:lineRule="exact"/>
              <w:ind w:right="43"/>
              <w:jc w:val="right"/>
              <w:rPr>
                <w:b/>
                <w:bCs/>
                <w:color w:val="000000"/>
                <w:sz w:val="17"/>
              </w:rPr>
            </w:pPr>
            <w:r w:rsidRPr="00F80145">
              <w:rPr>
                <w:b/>
                <w:bCs/>
                <w:color w:val="000000"/>
                <w:sz w:val="17"/>
              </w:rPr>
              <w:t>90.728</w:t>
            </w:r>
          </w:p>
        </w:tc>
        <w:tc>
          <w:tcPr>
            <w:tcW w:w="770" w:type="dxa"/>
            <w:shd w:val="clear" w:color="auto" w:fill="auto"/>
            <w:vAlign w:val="bottom"/>
          </w:tcPr>
          <w:p w:rsidR="0073290F" w:rsidRPr="00F80145" w:rsidRDefault="0073290F" w:rsidP="006B0220">
            <w:pPr>
              <w:tabs>
                <w:tab w:val="left" w:pos="288"/>
                <w:tab w:val="left" w:pos="576"/>
                <w:tab w:val="left" w:pos="864"/>
                <w:tab w:val="left" w:pos="1152"/>
              </w:tabs>
              <w:suppressAutoHyphens/>
              <w:spacing w:before="40" w:after="40" w:line="210" w:lineRule="exact"/>
              <w:ind w:right="43"/>
              <w:jc w:val="right"/>
              <w:rPr>
                <w:b/>
                <w:bCs/>
                <w:color w:val="000000"/>
                <w:sz w:val="17"/>
              </w:rPr>
            </w:pPr>
            <w:r w:rsidRPr="00F80145">
              <w:rPr>
                <w:b/>
                <w:bCs/>
                <w:color w:val="000000"/>
                <w:sz w:val="17"/>
              </w:rPr>
              <w:t>47.817</w:t>
            </w:r>
          </w:p>
        </w:tc>
        <w:tc>
          <w:tcPr>
            <w:tcW w:w="770" w:type="dxa"/>
            <w:shd w:val="clear" w:color="auto" w:fill="auto"/>
            <w:vAlign w:val="bottom"/>
          </w:tcPr>
          <w:p w:rsidR="0073290F" w:rsidRPr="00F80145" w:rsidRDefault="0073290F" w:rsidP="006B0220">
            <w:pPr>
              <w:tabs>
                <w:tab w:val="left" w:pos="288"/>
                <w:tab w:val="left" w:pos="576"/>
                <w:tab w:val="left" w:pos="864"/>
                <w:tab w:val="left" w:pos="1152"/>
              </w:tabs>
              <w:suppressAutoHyphens/>
              <w:spacing w:before="40" w:after="40" w:line="210" w:lineRule="exact"/>
              <w:ind w:right="43"/>
              <w:jc w:val="right"/>
              <w:rPr>
                <w:b/>
                <w:bCs/>
                <w:color w:val="000000"/>
                <w:sz w:val="17"/>
              </w:rPr>
            </w:pPr>
            <w:r w:rsidRPr="00F80145">
              <w:rPr>
                <w:b/>
                <w:bCs/>
                <w:color w:val="000000"/>
                <w:sz w:val="17"/>
              </w:rPr>
              <w:t>52,7</w:t>
            </w:r>
          </w:p>
        </w:tc>
      </w:tr>
      <w:tr w:rsidR="006B0220" w:rsidRPr="006B0220">
        <w:tblPrEx>
          <w:tblCellMar>
            <w:top w:w="0" w:type="dxa"/>
            <w:bottom w:w="0" w:type="dxa"/>
          </w:tblCellMar>
        </w:tblPrEx>
        <w:trPr>
          <w:cantSplit/>
          <w:trHeight w:val="276"/>
        </w:trPr>
        <w:tc>
          <w:tcPr>
            <w:tcW w:w="2880" w:type="dxa"/>
            <w:shd w:val="clear" w:color="auto" w:fill="auto"/>
            <w:vAlign w:val="bottom"/>
          </w:tcPr>
          <w:p w:rsidR="0073290F" w:rsidRPr="006B0220" w:rsidRDefault="0073290F" w:rsidP="006B0220">
            <w:pPr>
              <w:spacing w:before="40" w:after="40" w:line="210" w:lineRule="exact"/>
              <w:rPr>
                <w:sz w:val="17"/>
                <w:szCs w:val="17"/>
              </w:rPr>
            </w:pPr>
            <w:r w:rsidRPr="006B0220">
              <w:rPr>
                <w:sz w:val="17"/>
                <w:szCs w:val="17"/>
              </w:rPr>
              <w:t>Niveau d’instruction</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p>
        </w:tc>
      </w:tr>
      <w:tr w:rsidR="006B0220" w:rsidRPr="006B0220">
        <w:tblPrEx>
          <w:tblCellMar>
            <w:top w:w="0" w:type="dxa"/>
            <w:bottom w:w="0" w:type="dxa"/>
          </w:tblCellMar>
        </w:tblPrEx>
        <w:trPr>
          <w:cantSplit/>
          <w:trHeight w:val="262"/>
        </w:trPr>
        <w:tc>
          <w:tcPr>
            <w:tcW w:w="288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rPr>
                <w:color w:val="000000"/>
                <w:sz w:val="17"/>
              </w:rPr>
            </w:pPr>
            <w:r w:rsidRPr="006B0220">
              <w:rPr>
                <w:sz w:val="17"/>
              </w:rPr>
              <w:t>Enseignement élémentaire non achevé</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39.130</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19.826</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50,7</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35.531</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18.038</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50,8</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32.262</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16.120</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50,0</w:t>
            </w:r>
          </w:p>
        </w:tc>
      </w:tr>
      <w:tr w:rsidR="006B0220" w:rsidRPr="006B0220">
        <w:tblPrEx>
          <w:tblCellMar>
            <w:top w:w="0" w:type="dxa"/>
            <w:bottom w:w="0" w:type="dxa"/>
          </w:tblCellMar>
        </w:tblPrEx>
        <w:trPr>
          <w:cantSplit/>
          <w:trHeight w:val="247"/>
        </w:trPr>
        <w:tc>
          <w:tcPr>
            <w:tcW w:w="288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rPr>
                <w:color w:val="000000"/>
                <w:sz w:val="17"/>
              </w:rPr>
            </w:pPr>
            <w:r w:rsidRPr="006B0220">
              <w:rPr>
                <w:sz w:val="17"/>
              </w:rPr>
              <w:t>Enseignement élémentaire</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6.324</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2.436</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38,5</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5.533</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2.219</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40,1</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4.936</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1.988</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40,3</w:t>
            </w:r>
          </w:p>
        </w:tc>
      </w:tr>
      <w:tr w:rsidR="006B0220" w:rsidRPr="006B0220">
        <w:tblPrEx>
          <w:tblCellMar>
            <w:top w:w="0" w:type="dxa"/>
            <w:bottom w:w="0" w:type="dxa"/>
          </w:tblCellMar>
        </w:tblPrEx>
        <w:trPr>
          <w:cantSplit/>
          <w:trHeight w:val="247"/>
        </w:trPr>
        <w:tc>
          <w:tcPr>
            <w:tcW w:w="288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rPr>
                <w:color w:val="000000"/>
                <w:sz w:val="17"/>
              </w:rPr>
            </w:pPr>
            <w:r w:rsidRPr="006B0220">
              <w:rPr>
                <w:sz w:val="17"/>
              </w:rPr>
              <w:t>Enseignement professionnel de premier niveau</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1.393</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850</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61,0</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1.185</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734</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61,9</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1.037</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656</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63,3</w:t>
            </w:r>
          </w:p>
        </w:tc>
      </w:tr>
      <w:tr w:rsidR="006B0220" w:rsidRPr="006B0220">
        <w:tblPrEx>
          <w:tblCellMar>
            <w:top w:w="0" w:type="dxa"/>
            <w:bottom w:w="0" w:type="dxa"/>
          </w:tblCellMar>
        </w:tblPrEx>
        <w:trPr>
          <w:cantSplit/>
          <w:trHeight w:val="247"/>
        </w:trPr>
        <w:tc>
          <w:tcPr>
            <w:tcW w:w="288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rPr>
                <w:color w:val="000000"/>
                <w:sz w:val="17"/>
              </w:rPr>
            </w:pPr>
            <w:r w:rsidRPr="006B0220">
              <w:rPr>
                <w:sz w:val="17"/>
              </w:rPr>
              <w:t>Enseignement professionnel</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24.810</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11.873</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47,9</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22.471</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10.977</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48,8</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20.995</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10.533</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50,2</w:t>
            </w:r>
          </w:p>
        </w:tc>
      </w:tr>
      <w:tr w:rsidR="006B0220" w:rsidRPr="006B0220">
        <w:tblPrEx>
          <w:tblCellMar>
            <w:top w:w="0" w:type="dxa"/>
            <w:bottom w:w="0" w:type="dxa"/>
          </w:tblCellMar>
        </w:tblPrEx>
        <w:trPr>
          <w:cantSplit/>
          <w:trHeight w:val="247"/>
        </w:trPr>
        <w:tc>
          <w:tcPr>
            <w:tcW w:w="288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rPr>
                <w:sz w:val="17"/>
              </w:rPr>
            </w:pPr>
            <w:r w:rsidRPr="006B0220">
              <w:rPr>
                <w:sz w:val="17"/>
              </w:rPr>
              <w:t>Enseignement secondaire</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22.668</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13.360</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58,9</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24.840</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14.494</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58,3</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24.846</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14.523</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58,5</w:t>
            </w:r>
          </w:p>
        </w:tc>
      </w:tr>
      <w:tr w:rsidR="006B0220" w:rsidRPr="006B0220">
        <w:tblPrEx>
          <w:tblCellMar>
            <w:top w:w="0" w:type="dxa"/>
            <w:bottom w:w="0" w:type="dxa"/>
          </w:tblCellMar>
        </w:tblPrEx>
        <w:trPr>
          <w:cantSplit/>
          <w:trHeight w:val="247"/>
        </w:trPr>
        <w:tc>
          <w:tcPr>
            <w:tcW w:w="288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rPr>
                <w:sz w:val="17"/>
              </w:rPr>
            </w:pPr>
            <w:r w:rsidRPr="006B0220">
              <w:rPr>
                <w:sz w:val="17"/>
              </w:rPr>
              <w:t>Enseignement post-secondaire</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2.049</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1.032</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50,4</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2.083</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1.095</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52,6</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2.078</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1.087</w:t>
            </w:r>
          </w:p>
        </w:tc>
        <w:tc>
          <w:tcPr>
            <w:tcW w:w="770" w:type="dxa"/>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52,3</w:t>
            </w:r>
          </w:p>
        </w:tc>
      </w:tr>
      <w:tr w:rsidR="006B0220" w:rsidRPr="006B0220">
        <w:tblPrEx>
          <w:tblCellMar>
            <w:top w:w="0" w:type="dxa"/>
            <w:bottom w:w="0" w:type="dxa"/>
          </w:tblCellMar>
        </w:tblPrEx>
        <w:trPr>
          <w:cantSplit/>
          <w:trHeight w:val="262"/>
        </w:trPr>
        <w:tc>
          <w:tcPr>
            <w:tcW w:w="2880" w:type="dxa"/>
            <w:tcBorders>
              <w:bottom w:val="single" w:sz="12" w:space="0" w:color="auto"/>
            </w:tcBorders>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rPr>
                <w:color w:val="000000"/>
                <w:sz w:val="17"/>
              </w:rPr>
            </w:pPr>
            <w:r w:rsidRPr="006B0220">
              <w:rPr>
                <w:sz w:val="17"/>
              </w:rPr>
              <w:t>Enseignement supérieur, Grandes Ecoles</w:t>
            </w:r>
          </w:p>
        </w:tc>
        <w:tc>
          <w:tcPr>
            <w:tcW w:w="770" w:type="dxa"/>
            <w:tcBorders>
              <w:bottom w:val="single" w:sz="12" w:space="0" w:color="auto"/>
            </w:tcBorders>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3.233</w:t>
            </w:r>
          </w:p>
        </w:tc>
        <w:tc>
          <w:tcPr>
            <w:tcW w:w="770" w:type="dxa"/>
            <w:tcBorders>
              <w:bottom w:val="single" w:sz="12" w:space="0" w:color="auto"/>
            </w:tcBorders>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2.001</w:t>
            </w:r>
          </w:p>
        </w:tc>
        <w:tc>
          <w:tcPr>
            <w:tcW w:w="770" w:type="dxa"/>
            <w:tcBorders>
              <w:bottom w:val="single" w:sz="12" w:space="0" w:color="auto"/>
            </w:tcBorders>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61,9</w:t>
            </w:r>
          </w:p>
        </w:tc>
        <w:tc>
          <w:tcPr>
            <w:tcW w:w="770" w:type="dxa"/>
            <w:tcBorders>
              <w:bottom w:val="single" w:sz="12" w:space="0" w:color="auto"/>
            </w:tcBorders>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4.350</w:t>
            </w:r>
          </w:p>
        </w:tc>
        <w:tc>
          <w:tcPr>
            <w:tcW w:w="770" w:type="dxa"/>
            <w:tcBorders>
              <w:bottom w:val="single" w:sz="12" w:space="0" w:color="auto"/>
            </w:tcBorders>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2.767</w:t>
            </w:r>
          </w:p>
        </w:tc>
        <w:tc>
          <w:tcPr>
            <w:tcW w:w="770" w:type="dxa"/>
            <w:tcBorders>
              <w:bottom w:val="single" w:sz="12" w:space="0" w:color="auto"/>
            </w:tcBorders>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63,6</w:t>
            </w:r>
          </w:p>
        </w:tc>
        <w:tc>
          <w:tcPr>
            <w:tcW w:w="770" w:type="dxa"/>
            <w:tcBorders>
              <w:bottom w:val="single" w:sz="12" w:space="0" w:color="auto"/>
            </w:tcBorders>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4.574</w:t>
            </w:r>
          </w:p>
        </w:tc>
        <w:tc>
          <w:tcPr>
            <w:tcW w:w="770" w:type="dxa"/>
            <w:tcBorders>
              <w:bottom w:val="single" w:sz="12" w:space="0" w:color="auto"/>
            </w:tcBorders>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2.910</w:t>
            </w:r>
          </w:p>
        </w:tc>
        <w:tc>
          <w:tcPr>
            <w:tcW w:w="770" w:type="dxa"/>
            <w:tcBorders>
              <w:bottom w:val="single" w:sz="12" w:space="0" w:color="auto"/>
            </w:tcBorders>
            <w:shd w:val="clear" w:color="auto" w:fill="auto"/>
            <w:vAlign w:val="bottom"/>
          </w:tcPr>
          <w:p w:rsidR="0073290F" w:rsidRPr="006B0220" w:rsidRDefault="0073290F" w:rsidP="006B0220">
            <w:pPr>
              <w:tabs>
                <w:tab w:val="left" w:pos="288"/>
                <w:tab w:val="left" w:pos="576"/>
                <w:tab w:val="left" w:pos="864"/>
                <w:tab w:val="left" w:pos="1152"/>
              </w:tabs>
              <w:suppressAutoHyphens/>
              <w:spacing w:before="40" w:after="40" w:line="210" w:lineRule="exact"/>
              <w:ind w:right="43"/>
              <w:jc w:val="right"/>
              <w:rPr>
                <w:color w:val="000000"/>
                <w:sz w:val="17"/>
              </w:rPr>
            </w:pPr>
            <w:r w:rsidRPr="006B0220">
              <w:rPr>
                <w:color w:val="000000"/>
                <w:sz w:val="17"/>
              </w:rPr>
              <w:t>63,6</w:t>
            </w:r>
          </w:p>
        </w:tc>
      </w:tr>
    </w:tbl>
    <w:p w:rsidR="00270E40" w:rsidRPr="00270E40" w:rsidRDefault="00270E40" w:rsidP="00270E40">
      <w:pPr>
        <w:pStyle w:val="telo"/>
        <w:spacing w:after="0" w:line="120" w:lineRule="exact"/>
        <w:rPr>
          <w:rFonts w:ascii="Times New Roman" w:hAnsi="Times New Roman"/>
          <w:sz w:val="10"/>
          <w:lang w:val="fr-FR"/>
        </w:rPr>
      </w:pPr>
    </w:p>
    <w:p w:rsidR="0073290F" w:rsidRDefault="0073290F" w:rsidP="0073290F">
      <w:pPr>
        <w:pStyle w:val="telo"/>
        <w:spacing w:line="240" w:lineRule="auto"/>
        <w:rPr>
          <w:rFonts w:ascii="Times New Roman" w:hAnsi="Times New Roman"/>
          <w:sz w:val="17"/>
          <w:szCs w:val="17"/>
          <w:lang w:val="fr-FR"/>
        </w:rPr>
      </w:pPr>
      <w:r w:rsidRPr="00270E40">
        <w:rPr>
          <w:rFonts w:ascii="Times New Roman" w:hAnsi="Times New Roman"/>
          <w:i/>
          <w:sz w:val="17"/>
          <w:szCs w:val="17"/>
          <w:lang w:val="fr-FR"/>
        </w:rPr>
        <w:t>Source</w:t>
      </w:r>
      <w:r w:rsidRPr="00270E40">
        <w:rPr>
          <w:rFonts w:ascii="Times New Roman" w:hAnsi="Times New Roman"/>
          <w:sz w:val="17"/>
          <w:szCs w:val="17"/>
          <w:lang w:val="fr-FR"/>
        </w:rPr>
        <w:t>: Rapports annuels 2002, 2003 et 2004, Bureau national de l’Emploi.</w:t>
      </w:r>
    </w:p>
    <w:p w:rsidR="00525D53" w:rsidRPr="00525D53" w:rsidRDefault="00525D53" w:rsidP="00525D53">
      <w:pPr>
        <w:pStyle w:val="telo"/>
        <w:spacing w:after="0" w:line="120" w:lineRule="exact"/>
        <w:rPr>
          <w:rFonts w:ascii="Times New Roman" w:hAnsi="Times New Roman"/>
          <w:sz w:val="10"/>
          <w:szCs w:val="17"/>
          <w:lang w:val="fr-FR"/>
        </w:rPr>
      </w:pPr>
    </w:p>
    <w:p w:rsidR="0073290F" w:rsidRDefault="0073290F" w:rsidP="00270E40">
      <w:pPr>
        <w:pStyle w:val="SingleTxt"/>
        <w:jc w:val="left"/>
        <w:rPr>
          <w:b/>
        </w:rPr>
      </w:pPr>
      <w:r w:rsidRPr="00270E40">
        <w:t>Tableau 39</w:t>
      </w:r>
      <w:r w:rsidR="00270E40">
        <w:br/>
      </w:r>
      <w:r w:rsidRPr="00270E40">
        <w:rPr>
          <w:b/>
        </w:rPr>
        <w:t xml:space="preserve">Structure par âge et par sexe des personnes inscrites au chômage - </w:t>
      </w:r>
      <w:r w:rsidR="00270E40" w:rsidRPr="00270E40">
        <w:rPr>
          <w:b/>
        </w:rPr>
        <w:br/>
      </w:r>
      <w:r w:rsidRPr="00270E40">
        <w:rPr>
          <w:b/>
        </w:rPr>
        <w:t>au 31. 12. 2001, 31. 12. 2002,</w:t>
      </w:r>
      <w:r w:rsidR="00BA4F2E">
        <w:rPr>
          <w:b/>
        </w:rPr>
        <w:t xml:space="preserve"> </w:t>
      </w:r>
      <w:r w:rsidRPr="00270E40">
        <w:rPr>
          <w:b/>
        </w:rPr>
        <w:t>31. 12. 2003 et 31. 12. 2004</w:t>
      </w:r>
    </w:p>
    <w:p w:rsidR="00270E40" w:rsidRPr="00270E40" w:rsidRDefault="00270E40" w:rsidP="00270E40">
      <w:pPr>
        <w:pStyle w:val="SingleTxt"/>
        <w:spacing w:after="0" w:line="120" w:lineRule="exact"/>
        <w:jc w:val="left"/>
        <w:rPr>
          <w:b/>
          <w:sz w:val="10"/>
        </w:rPr>
      </w:pPr>
    </w:p>
    <w:tbl>
      <w:tblPr>
        <w:tblW w:w="9840" w:type="dxa"/>
        <w:tblLayout w:type="fixed"/>
        <w:tblCellMar>
          <w:left w:w="30" w:type="dxa"/>
          <w:right w:w="30" w:type="dxa"/>
        </w:tblCellMar>
        <w:tblLook w:val="0000" w:firstRow="0" w:lastRow="0" w:firstColumn="0" w:lastColumn="0" w:noHBand="0" w:noVBand="0"/>
      </w:tblPr>
      <w:tblGrid>
        <w:gridCol w:w="1440"/>
        <w:gridCol w:w="933"/>
        <w:gridCol w:w="933"/>
        <w:gridCol w:w="934"/>
        <w:gridCol w:w="933"/>
        <w:gridCol w:w="933"/>
        <w:gridCol w:w="934"/>
        <w:gridCol w:w="933"/>
        <w:gridCol w:w="933"/>
        <w:gridCol w:w="934"/>
      </w:tblGrid>
      <w:tr w:rsidR="00270E40" w:rsidRPr="00270E40">
        <w:tblPrEx>
          <w:tblCellMar>
            <w:top w:w="0" w:type="dxa"/>
            <w:bottom w:w="0" w:type="dxa"/>
          </w:tblCellMar>
        </w:tblPrEx>
        <w:trPr>
          <w:cantSplit/>
          <w:trHeight w:val="276"/>
          <w:tblHeader/>
        </w:trPr>
        <w:tc>
          <w:tcPr>
            <w:tcW w:w="1440" w:type="dxa"/>
            <w:tcBorders>
              <w:top w:val="single" w:sz="4" w:space="0" w:color="auto"/>
            </w:tcBorders>
            <w:shd w:val="clear" w:color="auto" w:fill="auto"/>
            <w:vAlign w:val="bottom"/>
          </w:tcPr>
          <w:p w:rsidR="00270E40" w:rsidRPr="00270E40" w:rsidRDefault="00270E40" w:rsidP="00270E40">
            <w:pPr>
              <w:suppressAutoHyphens/>
              <w:spacing w:before="80" w:after="80" w:line="160" w:lineRule="exact"/>
              <w:ind w:right="43"/>
              <w:rPr>
                <w:i/>
                <w:sz w:val="14"/>
              </w:rPr>
            </w:pPr>
          </w:p>
        </w:tc>
        <w:tc>
          <w:tcPr>
            <w:tcW w:w="933" w:type="dxa"/>
            <w:tcBorders>
              <w:top w:val="single" w:sz="4" w:space="0" w:color="auto"/>
            </w:tcBorders>
            <w:shd w:val="clear" w:color="auto" w:fill="auto"/>
            <w:vAlign w:val="bottom"/>
          </w:tcPr>
          <w:p w:rsidR="00270E40" w:rsidRPr="006B0220" w:rsidRDefault="00270E40" w:rsidP="006A4084">
            <w:pPr>
              <w:suppressAutoHyphens/>
              <w:spacing w:before="80" w:after="80" w:line="160" w:lineRule="exact"/>
              <w:ind w:right="43"/>
              <w:jc w:val="right"/>
              <w:rPr>
                <w:bCs/>
                <w:i/>
                <w:color w:val="000000"/>
                <w:sz w:val="14"/>
              </w:rPr>
            </w:pPr>
          </w:p>
        </w:tc>
        <w:tc>
          <w:tcPr>
            <w:tcW w:w="933" w:type="dxa"/>
            <w:tcBorders>
              <w:top w:val="single" w:sz="4" w:space="0" w:color="auto"/>
              <w:bottom w:val="single" w:sz="4" w:space="0" w:color="auto"/>
            </w:tcBorders>
            <w:shd w:val="clear" w:color="auto" w:fill="auto"/>
            <w:vAlign w:val="bottom"/>
          </w:tcPr>
          <w:p w:rsidR="00270E40" w:rsidRPr="006B0220" w:rsidRDefault="00270E40" w:rsidP="00270E40">
            <w:pPr>
              <w:suppressAutoHyphens/>
              <w:spacing w:before="80" w:after="80" w:line="160" w:lineRule="exact"/>
              <w:ind w:right="43"/>
              <w:jc w:val="center"/>
              <w:rPr>
                <w:bCs/>
                <w:i/>
                <w:color w:val="000000"/>
                <w:sz w:val="14"/>
              </w:rPr>
            </w:pPr>
            <w:r>
              <w:rPr>
                <w:bCs/>
                <w:i/>
                <w:color w:val="000000"/>
                <w:sz w:val="14"/>
              </w:rPr>
              <w:t>2002</w:t>
            </w:r>
          </w:p>
        </w:tc>
        <w:tc>
          <w:tcPr>
            <w:tcW w:w="934" w:type="dxa"/>
            <w:tcBorders>
              <w:top w:val="single" w:sz="4" w:space="0" w:color="auto"/>
            </w:tcBorders>
            <w:shd w:val="clear" w:color="auto" w:fill="auto"/>
            <w:vAlign w:val="bottom"/>
          </w:tcPr>
          <w:p w:rsidR="00270E40" w:rsidRPr="006B0220" w:rsidRDefault="00270E40" w:rsidP="00270E40">
            <w:pPr>
              <w:suppressAutoHyphens/>
              <w:spacing w:before="80" w:after="80" w:line="160" w:lineRule="exact"/>
              <w:ind w:right="43"/>
              <w:jc w:val="center"/>
              <w:rPr>
                <w:bCs/>
                <w:i/>
                <w:color w:val="000000"/>
                <w:sz w:val="14"/>
              </w:rPr>
            </w:pPr>
          </w:p>
        </w:tc>
        <w:tc>
          <w:tcPr>
            <w:tcW w:w="933" w:type="dxa"/>
            <w:tcBorders>
              <w:top w:val="single" w:sz="4" w:space="0" w:color="auto"/>
            </w:tcBorders>
            <w:shd w:val="clear" w:color="auto" w:fill="auto"/>
            <w:vAlign w:val="bottom"/>
          </w:tcPr>
          <w:p w:rsidR="00270E40" w:rsidRPr="006B0220" w:rsidRDefault="00270E40" w:rsidP="00270E40">
            <w:pPr>
              <w:suppressAutoHyphens/>
              <w:spacing w:before="80" w:after="80" w:line="160" w:lineRule="exact"/>
              <w:ind w:right="43"/>
              <w:jc w:val="center"/>
              <w:rPr>
                <w:bCs/>
                <w:i/>
                <w:color w:val="000000"/>
                <w:sz w:val="14"/>
              </w:rPr>
            </w:pPr>
          </w:p>
        </w:tc>
        <w:tc>
          <w:tcPr>
            <w:tcW w:w="933" w:type="dxa"/>
            <w:tcBorders>
              <w:top w:val="single" w:sz="4" w:space="0" w:color="auto"/>
              <w:bottom w:val="single" w:sz="4" w:space="0" w:color="auto"/>
            </w:tcBorders>
            <w:shd w:val="clear" w:color="auto" w:fill="auto"/>
            <w:vAlign w:val="bottom"/>
          </w:tcPr>
          <w:p w:rsidR="00270E40" w:rsidRPr="006B0220" w:rsidRDefault="00270E40" w:rsidP="00270E40">
            <w:pPr>
              <w:suppressAutoHyphens/>
              <w:spacing w:before="80" w:after="80" w:line="160" w:lineRule="exact"/>
              <w:ind w:right="43"/>
              <w:jc w:val="center"/>
              <w:rPr>
                <w:bCs/>
                <w:i/>
                <w:color w:val="000000"/>
                <w:sz w:val="14"/>
              </w:rPr>
            </w:pPr>
            <w:r>
              <w:rPr>
                <w:bCs/>
                <w:i/>
                <w:color w:val="000000"/>
                <w:sz w:val="14"/>
              </w:rPr>
              <w:t>2003</w:t>
            </w:r>
          </w:p>
        </w:tc>
        <w:tc>
          <w:tcPr>
            <w:tcW w:w="934" w:type="dxa"/>
            <w:tcBorders>
              <w:top w:val="single" w:sz="4" w:space="0" w:color="auto"/>
            </w:tcBorders>
            <w:shd w:val="clear" w:color="auto" w:fill="auto"/>
            <w:vAlign w:val="bottom"/>
          </w:tcPr>
          <w:p w:rsidR="00270E40" w:rsidRPr="006B0220" w:rsidRDefault="00270E40" w:rsidP="00270E40">
            <w:pPr>
              <w:suppressAutoHyphens/>
              <w:spacing w:before="80" w:after="80" w:line="160" w:lineRule="exact"/>
              <w:ind w:right="43"/>
              <w:jc w:val="center"/>
              <w:rPr>
                <w:bCs/>
                <w:i/>
                <w:color w:val="000000"/>
                <w:sz w:val="14"/>
              </w:rPr>
            </w:pPr>
          </w:p>
        </w:tc>
        <w:tc>
          <w:tcPr>
            <w:tcW w:w="933" w:type="dxa"/>
            <w:tcBorders>
              <w:top w:val="single" w:sz="4" w:space="0" w:color="auto"/>
            </w:tcBorders>
            <w:shd w:val="clear" w:color="auto" w:fill="auto"/>
            <w:vAlign w:val="bottom"/>
          </w:tcPr>
          <w:p w:rsidR="00270E40" w:rsidRPr="006B0220" w:rsidRDefault="00270E40" w:rsidP="00270E40">
            <w:pPr>
              <w:suppressAutoHyphens/>
              <w:spacing w:before="80" w:after="80" w:line="160" w:lineRule="exact"/>
              <w:ind w:right="43"/>
              <w:jc w:val="center"/>
              <w:rPr>
                <w:bCs/>
                <w:i/>
                <w:color w:val="000000"/>
                <w:sz w:val="14"/>
              </w:rPr>
            </w:pPr>
          </w:p>
        </w:tc>
        <w:tc>
          <w:tcPr>
            <w:tcW w:w="933" w:type="dxa"/>
            <w:tcBorders>
              <w:top w:val="single" w:sz="4" w:space="0" w:color="auto"/>
              <w:bottom w:val="single" w:sz="4" w:space="0" w:color="auto"/>
            </w:tcBorders>
            <w:shd w:val="clear" w:color="auto" w:fill="auto"/>
            <w:vAlign w:val="bottom"/>
          </w:tcPr>
          <w:p w:rsidR="00270E40" w:rsidRPr="006B0220" w:rsidRDefault="00270E40" w:rsidP="00270E40">
            <w:pPr>
              <w:suppressAutoHyphens/>
              <w:spacing w:before="80" w:after="80" w:line="160" w:lineRule="exact"/>
              <w:ind w:right="43"/>
              <w:jc w:val="center"/>
              <w:rPr>
                <w:bCs/>
                <w:i/>
                <w:color w:val="000000"/>
                <w:sz w:val="14"/>
              </w:rPr>
            </w:pPr>
            <w:r>
              <w:rPr>
                <w:bCs/>
                <w:i/>
                <w:color w:val="000000"/>
                <w:sz w:val="14"/>
              </w:rPr>
              <w:t>2004</w:t>
            </w:r>
          </w:p>
        </w:tc>
        <w:tc>
          <w:tcPr>
            <w:tcW w:w="934" w:type="dxa"/>
            <w:tcBorders>
              <w:top w:val="single" w:sz="4" w:space="0" w:color="auto"/>
            </w:tcBorders>
            <w:shd w:val="clear" w:color="auto" w:fill="auto"/>
            <w:vAlign w:val="bottom"/>
          </w:tcPr>
          <w:p w:rsidR="00270E40" w:rsidRPr="006B0220" w:rsidRDefault="00270E40" w:rsidP="006A4084">
            <w:pPr>
              <w:suppressAutoHyphens/>
              <w:spacing w:before="80" w:after="80" w:line="160" w:lineRule="exact"/>
              <w:ind w:right="43"/>
              <w:jc w:val="right"/>
              <w:rPr>
                <w:bCs/>
                <w:i/>
                <w:color w:val="000000"/>
                <w:sz w:val="14"/>
              </w:rPr>
            </w:pPr>
          </w:p>
        </w:tc>
      </w:tr>
      <w:tr w:rsidR="00270E40" w:rsidRPr="00270E40">
        <w:tblPrEx>
          <w:tblCellMar>
            <w:top w:w="0" w:type="dxa"/>
            <w:bottom w:w="0" w:type="dxa"/>
          </w:tblCellMar>
        </w:tblPrEx>
        <w:trPr>
          <w:cantSplit/>
          <w:trHeight w:val="276"/>
          <w:tblHeader/>
        </w:trPr>
        <w:tc>
          <w:tcPr>
            <w:tcW w:w="1440" w:type="dxa"/>
            <w:tcBorders>
              <w:bottom w:val="single" w:sz="12" w:space="0" w:color="auto"/>
            </w:tcBorders>
            <w:shd w:val="clear" w:color="auto" w:fill="auto"/>
            <w:vAlign w:val="bottom"/>
          </w:tcPr>
          <w:p w:rsidR="00270E40" w:rsidRPr="00270E40" w:rsidRDefault="00270E40" w:rsidP="00270E40">
            <w:pPr>
              <w:suppressAutoHyphens/>
              <w:spacing w:before="80" w:after="80" w:line="160" w:lineRule="exact"/>
              <w:ind w:right="43"/>
              <w:rPr>
                <w:i/>
                <w:sz w:val="14"/>
              </w:rPr>
            </w:pPr>
          </w:p>
        </w:tc>
        <w:tc>
          <w:tcPr>
            <w:tcW w:w="933" w:type="dxa"/>
            <w:tcBorders>
              <w:bottom w:val="single" w:sz="12" w:space="0" w:color="auto"/>
            </w:tcBorders>
            <w:shd w:val="clear" w:color="auto" w:fill="auto"/>
            <w:vAlign w:val="bottom"/>
          </w:tcPr>
          <w:p w:rsidR="00270E40" w:rsidRPr="006B0220" w:rsidRDefault="00270E40" w:rsidP="00270E40">
            <w:pPr>
              <w:suppressAutoHyphens/>
              <w:spacing w:before="80" w:after="80" w:line="160" w:lineRule="exact"/>
              <w:ind w:right="43"/>
              <w:jc w:val="right"/>
              <w:rPr>
                <w:bCs/>
                <w:i/>
                <w:color w:val="000000"/>
                <w:sz w:val="14"/>
              </w:rPr>
            </w:pPr>
            <w:r>
              <w:rPr>
                <w:bCs/>
                <w:i/>
                <w:color w:val="000000"/>
                <w:sz w:val="14"/>
              </w:rPr>
              <w:t>Total</w:t>
            </w:r>
          </w:p>
        </w:tc>
        <w:tc>
          <w:tcPr>
            <w:tcW w:w="933" w:type="dxa"/>
            <w:tcBorders>
              <w:top w:val="single" w:sz="4" w:space="0" w:color="auto"/>
              <w:bottom w:val="single" w:sz="12" w:space="0" w:color="auto"/>
            </w:tcBorders>
            <w:shd w:val="clear" w:color="auto" w:fill="auto"/>
            <w:vAlign w:val="bottom"/>
          </w:tcPr>
          <w:p w:rsidR="00270E40" w:rsidRPr="006B0220" w:rsidRDefault="00270E40" w:rsidP="00270E40">
            <w:pPr>
              <w:suppressAutoHyphens/>
              <w:spacing w:before="80" w:after="80" w:line="160" w:lineRule="exact"/>
              <w:ind w:right="43"/>
              <w:jc w:val="right"/>
              <w:rPr>
                <w:bCs/>
                <w:i/>
                <w:color w:val="000000"/>
                <w:sz w:val="14"/>
              </w:rPr>
            </w:pPr>
            <w:r>
              <w:rPr>
                <w:bCs/>
                <w:i/>
                <w:color w:val="000000"/>
                <w:sz w:val="14"/>
              </w:rPr>
              <w:t>Nombre de femmes</w:t>
            </w:r>
          </w:p>
        </w:tc>
        <w:tc>
          <w:tcPr>
            <w:tcW w:w="934" w:type="dxa"/>
            <w:tcBorders>
              <w:bottom w:val="single" w:sz="12" w:space="0" w:color="auto"/>
            </w:tcBorders>
            <w:shd w:val="clear" w:color="auto" w:fill="auto"/>
            <w:vAlign w:val="bottom"/>
          </w:tcPr>
          <w:p w:rsidR="00270E40" w:rsidRPr="00F80145" w:rsidRDefault="00270E40" w:rsidP="00270E40">
            <w:pPr>
              <w:spacing w:before="80" w:after="80" w:line="170" w:lineRule="exact"/>
              <w:ind w:right="43"/>
              <w:jc w:val="right"/>
              <w:rPr>
                <w:i/>
                <w:sz w:val="14"/>
                <w:szCs w:val="14"/>
              </w:rPr>
            </w:pPr>
            <w:r w:rsidRPr="00F80145">
              <w:rPr>
                <w:i/>
                <w:sz w:val="14"/>
                <w:szCs w:val="14"/>
              </w:rPr>
              <w:t>% de femmes</w:t>
            </w:r>
          </w:p>
        </w:tc>
        <w:tc>
          <w:tcPr>
            <w:tcW w:w="933" w:type="dxa"/>
            <w:tcBorders>
              <w:bottom w:val="single" w:sz="12" w:space="0" w:color="auto"/>
            </w:tcBorders>
            <w:shd w:val="clear" w:color="auto" w:fill="auto"/>
            <w:vAlign w:val="bottom"/>
          </w:tcPr>
          <w:p w:rsidR="00270E40" w:rsidRPr="00F80145" w:rsidRDefault="00270E40" w:rsidP="00270E40">
            <w:pPr>
              <w:spacing w:before="80" w:after="80" w:line="170" w:lineRule="exact"/>
              <w:ind w:right="43"/>
              <w:jc w:val="right"/>
              <w:rPr>
                <w:i/>
                <w:sz w:val="14"/>
                <w:szCs w:val="14"/>
              </w:rPr>
            </w:pPr>
            <w:r>
              <w:rPr>
                <w:i/>
                <w:sz w:val="14"/>
                <w:szCs w:val="14"/>
              </w:rPr>
              <w:t>Total</w:t>
            </w:r>
          </w:p>
        </w:tc>
        <w:tc>
          <w:tcPr>
            <w:tcW w:w="933" w:type="dxa"/>
            <w:tcBorders>
              <w:top w:val="single" w:sz="4" w:space="0" w:color="auto"/>
              <w:bottom w:val="single" w:sz="12" w:space="0" w:color="auto"/>
            </w:tcBorders>
            <w:shd w:val="clear" w:color="auto" w:fill="auto"/>
            <w:vAlign w:val="bottom"/>
          </w:tcPr>
          <w:p w:rsidR="00270E40" w:rsidRPr="00F80145" w:rsidRDefault="00270E40" w:rsidP="00270E40">
            <w:pPr>
              <w:spacing w:before="80" w:after="80" w:line="170" w:lineRule="exact"/>
              <w:ind w:right="43"/>
              <w:jc w:val="right"/>
              <w:rPr>
                <w:i/>
                <w:sz w:val="14"/>
                <w:szCs w:val="14"/>
              </w:rPr>
            </w:pPr>
            <w:r w:rsidRPr="00F80145">
              <w:rPr>
                <w:i/>
                <w:sz w:val="14"/>
                <w:szCs w:val="14"/>
              </w:rPr>
              <w:t>Nombre de femmes</w:t>
            </w:r>
          </w:p>
        </w:tc>
        <w:tc>
          <w:tcPr>
            <w:tcW w:w="934" w:type="dxa"/>
            <w:tcBorders>
              <w:bottom w:val="single" w:sz="12" w:space="0" w:color="auto"/>
            </w:tcBorders>
            <w:shd w:val="clear" w:color="auto" w:fill="auto"/>
            <w:vAlign w:val="bottom"/>
          </w:tcPr>
          <w:p w:rsidR="00270E40" w:rsidRPr="00F80145" w:rsidRDefault="00270E40" w:rsidP="00270E40">
            <w:pPr>
              <w:spacing w:before="80" w:after="80" w:line="170" w:lineRule="exact"/>
              <w:ind w:right="43"/>
              <w:jc w:val="right"/>
              <w:rPr>
                <w:i/>
                <w:sz w:val="14"/>
                <w:szCs w:val="14"/>
              </w:rPr>
            </w:pPr>
            <w:r w:rsidRPr="00F80145">
              <w:rPr>
                <w:i/>
                <w:sz w:val="14"/>
                <w:szCs w:val="14"/>
              </w:rPr>
              <w:t>% de femmes</w:t>
            </w:r>
          </w:p>
        </w:tc>
        <w:tc>
          <w:tcPr>
            <w:tcW w:w="933" w:type="dxa"/>
            <w:tcBorders>
              <w:bottom w:val="single" w:sz="12" w:space="0" w:color="auto"/>
            </w:tcBorders>
            <w:shd w:val="clear" w:color="auto" w:fill="auto"/>
            <w:vAlign w:val="bottom"/>
          </w:tcPr>
          <w:p w:rsidR="00270E40" w:rsidRPr="00F80145" w:rsidRDefault="00270E40" w:rsidP="00270E40">
            <w:pPr>
              <w:spacing w:before="80" w:after="80" w:line="170" w:lineRule="exact"/>
              <w:ind w:right="43"/>
              <w:jc w:val="right"/>
              <w:rPr>
                <w:i/>
                <w:sz w:val="14"/>
                <w:szCs w:val="14"/>
              </w:rPr>
            </w:pPr>
            <w:r>
              <w:rPr>
                <w:i/>
                <w:sz w:val="14"/>
                <w:szCs w:val="14"/>
              </w:rPr>
              <w:t>total</w:t>
            </w:r>
          </w:p>
        </w:tc>
        <w:tc>
          <w:tcPr>
            <w:tcW w:w="933" w:type="dxa"/>
            <w:tcBorders>
              <w:top w:val="single" w:sz="4" w:space="0" w:color="auto"/>
              <w:bottom w:val="single" w:sz="12" w:space="0" w:color="auto"/>
            </w:tcBorders>
            <w:shd w:val="clear" w:color="auto" w:fill="auto"/>
            <w:vAlign w:val="bottom"/>
          </w:tcPr>
          <w:p w:rsidR="00270E40" w:rsidRPr="00F80145" w:rsidRDefault="00270E40" w:rsidP="00270E40">
            <w:pPr>
              <w:spacing w:before="80" w:after="80" w:line="170" w:lineRule="exact"/>
              <w:ind w:right="43"/>
              <w:jc w:val="right"/>
              <w:rPr>
                <w:i/>
                <w:sz w:val="14"/>
                <w:szCs w:val="14"/>
              </w:rPr>
            </w:pPr>
            <w:r w:rsidRPr="00F80145">
              <w:rPr>
                <w:i/>
                <w:sz w:val="14"/>
                <w:szCs w:val="14"/>
              </w:rPr>
              <w:t>Nombre de femmes</w:t>
            </w:r>
          </w:p>
        </w:tc>
        <w:tc>
          <w:tcPr>
            <w:tcW w:w="934" w:type="dxa"/>
            <w:tcBorders>
              <w:bottom w:val="single" w:sz="12" w:space="0" w:color="auto"/>
            </w:tcBorders>
            <w:shd w:val="clear" w:color="auto" w:fill="auto"/>
            <w:vAlign w:val="bottom"/>
          </w:tcPr>
          <w:p w:rsidR="00270E40" w:rsidRPr="00F80145" w:rsidRDefault="00270E40" w:rsidP="00270E40">
            <w:pPr>
              <w:spacing w:before="80" w:after="80" w:line="170" w:lineRule="exact"/>
              <w:ind w:right="43"/>
              <w:jc w:val="right"/>
              <w:rPr>
                <w:i/>
                <w:sz w:val="14"/>
                <w:szCs w:val="14"/>
              </w:rPr>
            </w:pPr>
            <w:r w:rsidRPr="00F80145">
              <w:rPr>
                <w:i/>
                <w:sz w:val="14"/>
                <w:szCs w:val="14"/>
              </w:rPr>
              <w:t>% de femmes</w:t>
            </w:r>
          </w:p>
        </w:tc>
      </w:tr>
      <w:tr w:rsidR="00270E40" w:rsidRPr="00270E40">
        <w:tblPrEx>
          <w:tblCellMar>
            <w:top w:w="0" w:type="dxa"/>
            <w:bottom w:w="0" w:type="dxa"/>
          </w:tblCellMar>
        </w:tblPrEx>
        <w:trPr>
          <w:cantSplit/>
          <w:trHeight w:hRule="exact" w:val="115"/>
          <w:tblHeader/>
        </w:trPr>
        <w:tc>
          <w:tcPr>
            <w:tcW w:w="1440" w:type="dxa"/>
            <w:tcBorders>
              <w:top w:val="single" w:sz="12" w:space="0" w:color="auto"/>
            </w:tcBorders>
            <w:shd w:val="clear" w:color="auto" w:fill="auto"/>
            <w:vAlign w:val="bottom"/>
          </w:tcPr>
          <w:p w:rsidR="00270E40" w:rsidRPr="00270E40" w:rsidRDefault="00270E40" w:rsidP="00270E40">
            <w:pPr>
              <w:suppressAutoHyphens/>
              <w:spacing w:before="40" w:after="40" w:line="210" w:lineRule="exact"/>
              <w:ind w:right="43"/>
              <w:rPr>
                <w:sz w:val="17"/>
              </w:rPr>
            </w:pPr>
          </w:p>
        </w:tc>
        <w:tc>
          <w:tcPr>
            <w:tcW w:w="933" w:type="dxa"/>
            <w:tcBorders>
              <w:top w:val="single" w:sz="12" w:space="0" w:color="auto"/>
            </w:tcBorders>
            <w:shd w:val="clear" w:color="auto" w:fill="auto"/>
            <w:vAlign w:val="bottom"/>
          </w:tcPr>
          <w:p w:rsidR="00270E40" w:rsidRPr="00270E40" w:rsidRDefault="00270E40" w:rsidP="00270E40">
            <w:pPr>
              <w:suppressAutoHyphens/>
              <w:spacing w:before="40" w:after="40" w:line="210" w:lineRule="exact"/>
              <w:ind w:right="43"/>
              <w:jc w:val="right"/>
              <w:rPr>
                <w:b/>
                <w:color w:val="000000"/>
                <w:sz w:val="17"/>
              </w:rPr>
            </w:pPr>
          </w:p>
        </w:tc>
        <w:tc>
          <w:tcPr>
            <w:tcW w:w="933" w:type="dxa"/>
            <w:tcBorders>
              <w:top w:val="single" w:sz="12" w:space="0" w:color="auto"/>
            </w:tcBorders>
            <w:shd w:val="clear" w:color="auto" w:fill="auto"/>
            <w:vAlign w:val="bottom"/>
          </w:tcPr>
          <w:p w:rsidR="00270E40" w:rsidRPr="00270E40" w:rsidRDefault="00270E40" w:rsidP="00270E40">
            <w:pPr>
              <w:suppressAutoHyphens/>
              <w:spacing w:before="40" w:after="40" w:line="210" w:lineRule="exact"/>
              <w:ind w:right="43"/>
              <w:jc w:val="right"/>
              <w:rPr>
                <w:b/>
                <w:color w:val="000000"/>
                <w:sz w:val="17"/>
              </w:rPr>
            </w:pPr>
          </w:p>
        </w:tc>
        <w:tc>
          <w:tcPr>
            <w:tcW w:w="934" w:type="dxa"/>
            <w:tcBorders>
              <w:top w:val="single" w:sz="12" w:space="0" w:color="auto"/>
            </w:tcBorders>
            <w:shd w:val="clear" w:color="auto" w:fill="auto"/>
            <w:vAlign w:val="bottom"/>
          </w:tcPr>
          <w:p w:rsidR="00270E40" w:rsidRPr="00270E40" w:rsidRDefault="00270E40" w:rsidP="00270E40">
            <w:pPr>
              <w:suppressAutoHyphens/>
              <w:spacing w:before="40" w:after="40" w:line="210" w:lineRule="exact"/>
              <w:ind w:right="43"/>
              <w:jc w:val="right"/>
              <w:rPr>
                <w:b/>
                <w:color w:val="000000"/>
                <w:sz w:val="17"/>
              </w:rPr>
            </w:pPr>
          </w:p>
        </w:tc>
        <w:tc>
          <w:tcPr>
            <w:tcW w:w="933" w:type="dxa"/>
            <w:tcBorders>
              <w:top w:val="single" w:sz="12" w:space="0" w:color="auto"/>
            </w:tcBorders>
            <w:shd w:val="clear" w:color="auto" w:fill="auto"/>
            <w:vAlign w:val="bottom"/>
          </w:tcPr>
          <w:p w:rsidR="00270E40" w:rsidRPr="00270E40" w:rsidRDefault="00270E40" w:rsidP="00270E40">
            <w:pPr>
              <w:suppressAutoHyphens/>
              <w:spacing w:before="40" w:after="40" w:line="210" w:lineRule="exact"/>
              <w:ind w:right="43"/>
              <w:jc w:val="right"/>
              <w:rPr>
                <w:b/>
                <w:color w:val="000000"/>
                <w:sz w:val="17"/>
              </w:rPr>
            </w:pPr>
          </w:p>
        </w:tc>
        <w:tc>
          <w:tcPr>
            <w:tcW w:w="933" w:type="dxa"/>
            <w:tcBorders>
              <w:top w:val="single" w:sz="12" w:space="0" w:color="auto"/>
            </w:tcBorders>
            <w:shd w:val="clear" w:color="auto" w:fill="auto"/>
            <w:vAlign w:val="bottom"/>
          </w:tcPr>
          <w:p w:rsidR="00270E40" w:rsidRPr="00270E40" w:rsidRDefault="00270E40" w:rsidP="00270E40">
            <w:pPr>
              <w:suppressAutoHyphens/>
              <w:spacing w:before="40" w:after="40" w:line="210" w:lineRule="exact"/>
              <w:ind w:right="43"/>
              <w:jc w:val="right"/>
              <w:rPr>
                <w:b/>
                <w:color w:val="000000"/>
                <w:sz w:val="17"/>
              </w:rPr>
            </w:pPr>
          </w:p>
        </w:tc>
        <w:tc>
          <w:tcPr>
            <w:tcW w:w="934" w:type="dxa"/>
            <w:tcBorders>
              <w:top w:val="single" w:sz="12" w:space="0" w:color="auto"/>
            </w:tcBorders>
            <w:shd w:val="clear" w:color="auto" w:fill="auto"/>
            <w:vAlign w:val="bottom"/>
          </w:tcPr>
          <w:p w:rsidR="00270E40" w:rsidRPr="00270E40" w:rsidRDefault="00270E40" w:rsidP="00270E40">
            <w:pPr>
              <w:suppressAutoHyphens/>
              <w:spacing w:before="40" w:after="40" w:line="210" w:lineRule="exact"/>
              <w:ind w:right="43"/>
              <w:jc w:val="right"/>
              <w:rPr>
                <w:b/>
                <w:color w:val="000000"/>
                <w:sz w:val="17"/>
              </w:rPr>
            </w:pPr>
          </w:p>
        </w:tc>
        <w:tc>
          <w:tcPr>
            <w:tcW w:w="933" w:type="dxa"/>
            <w:tcBorders>
              <w:top w:val="single" w:sz="12" w:space="0" w:color="auto"/>
            </w:tcBorders>
            <w:shd w:val="clear" w:color="auto" w:fill="auto"/>
            <w:vAlign w:val="bottom"/>
          </w:tcPr>
          <w:p w:rsidR="00270E40" w:rsidRPr="00270E40" w:rsidRDefault="00270E40" w:rsidP="00270E40">
            <w:pPr>
              <w:suppressAutoHyphens/>
              <w:spacing w:before="40" w:after="40" w:line="210" w:lineRule="exact"/>
              <w:ind w:right="43"/>
              <w:jc w:val="right"/>
              <w:rPr>
                <w:b/>
                <w:color w:val="000000"/>
                <w:sz w:val="17"/>
              </w:rPr>
            </w:pPr>
          </w:p>
        </w:tc>
        <w:tc>
          <w:tcPr>
            <w:tcW w:w="933" w:type="dxa"/>
            <w:tcBorders>
              <w:top w:val="single" w:sz="12" w:space="0" w:color="auto"/>
            </w:tcBorders>
            <w:shd w:val="clear" w:color="auto" w:fill="auto"/>
            <w:vAlign w:val="bottom"/>
          </w:tcPr>
          <w:p w:rsidR="00270E40" w:rsidRPr="00270E40" w:rsidRDefault="00270E40" w:rsidP="00270E40">
            <w:pPr>
              <w:suppressAutoHyphens/>
              <w:spacing w:before="40" w:after="40" w:line="210" w:lineRule="exact"/>
              <w:ind w:right="43"/>
              <w:jc w:val="right"/>
              <w:rPr>
                <w:b/>
                <w:color w:val="000000"/>
                <w:sz w:val="17"/>
              </w:rPr>
            </w:pPr>
          </w:p>
        </w:tc>
        <w:tc>
          <w:tcPr>
            <w:tcW w:w="934" w:type="dxa"/>
            <w:tcBorders>
              <w:top w:val="single" w:sz="12" w:space="0" w:color="auto"/>
            </w:tcBorders>
            <w:shd w:val="clear" w:color="auto" w:fill="auto"/>
            <w:vAlign w:val="bottom"/>
          </w:tcPr>
          <w:p w:rsidR="00270E40" w:rsidRPr="00270E40" w:rsidRDefault="00270E40" w:rsidP="00270E40">
            <w:pPr>
              <w:suppressAutoHyphens/>
              <w:spacing w:before="40" w:after="40" w:line="210" w:lineRule="exact"/>
              <w:ind w:right="43"/>
              <w:jc w:val="right"/>
              <w:rPr>
                <w:b/>
                <w:color w:val="000000"/>
                <w:sz w:val="17"/>
              </w:rPr>
            </w:pPr>
          </w:p>
        </w:tc>
      </w:tr>
      <w:tr w:rsidR="0073290F" w:rsidRPr="00270E40">
        <w:tblPrEx>
          <w:tblCellMar>
            <w:top w:w="0" w:type="dxa"/>
            <w:bottom w:w="0" w:type="dxa"/>
          </w:tblCellMar>
        </w:tblPrEx>
        <w:trPr>
          <w:cantSplit/>
          <w:trHeight w:val="276"/>
        </w:trPr>
        <w:tc>
          <w:tcPr>
            <w:tcW w:w="1440"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rPr>
                <w:b/>
                <w:sz w:val="17"/>
              </w:rPr>
            </w:pPr>
            <w:r w:rsidRPr="00270E40">
              <w:rPr>
                <w:b/>
                <w:sz w:val="17"/>
              </w:rPr>
              <w:t>Total</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b/>
                <w:color w:val="000000"/>
                <w:sz w:val="17"/>
              </w:rPr>
            </w:pPr>
            <w:r w:rsidRPr="00270E40">
              <w:rPr>
                <w:b/>
                <w:color w:val="000000"/>
                <w:sz w:val="17"/>
              </w:rPr>
              <w:t>99.607</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b/>
                <w:color w:val="000000"/>
                <w:sz w:val="17"/>
              </w:rPr>
            </w:pPr>
            <w:r w:rsidRPr="00270E40">
              <w:rPr>
                <w:b/>
                <w:color w:val="000000"/>
                <w:sz w:val="17"/>
              </w:rPr>
              <w:t>51.378</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b/>
                <w:color w:val="000000"/>
                <w:sz w:val="17"/>
              </w:rPr>
            </w:pPr>
            <w:r w:rsidRPr="00270E40">
              <w:rPr>
                <w:b/>
                <w:color w:val="000000"/>
                <w:sz w:val="17"/>
              </w:rPr>
              <w:t>51,6</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b/>
                <w:color w:val="000000"/>
                <w:sz w:val="17"/>
              </w:rPr>
            </w:pPr>
            <w:r w:rsidRPr="00270E40">
              <w:rPr>
                <w:b/>
                <w:color w:val="000000"/>
                <w:sz w:val="17"/>
              </w:rPr>
              <w:t>95.993</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b/>
                <w:color w:val="000000"/>
                <w:sz w:val="17"/>
              </w:rPr>
            </w:pPr>
            <w:r w:rsidRPr="00270E40">
              <w:rPr>
                <w:b/>
                <w:color w:val="000000"/>
                <w:sz w:val="17"/>
              </w:rPr>
              <w:t>50.324</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b/>
                <w:color w:val="000000"/>
                <w:sz w:val="17"/>
              </w:rPr>
            </w:pPr>
            <w:r w:rsidRPr="00270E40">
              <w:rPr>
                <w:b/>
                <w:color w:val="000000"/>
                <w:sz w:val="17"/>
              </w:rPr>
              <w:t>52,4</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b/>
                <w:color w:val="000000"/>
                <w:sz w:val="17"/>
              </w:rPr>
            </w:pPr>
            <w:r w:rsidRPr="00270E40">
              <w:rPr>
                <w:b/>
                <w:color w:val="000000"/>
                <w:sz w:val="17"/>
              </w:rPr>
              <w:t>90.728</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b/>
                <w:color w:val="000000"/>
                <w:sz w:val="17"/>
              </w:rPr>
            </w:pPr>
            <w:r w:rsidRPr="00270E40">
              <w:rPr>
                <w:b/>
                <w:color w:val="000000"/>
                <w:sz w:val="17"/>
              </w:rPr>
              <w:t>47.817</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b/>
                <w:color w:val="000000"/>
                <w:sz w:val="17"/>
              </w:rPr>
            </w:pPr>
            <w:r w:rsidRPr="00270E40">
              <w:rPr>
                <w:b/>
                <w:color w:val="000000"/>
                <w:sz w:val="17"/>
              </w:rPr>
              <w:t>52,7</w:t>
            </w:r>
          </w:p>
        </w:tc>
      </w:tr>
      <w:tr w:rsidR="0073290F" w:rsidRPr="00270E40">
        <w:tblPrEx>
          <w:tblCellMar>
            <w:top w:w="0" w:type="dxa"/>
            <w:bottom w:w="0" w:type="dxa"/>
          </w:tblCellMar>
        </w:tblPrEx>
        <w:trPr>
          <w:cantSplit/>
          <w:trHeight w:val="262"/>
        </w:trPr>
        <w:tc>
          <w:tcPr>
            <w:tcW w:w="1440"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rPr>
                <w:sz w:val="17"/>
              </w:rPr>
            </w:pPr>
            <w:r w:rsidRPr="00270E40">
              <w:rPr>
                <w:sz w:val="17"/>
              </w:rPr>
              <w:t>Moins de 18 ans</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359</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147</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41,0</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285</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135</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47,4</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270</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129</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47,8</w:t>
            </w:r>
          </w:p>
        </w:tc>
      </w:tr>
      <w:tr w:rsidR="0073290F" w:rsidRPr="00270E40">
        <w:tblPrEx>
          <w:tblCellMar>
            <w:top w:w="0" w:type="dxa"/>
            <w:bottom w:w="0" w:type="dxa"/>
          </w:tblCellMar>
        </w:tblPrEx>
        <w:trPr>
          <w:cantSplit/>
          <w:trHeight w:val="247"/>
        </w:trPr>
        <w:tc>
          <w:tcPr>
            <w:tcW w:w="1440"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rPr>
                <w:sz w:val="17"/>
              </w:rPr>
            </w:pPr>
            <w:r w:rsidRPr="00270E40">
              <w:rPr>
                <w:sz w:val="17"/>
              </w:rPr>
              <w:t xml:space="preserve">18 – 25 ans </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21.828</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11.594</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53,1</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22.206</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11.597</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52,2</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20.437</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10.705</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52,4</w:t>
            </w:r>
          </w:p>
        </w:tc>
      </w:tr>
      <w:tr w:rsidR="0073290F" w:rsidRPr="00270E40">
        <w:tblPrEx>
          <w:tblCellMar>
            <w:top w:w="0" w:type="dxa"/>
            <w:bottom w:w="0" w:type="dxa"/>
          </w:tblCellMar>
        </w:tblPrEx>
        <w:trPr>
          <w:cantSplit/>
          <w:trHeight w:val="247"/>
        </w:trPr>
        <w:tc>
          <w:tcPr>
            <w:tcW w:w="1440"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rPr>
                <w:sz w:val="17"/>
              </w:rPr>
            </w:pPr>
            <w:r w:rsidRPr="00270E40">
              <w:rPr>
                <w:sz w:val="17"/>
              </w:rPr>
              <w:t xml:space="preserve">25 – 30 ans </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13.471</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7.850</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58,3</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14.524</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8.520</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58,7</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14.754</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8.637</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58,5</w:t>
            </w:r>
          </w:p>
        </w:tc>
      </w:tr>
      <w:tr w:rsidR="0073290F" w:rsidRPr="00270E40">
        <w:tblPrEx>
          <w:tblCellMar>
            <w:top w:w="0" w:type="dxa"/>
            <w:bottom w:w="0" w:type="dxa"/>
          </w:tblCellMar>
        </w:tblPrEx>
        <w:trPr>
          <w:cantSplit/>
          <w:trHeight w:val="247"/>
        </w:trPr>
        <w:tc>
          <w:tcPr>
            <w:tcW w:w="1440"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rPr>
                <w:sz w:val="17"/>
              </w:rPr>
            </w:pPr>
            <w:r w:rsidRPr="00270E40">
              <w:rPr>
                <w:sz w:val="17"/>
              </w:rPr>
              <w:t xml:space="preserve">30 – 40 ans </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17.643</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10.134</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57,4</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17.700</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10.294</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58,2</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16.917</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9.926</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58,7</w:t>
            </w:r>
          </w:p>
        </w:tc>
      </w:tr>
      <w:tr w:rsidR="0073290F" w:rsidRPr="00270E40">
        <w:tblPrEx>
          <w:tblCellMar>
            <w:top w:w="0" w:type="dxa"/>
            <w:bottom w:w="0" w:type="dxa"/>
          </w:tblCellMar>
        </w:tblPrEx>
        <w:trPr>
          <w:cantSplit/>
          <w:trHeight w:val="247"/>
        </w:trPr>
        <w:tc>
          <w:tcPr>
            <w:tcW w:w="1440"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rPr>
                <w:sz w:val="17"/>
              </w:rPr>
            </w:pPr>
            <w:r w:rsidRPr="00270E40">
              <w:rPr>
                <w:sz w:val="17"/>
              </w:rPr>
              <w:t xml:space="preserve">40 – 50 ans </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23.455</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12.393</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52,8</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21.326</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11.697</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54,8</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19.408</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10.845</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55,9</w:t>
            </w:r>
          </w:p>
        </w:tc>
      </w:tr>
      <w:tr w:rsidR="0073290F" w:rsidRPr="00270E40">
        <w:tblPrEx>
          <w:tblCellMar>
            <w:top w:w="0" w:type="dxa"/>
            <w:bottom w:w="0" w:type="dxa"/>
          </w:tblCellMar>
        </w:tblPrEx>
        <w:trPr>
          <w:cantSplit/>
          <w:trHeight w:val="247"/>
        </w:trPr>
        <w:tc>
          <w:tcPr>
            <w:tcW w:w="1440"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rPr>
                <w:sz w:val="17"/>
              </w:rPr>
            </w:pPr>
            <w:r w:rsidRPr="00270E40">
              <w:rPr>
                <w:sz w:val="17"/>
              </w:rPr>
              <w:t>50 – 60 ans</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21.628</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9.142</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42,3</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19.052</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8.009</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42,0</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18.057</w:t>
            </w:r>
          </w:p>
        </w:tc>
        <w:tc>
          <w:tcPr>
            <w:tcW w:w="933"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7.511</w:t>
            </w:r>
          </w:p>
        </w:tc>
        <w:tc>
          <w:tcPr>
            <w:tcW w:w="934" w:type="dxa"/>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41,6</w:t>
            </w:r>
          </w:p>
        </w:tc>
      </w:tr>
      <w:tr w:rsidR="0073290F" w:rsidRPr="00270E40">
        <w:tblPrEx>
          <w:tblCellMar>
            <w:top w:w="0" w:type="dxa"/>
            <w:bottom w:w="0" w:type="dxa"/>
          </w:tblCellMar>
        </w:tblPrEx>
        <w:trPr>
          <w:cantSplit/>
          <w:trHeight w:val="262"/>
        </w:trPr>
        <w:tc>
          <w:tcPr>
            <w:tcW w:w="1440" w:type="dxa"/>
            <w:tcBorders>
              <w:bottom w:val="single" w:sz="12" w:space="0" w:color="auto"/>
            </w:tcBorders>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rPr>
                <w:sz w:val="17"/>
              </w:rPr>
            </w:pPr>
            <w:r w:rsidRPr="00270E40">
              <w:rPr>
                <w:sz w:val="17"/>
              </w:rPr>
              <w:t xml:space="preserve">Plus de 60 ans </w:t>
            </w:r>
          </w:p>
        </w:tc>
        <w:tc>
          <w:tcPr>
            <w:tcW w:w="933" w:type="dxa"/>
            <w:tcBorders>
              <w:bottom w:val="single" w:sz="12" w:space="0" w:color="auto"/>
            </w:tcBorders>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1.223</w:t>
            </w:r>
          </w:p>
        </w:tc>
        <w:tc>
          <w:tcPr>
            <w:tcW w:w="933" w:type="dxa"/>
            <w:tcBorders>
              <w:bottom w:val="single" w:sz="12" w:space="0" w:color="auto"/>
            </w:tcBorders>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118</w:t>
            </w:r>
          </w:p>
        </w:tc>
        <w:tc>
          <w:tcPr>
            <w:tcW w:w="934" w:type="dxa"/>
            <w:tcBorders>
              <w:bottom w:val="single" w:sz="12" w:space="0" w:color="auto"/>
            </w:tcBorders>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9,6</w:t>
            </w:r>
          </w:p>
        </w:tc>
        <w:tc>
          <w:tcPr>
            <w:tcW w:w="933" w:type="dxa"/>
            <w:tcBorders>
              <w:bottom w:val="single" w:sz="12" w:space="0" w:color="auto"/>
            </w:tcBorders>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900</w:t>
            </w:r>
          </w:p>
        </w:tc>
        <w:tc>
          <w:tcPr>
            <w:tcW w:w="933" w:type="dxa"/>
            <w:tcBorders>
              <w:bottom w:val="single" w:sz="12" w:space="0" w:color="auto"/>
            </w:tcBorders>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72</w:t>
            </w:r>
          </w:p>
        </w:tc>
        <w:tc>
          <w:tcPr>
            <w:tcW w:w="934" w:type="dxa"/>
            <w:tcBorders>
              <w:bottom w:val="single" w:sz="12" w:space="0" w:color="auto"/>
            </w:tcBorders>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8,0</w:t>
            </w:r>
          </w:p>
        </w:tc>
        <w:tc>
          <w:tcPr>
            <w:tcW w:w="933" w:type="dxa"/>
            <w:tcBorders>
              <w:bottom w:val="single" w:sz="12" w:space="0" w:color="auto"/>
            </w:tcBorders>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885</w:t>
            </w:r>
          </w:p>
        </w:tc>
        <w:tc>
          <w:tcPr>
            <w:tcW w:w="933" w:type="dxa"/>
            <w:tcBorders>
              <w:bottom w:val="single" w:sz="12" w:space="0" w:color="auto"/>
            </w:tcBorders>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64</w:t>
            </w:r>
          </w:p>
        </w:tc>
        <w:tc>
          <w:tcPr>
            <w:tcW w:w="934" w:type="dxa"/>
            <w:tcBorders>
              <w:bottom w:val="single" w:sz="12" w:space="0" w:color="auto"/>
            </w:tcBorders>
            <w:shd w:val="clear" w:color="auto" w:fill="auto"/>
            <w:vAlign w:val="bottom"/>
          </w:tcPr>
          <w:p w:rsidR="0073290F" w:rsidRPr="00270E40" w:rsidRDefault="0073290F" w:rsidP="00270E40">
            <w:pPr>
              <w:tabs>
                <w:tab w:val="left" w:pos="288"/>
                <w:tab w:val="left" w:pos="576"/>
                <w:tab w:val="left" w:pos="864"/>
                <w:tab w:val="left" w:pos="1152"/>
              </w:tabs>
              <w:suppressAutoHyphens/>
              <w:spacing w:before="40" w:after="40" w:line="210" w:lineRule="exact"/>
              <w:ind w:right="43"/>
              <w:jc w:val="right"/>
              <w:rPr>
                <w:color w:val="000000"/>
                <w:sz w:val="17"/>
              </w:rPr>
            </w:pPr>
            <w:r w:rsidRPr="00270E40">
              <w:rPr>
                <w:color w:val="000000"/>
                <w:sz w:val="17"/>
              </w:rPr>
              <w:t>7,2</w:t>
            </w:r>
          </w:p>
        </w:tc>
      </w:tr>
    </w:tbl>
    <w:p w:rsidR="00270E40" w:rsidRPr="00270E40" w:rsidRDefault="00270E40" w:rsidP="00270E40">
      <w:pPr>
        <w:pStyle w:val="FootnoteText"/>
        <w:spacing w:line="120" w:lineRule="exact"/>
        <w:rPr>
          <w:i/>
          <w:sz w:val="10"/>
        </w:rPr>
      </w:pPr>
    </w:p>
    <w:p w:rsidR="0073290F" w:rsidRPr="009A6CDF" w:rsidRDefault="0073290F" w:rsidP="0073290F">
      <w:pPr>
        <w:pStyle w:val="FootnoteText"/>
        <w:rPr>
          <w:sz w:val="24"/>
          <w:szCs w:val="24"/>
        </w:rPr>
      </w:pPr>
      <w:r w:rsidRPr="00270E40">
        <w:rPr>
          <w:i/>
        </w:rPr>
        <w:t>Source</w:t>
      </w:r>
      <w:r w:rsidRPr="006853C3">
        <w:t>: Rapports annuels 2002, 2003 et 2004, Bureau national de l’Emploi</w:t>
      </w:r>
      <w:r w:rsidRPr="009A6CDF">
        <w:rPr>
          <w:sz w:val="24"/>
          <w:szCs w:val="24"/>
        </w:rPr>
        <w:t>.</w:t>
      </w:r>
    </w:p>
    <w:p w:rsidR="00525D53" w:rsidRPr="00525D53" w:rsidRDefault="00525D53" w:rsidP="00525D53">
      <w:pPr>
        <w:pStyle w:val="FootnoteText"/>
        <w:spacing w:line="120" w:lineRule="exact"/>
        <w:rPr>
          <w:sz w:val="10"/>
          <w:szCs w:val="24"/>
        </w:rPr>
      </w:pPr>
    </w:p>
    <w:p w:rsidR="00073890" w:rsidRDefault="0073290F" w:rsidP="00270E40">
      <w:pPr>
        <w:pStyle w:val="SingleTxt"/>
        <w:jc w:val="left"/>
        <w:rPr>
          <w:b/>
          <w:lang w:val="fr-FR"/>
        </w:rPr>
      </w:pPr>
      <w:r w:rsidRPr="00112500">
        <w:rPr>
          <w:lang w:val="fr-FR"/>
        </w:rPr>
        <w:t>Tableau 40</w:t>
      </w:r>
      <w:r w:rsidR="00270E40">
        <w:rPr>
          <w:lang w:val="fr-FR"/>
        </w:rPr>
        <w:br/>
      </w:r>
      <w:r w:rsidRPr="00270E40">
        <w:rPr>
          <w:b/>
          <w:lang w:val="fr-FR"/>
        </w:rPr>
        <w:t xml:space="preserve">Indications chiffrées en matière de personnel médical par femme âgée de 15 ans et plus, au sein des services collectifs de soins de santé </w:t>
      </w:r>
      <w:r w:rsidR="00270E40">
        <w:rPr>
          <w:b/>
          <w:lang w:val="fr-FR"/>
        </w:rPr>
        <w:t>–</w:t>
      </w:r>
      <w:r w:rsidRPr="00270E40">
        <w:rPr>
          <w:b/>
          <w:lang w:val="fr-FR"/>
        </w:rPr>
        <w:t xml:space="preserve"> 2002</w:t>
      </w:r>
    </w:p>
    <w:p w:rsidR="00270E40" w:rsidRPr="00270E40" w:rsidRDefault="00270E40" w:rsidP="00270E40">
      <w:pPr>
        <w:pStyle w:val="SingleTxt"/>
        <w:spacing w:after="0" w:line="120" w:lineRule="exact"/>
        <w:jc w:val="left"/>
        <w:rPr>
          <w:b/>
          <w:sz w:val="10"/>
          <w:lang w:val="fr-FR"/>
        </w:rPr>
      </w:pPr>
    </w:p>
    <w:tbl>
      <w:tblPr>
        <w:tblW w:w="0" w:type="auto"/>
        <w:tblLayout w:type="fixed"/>
        <w:tblCellMar>
          <w:left w:w="0" w:type="dxa"/>
          <w:right w:w="0" w:type="dxa"/>
        </w:tblCellMar>
        <w:tblLook w:val="0000" w:firstRow="0" w:lastRow="0" w:firstColumn="0" w:lastColumn="0" w:noHBand="0" w:noVBand="0"/>
      </w:tblPr>
      <w:tblGrid>
        <w:gridCol w:w="895"/>
        <w:gridCol w:w="1036"/>
        <w:gridCol w:w="1036"/>
        <w:gridCol w:w="1036"/>
        <w:gridCol w:w="1037"/>
        <w:gridCol w:w="90"/>
        <w:gridCol w:w="1350"/>
        <w:gridCol w:w="90"/>
        <w:gridCol w:w="1260"/>
        <w:gridCol w:w="1120"/>
        <w:gridCol w:w="895"/>
      </w:tblGrid>
      <w:tr w:rsidR="00525D53" w:rsidRPr="00073890">
        <w:tblPrEx>
          <w:tblCellMar>
            <w:top w:w="0" w:type="dxa"/>
            <w:bottom w:w="0" w:type="dxa"/>
          </w:tblCellMar>
        </w:tblPrEx>
        <w:trPr>
          <w:tblHeader/>
        </w:trPr>
        <w:tc>
          <w:tcPr>
            <w:tcW w:w="895" w:type="dxa"/>
            <w:tcBorders>
              <w:top w:val="single" w:sz="4" w:space="0" w:color="auto"/>
            </w:tcBorders>
            <w:shd w:val="clear" w:color="auto" w:fill="auto"/>
            <w:vAlign w:val="bottom"/>
          </w:tcPr>
          <w:p w:rsidR="00525D53" w:rsidRPr="00073890" w:rsidRDefault="00525D53" w:rsidP="00073890">
            <w:pPr>
              <w:suppressAutoHyphens/>
              <w:spacing w:before="80" w:after="80" w:line="160" w:lineRule="exact"/>
              <w:ind w:right="43"/>
              <w:rPr>
                <w:i/>
                <w:sz w:val="14"/>
              </w:rPr>
            </w:pPr>
          </w:p>
        </w:tc>
        <w:tc>
          <w:tcPr>
            <w:tcW w:w="4145" w:type="dxa"/>
            <w:gridSpan w:val="4"/>
            <w:tcBorders>
              <w:top w:val="single" w:sz="4" w:space="0" w:color="auto"/>
              <w:bottom w:val="single" w:sz="4" w:space="0" w:color="auto"/>
            </w:tcBorders>
            <w:shd w:val="clear" w:color="auto" w:fill="auto"/>
            <w:vAlign w:val="bottom"/>
          </w:tcPr>
          <w:p w:rsidR="00525D53" w:rsidRPr="00073890" w:rsidRDefault="00525D53" w:rsidP="00B61313">
            <w:pPr>
              <w:pStyle w:val="FootnoteText"/>
              <w:tabs>
                <w:tab w:val="clear" w:pos="418"/>
                <w:tab w:val="right" w:pos="216"/>
                <w:tab w:val="left" w:pos="288"/>
                <w:tab w:val="right" w:pos="576"/>
                <w:tab w:val="left" w:pos="648"/>
              </w:tabs>
              <w:ind w:left="288" w:hanging="288"/>
              <w:rPr>
                <w:szCs w:val="24"/>
              </w:rPr>
            </w:pPr>
            <w:r w:rsidRPr="00073890">
              <w:t>Nombre de jeunes filles et de femmes (15 ans et plus), par professionnel de santé</w:t>
            </w:r>
            <w:r w:rsidRPr="00B61313">
              <w:rPr>
                <w:i/>
                <w:vertAlign w:val="superscript"/>
              </w:rPr>
              <w:t>1</w:t>
            </w:r>
          </w:p>
        </w:tc>
        <w:tc>
          <w:tcPr>
            <w:tcW w:w="90" w:type="dxa"/>
            <w:tcBorders>
              <w:top w:val="single" w:sz="4" w:space="0" w:color="auto"/>
            </w:tcBorders>
            <w:shd w:val="clear" w:color="auto" w:fill="auto"/>
            <w:vAlign w:val="bottom"/>
          </w:tcPr>
          <w:p w:rsidR="00525D53" w:rsidRPr="00073890" w:rsidRDefault="00525D53" w:rsidP="00073890">
            <w:pPr>
              <w:suppressAutoHyphens/>
              <w:spacing w:before="80" w:after="80" w:line="160" w:lineRule="exact"/>
              <w:ind w:right="43"/>
              <w:jc w:val="right"/>
              <w:rPr>
                <w:i/>
                <w:sz w:val="14"/>
              </w:rPr>
            </w:pPr>
          </w:p>
        </w:tc>
        <w:tc>
          <w:tcPr>
            <w:tcW w:w="1350" w:type="dxa"/>
            <w:vMerge w:val="restart"/>
            <w:tcBorders>
              <w:top w:val="single" w:sz="4" w:space="0" w:color="auto"/>
            </w:tcBorders>
            <w:shd w:val="clear" w:color="auto" w:fill="auto"/>
            <w:vAlign w:val="bottom"/>
          </w:tcPr>
          <w:p w:rsidR="00525D53" w:rsidRPr="00073890" w:rsidRDefault="00525D53" w:rsidP="00073890">
            <w:pPr>
              <w:suppressAutoHyphens/>
              <w:spacing w:before="80" w:after="80" w:line="160" w:lineRule="exact"/>
              <w:ind w:right="43"/>
              <w:jc w:val="right"/>
              <w:rPr>
                <w:i/>
                <w:sz w:val="14"/>
                <w:szCs w:val="24"/>
              </w:rPr>
            </w:pPr>
            <w:r w:rsidRPr="00073890">
              <w:rPr>
                <w:i/>
                <w:sz w:val="14"/>
              </w:rPr>
              <w:t>% d’offre de personnel de santé – equivalent plein temps</w:t>
            </w:r>
            <w:r w:rsidRPr="00525D53">
              <w:rPr>
                <w:i/>
                <w:sz w:val="14"/>
                <w:vertAlign w:val="superscript"/>
              </w:rPr>
              <w:t>2</w:t>
            </w:r>
          </w:p>
        </w:tc>
        <w:tc>
          <w:tcPr>
            <w:tcW w:w="90" w:type="dxa"/>
            <w:tcBorders>
              <w:top w:val="single" w:sz="4" w:space="0" w:color="auto"/>
            </w:tcBorders>
            <w:shd w:val="clear" w:color="auto" w:fill="auto"/>
            <w:vAlign w:val="bottom"/>
          </w:tcPr>
          <w:p w:rsidR="00525D53" w:rsidRPr="00073890" w:rsidRDefault="00525D53" w:rsidP="00073890">
            <w:pPr>
              <w:suppressAutoHyphens/>
              <w:spacing w:before="80" w:after="80" w:line="160" w:lineRule="exact"/>
              <w:ind w:right="43"/>
              <w:jc w:val="right"/>
              <w:rPr>
                <w:i/>
                <w:sz w:val="14"/>
              </w:rPr>
            </w:pPr>
          </w:p>
        </w:tc>
        <w:tc>
          <w:tcPr>
            <w:tcW w:w="3275" w:type="dxa"/>
            <w:gridSpan w:val="3"/>
            <w:tcBorders>
              <w:top w:val="single" w:sz="4" w:space="0" w:color="auto"/>
              <w:bottom w:val="single" w:sz="4" w:space="0" w:color="auto"/>
            </w:tcBorders>
            <w:shd w:val="clear" w:color="auto" w:fill="auto"/>
            <w:vAlign w:val="bottom"/>
          </w:tcPr>
          <w:p w:rsidR="00525D53" w:rsidRPr="00073890" w:rsidRDefault="00525D53" w:rsidP="00073890">
            <w:pPr>
              <w:suppressAutoHyphens/>
              <w:spacing w:before="80" w:after="80" w:line="160" w:lineRule="exact"/>
              <w:ind w:right="43"/>
              <w:jc w:val="center"/>
              <w:rPr>
                <w:i/>
                <w:sz w:val="14"/>
                <w:szCs w:val="24"/>
              </w:rPr>
            </w:pPr>
            <w:r w:rsidRPr="00073890">
              <w:rPr>
                <w:i/>
                <w:sz w:val="14"/>
              </w:rPr>
              <w:t>Nombre de professionnels de santé</w:t>
            </w:r>
          </w:p>
        </w:tc>
      </w:tr>
      <w:tr w:rsidR="00525D53" w:rsidRPr="00073890">
        <w:tblPrEx>
          <w:tblCellMar>
            <w:top w:w="0" w:type="dxa"/>
            <w:bottom w:w="0" w:type="dxa"/>
          </w:tblCellMar>
        </w:tblPrEx>
        <w:trPr>
          <w:tblHeader/>
        </w:trPr>
        <w:tc>
          <w:tcPr>
            <w:tcW w:w="895" w:type="dxa"/>
            <w:shd w:val="clear" w:color="auto" w:fill="auto"/>
            <w:vAlign w:val="bottom"/>
          </w:tcPr>
          <w:p w:rsidR="00525D53" w:rsidRPr="00073890" w:rsidRDefault="00525D53" w:rsidP="00073890">
            <w:pPr>
              <w:suppressAutoHyphens/>
              <w:spacing w:before="80" w:after="80" w:line="160" w:lineRule="exact"/>
              <w:ind w:right="43"/>
              <w:rPr>
                <w:i/>
                <w:sz w:val="14"/>
              </w:rPr>
            </w:pPr>
          </w:p>
        </w:tc>
        <w:tc>
          <w:tcPr>
            <w:tcW w:w="1036" w:type="dxa"/>
            <w:vMerge w:val="restart"/>
            <w:tcBorders>
              <w:top w:val="single" w:sz="4" w:space="0" w:color="auto"/>
            </w:tcBorders>
            <w:shd w:val="clear" w:color="auto" w:fill="auto"/>
            <w:vAlign w:val="bottom"/>
          </w:tcPr>
          <w:p w:rsidR="00525D53" w:rsidRPr="00073890" w:rsidRDefault="00525D53" w:rsidP="00B61313">
            <w:pPr>
              <w:spacing w:before="80" w:after="80" w:line="160" w:lineRule="exact"/>
              <w:jc w:val="right"/>
              <w:rPr>
                <w:sz w:val="14"/>
                <w:szCs w:val="14"/>
              </w:rPr>
            </w:pPr>
            <w:r w:rsidRPr="00073890">
              <w:rPr>
                <w:sz w:val="14"/>
                <w:szCs w:val="14"/>
              </w:rPr>
              <w:t>Pour 1 médecin</w:t>
            </w:r>
          </w:p>
        </w:tc>
        <w:tc>
          <w:tcPr>
            <w:tcW w:w="1036" w:type="dxa"/>
            <w:vMerge w:val="restart"/>
            <w:tcBorders>
              <w:top w:val="single" w:sz="4" w:space="0" w:color="auto"/>
            </w:tcBorders>
            <w:shd w:val="clear" w:color="auto" w:fill="auto"/>
            <w:vAlign w:val="bottom"/>
          </w:tcPr>
          <w:p w:rsidR="00525D53" w:rsidRPr="00073890" w:rsidRDefault="00525D53" w:rsidP="00B61313">
            <w:pPr>
              <w:spacing w:before="80" w:after="80" w:line="160" w:lineRule="exact"/>
              <w:jc w:val="right"/>
              <w:rPr>
                <w:sz w:val="14"/>
                <w:szCs w:val="14"/>
              </w:rPr>
            </w:pPr>
            <w:r w:rsidRPr="00073890">
              <w:rPr>
                <w:sz w:val="14"/>
                <w:szCs w:val="14"/>
              </w:rPr>
              <w:t>Pour 1 professionnel de santé ayant une formation de haut niveau/</w:t>
            </w:r>
            <w:r>
              <w:rPr>
                <w:sz w:val="14"/>
                <w:szCs w:val="14"/>
              </w:rPr>
              <w:br/>
            </w:r>
            <w:r w:rsidRPr="00073890">
              <w:rPr>
                <w:sz w:val="14"/>
                <w:szCs w:val="14"/>
              </w:rPr>
              <w:t>universitaire</w:t>
            </w:r>
          </w:p>
        </w:tc>
        <w:tc>
          <w:tcPr>
            <w:tcW w:w="1036" w:type="dxa"/>
            <w:vMerge w:val="restart"/>
            <w:tcBorders>
              <w:top w:val="single" w:sz="4" w:space="0" w:color="auto"/>
            </w:tcBorders>
            <w:shd w:val="clear" w:color="auto" w:fill="auto"/>
            <w:vAlign w:val="bottom"/>
          </w:tcPr>
          <w:p w:rsidR="00525D53" w:rsidRPr="00073890" w:rsidRDefault="00525D53" w:rsidP="00B61313">
            <w:pPr>
              <w:spacing w:before="80" w:after="80" w:line="160" w:lineRule="exact"/>
              <w:jc w:val="right"/>
              <w:rPr>
                <w:sz w:val="14"/>
                <w:szCs w:val="14"/>
              </w:rPr>
            </w:pPr>
            <w:r w:rsidRPr="00073890">
              <w:rPr>
                <w:sz w:val="14"/>
                <w:szCs w:val="14"/>
              </w:rPr>
              <w:t>Pour 1 professionnelayant une formation post-secondaire</w:t>
            </w:r>
          </w:p>
        </w:tc>
        <w:tc>
          <w:tcPr>
            <w:tcW w:w="1037" w:type="dxa"/>
            <w:vMerge w:val="restart"/>
            <w:tcBorders>
              <w:top w:val="single" w:sz="4" w:space="0" w:color="auto"/>
            </w:tcBorders>
            <w:shd w:val="clear" w:color="auto" w:fill="auto"/>
            <w:vAlign w:val="bottom"/>
          </w:tcPr>
          <w:p w:rsidR="00525D53" w:rsidRPr="00073890" w:rsidRDefault="00525D53" w:rsidP="00B61313">
            <w:pPr>
              <w:spacing w:before="80" w:after="80" w:line="160" w:lineRule="exact"/>
              <w:jc w:val="right"/>
              <w:rPr>
                <w:sz w:val="14"/>
                <w:szCs w:val="14"/>
              </w:rPr>
            </w:pPr>
            <w:r w:rsidRPr="00073890">
              <w:rPr>
                <w:sz w:val="14"/>
                <w:szCs w:val="14"/>
              </w:rPr>
              <w:t>Pour 1 professionn-el ayant une formation secondaire</w:t>
            </w:r>
          </w:p>
        </w:tc>
        <w:tc>
          <w:tcPr>
            <w:tcW w:w="90" w:type="dxa"/>
            <w:shd w:val="clear" w:color="auto" w:fill="auto"/>
            <w:vAlign w:val="bottom"/>
          </w:tcPr>
          <w:p w:rsidR="00525D53" w:rsidRPr="00073890" w:rsidRDefault="00525D53" w:rsidP="00073890">
            <w:pPr>
              <w:suppressAutoHyphens/>
              <w:spacing w:before="80" w:after="80" w:line="160" w:lineRule="exact"/>
              <w:ind w:right="43"/>
              <w:jc w:val="right"/>
              <w:rPr>
                <w:i/>
                <w:sz w:val="14"/>
              </w:rPr>
            </w:pPr>
          </w:p>
        </w:tc>
        <w:tc>
          <w:tcPr>
            <w:tcW w:w="1350" w:type="dxa"/>
            <w:vMerge/>
            <w:shd w:val="clear" w:color="auto" w:fill="auto"/>
            <w:vAlign w:val="bottom"/>
          </w:tcPr>
          <w:p w:rsidR="00525D53" w:rsidRPr="00073890" w:rsidRDefault="00525D53" w:rsidP="00073890">
            <w:pPr>
              <w:suppressAutoHyphens/>
              <w:spacing w:before="80" w:after="80" w:line="160" w:lineRule="exact"/>
              <w:ind w:right="43"/>
              <w:jc w:val="right"/>
              <w:rPr>
                <w:i/>
                <w:sz w:val="14"/>
              </w:rPr>
            </w:pPr>
          </w:p>
        </w:tc>
        <w:tc>
          <w:tcPr>
            <w:tcW w:w="90" w:type="dxa"/>
            <w:shd w:val="clear" w:color="auto" w:fill="auto"/>
            <w:vAlign w:val="bottom"/>
          </w:tcPr>
          <w:p w:rsidR="00525D53" w:rsidRPr="00073890" w:rsidRDefault="00525D53" w:rsidP="00073890">
            <w:pPr>
              <w:suppressAutoHyphens/>
              <w:spacing w:before="80" w:after="80" w:line="160" w:lineRule="exact"/>
              <w:ind w:right="43"/>
              <w:jc w:val="right"/>
              <w:rPr>
                <w:i/>
                <w:sz w:val="14"/>
              </w:rPr>
            </w:pPr>
          </w:p>
        </w:tc>
        <w:tc>
          <w:tcPr>
            <w:tcW w:w="1260" w:type="dxa"/>
            <w:tcBorders>
              <w:top w:val="single" w:sz="4" w:space="0" w:color="auto"/>
              <w:bottom w:val="single" w:sz="4" w:space="0" w:color="auto"/>
            </w:tcBorders>
            <w:shd w:val="clear" w:color="auto" w:fill="auto"/>
            <w:vAlign w:val="bottom"/>
          </w:tcPr>
          <w:p w:rsidR="00525D53" w:rsidRPr="00073890" w:rsidRDefault="00525D53" w:rsidP="00073890">
            <w:pPr>
              <w:suppressAutoHyphens/>
              <w:spacing w:before="80" w:after="80" w:line="160" w:lineRule="exact"/>
              <w:ind w:right="43"/>
              <w:jc w:val="right"/>
              <w:rPr>
                <w:i/>
                <w:sz w:val="14"/>
                <w:szCs w:val="24"/>
              </w:rPr>
            </w:pPr>
            <w:r w:rsidRPr="00073890">
              <w:rPr>
                <w:i/>
                <w:sz w:val="14"/>
              </w:rPr>
              <w:t>Formation de haut niveau</w:t>
            </w:r>
            <w:r>
              <w:rPr>
                <w:i/>
                <w:sz w:val="14"/>
              </w:rPr>
              <w:br/>
            </w:r>
            <w:r w:rsidRPr="00073890">
              <w:rPr>
                <w:i/>
                <w:sz w:val="14"/>
              </w:rPr>
              <w:t>/universitaire</w:t>
            </w:r>
            <w:r w:rsidRPr="00525D53">
              <w:rPr>
                <w:i/>
                <w:sz w:val="14"/>
                <w:vertAlign w:val="superscript"/>
              </w:rPr>
              <w:t>3</w:t>
            </w:r>
          </w:p>
        </w:tc>
        <w:tc>
          <w:tcPr>
            <w:tcW w:w="1120" w:type="dxa"/>
            <w:tcBorders>
              <w:top w:val="single" w:sz="4" w:space="0" w:color="auto"/>
              <w:bottom w:val="single" w:sz="4" w:space="0" w:color="auto"/>
            </w:tcBorders>
            <w:shd w:val="clear" w:color="auto" w:fill="auto"/>
            <w:vAlign w:val="bottom"/>
          </w:tcPr>
          <w:p w:rsidR="00525D53" w:rsidRPr="00073890" w:rsidRDefault="00525D53" w:rsidP="00073890">
            <w:pPr>
              <w:suppressAutoHyphens/>
              <w:spacing w:before="80" w:after="80" w:line="160" w:lineRule="exact"/>
              <w:ind w:right="43"/>
              <w:jc w:val="right"/>
              <w:rPr>
                <w:i/>
                <w:sz w:val="14"/>
                <w:szCs w:val="24"/>
              </w:rPr>
            </w:pPr>
            <w:r w:rsidRPr="00073890">
              <w:rPr>
                <w:i/>
                <w:sz w:val="14"/>
              </w:rPr>
              <w:t>Formation post-secondaire</w:t>
            </w:r>
            <w:r w:rsidRPr="00525D53">
              <w:rPr>
                <w:i/>
                <w:sz w:val="14"/>
                <w:vertAlign w:val="superscript"/>
              </w:rPr>
              <w:t>4</w:t>
            </w:r>
          </w:p>
        </w:tc>
        <w:tc>
          <w:tcPr>
            <w:tcW w:w="895" w:type="dxa"/>
            <w:tcBorders>
              <w:top w:val="single" w:sz="4" w:space="0" w:color="auto"/>
              <w:bottom w:val="single" w:sz="4" w:space="0" w:color="auto"/>
            </w:tcBorders>
            <w:shd w:val="clear" w:color="auto" w:fill="auto"/>
            <w:vAlign w:val="bottom"/>
          </w:tcPr>
          <w:p w:rsidR="00525D53" w:rsidRPr="00073890" w:rsidRDefault="00525D53" w:rsidP="00073890">
            <w:pPr>
              <w:suppressAutoHyphens/>
              <w:spacing w:before="80" w:after="80" w:line="160" w:lineRule="exact"/>
              <w:ind w:right="43"/>
              <w:jc w:val="right"/>
              <w:rPr>
                <w:i/>
                <w:sz w:val="14"/>
                <w:szCs w:val="24"/>
              </w:rPr>
            </w:pPr>
            <w:r w:rsidRPr="00073890">
              <w:rPr>
                <w:i/>
                <w:sz w:val="14"/>
              </w:rPr>
              <w:t>Formation secondaire</w:t>
            </w:r>
            <w:r w:rsidRPr="00525D53">
              <w:rPr>
                <w:i/>
                <w:sz w:val="14"/>
                <w:vertAlign w:val="superscript"/>
              </w:rPr>
              <w:t>5</w:t>
            </w:r>
          </w:p>
        </w:tc>
      </w:tr>
      <w:tr w:rsidR="00525D53" w:rsidRPr="00073890">
        <w:tblPrEx>
          <w:tblCellMar>
            <w:top w:w="0" w:type="dxa"/>
            <w:bottom w:w="0" w:type="dxa"/>
          </w:tblCellMar>
        </w:tblPrEx>
        <w:trPr>
          <w:tblHeader/>
        </w:trPr>
        <w:tc>
          <w:tcPr>
            <w:tcW w:w="895" w:type="dxa"/>
            <w:tcBorders>
              <w:bottom w:val="single" w:sz="12" w:space="0" w:color="auto"/>
            </w:tcBorders>
            <w:shd w:val="clear" w:color="auto" w:fill="auto"/>
            <w:vAlign w:val="bottom"/>
          </w:tcPr>
          <w:p w:rsidR="00525D53" w:rsidRPr="00073890" w:rsidRDefault="00525D53" w:rsidP="00073890">
            <w:pPr>
              <w:suppressAutoHyphens/>
              <w:spacing w:before="80" w:after="80" w:line="160" w:lineRule="exact"/>
              <w:ind w:right="43"/>
              <w:rPr>
                <w:i/>
                <w:sz w:val="14"/>
              </w:rPr>
            </w:pPr>
            <w:r>
              <w:rPr>
                <w:i/>
                <w:sz w:val="14"/>
              </w:rPr>
              <w:t>Année</w:t>
            </w:r>
          </w:p>
        </w:tc>
        <w:tc>
          <w:tcPr>
            <w:tcW w:w="1036" w:type="dxa"/>
            <w:vMerge/>
            <w:tcBorders>
              <w:bottom w:val="single" w:sz="12" w:space="0" w:color="auto"/>
            </w:tcBorders>
            <w:shd w:val="clear" w:color="auto" w:fill="auto"/>
            <w:vAlign w:val="bottom"/>
          </w:tcPr>
          <w:p w:rsidR="00525D53" w:rsidRPr="00073890" w:rsidRDefault="00525D53" w:rsidP="00B61313">
            <w:pPr>
              <w:suppressAutoHyphens/>
              <w:spacing w:before="80" w:after="80" w:line="160" w:lineRule="exact"/>
              <w:ind w:right="43"/>
              <w:jc w:val="right"/>
              <w:rPr>
                <w:i/>
                <w:sz w:val="14"/>
              </w:rPr>
            </w:pPr>
          </w:p>
        </w:tc>
        <w:tc>
          <w:tcPr>
            <w:tcW w:w="1036" w:type="dxa"/>
            <w:vMerge/>
            <w:tcBorders>
              <w:bottom w:val="single" w:sz="12" w:space="0" w:color="auto"/>
            </w:tcBorders>
            <w:shd w:val="clear" w:color="auto" w:fill="auto"/>
            <w:vAlign w:val="bottom"/>
          </w:tcPr>
          <w:p w:rsidR="00525D53" w:rsidRPr="00073890" w:rsidRDefault="00525D53" w:rsidP="00B61313">
            <w:pPr>
              <w:suppressAutoHyphens/>
              <w:spacing w:before="80" w:after="80" w:line="160" w:lineRule="exact"/>
              <w:ind w:right="43"/>
              <w:jc w:val="right"/>
              <w:rPr>
                <w:i/>
                <w:sz w:val="14"/>
              </w:rPr>
            </w:pPr>
          </w:p>
        </w:tc>
        <w:tc>
          <w:tcPr>
            <w:tcW w:w="1036" w:type="dxa"/>
            <w:vMerge/>
            <w:tcBorders>
              <w:bottom w:val="single" w:sz="12" w:space="0" w:color="auto"/>
            </w:tcBorders>
            <w:shd w:val="clear" w:color="auto" w:fill="auto"/>
            <w:vAlign w:val="bottom"/>
          </w:tcPr>
          <w:p w:rsidR="00525D53" w:rsidRPr="00073890" w:rsidRDefault="00525D53" w:rsidP="00B61313">
            <w:pPr>
              <w:suppressAutoHyphens/>
              <w:spacing w:before="80" w:after="80" w:line="160" w:lineRule="exact"/>
              <w:ind w:right="43"/>
              <w:jc w:val="right"/>
              <w:rPr>
                <w:i/>
                <w:sz w:val="14"/>
              </w:rPr>
            </w:pPr>
          </w:p>
        </w:tc>
        <w:tc>
          <w:tcPr>
            <w:tcW w:w="1037" w:type="dxa"/>
            <w:vMerge/>
            <w:tcBorders>
              <w:bottom w:val="single" w:sz="12" w:space="0" w:color="auto"/>
            </w:tcBorders>
            <w:shd w:val="clear" w:color="auto" w:fill="auto"/>
            <w:vAlign w:val="bottom"/>
          </w:tcPr>
          <w:p w:rsidR="00525D53" w:rsidRPr="00073890" w:rsidRDefault="00525D53" w:rsidP="00B61313">
            <w:pPr>
              <w:suppressAutoHyphens/>
              <w:spacing w:before="80" w:after="80" w:line="160" w:lineRule="exact"/>
              <w:ind w:right="43"/>
              <w:jc w:val="right"/>
              <w:rPr>
                <w:i/>
                <w:sz w:val="14"/>
              </w:rPr>
            </w:pPr>
          </w:p>
        </w:tc>
        <w:tc>
          <w:tcPr>
            <w:tcW w:w="90" w:type="dxa"/>
            <w:tcBorders>
              <w:top w:val="single" w:sz="4" w:space="0" w:color="auto"/>
              <w:bottom w:val="single" w:sz="12" w:space="0" w:color="auto"/>
            </w:tcBorders>
            <w:shd w:val="clear" w:color="auto" w:fill="auto"/>
            <w:vAlign w:val="bottom"/>
          </w:tcPr>
          <w:p w:rsidR="00525D53" w:rsidRPr="00073890" w:rsidRDefault="00525D53" w:rsidP="00073890">
            <w:pPr>
              <w:suppressAutoHyphens/>
              <w:spacing w:before="80" w:after="80" w:line="160" w:lineRule="exact"/>
              <w:ind w:right="43"/>
              <w:jc w:val="right"/>
              <w:rPr>
                <w:i/>
                <w:sz w:val="14"/>
              </w:rPr>
            </w:pPr>
          </w:p>
        </w:tc>
        <w:tc>
          <w:tcPr>
            <w:tcW w:w="1350" w:type="dxa"/>
            <w:vMerge/>
            <w:tcBorders>
              <w:top w:val="single" w:sz="4" w:space="0" w:color="auto"/>
              <w:bottom w:val="single" w:sz="12" w:space="0" w:color="auto"/>
            </w:tcBorders>
            <w:shd w:val="clear" w:color="auto" w:fill="auto"/>
            <w:vAlign w:val="bottom"/>
          </w:tcPr>
          <w:p w:rsidR="00525D53" w:rsidRPr="00073890" w:rsidRDefault="00525D53" w:rsidP="00073890">
            <w:pPr>
              <w:suppressAutoHyphens/>
              <w:spacing w:before="80" w:after="80" w:line="160" w:lineRule="exact"/>
              <w:ind w:right="43"/>
              <w:jc w:val="right"/>
              <w:rPr>
                <w:i/>
                <w:sz w:val="14"/>
              </w:rPr>
            </w:pPr>
          </w:p>
        </w:tc>
        <w:tc>
          <w:tcPr>
            <w:tcW w:w="90" w:type="dxa"/>
            <w:tcBorders>
              <w:top w:val="single" w:sz="4" w:space="0" w:color="auto"/>
              <w:bottom w:val="single" w:sz="12" w:space="0" w:color="auto"/>
            </w:tcBorders>
            <w:shd w:val="clear" w:color="auto" w:fill="auto"/>
            <w:vAlign w:val="bottom"/>
          </w:tcPr>
          <w:p w:rsidR="00525D53" w:rsidRPr="00073890" w:rsidRDefault="00525D53" w:rsidP="00073890">
            <w:pPr>
              <w:suppressAutoHyphens/>
              <w:spacing w:before="80" w:after="80" w:line="160" w:lineRule="exact"/>
              <w:ind w:right="43"/>
              <w:jc w:val="right"/>
              <w:rPr>
                <w:i/>
                <w:sz w:val="14"/>
              </w:rPr>
            </w:pPr>
          </w:p>
        </w:tc>
        <w:tc>
          <w:tcPr>
            <w:tcW w:w="3275" w:type="dxa"/>
            <w:gridSpan w:val="3"/>
            <w:tcBorders>
              <w:top w:val="single" w:sz="4" w:space="0" w:color="auto"/>
              <w:bottom w:val="single" w:sz="12" w:space="0" w:color="auto"/>
            </w:tcBorders>
            <w:shd w:val="clear" w:color="auto" w:fill="auto"/>
            <w:vAlign w:val="bottom"/>
          </w:tcPr>
          <w:p w:rsidR="00525D53" w:rsidRPr="00073890" w:rsidRDefault="00525D53" w:rsidP="00073890">
            <w:pPr>
              <w:suppressAutoHyphens/>
              <w:spacing w:before="80" w:after="80" w:line="160" w:lineRule="exact"/>
              <w:ind w:right="43"/>
              <w:jc w:val="center"/>
              <w:rPr>
                <w:i/>
                <w:sz w:val="14"/>
              </w:rPr>
            </w:pPr>
            <w:r w:rsidRPr="00073890">
              <w:rPr>
                <w:i/>
                <w:sz w:val="14"/>
              </w:rPr>
              <w:t>Par médecin /calcul sur la base du plein temps</w:t>
            </w:r>
          </w:p>
        </w:tc>
      </w:tr>
      <w:tr w:rsidR="00073890" w:rsidRPr="00073890">
        <w:tblPrEx>
          <w:tblCellMar>
            <w:top w:w="0" w:type="dxa"/>
            <w:bottom w:w="0" w:type="dxa"/>
          </w:tblCellMar>
        </w:tblPrEx>
        <w:trPr>
          <w:trHeight w:hRule="exact" w:val="115"/>
          <w:tblHeader/>
        </w:trPr>
        <w:tc>
          <w:tcPr>
            <w:tcW w:w="895" w:type="dxa"/>
            <w:tcBorders>
              <w:top w:val="single" w:sz="12" w:space="0" w:color="auto"/>
            </w:tcBorders>
            <w:shd w:val="clear" w:color="auto" w:fill="auto"/>
            <w:vAlign w:val="bottom"/>
          </w:tcPr>
          <w:p w:rsidR="00073890" w:rsidRPr="00073890" w:rsidRDefault="00073890" w:rsidP="00073890">
            <w:pPr>
              <w:suppressAutoHyphens/>
              <w:spacing w:before="40" w:after="40" w:line="210" w:lineRule="exact"/>
              <w:ind w:right="43"/>
              <w:rPr>
                <w:sz w:val="17"/>
              </w:rPr>
            </w:pPr>
          </w:p>
        </w:tc>
        <w:tc>
          <w:tcPr>
            <w:tcW w:w="1036" w:type="dxa"/>
            <w:tcBorders>
              <w:top w:val="single" w:sz="12" w:space="0" w:color="auto"/>
            </w:tcBorders>
            <w:shd w:val="clear" w:color="auto" w:fill="auto"/>
            <w:vAlign w:val="bottom"/>
          </w:tcPr>
          <w:p w:rsidR="00073890" w:rsidRPr="00073890" w:rsidRDefault="00073890" w:rsidP="00B61313">
            <w:pPr>
              <w:suppressAutoHyphens/>
              <w:spacing w:before="40" w:after="40" w:line="210" w:lineRule="exact"/>
              <w:ind w:right="43"/>
              <w:jc w:val="right"/>
              <w:rPr>
                <w:sz w:val="17"/>
              </w:rPr>
            </w:pPr>
          </w:p>
        </w:tc>
        <w:tc>
          <w:tcPr>
            <w:tcW w:w="1036" w:type="dxa"/>
            <w:tcBorders>
              <w:top w:val="single" w:sz="12" w:space="0" w:color="auto"/>
            </w:tcBorders>
            <w:shd w:val="clear" w:color="auto" w:fill="auto"/>
            <w:vAlign w:val="bottom"/>
          </w:tcPr>
          <w:p w:rsidR="00073890" w:rsidRPr="00073890" w:rsidRDefault="00073890" w:rsidP="00B61313">
            <w:pPr>
              <w:suppressAutoHyphens/>
              <w:spacing w:before="40" w:after="40" w:line="210" w:lineRule="exact"/>
              <w:ind w:right="43"/>
              <w:jc w:val="right"/>
              <w:rPr>
                <w:sz w:val="17"/>
              </w:rPr>
            </w:pPr>
          </w:p>
        </w:tc>
        <w:tc>
          <w:tcPr>
            <w:tcW w:w="1036" w:type="dxa"/>
            <w:tcBorders>
              <w:top w:val="single" w:sz="12" w:space="0" w:color="auto"/>
            </w:tcBorders>
            <w:shd w:val="clear" w:color="auto" w:fill="auto"/>
            <w:vAlign w:val="bottom"/>
          </w:tcPr>
          <w:p w:rsidR="00073890" w:rsidRPr="00073890" w:rsidRDefault="00073890" w:rsidP="00B61313">
            <w:pPr>
              <w:suppressAutoHyphens/>
              <w:spacing w:before="40" w:after="40" w:line="210" w:lineRule="exact"/>
              <w:ind w:right="43"/>
              <w:jc w:val="right"/>
              <w:rPr>
                <w:sz w:val="17"/>
              </w:rPr>
            </w:pPr>
          </w:p>
        </w:tc>
        <w:tc>
          <w:tcPr>
            <w:tcW w:w="1037" w:type="dxa"/>
            <w:tcBorders>
              <w:top w:val="single" w:sz="12" w:space="0" w:color="auto"/>
            </w:tcBorders>
            <w:shd w:val="clear" w:color="auto" w:fill="auto"/>
            <w:vAlign w:val="bottom"/>
          </w:tcPr>
          <w:p w:rsidR="00073890" w:rsidRPr="00073890" w:rsidRDefault="00073890" w:rsidP="00B61313">
            <w:pPr>
              <w:suppressAutoHyphens/>
              <w:spacing w:before="40" w:after="40" w:line="210" w:lineRule="exact"/>
              <w:ind w:right="43"/>
              <w:jc w:val="right"/>
              <w:rPr>
                <w:sz w:val="17"/>
              </w:rPr>
            </w:pPr>
          </w:p>
        </w:tc>
        <w:tc>
          <w:tcPr>
            <w:tcW w:w="90" w:type="dxa"/>
            <w:tcBorders>
              <w:top w:val="single" w:sz="12" w:space="0" w:color="auto"/>
            </w:tcBorders>
            <w:shd w:val="clear" w:color="auto" w:fill="auto"/>
            <w:vAlign w:val="bottom"/>
          </w:tcPr>
          <w:p w:rsidR="00073890" w:rsidRPr="00073890" w:rsidRDefault="00073890" w:rsidP="00073890">
            <w:pPr>
              <w:suppressAutoHyphens/>
              <w:spacing w:before="40" w:after="40" w:line="210" w:lineRule="exact"/>
              <w:ind w:right="43"/>
              <w:jc w:val="right"/>
              <w:rPr>
                <w:sz w:val="17"/>
              </w:rPr>
            </w:pPr>
          </w:p>
        </w:tc>
        <w:tc>
          <w:tcPr>
            <w:tcW w:w="1350" w:type="dxa"/>
            <w:tcBorders>
              <w:top w:val="single" w:sz="12" w:space="0" w:color="auto"/>
            </w:tcBorders>
            <w:shd w:val="clear" w:color="auto" w:fill="auto"/>
            <w:vAlign w:val="bottom"/>
          </w:tcPr>
          <w:p w:rsidR="00073890" w:rsidRPr="00073890" w:rsidRDefault="00073890" w:rsidP="00073890">
            <w:pPr>
              <w:suppressAutoHyphens/>
              <w:spacing w:before="40" w:after="40" w:line="210" w:lineRule="exact"/>
              <w:ind w:right="43"/>
              <w:jc w:val="right"/>
              <w:rPr>
                <w:sz w:val="17"/>
              </w:rPr>
            </w:pPr>
          </w:p>
        </w:tc>
        <w:tc>
          <w:tcPr>
            <w:tcW w:w="90" w:type="dxa"/>
            <w:tcBorders>
              <w:top w:val="single" w:sz="12" w:space="0" w:color="auto"/>
            </w:tcBorders>
            <w:shd w:val="clear" w:color="auto" w:fill="auto"/>
            <w:vAlign w:val="bottom"/>
          </w:tcPr>
          <w:p w:rsidR="00073890" w:rsidRPr="00073890" w:rsidRDefault="00073890" w:rsidP="00073890">
            <w:pPr>
              <w:suppressAutoHyphens/>
              <w:spacing w:before="40" w:after="40" w:line="210" w:lineRule="exact"/>
              <w:ind w:right="43"/>
              <w:jc w:val="right"/>
              <w:rPr>
                <w:sz w:val="17"/>
              </w:rPr>
            </w:pPr>
          </w:p>
        </w:tc>
        <w:tc>
          <w:tcPr>
            <w:tcW w:w="1260" w:type="dxa"/>
            <w:tcBorders>
              <w:top w:val="single" w:sz="12" w:space="0" w:color="auto"/>
            </w:tcBorders>
            <w:shd w:val="clear" w:color="auto" w:fill="auto"/>
            <w:vAlign w:val="bottom"/>
          </w:tcPr>
          <w:p w:rsidR="00073890" w:rsidRPr="00073890" w:rsidRDefault="00073890" w:rsidP="00073890">
            <w:pPr>
              <w:suppressAutoHyphens/>
              <w:spacing w:before="40" w:after="40" w:line="210" w:lineRule="exact"/>
              <w:ind w:right="43"/>
              <w:jc w:val="right"/>
              <w:rPr>
                <w:sz w:val="17"/>
              </w:rPr>
            </w:pPr>
          </w:p>
        </w:tc>
        <w:tc>
          <w:tcPr>
            <w:tcW w:w="1120" w:type="dxa"/>
            <w:tcBorders>
              <w:top w:val="single" w:sz="12" w:space="0" w:color="auto"/>
            </w:tcBorders>
            <w:shd w:val="clear" w:color="auto" w:fill="auto"/>
            <w:vAlign w:val="bottom"/>
          </w:tcPr>
          <w:p w:rsidR="00073890" w:rsidRPr="00073890" w:rsidRDefault="00073890" w:rsidP="00073890">
            <w:pPr>
              <w:suppressAutoHyphens/>
              <w:spacing w:before="40" w:after="40" w:line="210" w:lineRule="exact"/>
              <w:ind w:right="43"/>
              <w:jc w:val="right"/>
              <w:rPr>
                <w:sz w:val="17"/>
              </w:rPr>
            </w:pPr>
          </w:p>
        </w:tc>
        <w:tc>
          <w:tcPr>
            <w:tcW w:w="895" w:type="dxa"/>
            <w:tcBorders>
              <w:top w:val="single" w:sz="12" w:space="0" w:color="auto"/>
            </w:tcBorders>
            <w:shd w:val="clear" w:color="auto" w:fill="auto"/>
            <w:vAlign w:val="bottom"/>
          </w:tcPr>
          <w:p w:rsidR="00073890" w:rsidRPr="00073890" w:rsidRDefault="00073890" w:rsidP="00073890">
            <w:pPr>
              <w:suppressAutoHyphens/>
              <w:spacing w:before="40" w:after="40" w:line="210" w:lineRule="exact"/>
              <w:ind w:right="43"/>
              <w:jc w:val="right"/>
              <w:rPr>
                <w:sz w:val="17"/>
              </w:rPr>
            </w:pPr>
          </w:p>
        </w:tc>
      </w:tr>
      <w:tr w:rsidR="00B61313" w:rsidRPr="00073890">
        <w:tblPrEx>
          <w:tblCellMar>
            <w:top w:w="0" w:type="dxa"/>
            <w:bottom w:w="0" w:type="dxa"/>
          </w:tblCellMar>
        </w:tblPrEx>
        <w:tc>
          <w:tcPr>
            <w:tcW w:w="895" w:type="dxa"/>
            <w:tcBorders>
              <w:bottom w:val="single" w:sz="12" w:space="0" w:color="auto"/>
            </w:tcBorders>
            <w:shd w:val="clear" w:color="auto" w:fill="auto"/>
          </w:tcPr>
          <w:p w:rsidR="00B61313" w:rsidRPr="00B61313" w:rsidRDefault="00B61313" w:rsidP="006A4084">
            <w:pPr>
              <w:rPr>
                <w:sz w:val="17"/>
                <w:szCs w:val="17"/>
              </w:rPr>
            </w:pPr>
            <w:r w:rsidRPr="00B61313">
              <w:rPr>
                <w:sz w:val="17"/>
                <w:szCs w:val="17"/>
              </w:rPr>
              <w:t>2002</w:t>
            </w:r>
          </w:p>
        </w:tc>
        <w:tc>
          <w:tcPr>
            <w:tcW w:w="1036" w:type="dxa"/>
            <w:tcBorders>
              <w:bottom w:val="single" w:sz="12" w:space="0" w:color="auto"/>
            </w:tcBorders>
            <w:shd w:val="clear" w:color="auto" w:fill="auto"/>
          </w:tcPr>
          <w:p w:rsidR="00B61313" w:rsidRPr="00B61313" w:rsidRDefault="00B61313" w:rsidP="00B61313">
            <w:pPr>
              <w:jc w:val="right"/>
              <w:rPr>
                <w:sz w:val="17"/>
                <w:szCs w:val="17"/>
              </w:rPr>
            </w:pPr>
            <w:r w:rsidRPr="00B61313">
              <w:rPr>
                <w:sz w:val="17"/>
                <w:szCs w:val="17"/>
              </w:rPr>
              <w:t>7.169,6</w:t>
            </w:r>
          </w:p>
        </w:tc>
        <w:tc>
          <w:tcPr>
            <w:tcW w:w="1036" w:type="dxa"/>
            <w:tcBorders>
              <w:bottom w:val="single" w:sz="12" w:space="0" w:color="auto"/>
            </w:tcBorders>
            <w:shd w:val="clear" w:color="auto" w:fill="auto"/>
          </w:tcPr>
          <w:p w:rsidR="00B61313" w:rsidRPr="00B61313" w:rsidRDefault="00B61313" w:rsidP="00B61313">
            <w:pPr>
              <w:jc w:val="right"/>
              <w:rPr>
                <w:sz w:val="17"/>
                <w:szCs w:val="17"/>
              </w:rPr>
            </w:pPr>
            <w:r w:rsidRPr="00B61313">
              <w:rPr>
                <w:sz w:val="17"/>
                <w:szCs w:val="17"/>
              </w:rPr>
              <w:t>198.305,2</w:t>
            </w:r>
          </w:p>
        </w:tc>
        <w:tc>
          <w:tcPr>
            <w:tcW w:w="1036" w:type="dxa"/>
            <w:tcBorders>
              <w:bottom w:val="single" w:sz="12" w:space="0" w:color="auto"/>
            </w:tcBorders>
            <w:shd w:val="clear" w:color="auto" w:fill="auto"/>
          </w:tcPr>
          <w:p w:rsidR="00B61313" w:rsidRPr="00B61313" w:rsidRDefault="00B61313" w:rsidP="00B61313">
            <w:pPr>
              <w:jc w:val="right"/>
              <w:rPr>
                <w:sz w:val="17"/>
                <w:szCs w:val="17"/>
              </w:rPr>
            </w:pPr>
            <w:r w:rsidRPr="00B61313">
              <w:rPr>
                <w:sz w:val="17"/>
                <w:szCs w:val="17"/>
              </w:rPr>
              <w:t>18.330,7</w:t>
            </w:r>
          </w:p>
        </w:tc>
        <w:tc>
          <w:tcPr>
            <w:tcW w:w="1037" w:type="dxa"/>
            <w:tcBorders>
              <w:bottom w:val="single" w:sz="12" w:space="0" w:color="auto"/>
            </w:tcBorders>
            <w:shd w:val="clear" w:color="auto" w:fill="auto"/>
          </w:tcPr>
          <w:p w:rsidR="00B61313" w:rsidRPr="00B61313" w:rsidRDefault="00B61313" w:rsidP="00B61313">
            <w:pPr>
              <w:jc w:val="right"/>
              <w:rPr>
                <w:sz w:val="17"/>
                <w:szCs w:val="17"/>
              </w:rPr>
            </w:pPr>
            <w:r w:rsidRPr="00B61313">
              <w:rPr>
                <w:sz w:val="17"/>
                <w:szCs w:val="17"/>
              </w:rPr>
              <w:t>6.991,5</w:t>
            </w:r>
          </w:p>
        </w:tc>
        <w:tc>
          <w:tcPr>
            <w:tcW w:w="90" w:type="dxa"/>
            <w:tcBorders>
              <w:bottom w:val="single" w:sz="12" w:space="0" w:color="auto"/>
            </w:tcBorders>
            <w:shd w:val="clear" w:color="auto" w:fill="auto"/>
            <w:vAlign w:val="bottom"/>
          </w:tcPr>
          <w:p w:rsidR="00B61313" w:rsidRPr="00073890" w:rsidRDefault="00B61313" w:rsidP="00073890">
            <w:pPr>
              <w:tabs>
                <w:tab w:val="left" w:pos="288"/>
                <w:tab w:val="left" w:pos="576"/>
                <w:tab w:val="left" w:pos="864"/>
                <w:tab w:val="left" w:pos="1152"/>
              </w:tabs>
              <w:suppressAutoHyphens/>
              <w:spacing w:before="40" w:after="40" w:line="210" w:lineRule="exact"/>
              <w:ind w:right="43"/>
              <w:jc w:val="right"/>
              <w:rPr>
                <w:sz w:val="17"/>
              </w:rPr>
            </w:pPr>
          </w:p>
        </w:tc>
        <w:tc>
          <w:tcPr>
            <w:tcW w:w="1350" w:type="dxa"/>
            <w:tcBorders>
              <w:bottom w:val="single" w:sz="12" w:space="0" w:color="auto"/>
            </w:tcBorders>
            <w:shd w:val="clear" w:color="auto" w:fill="auto"/>
            <w:vAlign w:val="bottom"/>
          </w:tcPr>
          <w:p w:rsidR="00B61313" w:rsidRPr="00073890" w:rsidRDefault="00B61313" w:rsidP="00073890">
            <w:pPr>
              <w:tabs>
                <w:tab w:val="left" w:pos="288"/>
                <w:tab w:val="left" w:pos="576"/>
                <w:tab w:val="left" w:pos="864"/>
                <w:tab w:val="left" w:pos="1152"/>
              </w:tabs>
              <w:suppressAutoHyphens/>
              <w:spacing w:before="40" w:after="40" w:line="210" w:lineRule="exact"/>
              <w:ind w:right="43"/>
              <w:jc w:val="right"/>
              <w:rPr>
                <w:sz w:val="17"/>
              </w:rPr>
            </w:pPr>
            <w:r>
              <w:rPr>
                <w:sz w:val="17"/>
              </w:rPr>
              <w:t>90,7</w:t>
            </w:r>
          </w:p>
        </w:tc>
        <w:tc>
          <w:tcPr>
            <w:tcW w:w="90" w:type="dxa"/>
            <w:tcBorders>
              <w:bottom w:val="single" w:sz="12" w:space="0" w:color="auto"/>
            </w:tcBorders>
            <w:shd w:val="clear" w:color="auto" w:fill="auto"/>
            <w:vAlign w:val="bottom"/>
          </w:tcPr>
          <w:p w:rsidR="00B61313" w:rsidRPr="00073890" w:rsidRDefault="00B61313" w:rsidP="00073890">
            <w:pPr>
              <w:tabs>
                <w:tab w:val="left" w:pos="288"/>
                <w:tab w:val="left" w:pos="576"/>
                <w:tab w:val="left" w:pos="864"/>
                <w:tab w:val="left" w:pos="1152"/>
              </w:tabs>
              <w:suppressAutoHyphens/>
              <w:spacing w:before="40" w:after="40" w:line="210" w:lineRule="exact"/>
              <w:ind w:right="43"/>
              <w:jc w:val="right"/>
              <w:rPr>
                <w:sz w:val="17"/>
              </w:rPr>
            </w:pPr>
          </w:p>
        </w:tc>
        <w:tc>
          <w:tcPr>
            <w:tcW w:w="1260" w:type="dxa"/>
            <w:tcBorders>
              <w:bottom w:val="single" w:sz="12" w:space="0" w:color="auto"/>
            </w:tcBorders>
            <w:shd w:val="clear" w:color="auto" w:fill="auto"/>
            <w:vAlign w:val="bottom"/>
          </w:tcPr>
          <w:p w:rsidR="00B61313" w:rsidRPr="00073890" w:rsidRDefault="00B61313" w:rsidP="00073890">
            <w:pPr>
              <w:tabs>
                <w:tab w:val="left" w:pos="288"/>
                <w:tab w:val="left" w:pos="576"/>
                <w:tab w:val="left" w:pos="864"/>
                <w:tab w:val="left" w:pos="1152"/>
              </w:tabs>
              <w:suppressAutoHyphens/>
              <w:spacing w:before="40" w:after="40" w:line="210" w:lineRule="exact"/>
              <w:ind w:right="43"/>
              <w:jc w:val="right"/>
              <w:rPr>
                <w:sz w:val="17"/>
              </w:rPr>
            </w:pPr>
            <w:r>
              <w:rPr>
                <w:sz w:val="17"/>
              </w:rPr>
              <w:t>0,0</w:t>
            </w:r>
          </w:p>
        </w:tc>
        <w:tc>
          <w:tcPr>
            <w:tcW w:w="1120" w:type="dxa"/>
            <w:tcBorders>
              <w:bottom w:val="single" w:sz="12" w:space="0" w:color="auto"/>
            </w:tcBorders>
            <w:shd w:val="clear" w:color="auto" w:fill="auto"/>
            <w:vAlign w:val="bottom"/>
          </w:tcPr>
          <w:p w:rsidR="00B61313" w:rsidRPr="00073890" w:rsidRDefault="00B61313" w:rsidP="00073890">
            <w:pPr>
              <w:tabs>
                <w:tab w:val="left" w:pos="288"/>
                <w:tab w:val="left" w:pos="576"/>
                <w:tab w:val="left" w:pos="864"/>
                <w:tab w:val="left" w:pos="1152"/>
              </w:tabs>
              <w:suppressAutoHyphens/>
              <w:spacing w:before="40" w:after="40" w:line="210" w:lineRule="exact"/>
              <w:ind w:right="43"/>
              <w:jc w:val="right"/>
              <w:rPr>
                <w:sz w:val="17"/>
              </w:rPr>
            </w:pPr>
            <w:r>
              <w:rPr>
                <w:sz w:val="17"/>
              </w:rPr>
              <w:t>0,4</w:t>
            </w:r>
          </w:p>
        </w:tc>
        <w:tc>
          <w:tcPr>
            <w:tcW w:w="895" w:type="dxa"/>
            <w:tcBorders>
              <w:bottom w:val="single" w:sz="12" w:space="0" w:color="auto"/>
            </w:tcBorders>
            <w:shd w:val="clear" w:color="auto" w:fill="auto"/>
            <w:vAlign w:val="bottom"/>
          </w:tcPr>
          <w:p w:rsidR="00B61313" w:rsidRPr="00073890" w:rsidRDefault="00B61313" w:rsidP="00073890">
            <w:pPr>
              <w:tabs>
                <w:tab w:val="left" w:pos="288"/>
                <w:tab w:val="left" w:pos="576"/>
                <w:tab w:val="left" w:pos="864"/>
                <w:tab w:val="left" w:pos="1152"/>
              </w:tabs>
              <w:suppressAutoHyphens/>
              <w:spacing w:before="40" w:after="40" w:line="210" w:lineRule="exact"/>
              <w:ind w:right="43"/>
              <w:jc w:val="right"/>
              <w:rPr>
                <w:sz w:val="17"/>
              </w:rPr>
            </w:pPr>
            <w:r>
              <w:rPr>
                <w:sz w:val="17"/>
              </w:rPr>
              <w:t>1,0</w:t>
            </w:r>
          </w:p>
        </w:tc>
      </w:tr>
    </w:tbl>
    <w:p w:rsidR="00525D53" w:rsidRPr="00525D53" w:rsidRDefault="00525D53" w:rsidP="00525D53">
      <w:pPr>
        <w:pStyle w:val="BodyText"/>
        <w:spacing w:line="120" w:lineRule="exact"/>
        <w:jc w:val="both"/>
        <w:rPr>
          <w:b w:val="0"/>
          <w:iCs/>
          <w:sz w:val="10"/>
          <w:szCs w:val="24"/>
        </w:rPr>
      </w:pPr>
    </w:p>
    <w:p w:rsidR="00525D53" w:rsidRDefault="00B61313" w:rsidP="00525D53">
      <w:pPr>
        <w:pStyle w:val="FootnoteText"/>
        <w:tabs>
          <w:tab w:val="clear" w:pos="418"/>
          <w:tab w:val="right" w:pos="216"/>
          <w:tab w:val="left" w:pos="288"/>
          <w:tab w:val="right" w:pos="576"/>
          <w:tab w:val="left" w:pos="648"/>
        </w:tabs>
        <w:ind w:left="288" w:hanging="288"/>
      </w:pPr>
      <w:r>
        <w:tab/>
      </w:r>
      <w:r w:rsidRPr="00B61313">
        <w:rPr>
          <w:i/>
          <w:vertAlign w:val="superscript"/>
        </w:rPr>
        <w:t>1</w:t>
      </w:r>
      <w:r>
        <w:tab/>
        <w:t>Équivalent plein temps.</w:t>
      </w:r>
    </w:p>
    <w:p w:rsidR="00270E40" w:rsidRDefault="00525D53" w:rsidP="00525D53">
      <w:pPr>
        <w:pStyle w:val="FootnoteText"/>
        <w:tabs>
          <w:tab w:val="clear" w:pos="418"/>
          <w:tab w:val="right" w:pos="216"/>
          <w:tab w:val="left" w:pos="288"/>
          <w:tab w:val="right" w:pos="576"/>
          <w:tab w:val="left" w:pos="648"/>
        </w:tabs>
        <w:ind w:left="288" w:hanging="288"/>
      </w:pPr>
      <w:r>
        <w:tab/>
      </w:r>
      <w:r w:rsidRPr="00525D53">
        <w:rPr>
          <w:i/>
          <w:vertAlign w:val="superscript"/>
        </w:rPr>
        <w:t>2</w:t>
      </w:r>
      <w:r w:rsidRPr="00525D53">
        <w:rPr>
          <w:lang w:val="fr-FR"/>
        </w:rPr>
        <w:t xml:space="preserve"> </w:t>
      </w:r>
      <w:r>
        <w:rPr>
          <w:lang w:val="fr-FR"/>
        </w:rPr>
        <w:tab/>
      </w:r>
      <w:r w:rsidRPr="00D1493B">
        <w:rPr>
          <w:lang w:val="fr-FR"/>
        </w:rPr>
        <w:t>Calcul sur la base de l’équivalent plein temps.</w:t>
      </w:r>
    </w:p>
    <w:p w:rsidR="00270E40" w:rsidRDefault="00525D53" w:rsidP="00525D53">
      <w:pPr>
        <w:pStyle w:val="FootnoteText"/>
        <w:tabs>
          <w:tab w:val="clear" w:pos="418"/>
          <w:tab w:val="right" w:pos="216"/>
          <w:tab w:val="left" w:pos="288"/>
          <w:tab w:val="right" w:pos="576"/>
          <w:tab w:val="left" w:pos="648"/>
        </w:tabs>
        <w:ind w:left="288" w:hanging="288"/>
      </w:pPr>
      <w:r>
        <w:tab/>
      </w:r>
      <w:r w:rsidRPr="00525D53">
        <w:rPr>
          <w:vertAlign w:val="superscript"/>
        </w:rPr>
        <w:t>3</w:t>
      </w:r>
      <w:r w:rsidRPr="00525D53">
        <w:rPr>
          <w:lang w:val="fr-FR"/>
        </w:rPr>
        <w:t xml:space="preserve"> </w:t>
      </w:r>
      <w:r>
        <w:rPr>
          <w:lang w:val="fr-FR"/>
        </w:rPr>
        <w:tab/>
      </w:r>
      <w:r>
        <w:rPr>
          <w:lang w:val="fr-FR"/>
        </w:rPr>
        <w:tab/>
      </w:r>
      <w:r w:rsidRPr="00D1493B">
        <w:rPr>
          <w:lang w:val="fr-FR"/>
        </w:rPr>
        <w:t xml:space="preserve">Formation universitaire – y compris la “Licence </w:t>
      </w:r>
      <w:r>
        <w:rPr>
          <w:lang w:val="fr-FR"/>
        </w:rPr>
        <w:t>de</w:t>
      </w:r>
      <w:r w:rsidRPr="00D1493B">
        <w:rPr>
          <w:lang w:val="fr-FR"/>
        </w:rPr>
        <w:t xml:space="preserve"> </w:t>
      </w:r>
      <w:r>
        <w:rPr>
          <w:lang w:val="fr-FR"/>
        </w:rPr>
        <w:t>techniques</w:t>
      </w:r>
      <w:r w:rsidRPr="00D1493B">
        <w:rPr>
          <w:lang w:val="fr-FR"/>
        </w:rPr>
        <w:t xml:space="preserve"> infirmières”, la formation au métier de sage-femme et à d’autres professions de santé</w:t>
      </w:r>
      <w:r>
        <w:rPr>
          <w:lang w:val="fr-FR"/>
        </w:rPr>
        <w:t xml:space="preserve"> (à ce niveau universitaire).</w:t>
      </w:r>
    </w:p>
    <w:p w:rsidR="0073290F" w:rsidRPr="001303D2" w:rsidRDefault="00525D53" w:rsidP="00525D53">
      <w:pPr>
        <w:pStyle w:val="FootnoteText"/>
        <w:tabs>
          <w:tab w:val="clear" w:pos="418"/>
          <w:tab w:val="right" w:pos="216"/>
          <w:tab w:val="left" w:pos="288"/>
          <w:tab w:val="right" w:pos="576"/>
          <w:tab w:val="left" w:pos="648"/>
        </w:tabs>
        <w:ind w:left="288" w:hanging="288"/>
      </w:pPr>
      <w:r>
        <w:tab/>
      </w:r>
      <w:r w:rsidRPr="00525D53">
        <w:rPr>
          <w:i/>
          <w:vertAlign w:val="superscript"/>
        </w:rPr>
        <w:t>4</w:t>
      </w:r>
      <w:r w:rsidR="0073290F" w:rsidRPr="001303D2">
        <w:t xml:space="preserve"> </w:t>
      </w:r>
      <w:r>
        <w:tab/>
      </w:r>
      <w:r>
        <w:tab/>
      </w:r>
      <w:r w:rsidRPr="00D1493B">
        <w:rPr>
          <w:lang w:val="fr-FR"/>
        </w:rPr>
        <w:t>Formation post-secondaire – y compris au métier d’infirmier officiellement reconnu.</w:t>
      </w:r>
    </w:p>
    <w:p w:rsidR="0073290F" w:rsidRPr="00D1493B" w:rsidRDefault="00525D53" w:rsidP="00525D53">
      <w:pPr>
        <w:pStyle w:val="FootnoteText"/>
        <w:tabs>
          <w:tab w:val="clear" w:pos="418"/>
          <w:tab w:val="right" w:pos="216"/>
          <w:tab w:val="left" w:pos="288"/>
          <w:tab w:val="right" w:pos="576"/>
          <w:tab w:val="left" w:pos="648"/>
        </w:tabs>
        <w:ind w:left="288" w:hanging="288"/>
        <w:rPr>
          <w:lang w:val="fr-FR"/>
        </w:rPr>
      </w:pPr>
      <w:r>
        <w:rPr>
          <w:lang w:val="fr-FR"/>
        </w:rPr>
        <w:tab/>
      </w:r>
      <w:r w:rsidRPr="00525D53">
        <w:rPr>
          <w:i/>
          <w:vertAlign w:val="superscript"/>
          <w:lang w:val="fr-FR"/>
        </w:rPr>
        <w:t>5</w:t>
      </w:r>
      <w:r w:rsidR="0073290F" w:rsidRPr="00D1493B">
        <w:rPr>
          <w:lang w:val="fr-FR"/>
        </w:rPr>
        <w:t xml:space="preserve"> </w:t>
      </w:r>
      <w:r>
        <w:rPr>
          <w:lang w:val="fr-FR"/>
        </w:rPr>
        <w:tab/>
      </w:r>
      <w:r>
        <w:rPr>
          <w:lang w:val="fr-FR"/>
        </w:rPr>
        <w:tab/>
      </w:r>
      <w:r w:rsidRPr="00D1493B">
        <w:rPr>
          <w:lang w:val="fr-FR"/>
        </w:rPr>
        <w:t>Formation secondaire – y compris pour les aide</w:t>
      </w:r>
      <w:r>
        <w:rPr>
          <w:lang w:val="fr-FR"/>
        </w:rPr>
        <w:t>s-</w:t>
      </w:r>
      <w:r w:rsidRPr="00D1493B">
        <w:rPr>
          <w:lang w:val="fr-FR"/>
        </w:rPr>
        <w:t>soignants, les sage</w:t>
      </w:r>
      <w:r>
        <w:rPr>
          <w:lang w:val="fr-FR"/>
        </w:rPr>
        <w:t>s</w:t>
      </w:r>
      <w:r w:rsidRPr="00D1493B">
        <w:rPr>
          <w:lang w:val="fr-FR"/>
        </w:rPr>
        <w:t xml:space="preserve">-femmes et l’ensemble des </w:t>
      </w:r>
      <w:r>
        <w:rPr>
          <w:lang w:val="fr-FR"/>
        </w:rPr>
        <w:t>employés de santé diplômés en sciences naturelles.</w:t>
      </w:r>
    </w:p>
    <w:p w:rsidR="00525D53" w:rsidRPr="00525D53" w:rsidRDefault="00525D53" w:rsidP="00525D53">
      <w:pPr>
        <w:pStyle w:val="Predoblikovano"/>
        <w:tabs>
          <w:tab w:val="clear" w:pos="9590"/>
        </w:tabs>
        <w:spacing w:line="120" w:lineRule="exact"/>
        <w:jc w:val="both"/>
        <w:rPr>
          <w:rFonts w:ascii="Times New Roman" w:hAnsi="Times New Roman" w:cs="Times New Roman"/>
          <w:sz w:val="10"/>
          <w:szCs w:val="24"/>
          <w:lang w:val="fr-FR"/>
        </w:rPr>
      </w:pPr>
    </w:p>
    <w:p w:rsidR="0073290F" w:rsidRPr="00525D53" w:rsidRDefault="0073290F" w:rsidP="0073290F">
      <w:pPr>
        <w:pStyle w:val="Predoblikovano"/>
        <w:tabs>
          <w:tab w:val="clear" w:pos="9590"/>
        </w:tabs>
        <w:jc w:val="both"/>
        <w:rPr>
          <w:rFonts w:ascii="Times New Roman" w:hAnsi="Times New Roman" w:cs="Times New Roman"/>
          <w:sz w:val="17"/>
          <w:szCs w:val="17"/>
          <w:lang w:val="fr-FR"/>
        </w:rPr>
      </w:pPr>
      <w:r w:rsidRPr="00525D53">
        <w:rPr>
          <w:rFonts w:ascii="Times New Roman" w:hAnsi="Times New Roman" w:cs="Times New Roman"/>
          <w:i/>
          <w:sz w:val="17"/>
          <w:szCs w:val="17"/>
          <w:lang w:val="fr-FR"/>
        </w:rPr>
        <w:t>Source</w:t>
      </w:r>
      <w:r w:rsidRPr="00525D53">
        <w:rPr>
          <w:rFonts w:ascii="Times New Roman" w:hAnsi="Times New Roman" w:cs="Times New Roman"/>
          <w:sz w:val="17"/>
          <w:szCs w:val="17"/>
          <w:lang w:val="fr-FR"/>
        </w:rPr>
        <w:t>: Annuaire statistique médical 2002, Institut de la Santé publique.</w:t>
      </w:r>
    </w:p>
    <w:p w:rsidR="0073290F" w:rsidRDefault="0073290F" w:rsidP="00525D53">
      <w:pPr>
        <w:pStyle w:val="SingleTxt"/>
        <w:jc w:val="left"/>
        <w:rPr>
          <w:b/>
          <w:color w:val="000000"/>
        </w:rPr>
      </w:pPr>
      <w:r w:rsidRPr="00525D53">
        <w:rPr>
          <w:color w:val="000000"/>
        </w:rPr>
        <w:t>Tableau 41</w:t>
      </w:r>
      <w:r w:rsidR="00525D53">
        <w:rPr>
          <w:b/>
          <w:color w:val="000000"/>
        </w:rPr>
        <w:br/>
      </w:r>
      <w:r w:rsidRPr="00BC1024">
        <w:rPr>
          <w:b/>
          <w:color w:val="000000"/>
        </w:rPr>
        <w:t>Visites pr</w:t>
      </w:r>
      <w:r>
        <w:rPr>
          <w:b/>
          <w:color w:val="000000"/>
        </w:rPr>
        <w:t>é</w:t>
      </w:r>
      <w:r w:rsidRPr="00BC1024">
        <w:rPr>
          <w:b/>
          <w:color w:val="000000"/>
        </w:rPr>
        <w:t xml:space="preserve">ventives dans les services </w:t>
      </w:r>
      <w:r>
        <w:rPr>
          <w:b/>
          <w:color w:val="000000"/>
        </w:rPr>
        <w:t>de maternité</w:t>
      </w:r>
      <w:r w:rsidRPr="00BC1024">
        <w:rPr>
          <w:b/>
          <w:color w:val="000000"/>
        </w:rPr>
        <w:t xml:space="preserve"> généraux, et pourcentage de femmes dirigées vers des spécialistes et des h</w:t>
      </w:r>
      <w:r>
        <w:rPr>
          <w:b/>
          <w:color w:val="000000"/>
        </w:rPr>
        <w:t>ôpitaux – en 2001 et 2002.</w:t>
      </w:r>
      <w:r w:rsidRPr="00BC1024">
        <w:rPr>
          <w:b/>
          <w:color w:val="000000"/>
        </w:rPr>
        <w:t xml:space="preserve"> </w:t>
      </w:r>
    </w:p>
    <w:p w:rsidR="001F0F00" w:rsidRPr="001F0F00" w:rsidRDefault="001F0F00" w:rsidP="001F0F00">
      <w:pPr>
        <w:spacing w:line="120" w:lineRule="exact"/>
        <w:rPr>
          <w:sz w:val="10"/>
        </w:rPr>
      </w:pPr>
    </w:p>
    <w:tbl>
      <w:tblPr>
        <w:tblW w:w="8613" w:type="dxa"/>
        <w:tblInd w:w="1267" w:type="dxa"/>
        <w:tblLayout w:type="fixed"/>
        <w:tblCellMar>
          <w:left w:w="70" w:type="dxa"/>
          <w:right w:w="70" w:type="dxa"/>
        </w:tblCellMar>
        <w:tblLook w:val="0000" w:firstRow="0" w:lastRow="0" w:firstColumn="0" w:lastColumn="0" w:noHBand="0" w:noVBand="0"/>
      </w:tblPr>
      <w:tblGrid>
        <w:gridCol w:w="603"/>
        <w:gridCol w:w="890"/>
        <w:gridCol w:w="890"/>
        <w:gridCol w:w="890"/>
        <w:gridCol w:w="890"/>
        <w:gridCol w:w="890"/>
        <w:gridCol w:w="1130"/>
        <w:gridCol w:w="650"/>
        <w:gridCol w:w="1150"/>
        <w:gridCol w:w="630"/>
      </w:tblGrid>
      <w:tr w:rsidR="00FB04C8" w:rsidRPr="00525D53">
        <w:tblPrEx>
          <w:tblCellMar>
            <w:top w:w="0" w:type="dxa"/>
            <w:bottom w:w="0" w:type="dxa"/>
          </w:tblCellMar>
        </w:tblPrEx>
        <w:trPr>
          <w:cantSplit/>
          <w:tblHeader/>
        </w:trPr>
        <w:tc>
          <w:tcPr>
            <w:tcW w:w="603" w:type="dxa"/>
            <w:tcBorders>
              <w:top w:val="single" w:sz="4" w:space="0" w:color="auto"/>
            </w:tcBorders>
            <w:shd w:val="clear" w:color="auto" w:fill="auto"/>
            <w:vAlign w:val="bottom"/>
          </w:tcPr>
          <w:p w:rsidR="00FB04C8" w:rsidRPr="00525D53" w:rsidRDefault="00FB04C8" w:rsidP="00525D53">
            <w:pPr>
              <w:suppressAutoHyphens/>
              <w:spacing w:before="80" w:after="80" w:line="160" w:lineRule="exact"/>
              <w:ind w:right="43"/>
              <w:rPr>
                <w:i/>
                <w:color w:val="000000"/>
                <w:sz w:val="14"/>
              </w:rPr>
            </w:pPr>
          </w:p>
        </w:tc>
        <w:tc>
          <w:tcPr>
            <w:tcW w:w="890" w:type="dxa"/>
            <w:vMerge w:val="restart"/>
            <w:tcBorders>
              <w:top w:val="single" w:sz="4" w:space="0" w:color="auto"/>
            </w:tcBorders>
            <w:shd w:val="clear" w:color="auto" w:fill="auto"/>
            <w:vAlign w:val="bottom"/>
          </w:tcPr>
          <w:p w:rsidR="00FB04C8" w:rsidRPr="00FB04C8" w:rsidRDefault="00FB04C8" w:rsidP="00525D53">
            <w:pPr>
              <w:suppressAutoHyphens/>
              <w:spacing w:before="80" w:after="80" w:line="160" w:lineRule="exact"/>
              <w:ind w:right="43"/>
              <w:jc w:val="right"/>
              <w:rPr>
                <w:i/>
                <w:color w:val="000000"/>
                <w:sz w:val="14"/>
              </w:rPr>
            </w:pPr>
            <w:r w:rsidRPr="00FB04C8">
              <w:rPr>
                <w:i/>
                <w:color w:val="000000"/>
                <w:sz w:val="14"/>
              </w:rPr>
              <w:t>Toutes visites confondues</w:t>
            </w:r>
          </w:p>
        </w:tc>
        <w:tc>
          <w:tcPr>
            <w:tcW w:w="1780" w:type="dxa"/>
            <w:gridSpan w:val="2"/>
            <w:tcBorders>
              <w:top w:val="single" w:sz="4" w:space="0" w:color="auto"/>
              <w:bottom w:val="single" w:sz="4" w:space="0" w:color="auto"/>
            </w:tcBorders>
            <w:shd w:val="clear" w:color="auto" w:fill="auto"/>
            <w:vAlign w:val="bottom"/>
          </w:tcPr>
          <w:p w:rsidR="00FB04C8" w:rsidRPr="00FB04C8" w:rsidRDefault="00FB04C8" w:rsidP="001F0F00">
            <w:pPr>
              <w:suppressAutoHyphens/>
              <w:spacing w:before="80" w:after="80" w:line="160" w:lineRule="exact"/>
              <w:ind w:right="43"/>
              <w:jc w:val="center"/>
              <w:rPr>
                <w:i/>
                <w:color w:val="000000"/>
                <w:sz w:val="14"/>
              </w:rPr>
            </w:pPr>
            <w:r w:rsidRPr="00FB04C8">
              <w:rPr>
                <w:i/>
                <w:color w:val="000000"/>
                <w:sz w:val="14"/>
              </w:rPr>
              <w:t>Ensemble des visites préventives</w:t>
            </w:r>
          </w:p>
        </w:tc>
        <w:tc>
          <w:tcPr>
            <w:tcW w:w="5340" w:type="dxa"/>
            <w:gridSpan w:val="6"/>
            <w:tcBorders>
              <w:top w:val="single" w:sz="4" w:space="0" w:color="auto"/>
              <w:bottom w:val="single" w:sz="4" w:space="0" w:color="auto"/>
            </w:tcBorders>
            <w:shd w:val="clear" w:color="auto" w:fill="auto"/>
            <w:vAlign w:val="bottom"/>
          </w:tcPr>
          <w:p w:rsidR="00FB04C8" w:rsidRPr="00FB04C8" w:rsidRDefault="00FB04C8" w:rsidP="00FB04C8">
            <w:pPr>
              <w:suppressAutoHyphens/>
              <w:spacing w:before="80" w:after="80" w:line="160" w:lineRule="exact"/>
              <w:ind w:right="43"/>
              <w:jc w:val="center"/>
              <w:rPr>
                <w:i/>
                <w:color w:val="000000"/>
                <w:sz w:val="14"/>
              </w:rPr>
            </w:pPr>
            <w:r w:rsidRPr="00FB04C8">
              <w:rPr>
                <w:i/>
                <w:color w:val="000000"/>
                <w:sz w:val="14"/>
              </w:rPr>
              <w:t>Visites préventives</w:t>
            </w:r>
          </w:p>
        </w:tc>
      </w:tr>
      <w:tr w:rsidR="00FB04C8" w:rsidRPr="00525D53">
        <w:tblPrEx>
          <w:tblCellMar>
            <w:top w:w="0" w:type="dxa"/>
            <w:bottom w:w="0" w:type="dxa"/>
          </w:tblCellMar>
        </w:tblPrEx>
        <w:trPr>
          <w:cantSplit/>
          <w:tblHeader/>
        </w:trPr>
        <w:tc>
          <w:tcPr>
            <w:tcW w:w="603" w:type="dxa"/>
            <w:tcBorders>
              <w:bottom w:val="single" w:sz="12" w:space="0" w:color="auto"/>
            </w:tcBorders>
            <w:shd w:val="clear" w:color="auto" w:fill="auto"/>
            <w:vAlign w:val="bottom"/>
          </w:tcPr>
          <w:p w:rsidR="00FB04C8" w:rsidRPr="00525D53" w:rsidRDefault="001F0F00" w:rsidP="00525D53">
            <w:pPr>
              <w:suppressAutoHyphens/>
              <w:spacing w:before="80" w:after="80" w:line="160" w:lineRule="exact"/>
              <w:ind w:right="43"/>
              <w:rPr>
                <w:i/>
                <w:color w:val="000000"/>
                <w:sz w:val="14"/>
              </w:rPr>
            </w:pPr>
            <w:r>
              <w:rPr>
                <w:i/>
                <w:color w:val="000000"/>
                <w:sz w:val="14"/>
              </w:rPr>
              <w:t>Année</w:t>
            </w:r>
          </w:p>
        </w:tc>
        <w:tc>
          <w:tcPr>
            <w:tcW w:w="890" w:type="dxa"/>
            <w:vMerge/>
            <w:tcBorders>
              <w:bottom w:val="single" w:sz="12" w:space="0" w:color="auto"/>
            </w:tcBorders>
            <w:shd w:val="clear" w:color="auto" w:fill="auto"/>
            <w:vAlign w:val="bottom"/>
          </w:tcPr>
          <w:p w:rsidR="00FB04C8" w:rsidRPr="00525D53" w:rsidRDefault="00FB04C8" w:rsidP="00525D53">
            <w:pPr>
              <w:suppressAutoHyphens/>
              <w:spacing w:before="80" w:after="80" w:line="160" w:lineRule="exact"/>
              <w:ind w:right="43"/>
              <w:jc w:val="right"/>
              <w:rPr>
                <w:i/>
                <w:color w:val="000000"/>
                <w:sz w:val="14"/>
              </w:rPr>
            </w:pPr>
          </w:p>
        </w:tc>
        <w:tc>
          <w:tcPr>
            <w:tcW w:w="890" w:type="dxa"/>
            <w:tcBorders>
              <w:top w:val="single" w:sz="4" w:space="0" w:color="auto"/>
              <w:bottom w:val="single" w:sz="12" w:space="0" w:color="auto"/>
            </w:tcBorders>
            <w:shd w:val="clear" w:color="auto" w:fill="auto"/>
            <w:vAlign w:val="bottom"/>
          </w:tcPr>
          <w:p w:rsidR="00FB04C8" w:rsidRPr="00525D53" w:rsidRDefault="00FB04C8" w:rsidP="00525D53">
            <w:pPr>
              <w:suppressAutoHyphens/>
              <w:spacing w:before="80" w:after="80" w:line="160" w:lineRule="exact"/>
              <w:ind w:right="43"/>
              <w:jc w:val="right"/>
              <w:rPr>
                <w:i/>
                <w:color w:val="000000"/>
                <w:sz w:val="14"/>
              </w:rPr>
            </w:pPr>
          </w:p>
        </w:tc>
        <w:tc>
          <w:tcPr>
            <w:tcW w:w="890" w:type="dxa"/>
            <w:tcBorders>
              <w:top w:val="single" w:sz="4" w:space="0" w:color="auto"/>
              <w:bottom w:val="single" w:sz="12" w:space="0" w:color="auto"/>
            </w:tcBorders>
            <w:shd w:val="clear" w:color="auto" w:fill="auto"/>
            <w:vAlign w:val="bottom"/>
          </w:tcPr>
          <w:p w:rsidR="00FB04C8" w:rsidRPr="00525D53" w:rsidRDefault="00FB04C8" w:rsidP="00525D53">
            <w:pPr>
              <w:suppressAutoHyphens/>
              <w:spacing w:before="80" w:after="80" w:line="160" w:lineRule="exact"/>
              <w:ind w:right="43"/>
              <w:jc w:val="right"/>
              <w:rPr>
                <w:i/>
                <w:color w:val="000000"/>
                <w:sz w:val="14"/>
              </w:rPr>
            </w:pPr>
            <w:r>
              <w:rPr>
                <w:i/>
                <w:color w:val="000000"/>
                <w:sz w:val="14"/>
              </w:rPr>
              <w:t>%</w:t>
            </w:r>
          </w:p>
        </w:tc>
        <w:tc>
          <w:tcPr>
            <w:tcW w:w="890" w:type="dxa"/>
            <w:tcBorders>
              <w:top w:val="single" w:sz="4" w:space="0" w:color="auto"/>
              <w:bottom w:val="single" w:sz="12" w:space="0" w:color="auto"/>
            </w:tcBorders>
            <w:shd w:val="clear" w:color="auto" w:fill="auto"/>
            <w:vAlign w:val="bottom"/>
          </w:tcPr>
          <w:p w:rsidR="00FB04C8" w:rsidRPr="00525D53" w:rsidRDefault="00FB04C8" w:rsidP="00525D53">
            <w:pPr>
              <w:suppressAutoHyphens/>
              <w:spacing w:before="80" w:after="80" w:line="160" w:lineRule="exact"/>
              <w:ind w:right="43"/>
              <w:jc w:val="right"/>
              <w:rPr>
                <w:i/>
                <w:color w:val="000000"/>
                <w:sz w:val="14"/>
              </w:rPr>
            </w:pPr>
            <w:r>
              <w:rPr>
                <w:i/>
                <w:color w:val="000000"/>
                <w:sz w:val="14"/>
              </w:rPr>
              <w:t>Grossesse</w:t>
            </w:r>
          </w:p>
        </w:tc>
        <w:tc>
          <w:tcPr>
            <w:tcW w:w="890" w:type="dxa"/>
            <w:tcBorders>
              <w:top w:val="single" w:sz="4" w:space="0" w:color="auto"/>
              <w:bottom w:val="single" w:sz="12" w:space="0" w:color="auto"/>
            </w:tcBorders>
            <w:shd w:val="clear" w:color="auto" w:fill="auto"/>
            <w:vAlign w:val="bottom"/>
          </w:tcPr>
          <w:p w:rsidR="00FB04C8" w:rsidRPr="00525D53" w:rsidRDefault="00FB04C8" w:rsidP="00525D53">
            <w:pPr>
              <w:suppressAutoHyphens/>
              <w:spacing w:before="80" w:after="80" w:line="160" w:lineRule="exact"/>
              <w:ind w:right="43"/>
              <w:jc w:val="right"/>
              <w:rPr>
                <w:i/>
                <w:color w:val="000000"/>
                <w:sz w:val="14"/>
              </w:rPr>
            </w:pPr>
            <w:r>
              <w:rPr>
                <w:i/>
                <w:color w:val="000000"/>
                <w:sz w:val="14"/>
              </w:rPr>
              <w:t>%</w:t>
            </w:r>
          </w:p>
        </w:tc>
        <w:tc>
          <w:tcPr>
            <w:tcW w:w="1130" w:type="dxa"/>
            <w:tcBorders>
              <w:top w:val="single" w:sz="4" w:space="0" w:color="auto"/>
              <w:bottom w:val="single" w:sz="12" w:space="0" w:color="auto"/>
            </w:tcBorders>
            <w:shd w:val="clear" w:color="auto" w:fill="auto"/>
            <w:vAlign w:val="bottom"/>
          </w:tcPr>
          <w:p w:rsidR="00FB04C8" w:rsidRPr="00525D53" w:rsidRDefault="00FB04C8" w:rsidP="00525D53">
            <w:pPr>
              <w:suppressAutoHyphens/>
              <w:spacing w:before="80" w:after="80" w:line="160" w:lineRule="exact"/>
              <w:ind w:right="43"/>
              <w:jc w:val="right"/>
              <w:rPr>
                <w:i/>
                <w:color w:val="000000"/>
                <w:sz w:val="14"/>
              </w:rPr>
            </w:pPr>
            <w:r>
              <w:rPr>
                <w:i/>
                <w:color w:val="000000"/>
                <w:sz w:val="14"/>
              </w:rPr>
              <w:t>Contraception</w:t>
            </w:r>
          </w:p>
        </w:tc>
        <w:tc>
          <w:tcPr>
            <w:tcW w:w="650" w:type="dxa"/>
            <w:tcBorders>
              <w:top w:val="single" w:sz="4" w:space="0" w:color="auto"/>
              <w:bottom w:val="single" w:sz="12" w:space="0" w:color="auto"/>
            </w:tcBorders>
            <w:shd w:val="clear" w:color="auto" w:fill="auto"/>
            <w:vAlign w:val="bottom"/>
          </w:tcPr>
          <w:p w:rsidR="00FB04C8" w:rsidRPr="00525D53" w:rsidRDefault="00FB04C8" w:rsidP="00525D53">
            <w:pPr>
              <w:suppressAutoHyphens/>
              <w:spacing w:before="80" w:after="80" w:line="160" w:lineRule="exact"/>
              <w:ind w:right="43"/>
              <w:jc w:val="right"/>
              <w:rPr>
                <w:i/>
                <w:color w:val="000000"/>
                <w:sz w:val="14"/>
              </w:rPr>
            </w:pPr>
            <w:r>
              <w:rPr>
                <w:i/>
                <w:color w:val="000000"/>
                <w:sz w:val="14"/>
              </w:rPr>
              <w:t>%</w:t>
            </w:r>
          </w:p>
        </w:tc>
        <w:tc>
          <w:tcPr>
            <w:tcW w:w="1150" w:type="dxa"/>
            <w:tcBorders>
              <w:top w:val="single" w:sz="4" w:space="0" w:color="auto"/>
              <w:bottom w:val="single" w:sz="12" w:space="0" w:color="auto"/>
            </w:tcBorders>
            <w:shd w:val="clear" w:color="auto" w:fill="auto"/>
            <w:vAlign w:val="bottom"/>
          </w:tcPr>
          <w:p w:rsidR="00FB04C8" w:rsidRPr="00525D53" w:rsidRDefault="00FB04C8" w:rsidP="00525D53">
            <w:pPr>
              <w:suppressAutoHyphens/>
              <w:spacing w:before="80" w:after="80" w:line="160" w:lineRule="exact"/>
              <w:ind w:right="43"/>
              <w:jc w:val="right"/>
              <w:rPr>
                <w:i/>
                <w:color w:val="000000"/>
                <w:sz w:val="14"/>
              </w:rPr>
            </w:pPr>
            <w:r>
              <w:rPr>
                <w:i/>
                <w:color w:val="000000"/>
                <w:sz w:val="14"/>
              </w:rPr>
              <w:t>Autresmotifs</w:t>
            </w:r>
          </w:p>
        </w:tc>
        <w:tc>
          <w:tcPr>
            <w:tcW w:w="630" w:type="dxa"/>
            <w:tcBorders>
              <w:top w:val="single" w:sz="4" w:space="0" w:color="auto"/>
              <w:bottom w:val="single" w:sz="12" w:space="0" w:color="auto"/>
            </w:tcBorders>
            <w:shd w:val="clear" w:color="auto" w:fill="auto"/>
            <w:vAlign w:val="bottom"/>
          </w:tcPr>
          <w:p w:rsidR="00FB04C8" w:rsidRPr="00525D53" w:rsidRDefault="001F0F00" w:rsidP="00525D53">
            <w:pPr>
              <w:suppressAutoHyphens/>
              <w:spacing w:before="80" w:after="80" w:line="160" w:lineRule="exact"/>
              <w:ind w:right="43"/>
              <w:jc w:val="right"/>
              <w:rPr>
                <w:i/>
                <w:color w:val="000000"/>
                <w:sz w:val="14"/>
              </w:rPr>
            </w:pPr>
            <w:r>
              <w:rPr>
                <w:i/>
                <w:color w:val="000000"/>
                <w:sz w:val="14"/>
              </w:rPr>
              <w:t>%</w:t>
            </w:r>
          </w:p>
        </w:tc>
      </w:tr>
      <w:tr w:rsidR="00525D53" w:rsidRPr="00525D53">
        <w:tblPrEx>
          <w:tblCellMar>
            <w:top w:w="0" w:type="dxa"/>
            <w:bottom w:w="0" w:type="dxa"/>
          </w:tblCellMar>
        </w:tblPrEx>
        <w:trPr>
          <w:cantSplit/>
          <w:trHeight w:hRule="exact" w:val="115"/>
          <w:tblHeader/>
        </w:trPr>
        <w:tc>
          <w:tcPr>
            <w:tcW w:w="603" w:type="dxa"/>
            <w:tcBorders>
              <w:top w:val="single" w:sz="12" w:space="0" w:color="auto"/>
            </w:tcBorders>
            <w:shd w:val="clear" w:color="auto" w:fill="auto"/>
            <w:vAlign w:val="bottom"/>
          </w:tcPr>
          <w:p w:rsidR="00525D53" w:rsidRPr="00525D53" w:rsidRDefault="00525D53" w:rsidP="00525D53">
            <w:pPr>
              <w:suppressAutoHyphens/>
              <w:spacing w:before="40" w:after="40" w:line="210" w:lineRule="exact"/>
              <w:ind w:right="43"/>
              <w:rPr>
                <w:color w:val="000000"/>
                <w:sz w:val="17"/>
              </w:rPr>
            </w:pPr>
          </w:p>
        </w:tc>
        <w:tc>
          <w:tcPr>
            <w:tcW w:w="890" w:type="dxa"/>
            <w:tcBorders>
              <w:top w:val="single" w:sz="12" w:space="0" w:color="auto"/>
            </w:tcBorders>
            <w:shd w:val="clear" w:color="auto" w:fill="auto"/>
            <w:vAlign w:val="bottom"/>
          </w:tcPr>
          <w:p w:rsidR="00525D53" w:rsidRPr="00525D53" w:rsidRDefault="00525D53" w:rsidP="00525D53">
            <w:pPr>
              <w:suppressAutoHyphens/>
              <w:spacing w:before="40" w:after="40" w:line="210" w:lineRule="exact"/>
              <w:ind w:right="43"/>
              <w:jc w:val="right"/>
              <w:rPr>
                <w:color w:val="000000"/>
                <w:sz w:val="17"/>
              </w:rPr>
            </w:pPr>
          </w:p>
        </w:tc>
        <w:tc>
          <w:tcPr>
            <w:tcW w:w="890" w:type="dxa"/>
            <w:tcBorders>
              <w:top w:val="single" w:sz="12" w:space="0" w:color="auto"/>
            </w:tcBorders>
            <w:shd w:val="clear" w:color="auto" w:fill="auto"/>
            <w:vAlign w:val="bottom"/>
          </w:tcPr>
          <w:p w:rsidR="00525D53" w:rsidRPr="00525D53" w:rsidRDefault="00525D53" w:rsidP="00525D53">
            <w:pPr>
              <w:suppressAutoHyphens/>
              <w:spacing w:before="40" w:after="40" w:line="210" w:lineRule="exact"/>
              <w:ind w:right="43"/>
              <w:jc w:val="right"/>
              <w:rPr>
                <w:color w:val="000000"/>
                <w:sz w:val="17"/>
              </w:rPr>
            </w:pPr>
          </w:p>
        </w:tc>
        <w:tc>
          <w:tcPr>
            <w:tcW w:w="890" w:type="dxa"/>
            <w:tcBorders>
              <w:top w:val="single" w:sz="12" w:space="0" w:color="auto"/>
            </w:tcBorders>
            <w:shd w:val="clear" w:color="auto" w:fill="auto"/>
            <w:vAlign w:val="bottom"/>
          </w:tcPr>
          <w:p w:rsidR="00525D53" w:rsidRPr="00525D53" w:rsidRDefault="00525D53" w:rsidP="00525D53">
            <w:pPr>
              <w:suppressAutoHyphens/>
              <w:spacing w:before="40" w:after="40" w:line="210" w:lineRule="exact"/>
              <w:ind w:right="43"/>
              <w:jc w:val="right"/>
              <w:rPr>
                <w:color w:val="000000"/>
                <w:sz w:val="17"/>
              </w:rPr>
            </w:pPr>
          </w:p>
        </w:tc>
        <w:tc>
          <w:tcPr>
            <w:tcW w:w="890" w:type="dxa"/>
            <w:tcBorders>
              <w:top w:val="single" w:sz="12" w:space="0" w:color="auto"/>
            </w:tcBorders>
            <w:shd w:val="clear" w:color="auto" w:fill="auto"/>
            <w:vAlign w:val="bottom"/>
          </w:tcPr>
          <w:p w:rsidR="00525D53" w:rsidRPr="00525D53" w:rsidRDefault="00525D53" w:rsidP="00525D53">
            <w:pPr>
              <w:suppressAutoHyphens/>
              <w:spacing w:before="40" w:after="40" w:line="210" w:lineRule="exact"/>
              <w:ind w:right="43"/>
              <w:jc w:val="right"/>
              <w:rPr>
                <w:color w:val="000000"/>
                <w:sz w:val="17"/>
              </w:rPr>
            </w:pPr>
          </w:p>
        </w:tc>
        <w:tc>
          <w:tcPr>
            <w:tcW w:w="890" w:type="dxa"/>
            <w:tcBorders>
              <w:top w:val="single" w:sz="12" w:space="0" w:color="auto"/>
            </w:tcBorders>
            <w:shd w:val="clear" w:color="auto" w:fill="auto"/>
            <w:vAlign w:val="bottom"/>
          </w:tcPr>
          <w:p w:rsidR="00525D53" w:rsidRPr="00525D53" w:rsidRDefault="00525D53" w:rsidP="00525D53">
            <w:pPr>
              <w:suppressAutoHyphens/>
              <w:spacing w:before="40" w:after="40" w:line="210" w:lineRule="exact"/>
              <w:ind w:right="43"/>
              <w:jc w:val="right"/>
              <w:rPr>
                <w:color w:val="000000"/>
                <w:sz w:val="17"/>
              </w:rPr>
            </w:pPr>
          </w:p>
        </w:tc>
        <w:tc>
          <w:tcPr>
            <w:tcW w:w="1130" w:type="dxa"/>
            <w:tcBorders>
              <w:top w:val="single" w:sz="12" w:space="0" w:color="auto"/>
            </w:tcBorders>
            <w:shd w:val="clear" w:color="auto" w:fill="auto"/>
            <w:vAlign w:val="bottom"/>
          </w:tcPr>
          <w:p w:rsidR="00525D53" w:rsidRPr="00525D53" w:rsidRDefault="00525D53" w:rsidP="00525D53">
            <w:pPr>
              <w:suppressAutoHyphens/>
              <w:spacing w:before="40" w:after="40" w:line="210" w:lineRule="exact"/>
              <w:ind w:right="43"/>
              <w:jc w:val="right"/>
              <w:rPr>
                <w:color w:val="000000"/>
                <w:sz w:val="17"/>
              </w:rPr>
            </w:pPr>
          </w:p>
        </w:tc>
        <w:tc>
          <w:tcPr>
            <w:tcW w:w="650" w:type="dxa"/>
            <w:tcBorders>
              <w:top w:val="single" w:sz="12" w:space="0" w:color="auto"/>
            </w:tcBorders>
            <w:shd w:val="clear" w:color="auto" w:fill="auto"/>
            <w:vAlign w:val="bottom"/>
          </w:tcPr>
          <w:p w:rsidR="00525D53" w:rsidRPr="00525D53" w:rsidRDefault="00525D53" w:rsidP="00525D53">
            <w:pPr>
              <w:suppressAutoHyphens/>
              <w:spacing w:before="40" w:after="40" w:line="210" w:lineRule="exact"/>
              <w:ind w:right="43"/>
              <w:jc w:val="right"/>
              <w:rPr>
                <w:color w:val="000000"/>
                <w:sz w:val="17"/>
              </w:rPr>
            </w:pPr>
          </w:p>
        </w:tc>
        <w:tc>
          <w:tcPr>
            <w:tcW w:w="1150" w:type="dxa"/>
            <w:tcBorders>
              <w:top w:val="single" w:sz="12" w:space="0" w:color="auto"/>
            </w:tcBorders>
            <w:shd w:val="clear" w:color="auto" w:fill="auto"/>
            <w:vAlign w:val="bottom"/>
          </w:tcPr>
          <w:p w:rsidR="00525D53" w:rsidRPr="00525D53" w:rsidRDefault="00525D53" w:rsidP="00525D53">
            <w:pPr>
              <w:suppressAutoHyphens/>
              <w:spacing w:before="40" w:after="40" w:line="210" w:lineRule="exact"/>
              <w:ind w:right="43"/>
              <w:jc w:val="right"/>
              <w:rPr>
                <w:color w:val="000000"/>
                <w:sz w:val="17"/>
              </w:rPr>
            </w:pPr>
          </w:p>
        </w:tc>
        <w:tc>
          <w:tcPr>
            <w:tcW w:w="630" w:type="dxa"/>
            <w:tcBorders>
              <w:top w:val="single" w:sz="12" w:space="0" w:color="auto"/>
            </w:tcBorders>
            <w:shd w:val="clear" w:color="auto" w:fill="auto"/>
            <w:vAlign w:val="bottom"/>
          </w:tcPr>
          <w:p w:rsidR="00525D53" w:rsidRPr="00525D53" w:rsidRDefault="00525D53" w:rsidP="00525D53">
            <w:pPr>
              <w:suppressAutoHyphens/>
              <w:spacing w:before="40" w:after="40" w:line="210" w:lineRule="exact"/>
              <w:ind w:right="43"/>
              <w:jc w:val="right"/>
              <w:rPr>
                <w:color w:val="000000"/>
                <w:sz w:val="17"/>
              </w:rPr>
            </w:pPr>
          </w:p>
        </w:tc>
      </w:tr>
      <w:tr w:rsidR="0073290F" w:rsidRPr="00525D53">
        <w:tblPrEx>
          <w:tblCellMar>
            <w:top w:w="0" w:type="dxa"/>
            <w:bottom w:w="0" w:type="dxa"/>
          </w:tblCellMar>
        </w:tblPrEx>
        <w:trPr>
          <w:cantSplit/>
        </w:trPr>
        <w:tc>
          <w:tcPr>
            <w:tcW w:w="603" w:type="dxa"/>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rPr>
                <w:color w:val="000000"/>
                <w:sz w:val="17"/>
              </w:rPr>
            </w:pPr>
            <w:r w:rsidRPr="00525D53">
              <w:rPr>
                <w:color w:val="000000"/>
                <w:sz w:val="17"/>
              </w:rPr>
              <w:t>2001</w:t>
            </w:r>
          </w:p>
        </w:tc>
        <w:tc>
          <w:tcPr>
            <w:tcW w:w="890" w:type="dxa"/>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jc w:val="right"/>
              <w:rPr>
                <w:color w:val="000000"/>
                <w:sz w:val="17"/>
              </w:rPr>
            </w:pPr>
            <w:r w:rsidRPr="00525D53">
              <w:rPr>
                <w:color w:val="000000"/>
                <w:sz w:val="17"/>
              </w:rPr>
              <w:t>731.550</w:t>
            </w:r>
          </w:p>
        </w:tc>
        <w:tc>
          <w:tcPr>
            <w:tcW w:w="890" w:type="dxa"/>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jc w:val="right"/>
              <w:rPr>
                <w:color w:val="000000"/>
                <w:sz w:val="17"/>
              </w:rPr>
            </w:pPr>
            <w:r w:rsidRPr="00525D53">
              <w:rPr>
                <w:color w:val="000000"/>
                <w:sz w:val="17"/>
              </w:rPr>
              <w:t>412.171</w:t>
            </w:r>
          </w:p>
        </w:tc>
        <w:tc>
          <w:tcPr>
            <w:tcW w:w="890" w:type="dxa"/>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jc w:val="right"/>
              <w:rPr>
                <w:color w:val="000000"/>
                <w:sz w:val="17"/>
              </w:rPr>
            </w:pPr>
            <w:r w:rsidRPr="00525D53">
              <w:rPr>
                <w:color w:val="000000"/>
                <w:sz w:val="17"/>
              </w:rPr>
              <w:t>100,0</w:t>
            </w:r>
          </w:p>
        </w:tc>
        <w:tc>
          <w:tcPr>
            <w:tcW w:w="890" w:type="dxa"/>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jc w:val="right"/>
              <w:rPr>
                <w:color w:val="000000"/>
                <w:sz w:val="17"/>
              </w:rPr>
            </w:pPr>
            <w:r w:rsidRPr="00525D53">
              <w:rPr>
                <w:color w:val="000000"/>
                <w:sz w:val="17"/>
              </w:rPr>
              <w:t>118.158</w:t>
            </w:r>
          </w:p>
        </w:tc>
        <w:tc>
          <w:tcPr>
            <w:tcW w:w="890" w:type="dxa"/>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jc w:val="right"/>
              <w:rPr>
                <w:color w:val="000000"/>
                <w:sz w:val="17"/>
              </w:rPr>
            </w:pPr>
            <w:r w:rsidRPr="00525D53">
              <w:rPr>
                <w:color w:val="000000"/>
                <w:sz w:val="17"/>
              </w:rPr>
              <w:t>28,7</w:t>
            </w:r>
          </w:p>
        </w:tc>
        <w:tc>
          <w:tcPr>
            <w:tcW w:w="1130" w:type="dxa"/>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jc w:val="right"/>
              <w:rPr>
                <w:color w:val="000000"/>
                <w:sz w:val="17"/>
              </w:rPr>
            </w:pPr>
            <w:r w:rsidRPr="00525D53">
              <w:rPr>
                <w:color w:val="000000"/>
                <w:sz w:val="17"/>
              </w:rPr>
              <w:t>116.271</w:t>
            </w:r>
          </w:p>
        </w:tc>
        <w:tc>
          <w:tcPr>
            <w:tcW w:w="650" w:type="dxa"/>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jc w:val="right"/>
              <w:rPr>
                <w:color w:val="000000"/>
                <w:sz w:val="17"/>
              </w:rPr>
            </w:pPr>
            <w:r w:rsidRPr="00525D53">
              <w:rPr>
                <w:color w:val="000000"/>
                <w:sz w:val="17"/>
              </w:rPr>
              <w:t>28,2</w:t>
            </w:r>
          </w:p>
        </w:tc>
        <w:tc>
          <w:tcPr>
            <w:tcW w:w="1150" w:type="dxa"/>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jc w:val="right"/>
              <w:rPr>
                <w:color w:val="000000"/>
                <w:sz w:val="17"/>
              </w:rPr>
            </w:pPr>
            <w:r w:rsidRPr="00525D53">
              <w:rPr>
                <w:color w:val="000000"/>
                <w:sz w:val="17"/>
              </w:rPr>
              <w:t>177.742</w:t>
            </w:r>
          </w:p>
        </w:tc>
        <w:tc>
          <w:tcPr>
            <w:tcW w:w="630" w:type="dxa"/>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jc w:val="right"/>
              <w:rPr>
                <w:color w:val="000000"/>
                <w:sz w:val="17"/>
              </w:rPr>
            </w:pPr>
            <w:r w:rsidRPr="00525D53">
              <w:rPr>
                <w:color w:val="000000"/>
                <w:sz w:val="17"/>
              </w:rPr>
              <w:t>43,1</w:t>
            </w:r>
          </w:p>
        </w:tc>
      </w:tr>
      <w:tr w:rsidR="0073290F" w:rsidRPr="00525D53">
        <w:tblPrEx>
          <w:tblCellMar>
            <w:top w:w="0" w:type="dxa"/>
            <w:bottom w:w="0" w:type="dxa"/>
          </w:tblCellMar>
        </w:tblPrEx>
        <w:trPr>
          <w:cantSplit/>
        </w:trPr>
        <w:tc>
          <w:tcPr>
            <w:tcW w:w="603" w:type="dxa"/>
            <w:tcBorders>
              <w:bottom w:val="single" w:sz="12" w:space="0" w:color="auto"/>
            </w:tcBorders>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rPr>
                <w:color w:val="000000"/>
                <w:sz w:val="17"/>
              </w:rPr>
            </w:pPr>
            <w:r w:rsidRPr="00525D53">
              <w:rPr>
                <w:color w:val="000000"/>
                <w:sz w:val="17"/>
              </w:rPr>
              <w:t>2002</w:t>
            </w:r>
          </w:p>
        </w:tc>
        <w:tc>
          <w:tcPr>
            <w:tcW w:w="890" w:type="dxa"/>
            <w:tcBorders>
              <w:bottom w:val="single" w:sz="12" w:space="0" w:color="auto"/>
            </w:tcBorders>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jc w:val="right"/>
              <w:rPr>
                <w:color w:val="000000"/>
                <w:sz w:val="17"/>
              </w:rPr>
            </w:pPr>
            <w:r w:rsidRPr="00525D53">
              <w:rPr>
                <w:color w:val="000000"/>
                <w:sz w:val="17"/>
              </w:rPr>
              <w:t>824.677</w:t>
            </w:r>
          </w:p>
        </w:tc>
        <w:tc>
          <w:tcPr>
            <w:tcW w:w="890" w:type="dxa"/>
            <w:tcBorders>
              <w:bottom w:val="single" w:sz="12" w:space="0" w:color="auto"/>
            </w:tcBorders>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jc w:val="right"/>
              <w:rPr>
                <w:color w:val="000000"/>
                <w:sz w:val="17"/>
              </w:rPr>
            </w:pPr>
            <w:r w:rsidRPr="00525D53">
              <w:rPr>
                <w:color w:val="000000"/>
                <w:sz w:val="17"/>
              </w:rPr>
              <w:t>419.333</w:t>
            </w:r>
          </w:p>
        </w:tc>
        <w:tc>
          <w:tcPr>
            <w:tcW w:w="890" w:type="dxa"/>
            <w:tcBorders>
              <w:bottom w:val="single" w:sz="12" w:space="0" w:color="auto"/>
            </w:tcBorders>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jc w:val="right"/>
              <w:rPr>
                <w:color w:val="000000"/>
                <w:sz w:val="17"/>
              </w:rPr>
            </w:pPr>
            <w:r w:rsidRPr="00525D53">
              <w:rPr>
                <w:color w:val="000000"/>
                <w:sz w:val="17"/>
              </w:rPr>
              <w:t>100,0</w:t>
            </w:r>
          </w:p>
        </w:tc>
        <w:tc>
          <w:tcPr>
            <w:tcW w:w="890" w:type="dxa"/>
            <w:tcBorders>
              <w:bottom w:val="single" w:sz="12" w:space="0" w:color="auto"/>
            </w:tcBorders>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jc w:val="right"/>
              <w:rPr>
                <w:color w:val="000000"/>
                <w:sz w:val="17"/>
              </w:rPr>
            </w:pPr>
            <w:r w:rsidRPr="00525D53">
              <w:rPr>
                <w:color w:val="000000"/>
                <w:sz w:val="17"/>
              </w:rPr>
              <w:t>129.839</w:t>
            </w:r>
          </w:p>
        </w:tc>
        <w:tc>
          <w:tcPr>
            <w:tcW w:w="890" w:type="dxa"/>
            <w:tcBorders>
              <w:bottom w:val="single" w:sz="12" w:space="0" w:color="auto"/>
            </w:tcBorders>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jc w:val="right"/>
              <w:rPr>
                <w:color w:val="000000"/>
                <w:sz w:val="17"/>
              </w:rPr>
            </w:pPr>
            <w:r w:rsidRPr="00525D53">
              <w:rPr>
                <w:color w:val="000000"/>
                <w:sz w:val="17"/>
              </w:rPr>
              <w:t>31,0</w:t>
            </w:r>
          </w:p>
        </w:tc>
        <w:tc>
          <w:tcPr>
            <w:tcW w:w="1130" w:type="dxa"/>
            <w:tcBorders>
              <w:bottom w:val="single" w:sz="12" w:space="0" w:color="auto"/>
            </w:tcBorders>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jc w:val="right"/>
              <w:rPr>
                <w:color w:val="000000"/>
                <w:sz w:val="17"/>
              </w:rPr>
            </w:pPr>
            <w:r w:rsidRPr="00525D53">
              <w:rPr>
                <w:color w:val="000000"/>
                <w:sz w:val="17"/>
              </w:rPr>
              <w:t>121.871</w:t>
            </w:r>
          </w:p>
        </w:tc>
        <w:tc>
          <w:tcPr>
            <w:tcW w:w="650" w:type="dxa"/>
            <w:tcBorders>
              <w:bottom w:val="single" w:sz="12" w:space="0" w:color="auto"/>
            </w:tcBorders>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jc w:val="right"/>
              <w:rPr>
                <w:color w:val="000000"/>
                <w:sz w:val="17"/>
              </w:rPr>
            </w:pPr>
            <w:r w:rsidRPr="00525D53">
              <w:rPr>
                <w:color w:val="000000"/>
                <w:sz w:val="17"/>
              </w:rPr>
              <w:t>29,0</w:t>
            </w:r>
          </w:p>
        </w:tc>
        <w:tc>
          <w:tcPr>
            <w:tcW w:w="1150" w:type="dxa"/>
            <w:tcBorders>
              <w:bottom w:val="single" w:sz="12" w:space="0" w:color="auto"/>
            </w:tcBorders>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jc w:val="right"/>
              <w:rPr>
                <w:color w:val="000000"/>
                <w:sz w:val="17"/>
              </w:rPr>
            </w:pPr>
            <w:r w:rsidRPr="00525D53">
              <w:rPr>
                <w:color w:val="000000"/>
                <w:sz w:val="17"/>
              </w:rPr>
              <w:t>167.623</w:t>
            </w:r>
          </w:p>
        </w:tc>
        <w:tc>
          <w:tcPr>
            <w:tcW w:w="630" w:type="dxa"/>
            <w:tcBorders>
              <w:bottom w:val="single" w:sz="12" w:space="0" w:color="auto"/>
            </w:tcBorders>
            <w:shd w:val="clear" w:color="auto" w:fill="auto"/>
            <w:vAlign w:val="bottom"/>
          </w:tcPr>
          <w:p w:rsidR="0073290F" w:rsidRPr="00525D53" w:rsidRDefault="0073290F" w:rsidP="00525D53">
            <w:pPr>
              <w:tabs>
                <w:tab w:val="left" w:pos="288"/>
                <w:tab w:val="left" w:pos="576"/>
                <w:tab w:val="left" w:pos="864"/>
                <w:tab w:val="left" w:pos="1152"/>
              </w:tabs>
              <w:suppressAutoHyphens/>
              <w:spacing w:before="40" w:after="40" w:line="210" w:lineRule="exact"/>
              <w:ind w:right="43"/>
              <w:jc w:val="right"/>
              <w:rPr>
                <w:color w:val="000000"/>
                <w:sz w:val="17"/>
              </w:rPr>
            </w:pPr>
            <w:r w:rsidRPr="00525D53">
              <w:rPr>
                <w:color w:val="000000"/>
                <w:sz w:val="17"/>
              </w:rPr>
              <w:t>40,0</w:t>
            </w:r>
          </w:p>
        </w:tc>
      </w:tr>
    </w:tbl>
    <w:p w:rsidR="001F0F00" w:rsidRPr="001F0F00" w:rsidRDefault="001F0F00" w:rsidP="001F0F00">
      <w:pPr>
        <w:spacing w:line="120" w:lineRule="exact"/>
        <w:rPr>
          <w:sz w:val="10"/>
        </w:rPr>
      </w:pPr>
    </w:p>
    <w:p w:rsidR="0073290F" w:rsidRPr="00BC1024" w:rsidRDefault="0073290F" w:rsidP="001F0F00">
      <w:pPr>
        <w:pStyle w:val="FootnoteText"/>
        <w:tabs>
          <w:tab w:val="clear" w:pos="418"/>
          <w:tab w:val="right" w:pos="1476"/>
          <w:tab w:val="left" w:pos="1548"/>
          <w:tab w:val="right" w:pos="1836"/>
          <w:tab w:val="left" w:pos="1908"/>
        </w:tabs>
        <w:ind w:left="1548" w:hanging="288"/>
      </w:pPr>
      <w:r w:rsidRPr="001F0F00">
        <w:rPr>
          <w:i/>
        </w:rPr>
        <w:t>Source</w:t>
      </w:r>
      <w:r w:rsidRPr="00E36EE7">
        <w:t>: Annuaire statistique médical 2002, Institut de la Santé publique</w:t>
      </w:r>
      <w:r w:rsidRPr="00BC1024">
        <w:t>.</w:t>
      </w:r>
    </w:p>
    <w:p w:rsidR="001F0F00" w:rsidRPr="001F0F00" w:rsidRDefault="001F0F00" w:rsidP="001F0F00">
      <w:pPr>
        <w:spacing w:line="120" w:lineRule="exact"/>
        <w:rPr>
          <w:sz w:val="10"/>
        </w:rPr>
      </w:pPr>
    </w:p>
    <w:p w:rsidR="0073290F" w:rsidRDefault="0073290F" w:rsidP="001F0F00">
      <w:pPr>
        <w:pStyle w:val="SingleTxt"/>
        <w:jc w:val="left"/>
      </w:pPr>
      <w:r w:rsidRPr="001F0F00">
        <w:t>Tableau 42</w:t>
      </w:r>
      <w:r w:rsidR="001F0F00">
        <w:br/>
      </w:r>
      <w:r w:rsidRPr="001F0F00">
        <w:rPr>
          <w:b/>
        </w:rPr>
        <w:t>Visites curatives dans les services de maternité généraux, et pourcentage de femmes dirigées vers des spécialistes et des hôpitaux – en 2001 et 2002</w:t>
      </w:r>
      <w:r w:rsidRPr="001F0F00">
        <w:t xml:space="preserve">. </w:t>
      </w:r>
    </w:p>
    <w:p w:rsidR="001F0F00" w:rsidRPr="001F0F00" w:rsidRDefault="001F0F00" w:rsidP="001F0F00">
      <w:pPr>
        <w:pStyle w:val="SingleTxt"/>
        <w:spacing w:after="0" w:line="120" w:lineRule="exact"/>
        <w:jc w:val="left"/>
        <w:rPr>
          <w:sz w:val="10"/>
        </w:rPr>
      </w:pPr>
    </w:p>
    <w:tbl>
      <w:tblPr>
        <w:tblW w:w="8523" w:type="dxa"/>
        <w:tblInd w:w="1267" w:type="dxa"/>
        <w:tblLayout w:type="fixed"/>
        <w:tblCellMar>
          <w:left w:w="70" w:type="dxa"/>
          <w:right w:w="70" w:type="dxa"/>
        </w:tblCellMar>
        <w:tblLook w:val="0000" w:firstRow="0" w:lastRow="0" w:firstColumn="0" w:lastColumn="0" w:noHBand="0" w:noVBand="0"/>
      </w:tblPr>
      <w:tblGrid>
        <w:gridCol w:w="790"/>
        <w:gridCol w:w="966"/>
        <w:gridCol w:w="967"/>
        <w:gridCol w:w="966"/>
        <w:gridCol w:w="967"/>
        <w:gridCol w:w="967"/>
        <w:gridCol w:w="966"/>
        <w:gridCol w:w="967"/>
        <w:gridCol w:w="967"/>
      </w:tblGrid>
      <w:tr w:rsidR="007F19FF" w:rsidRPr="001F0F00">
        <w:tblPrEx>
          <w:tblCellMar>
            <w:top w:w="0" w:type="dxa"/>
            <w:bottom w:w="0" w:type="dxa"/>
          </w:tblCellMar>
        </w:tblPrEx>
        <w:trPr>
          <w:cantSplit/>
          <w:tblHeader/>
        </w:trPr>
        <w:tc>
          <w:tcPr>
            <w:tcW w:w="790" w:type="dxa"/>
            <w:tcBorders>
              <w:top w:val="single" w:sz="4" w:space="0" w:color="auto"/>
            </w:tcBorders>
            <w:shd w:val="clear" w:color="auto" w:fill="auto"/>
            <w:vAlign w:val="bottom"/>
          </w:tcPr>
          <w:p w:rsidR="007F19FF" w:rsidRPr="001F0F00" w:rsidRDefault="007F19FF" w:rsidP="001F0F00">
            <w:pPr>
              <w:suppressAutoHyphens/>
              <w:spacing w:before="80" w:after="80" w:line="160" w:lineRule="exact"/>
              <w:ind w:right="43"/>
              <w:rPr>
                <w:i/>
                <w:color w:val="000000"/>
                <w:sz w:val="14"/>
              </w:rPr>
            </w:pPr>
          </w:p>
        </w:tc>
        <w:tc>
          <w:tcPr>
            <w:tcW w:w="966" w:type="dxa"/>
            <w:vMerge w:val="restart"/>
            <w:tcBorders>
              <w:top w:val="single" w:sz="4" w:space="0" w:color="auto"/>
            </w:tcBorders>
            <w:shd w:val="clear" w:color="auto" w:fill="auto"/>
            <w:vAlign w:val="bottom"/>
          </w:tcPr>
          <w:p w:rsidR="007F19FF" w:rsidRPr="007F19FF" w:rsidRDefault="007F19FF" w:rsidP="007F19FF">
            <w:pPr>
              <w:spacing w:before="80" w:after="80" w:line="160" w:lineRule="exact"/>
              <w:ind w:right="43"/>
              <w:jc w:val="right"/>
              <w:rPr>
                <w:i/>
                <w:sz w:val="14"/>
                <w:szCs w:val="14"/>
              </w:rPr>
            </w:pPr>
            <w:r w:rsidRPr="007F19FF">
              <w:rPr>
                <w:i/>
                <w:sz w:val="14"/>
                <w:szCs w:val="14"/>
              </w:rPr>
              <w:t>Toutes visites confondues</w:t>
            </w:r>
          </w:p>
        </w:tc>
        <w:tc>
          <w:tcPr>
            <w:tcW w:w="967" w:type="dxa"/>
            <w:vMerge w:val="restart"/>
            <w:tcBorders>
              <w:top w:val="single" w:sz="4" w:space="0" w:color="auto"/>
            </w:tcBorders>
            <w:shd w:val="clear" w:color="auto" w:fill="auto"/>
            <w:vAlign w:val="bottom"/>
          </w:tcPr>
          <w:p w:rsidR="007F19FF" w:rsidRPr="007F19FF" w:rsidRDefault="007F19FF" w:rsidP="007F19FF">
            <w:pPr>
              <w:spacing w:before="80" w:after="80" w:line="160" w:lineRule="exact"/>
              <w:ind w:right="43"/>
              <w:jc w:val="right"/>
              <w:rPr>
                <w:i/>
                <w:sz w:val="14"/>
                <w:szCs w:val="14"/>
              </w:rPr>
            </w:pPr>
            <w:r w:rsidRPr="007F19FF">
              <w:rPr>
                <w:i/>
                <w:sz w:val="14"/>
                <w:szCs w:val="14"/>
              </w:rPr>
              <w:t>Ensemble des visites curatives</w:t>
            </w:r>
          </w:p>
        </w:tc>
        <w:tc>
          <w:tcPr>
            <w:tcW w:w="1933" w:type="dxa"/>
            <w:gridSpan w:val="2"/>
            <w:tcBorders>
              <w:top w:val="single" w:sz="4" w:space="0" w:color="auto"/>
              <w:bottom w:val="single" w:sz="4" w:space="0" w:color="auto"/>
            </w:tcBorders>
            <w:shd w:val="clear" w:color="auto" w:fill="auto"/>
            <w:vAlign w:val="bottom"/>
          </w:tcPr>
          <w:p w:rsidR="007F19FF" w:rsidRPr="007F19FF" w:rsidRDefault="007F19FF" w:rsidP="007F19FF">
            <w:pPr>
              <w:spacing w:before="80" w:after="80" w:line="160" w:lineRule="exact"/>
              <w:ind w:right="43"/>
              <w:jc w:val="right"/>
              <w:rPr>
                <w:i/>
                <w:sz w:val="14"/>
                <w:szCs w:val="14"/>
              </w:rPr>
            </w:pPr>
            <w:r w:rsidRPr="007F19FF">
              <w:rPr>
                <w:i/>
                <w:sz w:val="14"/>
                <w:szCs w:val="14"/>
              </w:rPr>
              <w:t>Premières visites curatives</w:t>
            </w:r>
          </w:p>
        </w:tc>
        <w:tc>
          <w:tcPr>
            <w:tcW w:w="1933" w:type="dxa"/>
            <w:gridSpan w:val="2"/>
            <w:tcBorders>
              <w:top w:val="single" w:sz="4" w:space="0" w:color="auto"/>
              <w:bottom w:val="single" w:sz="4" w:space="0" w:color="auto"/>
            </w:tcBorders>
            <w:shd w:val="clear" w:color="auto" w:fill="auto"/>
            <w:vAlign w:val="bottom"/>
          </w:tcPr>
          <w:p w:rsidR="007F19FF" w:rsidRPr="007F19FF" w:rsidRDefault="007F19FF" w:rsidP="007F19FF">
            <w:pPr>
              <w:spacing w:before="80" w:after="80" w:line="160" w:lineRule="exact"/>
              <w:ind w:right="43"/>
              <w:jc w:val="center"/>
              <w:rPr>
                <w:i/>
                <w:sz w:val="14"/>
                <w:szCs w:val="14"/>
              </w:rPr>
            </w:pPr>
            <w:r w:rsidRPr="007F19FF">
              <w:rPr>
                <w:i/>
                <w:sz w:val="14"/>
                <w:szCs w:val="14"/>
              </w:rPr>
              <w:t>Nombre de femmes dirigées vers un spécialiste</w:t>
            </w:r>
          </w:p>
        </w:tc>
        <w:tc>
          <w:tcPr>
            <w:tcW w:w="1934" w:type="dxa"/>
            <w:gridSpan w:val="2"/>
            <w:tcBorders>
              <w:top w:val="single" w:sz="4" w:space="0" w:color="auto"/>
              <w:bottom w:val="single" w:sz="4" w:space="0" w:color="auto"/>
            </w:tcBorders>
            <w:shd w:val="clear" w:color="auto" w:fill="auto"/>
          </w:tcPr>
          <w:p w:rsidR="007F19FF" w:rsidRPr="007F19FF" w:rsidRDefault="007F19FF" w:rsidP="007F19FF">
            <w:pPr>
              <w:spacing w:before="80" w:after="80" w:line="160" w:lineRule="exact"/>
              <w:ind w:right="43"/>
              <w:jc w:val="center"/>
              <w:rPr>
                <w:i/>
                <w:sz w:val="14"/>
                <w:szCs w:val="14"/>
              </w:rPr>
            </w:pPr>
            <w:r w:rsidRPr="007F19FF">
              <w:rPr>
                <w:i/>
                <w:sz w:val="14"/>
                <w:szCs w:val="14"/>
              </w:rPr>
              <w:t>Nombre de femm</w:t>
            </w:r>
            <w:r>
              <w:rPr>
                <w:i/>
                <w:sz w:val="14"/>
                <w:szCs w:val="14"/>
              </w:rPr>
              <w:t>4</w:t>
            </w:r>
            <w:r w:rsidRPr="007F19FF">
              <w:rPr>
                <w:i/>
                <w:sz w:val="14"/>
                <w:szCs w:val="14"/>
              </w:rPr>
              <w:t>es dirigées vers un hôpital</w:t>
            </w:r>
          </w:p>
        </w:tc>
      </w:tr>
      <w:tr w:rsidR="001F0F00" w:rsidRPr="001F0F00">
        <w:tblPrEx>
          <w:tblCellMar>
            <w:top w:w="0" w:type="dxa"/>
            <w:bottom w:w="0" w:type="dxa"/>
          </w:tblCellMar>
        </w:tblPrEx>
        <w:trPr>
          <w:cantSplit/>
          <w:tblHeader/>
        </w:trPr>
        <w:tc>
          <w:tcPr>
            <w:tcW w:w="790" w:type="dxa"/>
            <w:tcBorders>
              <w:bottom w:val="single" w:sz="12" w:space="0" w:color="auto"/>
            </w:tcBorders>
            <w:shd w:val="clear" w:color="auto" w:fill="auto"/>
            <w:vAlign w:val="bottom"/>
          </w:tcPr>
          <w:p w:rsidR="001F0F00" w:rsidRPr="001F0F00" w:rsidRDefault="007F19FF" w:rsidP="001F0F00">
            <w:pPr>
              <w:suppressAutoHyphens/>
              <w:spacing w:before="80" w:after="80" w:line="160" w:lineRule="exact"/>
              <w:ind w:right="43"/>
              <w:rPr>
                <w:i/>
                <w:color w:val="000000"/>
                <w:sz w:val="14"/>
              </w:rPr>
            </w:pPr>
            <w:r>
              <w:rPr>
                <w:i/>
                <w:color w:val="000000"/>
                <w:sz w:val="14"/>
              </w:rPr>
              <w:t>Année</w:t>
            </w:r>
          </w:p>
        </w:tc>
        <w:tc>
          <w:tcPr>
            <w:tcW w:w="966" w:type="dxa"/>
            <w:vMerge/>
            <w:tcBorders>
              <w:bottom w:val="single" w:sz="12" w:space="0" w:color="auto"/>
            </w:tcBorders>
            <w:shd w:val="clear" w:color="auto" w:fill="auto"/>
            <w:vAlign w:val="bottom"/>
          </w:tcPr>
          <w:p w:rsidR="001F0F00" w:rsidRPr="001F0F00" w:rsidRDefault="001F0F00" w:rsidP="001F0F00">
            <w:pPr>
              <w:suppressAutoHyphens/>
              <w:spacing w:before="80" w:after="80" w:line="160" w:lineRule="exact"/>
              <w:ind w:right="43"/>
              <w:jc w:val="right"/>
              <w:rPr>
                <w:i/>
                <w:color w:val="000000"/>
                <w:sz w:val="14"/>
              </w:rPr>
            </w:pPr>
          </w:p>
        </w:tc>
        <w:tc>
          <w:tcPr>
            <w:tcW w:w="967" w:type="dxa"/>
            <w:vMerge/>
            <w:tcBorders>
              <w:bottom w:val="single" w:sz="12" w:space="0" w:color="auto"/>
            </w:tcBorders>
            <w:shd w:val="clear" w:color="auto" w:fill="auto"/>
            <w:vAlign w:val="bottom"/>
          </w:tcPr>
          <w:p w:rsidR="001F0F00" w:rsidRPr="001F0F00" w:rsidRDefault="001F0F00" w:rsidP="001F0F00">
            <w:pPr>
              <w:suppressAutoHyphens/>
              <w:spacing w:before="80" w:after="80" w:line="160" w:lineRule="exact"/>
              <w:ind w:right="43"/>
              <w:jc w:val="right"/>
              <w:rPr>
                <w:i/>
                <w:color w:val="000000"/>
                <w:sz w:val="14"/>
              </w:rPr>
            </w:pPr>
          </w:p>
        </w:tc>
        <w:tc>
          <w:tcPr>
            <w:tcW w:w="966" w:type="dxa"/>
            <w:tcBorders>
              <w:top w:val="single" w:sz="4" w:space="0" w:color="auto"/>
              <w:bottom w:val="single" w:sz="12" w:space="0" w:color="auto"/>
            </w:tcBorders>
            <w:shd w:val="clear" w:color="auto" w:fill="auto"/>
            <w:vAlign w:val="bottom"/>
          </w:tcPr>
          <w:p w:rsidR="001F0F00" w:rsidRPr="001F0F00" w:rsidRDefault="001F0F00" w:rsidP="001F0F00">
            <w:pPr>
              <w:suppressAutoHyphens/>
              <w:spacing w:before="80" w:after="80" w:line="160" w:lineRule="exact"/>
              <w:ind w:right="43"/>
              <w:jc w:val="right"/>
              <w:rPr>
                <w:i/>
                <w:color w:val="000000"/>
                <w:sz w:val="14"/>
              </w:rPr>
            </w:pPr>
          </w:p>
        </w:tc>
        <w:tc>
          <w:tcPr>
            <w:tcW w:w="967" w:type="dxa"/>
            <w:tcBorders>
              <w:top w:val="single" w:sz="4" w:space="0" w:color="auto"/>
              <w:bottom w:val="single" w:sz="12" w:space="0" w:color="auto"/>
            </w:tcBorders>
            <w:shd w:val="clear" w:color="auto" w:fill="auto"/>
            <w:vAlign w:val="bottom"/>
          </w:tcPr>
          <w:p w:rsidR="001F0F00" w:rsidRPr="001F0F00" w:rsidRDefault="007F19FF" w:rsidP="001F0F00">
            <w:pPr>
              <w:suppressAutoHyphens/>
              <w:spacing w:before="80" w:after="80" w:line="160" w:lineRule="exact"/>
              <w:ind w:right="43"/>
              <w:jc w:val="right"/>
              <w:rPr>
                <w:i/>
                <w:color w:val="000000"/>
                <w:sz w:val="14"/>
              </w:rPr>
            </w:pPr>
            <w:r>
              <w:rPr>
                <w:i/>
                <w:color w:val="000000"/>
                <w:sz w:val="14"/>
              </w:rPr>
              <w:t>%</w:t>
            </w:r>
          </w:p>
        </w:tc>
        <w:tc>
          <w:tcPr>
            <w:tcW w:w="967" w:type="dxa"/>
            <w:tcBorders>
              <w:top w:val="single" w:sz="4" w:space="0" w:color="auto"/>
              <w:bottom w:val="single" w:sz="12" w:space="0" w:color="auto"/>
            </w:tcBorders>
            <w:shd w:val="clear" w:color="auto" w:fill="auto"/>
            <w:vAlign w:val="bottom"/>
          </w:tcPr>
          <w:p w:rsidR="001F0F00" w:rsidRPr="001F0F00" w:rsidRDefault="001F0F00" w:rsidP="001F0F00">
            <w:pPr>
              <w:suppressAutoHyphens/>
              <w:spacing w:before="80" w:after="80" w:line="160" w:lineRule="exact"/>
              <w:ind w:right="43"/>
              <w:jc w:val="right"/>
              <w:rPr>
                <w:i/>
                <w:color w:val="000000"/>
                <w:sz w:val="14"/>
              </w:rPr>
            </w:pPr>
          </w:p>
        </w:tc>
        <w:tc>
          <w:tcPr>
            <w:tcW w:w="966" w:type="dxa"/>
            <w:tcBorders>
              <w:top w:val="single" w:sz="4" w:space="0" w:color="auto"/>
              <w:bottom w:val="single" w:sz="12" w:space="0" w:color="auto"/>
            </w:tcBorders>
            <w:shd w:val="clear" w:color="auto" w:fill="auto"/>
            <w:vAlign w:val="bottom"/>
          </w:tcPr>
          <w:p w:rsidR="001F0F00" w:rsidRPr="001F0F00" w:rsidRDefault="007F19FF" w:rsidP="001F0F00">
            <w:pPr>
              <w:suppressAutoHyphens/>
              <w:spacing w:before="80" w:after="80" w:line="160" w:lineRule="exact"/>
              <w:ind w:right="43"/>
              <w:jc w:val="right"/>
              <w:rPr>
                <w:i/>
                <w:color w:val="000000"/>
                <w:sz w:val="14"/>
              </w:rPr>
            </w:pPr>
            <w:r>
              <w:rPr>
                <w:i/>
                <w:color w:val="000000"/>
                <w:sz w:val="14"/>
              </w:rPr>
              <w:t>%</w:t>
            </w:r>
          </w:p>
        </w:tc>
        <w:tc>
          <w:tcPr>
            <w:tcW w:w="967" w:type="dxa"/>
            <w:tcBorders>
              <w:top w:val="single" w:sz="4" w:space="0" w:color="auto"/>
              <w:bottom w:val="single" w:sz="12" w:space="0" w:color="auto"/>
            </w:tcBorders>
            <w:shd w:val="clear" w:color="auto" w:fill="auto"/>
            <w:vAlign w:val="bottom"/>
          </w:tcPr>
          <w:p w:rsidR="001F0F00" w:rsidRPr="001F0F00" w:rsidRDefault="001F0F00" w:rsidP="001F0F00">
            <w:pPr>
              <w:suppressAutoHyphens/>
              <w:spacing w:before="80" w:after="80" w:line="160" w:lineRule="exact"/>
              <w:ind w:right="43"/>
              <w:jc w:val="right"/>
              <w:rPr>
                <w:i/>
                <w:color w:val="000000"/>
                <w:sz w:val="14"/>
              </w:rPr>
            </w:pPr>
          </w:p>
        </w:tc>
        <w:tc>
          <w:tcPr>
            <w:tcW w:w="967" w:type="dxa"/>
            <w:tcBorders>
              <w:top w:val="single" w:sz="4" w:space="0" w:color="auto"/>
              <w:bottom w:val="single" w:sz="12" w:space="0" w:color="auto"/>
            </w:tcBorders>
            <w:shd w:val="clear" w:color="auto" w:fill="auto"/>
            <w:vAlign w:val="bottom"/>
          </w:tcPr>
          <w:p w:rsidR="001F0F00" w:rsidRPr="001F0F00" w:rsidRDefault="007F19FF" w:rsidP="001F0F00">
            <w:pPr>
              <w:suppressAutoHyphens/>
              <w:spacing w:before="80" w:after="80" w:line="160" w:lineRule="exact"/>
              <w:ind w:right="43"/>
              <w:jc w:val="right"/>
              <w:rPr>
                <w:i/>
                <w:color w:val="000000"/>
                <w:sz w:val="14"/>
              </w:rPr>
            </w:pPr>
            <w:r>
              <w:rPr>
                <w:i/>
                <w:color w:val="000000"/>
                <w:sz w:val="14"/>
              </w:rPr>
              <w:t>%</w:t>
            </w:r>
          </w:p>
        </w:tc>
      </w:tr>
      <w:tr w:rsidR="001F0F00" w:rsidRPr="001F0F00">
        <w:tblPrEx>
          <w:tblCellMar>
            <w:top w:w="0" w:type="dxa"/>
            <w:bottom w:w="0" w:type="dxa"/>
          </w:tblCellMar>
        </w:tblPrEx>
        <w:trPr>
          <w:cantSplit/>
          <w:trHeight w:hRule="exact" w:val="115"/>
          <w:tblHeader/>
        </w:trPr>
        <w:tc>
          <w:tcPr>
            <w:tcW w:w="790" w:type="dxa"/>
            <w:tcBorders>
              <w:top w:val="single" w:sz="12" w:space="0" w:color="auto"/>
            </w:tcBorders>
            <w:shd w:val="clear" w:color="auto" w:fill="auto"/>
            <w:vAlign w:val="bottom"/>
          </w:tcPr>
          <w:p w:rsidR="001F0F00" w:rsidRPr="001F0F00" w:rsidRDefault="001F0F00" w:rsidP="001F0F00">
            <w:pPr>
              <w:suppressAutoHyphens/>
              <w:spacing w:before="40" w:after="40" w:line="210" w:lineRule="exact"/>
              <w:ind w:right="43"/>
              <w:rPr>
                <w:color w:val="000000"/>
                <w:sz w:val="17"/>
              </w:rPr>
            </w:pPr>
          </w:p>
        </w:tc>
        <w:tc>
          <w:tcPr>
            <w:tcW w:w="966" w:type="dxa"/>
            <w:tcBorders>
              <w:top w:val="single" w:sz="12" w:space="0" w:color="auto"/>
            </w:tcBorders>
            <w:shd w:val="clear" w:color="auto" w:fill="auto"/>
            <w:vAlign w:val="bottom"/>
          </w:tcPr>
          <w:p w:rsidR="001F0F00" w:rsidRPr="001F0F00" w:rsidRDefault="001F0F00" w:rsidP="001F0F00">
            <w:pPr>
              <w:suppressAutoHyphens/>
              <w:spacing w:before="40" w:after="40" w:line="210" w:lineRule="exact"/>
              <w:ind w:right="43"/>
              <w:jc w:val="right"/>
              <w:rPr>
                <w:color w:val="000000"/>
                <w:sz w:val="17"/>
              </w:rPr>
            </w:pPr>
          </w:p>
        </w:tc>
        <w:tc>
          <w:tcPr>
            <w:tcW w:w="967" w:type="dxa"/>
            <w:tcBorders>
              <w:top w:val="single" w:sz="12" w:space="0" w:color="auto"/>
            </w:tcBorders>
            <w:shd w:val="clear" w:color="auto" w:fill="auto"/>
            <w:vAlign w:val="bottom"/>
          </w:tcPr>
          <w:p w:rsidR="001F0F00" w:rsidRPr="001F0F00" w:rsidRDefault="001F0F00" w:rsidP="001F0F00">
            <w:pPr>
              <w:suppressAutoHyphens/>
              <w:spacing w:before="40" w:after="40" w:line="210" w:lineRule="exact"/>
              <w:ind w:right="43"/>
              <w:jc w:val="right"/>
              <w:rPr>
                <w:color w:val="000000"/>
                <w:sz w:val="17"/>
              </w:rPr>
            </w:pPr>
          </w:p>
        </w:tc>
        <w:tc>
          <w:tcPr>
            <w:tcW w:w="966" w:type="dxa"/>
            <w:tcBorders>
              <w:top w:val="single" w:sz="12" w:space="0" w:color="auto"/>
            </w:tcBorders>
            <w:shd w:val="clear" w:color="auto" w:fill="auto"/>
            <w:vAlign w:val="bottom"/>
          </w:tcPr>
          <w:p w:rsidR="001F0F00" w:rsidRPr="001F0F00" w:rsidRDefault="001F0F00" w:rsidP="001F0F00">
            <w:pPr>
              <w:suppressAutoHyphens/>
              <w:spacing w:before="40" w:after="40" w:line="210" w:lineRule="exact"/>
              <w:ind w:right="43"/>
              <w:jc w:val="right"/>
              <w:rPr>
                <w:color w:val="000000"/>
                <w:sz w:val="17"/>
              </w:rPr>
            </w:pPr>
          </w:p>
        </w:tc>
        <w:tc>
          <w:tcPr>
            <w:tcW w:w="967" w:type="dxa"/>
            <w:tcBorders>
              <w:top w:val="single" w:sz="12" w:space="0" w:color="auto"/>
            </w:tcBorders>
            <w:shd w:val="clear" w:color="auto" w:fill="auto"/>
            <w:vAlign w:val="bottom"/>
          </w:tcPr>
          <w:p w:rsidR="001F0F00" w:rsidRPr="001F0F00" w:rsidRDefault="001F0F00" w:rsidP="001F0F00">
            <w:pPr>
              <w:suppressAutoHyphens/>
              <w:spacing w:before="40" w:after="40" w:line="210" w:lineRule="exact"/>
              <w:ind w:right="43"/>
              <w:jc w:val="right"/>
              <w:rPr>
                <w:color w:val="000000"/>
                <w:sz w:val="17"/>
              </w:rPr>
            </w:pPr>
          </w:p>
        </w:tc>
        <w:tc>
          <w:tcPr>
            <w:tcW w:w="967" w:type="dxa"/>
            <w:tcBorders>
              <w:top w:val="single" w:sz="12" w:space="0" w:color="auto"/>
            </w:tcBorders>
            <w:shd w:val="clear" w:color="auto" w:fill="auto"/>
            <w:vAlign w:val="bottom"/>
          </w:tcPr>
          <w:p w:rsidR="001F0F00" w:rsidRPr="001F0F00" w:rsidRDefault="001F0F00" w:rsidP="001F0F00">
            <w:pPr>
              <w:suppressAutoHyphens/>
              <w:spacing w:before="40" w:after="40" w:line="210" w:lineRule="exact"/>
              <w:ind w:right="43"/>
              <w:jc w:val="right"/>
              <w:rPr>
                <w:color w:val="000000"/>
                <w:sz w:val="17"/>
              </w:rPr>
            </w:pPr>
          </w:p>
        </w:tc>
        <w:tc>
          <w:tcPr>
            <w:tcW w:w="966" w:type="dxa"/>
            <w:tcBorders>
              <w:top w:val="single" w:sz="12" w:space="0" w:color="auto"/>
            </w:tcBorders>
            <w:shd w:val="clear" w:color="auto" w:fill="auto"/>
            <w:vAlign w:val="bottom"/>
          </w:tcPr>
          <w:p w:rsidR="001F0F00" w:rsidRPr="001F0F00" w:rsidRDefault="001F0F00" w:rsidP="001F0F00">
            <w:pPr>
              <w:suppressAutoHyphens/>
              <w:spacing w:before="40" w:after="40" w:line="210" w:lineRule="exact"/>
              <w:ind w:right="43"/>
              <w:jc w:val="right"/>
              <w:rPr>
                <w:color w:val="000000"/>
                <w:sz w:val="17"/>
              </w:rPr>
            </w:pPr>
          </w:p>
        </w:tc>
        <w:tc>
          <w:tcPr>
            <w:tcW w:w="967" w:type="dxa"/>
            <w:tcBorders>
              <w:top w:val="single" w:sz="12" w:space="0" w:color="auto"/>
            </w:tcBorders>
            <w:shd w:val="clear" w:color="auto" w:fill="auto"/>
            <w:vAlign w:val="bottom"/>
          </w:tcPr>
          <w:p w:rsidR="001F0F00" w:rsidRPr="001F0F00" w:rsidRDefault="001F0F00" w:rsidP="001F0F00">
            <w:pPr>
              <w:suppressAutoHyphens/>
              <w:spacing w:before="40" w:after="40" w:line="210" w:lineRule="exact"/>
              <w:ind w:right="43"/>
              <w:jc w:val="right"/>
              <w:rPr>
                <w:color w:val="000000"/>
                <w:sz w:val="17"/>
              </w:rPr>
            </w:pPr>
          </w:p>
        </w:tc>
        <w:tc>
          <w:tcPr>
            <w:tcW w:w="967" w:type="dxa"/>
            <w:tcBorders>
              <w:top w:val="single" w:sz="12" w:space="0" w:color="auto"/>
            </w:tcBorders>
            <w:shd w:val="clear" w:color="auto" w:fill="auto"/>
            <w:vAlign w:val="bottom"/>
          </w:tcPr>
          <w:p w:rsidR="001F0F00" w:rsidRPr="001F0F00" w:rsidRDefault="001F0F00" w:rsidP="001F0F00">
            <w:pPr>
              <w:suppressAutoHyphens/>
              <w:spacing w:before="40" w:after="40" w:line="210" w:lineRule="exact"/>
              <w:ind w:right="43"/>
              <w:jc w:val="right"/>
              <w:rPr>
                <w:color w:val="000000"/>
                <w:sz w:val="17"/>
              </w:rPr>
            </w:pPr>
          </w:p>
        </w:tc>
      </w:tr>
      <w:tr w:rsidR="001F0F00" w:rsidRPr="001F0F00">
        <w:tblPrEx>
          <w:tblCellMar>
            <w:top w:w="0" w:type="dxa"/>
            <w:bottom w:w="0" w:type="dxa"/>
          </w:tblCellMar>
        </w:tblPrEx>
        <w:trPr>
          <w:cantSplit/>
        </w:trPr>
        <w:tc>
          <w:tcPr>
            <w:tcW w:w="790" w:type="dxa"/>
            <w:shd w:val="clear" w:color="auto" w:fill="auto"/>
            <w:vAlign w:val="bottom"/>
          </w:tcPr>
          <w:p w:rsidR="0073290F" w:rsidRPr="001F0F00" w:rsidRDefault="0073290F" w:rsidP="001F0F00">
            <w:pPr>
              <w:tabs>
                <w:tab w:val="left" w:pos="288"/>
                <w:tab w:val="left" w:pos="576"/>
                <w:tab w:val="left" w:pos="864"/>
                <w:tab w:val="left" w:pos="1152"/>
              </w:tabs>
              <w:suppressAutoHyphens/>
              <w:spacing w:before="40" w:after="40" w:line="210" w:lineRule="exact"/>
              <w:ind w:right="43"/>
              <w:rPr>
                <w:color w:val="000000"/>
                <w:sz w:val="17"/>
              </w:rPr>
            </w:pPr>
            <w:r w:rsidRPr="001F0F00">
              <w:rPr>
                <w:color w:val="000000"/>
                <w:sz w:val="17"/>
              </w:rPr>
              <w:t>2001</w:t>
            </w:r>
          </w:p>
        </w:tc>
        <w:tc>
          <w:tcPr>
            <w:tcW w:w="966" w:type="dxa"/>
            <w:shd w:val="clear" w:color="auto" w:fill="auto"/>
            <w:vAlign w:val="bottom"/>
          </w:tcPr>
          <w:p w:rsidR="0073290F" w:rsidRPr="001F0F00" w:rsidRDefault="0073290F" w:rsidP="001F0F00">
            <w:pPr>
              <w:tabs>
                <w:tab w:val="left" w:pos="288"/>
                <w:tab w:val="left" w:pos="576"/>
                <w:tab w:val="left" w:pos="864"/>
                <w:tab w:val="left" w:pos="1152"/>
              </w:tabs>
              <w:suppressAutoHyphens/>
              <w:spacing w:before="40" w:after="40" w:line="210" w:lineRule="exact"/>
              <w:ind w:right="43"/>
              <w:jc w:val="right"/>
              <w:rPr>
                <w:color w:val="000000"/>
                <w:sz w:val="17"/>
              </w:rPr>
            </w:pPr>
            <w:r w:rsidRPr="001F0F00">
              <w:rPr>
                <w:color w:val="000000"/>
                <w:sz w:val="17"/>
              </w:rPr>
              <w:t>731.550</w:t>
            </w:r>
          </w:p>
        </w:tc>
        <w:tc>
          <w:tcPr>
            <w:tcW w:w="967" w:type="dxa"/>
            <w:shd w:val="clear" w:color="auto" w:fill="auto"/>
            <w:vAlign w:val="bottom"/>
          </w:tcPr>
          <w:p w:rsidR="0073290F" w:rsidRPr="001F0F00" w:rsidRDefault="0073290F" w:rsidP="001F0F00">
            <w:pPr>
              <w:tabs>
                <w:tab w:val="left" w:pos="288"/>
                <w:tab w:val="left" w:pos="576"/>
                <w:tab w:val="left" w:pos="864"/>
                <w:tab w:val="left" w:pos="1152"/>
              </w:tabs>
              <w:suppressAutoHyphens/>
              <w:spacing w:before="40" w:after="40" w:line="210" w:lineRule="exact"/>
              <w:ind w:right="43"/>
              <w:jc w:val="right"/>
              <w:rPr>
                <w:color w:val="000000"/>
                <w:sz w:val="17"/>
              </w:rPr>
            </w:pPr>
            <w:r w:rsidRPr="001F0F00">
              <w:rPr>
                <w:color w:val="000000"/>
                <w:sz w:val="17"/>
              </w:rPr>
              <w:t>319.379</w:t>
            </w:r>
          </w:p>
        </w:tc>
        <w:tc>
          <w:tcPr>
            <w:tcW w:w="966" w:type="dxa"/>
            <w:shd w:val="clear" w:color="auto" w:fill="auto"/>
            <w:vAlign w:val="bottom"/>
          </w:tcPr>
          <w:p w:rsidR="0073290F" w:rsidRPr="001F0F00" w:rsidRDefault="0073290F" w:rsidP="001F0F00">
            <w:pPr>
              <w:tabs>
                <w:tab w:val="left" w:pos="288"/>
                <w:tab w:val="left" w:pos="576"/>
                <w:tab w:val="left" w:pos="864"/>
                <w:tab w:val="left" w:pos="1152"/>
              </w:tabs>
              <w:suppressAutoHyphens/>
              <w:spacing w:before="40" w:after="40" w:line="210" w:lineRule="exact"/>
              <w:ind w:right="43"/>
              <w:jc w:val="right"/>
              <w:rPr>
                <w:color w:val="000000"/>
                <w:sz w:val="17"/>
              </w:rPr>
            </w:pPr>
            <w:r w:rsidRPr="001F0F00">
              <w:rPr>
                <w:color w:val="000000"/>
                <w:sz w:val="17"/>
              </w:rPr>
              <w:t>169.339</w:t>
            </w:r>
          </w:p>
        </w:tc>
        <w:tc>
          <w:tcPr>
            <w:tcW w:w="967" w:type="dxa"/>
            <w:shd w:val="clear" w:color="auto" w:fill="auto"/>
            <w:vAlign w:val="bottom"/>
          </w:tcPr>
          <w:p w:rsidR="0073290F" w:rsidRPr="001F0F00" w:rsidRDefault="0073290F" w:rsidP="001F0F00">
            <w:pPr>
              <w:tabs>
                <w:tab w:val="left" w:pos="288"/>
                <w:tab w:val="left" w:pos="576"/>
                <w:tab w:val="left" w:pos="864"/>
                <w:tab w:val="left" w:pos="1152"/>
              </w:tabs>
              <w:suppressAutoHyphens/>
              <w:spacing w:before="40" w:after="40" w:line="210" w:lineRule="exact"/>
              <w:ind w:right="43"/>
              <w:jc w:val="right"/>
              <w:rPr>
                <w:color w:val="000000"/>
                <w:sz w:val="17"/>
              </w:rPr>
            </w:pPr>
            <w:r w:rsidRPr="001F0F00">
              <w:rPr>
                <w:color w:val="000000"/>
                <w:sz w:val="17"/>
              </w:rPr>
              <w:t>53,02</w:t>
            </w:r>
          </w:p>
        </w:tc>
        <w:tc>
          <w:tcPr>
            <w:tcW w:w="967" w:type="dxa"/>
            <w:shd w:val="clear" w:color="auto" w:fill="auto"/>
            <w:vAlign w:val="bottom"/>
          </w:tcPr>
          <w:p w:rsidR="0073290F" w:rsidRPr="001F0F00" w:rsidRDefault="0073290F" w:rsidP="001F0F00">
            <w:pPr>
              <w:tabs>
                <w:tab w:val="left" w:pos="288"/>
                <w:tab w:val="left" w:pos="576"/>
                <w:tab w:val="left" w:pos="864"/>
                <w:tab w:val="left" w:pos="1152"/>
              </w:tabs>
              <w:suppressAutoHyphens/>
              <w:spacing w:before="40" w:after="40" w:line="210" w:lineRule="exact"/>
              <w:ind w:right="43"/>
              <w:jc w:val="right"/>
              <w:rPr>
                <w:color w:val="000000"/>
                <w:sz w:val="17"/>
              </w:rPr>
            </w:pPr>
            <w:r w:rsidRPr="001F0F00">
              <w:rPr>
                <w:color w:val="000000"/>
                <w:sz w:val="17"/>
              </w:rPr>
              <w:t>40.946</w:t>
            </w:r>
          </w:p>
        </w:tc>
        <w:tc>
          <w:tcPr>
            <w:tcW w:w="966" w:type="dxa"/>
            <w:shd w:val="clear" w:color="auto" w:fill="auto"/>
            <w:vAlign w:val="bottom"/>
          </w:tcPr>
          <w:p w:rsidR="0073290F" w:rsidRPr="001F0F00" w:rsidRDefault="0073290F" w:rsidP="001F0F00">
            <w:pPr>
              <w:tabs>
                <w:tab w:val="left" w:pos="288"/>
                <w:tab w:val="left" w:pos="576"/>
                <w:tab w:val="left" w:pos="864"/>
                <w:tab w:val="left" w:pos="1152"/>
              </w:tabs>
              <w:suppressAutoHyphens/>
              <w:spacing w:before="40" w:after="40" w:line="210" w:lineRule="exact"/>
              <w:ind w:right="43"/>
              <w:jc w:val="right"/>
              <w:rPr>
                <w:color w:val="000000"/>
                <w:sz w:val="17"/>
              </w:rPr>
            </w:pPr>
            <w:r w:rsidRPr="001F0F00">
              <w:rPr>
                <w:color w:val="000000"/>
                <w:sz w:val="17"/>
              </w:rPr>
              <w:t>5,60</w:t>
            </w:r>
          </w:p>
        </w:tc>
        <w:tc>
          <w:tcPr>
            <w:tcW w:w="967" w:type="dxa"/>
            <w:shd w:val="clear" w:color="auto" w:fill="auto"/>
            <w:vAlign w:val="bottom"/>
          </w:tcPr>
          <w:p w:rsidR="0073290F" w:rsidRPr="001F0F00" w:rsidRDefault="0073290F" w:rsidP="001F0F00">
            <w:pPr>
              <w:tabs>
                <w:tab w:val="left" w:pos="288"/>
                <w:tab w:val="left" w:pos="576"/>
                <w:tab w:val="left" w:pos="864"/>
                <w:tab w:val="left" w:pos="1152"/>
              </w:tabs>
              <w:suppressAutoHyphens/>
              <w:spacing w:before="40" w:after="40" w:line="210" w:lineRule="exact"/>
              <w:ind w:right="43"/>
              <w:jc w:val="right"/>
              <w:rPr>
                <w:color w:val="000000"/>
                <w:sz w:val="17"/>
              </w:rPr>
            </w:pPr>
            <w:r w:rsidRPr="001F0F00">
              <w:rPr>
                <w:color w:val="000000"/>
                <w:sz w:val="17"/>
              </w:rPr>
              <w:t>24.301</w:t>
            </w:r>
          </w:p>
        </w:tc>
        <w:tc>
          <w:tcPr>
            <w:tcW w:w="967" w:type="dxa"/>
            <w:shd w:val="clear" w:color="auto" w:fill="auto"/>
            <w:vAlign w:val="bottom"/>
          </w:tcPr>
          <w:p w:rsidR="0073290F" w:rsidRPr="001F0F00" w:rsidRDefault="0073290F" w:rsidP="001F0F00">
            <w:pPr>
              <w:tabs>
                <w:tab w:val="left" w:pos="288"/>
                <w:tab w:val="left" w:pos="576"/>
                <w:tab w:val="left" w:pos="864"/>
                <w:tab w:val="left" w:pos="1152"/>
              </w:tabs>
              <w:suppressAutoHyphens/>
              <w:spacing w:before="40" w:after="40" w:line="210" w:lineRule="exact"/>
              <w:ind w:right="43"/>
              <w:jc w:val="right"/>
              <w:rPr>
                <w:color w:val="000000"/>
                <w:sz w:val="17"/>
              </w:rPr>
            </w:pPr>
            <w:r w:rsidRPr="001F0F00">
              <w:rPr>
                <w:color w:val="000000"/>
                <w:sz w:val="17"/>
              </w:rPr>
              <w:t>3,32</w:t>
            </w:r>
          </w:p>
        </w:tc>
      </w:tr>
      <w:tr w:rsidR="0073290F" w:rsidRPr="001F0F00">
        <w:tblPrEx>
          <w:tblCellMar>
            <w:top w:w="0" w:type="dxa"/>
            <w:bottom w:w="0" w:type="dxa"/>
          </w:tblCellMar>
        </w:tblPrEx>
        <w:trPr>
          <w:cantSplit/>
        </w:trPr>
        <w:tc>
          <w:tcPr>
            <w:tcW w:w="790" w:type="dxa"/>
            <w:tcBorders>
              <w:bottom w:val="single" w:sz="12" w:space="0" w:color="auto"/>
            </w:tcBorders>
            <w:shd w:val="clear" w:color="auto" w:fill="auto"/>
            <w:vAlign w:val="bottom"/>
          </w:tcPr>
          <w:p w:rsidR="0073290F" w:rsidRPr="001F0F00" w:rsidRDefault="0073290F" w:rsidP="001F0F00">
            <w:pPr>
              <w:tabs>
                <w:tab w:val="left" w:pos="288"/>
                <w:tab w:val="left" w:pos="576"/>
                <w:tab w:val="left" w:pos="864"/>
                <w:tab w:val="left" w:pos="1152"/>
              </w:tabs>
              <w:suppressAutoHyphens/>
              <w:spacing w:before="40" w:after="40" w:line="210" w:lineRule="exact"/>
              <w:ind w:right="43"/>
              <w:rPr>
                <w:color w:val="000000"/>
                <w:sz w:val="17"/>
              </w:rPr>
            </w:pPr>
            <w:r w:rsidRPr="001F0F00">
              <w:rPr>
                <w:color w:val="000000"/>
                <w:sz w:val="17"/>
              </w:rPr>
              <w:t>2002</w:t>
            </w:r>
          </w:p>
        </w:tc>
        <w:tc>
          <w:tcPr>
            <w:tcW w:w="966" w:type="dxa"/>
            <w:tcBorders>
              <w:bottom w:val="single" w:sz="12" w:space="0" w:color="auto"/>
            </w:tcBorders>
            <w:shd w:val="clear" w:color="auto" w:fill="auto"/>
            <w:vAlign w:val="bottom"/>
          </w:tcPr>
          <w:p w:rsidR="0073290F" w:rsidRPr="001F0F00" w:rsidRDefault="0073290F" w:rsidP="001F0F00">
            <w:pPr>
              <w:tabs>
                <w:tab w:val="left" w:pos="288"/>
                <w:tab w:val="left" w:pos="576"/>
                <w:tab w:val="left" w:pos="864"/>
                <w:tab w:val="left" w:pos="1152"/>
              </w:tabs>
              <w:suppressAutoHyphens/>
              <w:spacing w:before="40" w:after="40" w:line="210" w:lineRule="exact"/>
              <w:ind w:right="43"/>
              <w:jc w:val="right"/>
              <w:rPr>
                <w:color w:val="000000"/>
                <w:sz w:val="17"/>
              </w:rPr>
            </w:pPr>
            <w:r w:rsidRPr="001F0F00">
              <w:rPr>
                <w:color w:val="000000"/>
                <w:sz w:val="17"/>
              </w:rPr>
              <w:t>824.677</w:t>
            </w:r>
          </w:p>
        </w:tc>
        <w:tc>
          <w:tcPr>
            <w:tcW w:w="967" w:type="dxa"/>
            <w:tcBorders>
              <w:bottom w:val="single" w:sz="12" w:space="0" w:color="auto"/>
            </w:tcBorders>
            <w:shd w:val="clear" w:color="auto" w:fill="auto"/>
            <w:vAlign w:val="bottom"/>
          </w:tcPr>
          <w:p w:rsidR="0073290F" w:rsidRPr="001F0F00" w:rsidRDefault="0073290F" w:rsidP="001F0F00">
            <w:pPr>
              <w:tabs>
                <w:tab w:val="left" w:pos="288"/>
                <w:tab w:val="left" w:pos="576"/>
                <w:tab w:val="left" w:pos="864"/>
                <w:tab w:val="left" w:pos="1152"/>
              </w:tabs>
              <w:suppressAutoHyphens/>
              <w:spacing w:before="40" w:after="40" w:line="210" w:lineRule="exact"/>
              <w:ind w:right="43"/>
              <w:jc w:val="right"/>
              <w:rPr>
                <w:color w:val="000000"/>
                <w:sz w:val="17"/>
              </w:rPr>
            </w:pPr>
            <w:r w:rsidRPr="001F0F00">
              <w:rPr>
                <w:color w:val="000000"/>
                <w:sz w:val="17"/>
              </w:rPr>
              <w:t>405.344</w:t>
            </w:r>
          </w:p>
        </w:tc>
        <w:tc>
          <w:tcPr>
            <w:tcW w:w="966" w:type="dxa"/>
            <w:tcBorders>
              <w:bottom w:val="single" w:sz="12" w:space="0" w:color="auto"/>
            </w:tcBorders>
            <w:shd w:val="clear" w:color="auto" w:fill="auto"/>
            <w:vAlign w:val="bottom"/>
          </w:tcPr>
          <w:p w:rsidR="0073290F" w:rsidRPr="001F0F00" w:rsidRDefault="0073290F" w:rsidP="001F0F00">
            <w:pPr>
              <w:tabs>
                <w:tab w:val="left" w:pos="288"/>
                <w:tab w:val="left" w:pos="576"/>
                <w:tab w:val="left" w:pos="864"/>
                <w:tab w:val="left" w:pos="1152"/>
              </w:tabs>
              <w:suppressAutoHyphens/>
              <w:spacing w:before="40" w:after="40" w:line="210" w:lineRule="exact"/>
              <w:ind w:right="43"/>
              <w:jc w:val="right"/>
              <w:rPr>
                <w:color w:val="000000"/>
                <w:sz w:val="17"/>
              </w:rPr>
            </w:pPr>
            <w:r w:rsidRPr="001F0F00">
              <w:rPr>
                <w:color w:val="000000"/>
                <w:sz w:val="17"/>
              </w:rPr>
              <w:t>230.018</w:t>
            </w:r>
          </w:p>
        </w:tc>
        <w:tc>
          <w:tcPr>
            <w:tcW w:w="967" w:type="dxa"/>
            <w:tcBorders>
              <w:bottom w:val="single" w:sz="12" w:space="0" w:color="auto"/>
            </w:tcBorders>
            <w:shd w:val="clear" w:color="auto" w:fill="auto"/>
            <w:vAlign w:val="bottom"/>
          </w:tcPr>
          <w:p w:rsidR="0073290F" w:rsidRPr="001F0F00" w:rsidRDefault="0073290F" w:rsidP="001F0F00">
            <w:pPr>
              <w:tabs>
                <w:tab w:val="left" w:pos="288"/>
                <w:tab w:val="left" w:pos="576"/>
                <w:tab w:val="left" w:pos="864"/>
                <w:tab w:val="left" w:pos="1152"/>
              </w:tabs>
              <w:suppressAutoHyphens/>
              <w:spacing w:before="40" w:after="40" w:line="210" w:lineRule="exact"/>
              <w:ind w:right="43"/>
              <w:jc w:val="right"/>
              <w:rPr>
                <w:color w:val="000000"/>
                <w:sz w:val="17"/>
              </w:rPr>
            </w:pPr>
            <w:r w:rsidRPr="001F0F00">
              <w:rPr>
                <w:color w:val="000000"/>
                <w:sz w:val="17"/>
              </w:rPr>
              <w:t>56,75</w:t>
            </w:r>
          </w:p>
        </w:tc>
        <w:tc>
          <w:tcPr>
            <w:tcW w:w="967" w:type="dxa"/>
            <w:tcBorders>
              <w:bottom w:val="single" w:sz="12" w:space="0" w:color="auto"/>
            </w:tcBorders>
            <w:shd w:val="clear" w:color="auto" w:fill="auto"/>
            <w:vAlign w:val="bottom"/>
          </w:tcPr>
          <w:p w:rsidR="0073290F" w:rsidRPr="001F0F00" w:rsidRDefault="0073290F" w:rsidP="001F0F00">
            <w:pPr>
              <w:tabs>
                <w:tab w:val="left" w:pos="288"/>
                <w:tab w:val="left" w:pos="576"/>
                <w:tab w:val="left" w:pos="864"/>
                <w:tab w:val="left" w:pos="1152"/>
              </w:tabs>
              <w:suppressAutoHyphens/>
              <w:spacing w:before="40" w:after="40" w:line="210" w:lineRule="exact"/>
              <w:ind w:right="43"/>
              <w:jc w:val="right"/>
              <w:rPr>
                <w:color w:val="000000"/>
                <w:sz w:val="17"/>
              </w:rPr>
            </w:pPr>
            <w:r w:rsidRPr="001F0F00">
              <w:rPr>
                <w:color w:val="000000"/>
                <w:sz w:val="17"/>
              </w:rPr>
              <w:t>40.920</w:t>
            </w:r>
          </w:p>
        </w:tc>
        <w:tc>
          <w:tcPr>
            <w:tcW w:w="966" w:type="dxa"/>
            <w:tcBorders>
              <w:bottom w:val="single" w:sz="12" w:space="0" w:color="auto"/>
            </w:tcBorders>
            <w:shd w:val="clear" w:color="auto" w:fill="auto"/>
            <w:vAlign w:val="bottom"/>
          </w:tcPr>
          <w:p w:rsidR="0073290F" w:rsidRPr="001F0F00" w:rsidRDefault="0073290F" w:rsidP="001F0F00">
            <w:pPr>
              <w:tabs>
                <w:tab w:val="left" w:pos="288"/>
                <w:tab w:val="left" w:pos="576"/>
                <w:tab w:val="left" w:pos="864"/>
                <w:tab w:val="left" w:pos="1152"/>
              </w:tabs>
              <w:suppressAutoHyphens/>
              <w:spacing w:before="40" w:after="40" w:line="210" w:lineRule="exact"/>
              <w:ind w:right="43"/>
              <w:jc w:val="right"/>
              <w:rPr>
                <w:color w:val="000000"/>
                <w:sz w:val="17"/>
              </w:rPr>
            </w:pPr>
            <w:r w:rsidRPr="001F0F00">
              <w:rPr>
                <w:color w:val="000000"/>
                <w:sz w:val="17"/>
              </w:rPr>
              <w:t>4,96</w:t>
            </w:r>
          </w:p>
        </w:tc>
        <w:tc>
          <w:tcPr>
            <w:tcW w:w="967" w:type="dxa"/>
            <w:tcBorders>
              <w:bottom w:val="single" w:sz="12" w:space="0" w:color="auto"/>
            </w:tcBorders>
            <w:shd w:val="clear" w:color="auto" w:fill="auto"/>
            <w:vAlign w:val="bottom"/>
          </w:tcPr>
          <w:p w:rsidR="0073290F" w:rsidRPr="001F0F00" w:rsidRDefault="0073290F" w:rsidP="001F0F00">
            <w:pPr>
              <w:tabs>
                <w:tab w:val="left" w:pos="288"/>
                <w:tab w:val="left" w:pos="576"/>
                <w:tab w:val="left" w:pos="864"/>
                <w:tab w:val="left" w:pos="1152"/>
              </w:tabs>
              <w:suppressAutoHyphens/>
              <w:spacing w:before="40" w:after="40" w:line="210" w:lineRule="exact"/>
              <w:ind w:right="43"/>
              <w:jc w:val="right"/>
              <w:rPr>
                <w:color w:val="000000"/>
                <w:sz w:val="17"/>
              </w:rPr>
            </w:pPr>
            <w:r w:rsidRPr="001F0F00">
              <w:rPr>
                <w:color w:val="000000"/>
                <w:sz w:val="17"/>
              </w:rPr>
              <w:t>26.508</w:t>
            </w:r>
          </w:p>
        </w:tc>
        <w:tc>
          <w:tcPr>
            <w:tcW w:w="967" w:type="dxa"/>
            <w:tcBorders>
              <w:bottom w:val="single" w:sz="12" w:space="0" w:color="auto"/>
            </w:tcBorders>
            <w:shd w:val="clear" w:color="auto" w:fill="auto"/>
            <w:vAlign w:val="bottom"/>
          </w:tcPr>
          <w:p w:rsidR="0073290F" w:rsidRPr="001F0F00" w:rsidRDefault="0073290F" w:rsidP="001F0F00">
            <w:pPr>
              <w:tabs>
                <w:tab w:val="left" w:pos="288"/>
                <w:tab w:val="left" w:pos="576"/>
                <w:tab w:val="left" w:pos="864"/>
                <w:tab w:val="left" w:pos="1152"/>
              </w:tabs>
              <w:suppressAutoHyphens/>
              <w:spacing w:before="40" w:after="40" w:line="210" w:lineRule="exact"/>
              <w:ind w:right="43"/>
              <w:jc w:val="right"/>
              <w:rPr>
                <w:color w:val="000000"/>
                <w:sz w:val="17"/>
              </w:rPr>
            </w:pPr>
            <w:r w:rsidRPr="001F0F00">
              <w:rPr>
                <w:color w:val="000000"/>
                <w:sz w:val="17"/>
              </w:rPr>
              <w:t>3,21</w:t>
            </w:r>
          </w:p>
        </w:tc>
      </w:tr>
    </w:tbl>
    <w:p w:rsidR="007F19FF" w:rsidRPr="007F19FF" w:rsidRDefault="007F19FF" w:rsidP="007F19FF">
      <w:pPr>
        <w:pStyle w:val="Predoblikovano"/>
        <w:tabs>
          <w:tab w:val="clear" w:pos="9590"/>
        </w:tabs>
        <w:spacing w:line="120" w:lineRule="exact"/>
        <w:jc w:val="both"/>
        <w:rPr>
          <w:rFonts w:ascii="Times New Roman" w:hAnsi="Times New Roman" w:cs="Times New Roman"/>
          <w:sz w:val="10"/>
          <w:lang w:val="fr-FR"/>
        </w:rPr>
      </w:pPr>
    </w:p>
    <w:p w:rsidR="0073290F" w:rsidRDefault="0073290F" w:rsidP="007F19FF">
      <w:pPr>
        <w:pStyle w:val="FootnoteText"/>
        <w:tabs>
          <w:tab w:val="clear" w:pos="418"/>
          <w:tab w:val="right" w:pos="1476"/>
          <w:tab w:val="left" w:pos="1548"/>
          <w:tab w:val="right" w:pos="1836"/>
          <w:tab w:val="left" w:pos="1908"/>
        </w:tabs>
        <w:ind w:left="1548" w:hanging="288"/>
        <w:rPr>
          <w:sz w:val="24"/>
          <w:szCs w:val="24"/>
          <w:lang w:val="fr-FR"/>
        </w:rPr>
      </w:pPr>
      <w:r w:rsidRPr="007F19FF">
        <w:rPr>
          <w:i/>
          <w:lang w:val="fr-FR"/>
        </w:rPr>
        <w:t>Source</w:t>
      </w:r>
      <w:r w:rsidRPr="00E36EE7">
        <w:rPr>
          <w:lang w:val="fr-FR"/>
        </w:rPr>
        <w:t>: Annuaire statistique médical 2002, Institut de</w:t>
      </w:r>
      <w:r>
        <w:rPr>
          <w:lang w:val="fr-FR"/>
        </w:rPr>
        <w:t xml:space="preserve"> la</w:t>
      </w:r>
      <w:r w:rsidRPr="00E36EE7">
        <w:rPr>
          <w:lang w:val="fr-FR"/>
        </w:rPr>
        <w:t xml:space="preserve"> Santé publique</w:t>
      </w:r>
      <w:r w:rsidRPr="00645D93">
        <w:rPr>
          <w:sz w:val="24"/>
          <w:szCs w:val="24"/>
          <w:lang w:val="fr-FR"/>
        </w:rPr>
        <w:t>.</w:t>
      </w:r>
    </w:p>
    <w:p w:rsidR="00D70E8E" w:rsidRPr="00D70E8E" w:rsidRDefault="00D70E8E" w:rsidP="00D70E8E">
      <w:pPr>
        <w:pStyle w:val="FootnoteText"/>
        <w:tabs>
          <w:tab w:val="clear" w:pos="418"/>
          <w:tab w:val="right" w:pos="1476"/>
          <w:tab w:val="left" w:pos="1548"/>
          <w:tab w:val="right" w:pos="1836"/>
          <w:tab w:val="left" w:pos="1908"/>
        </w:tabs>
        <w:spacing w:line="120" w:lineRule="exact"/>
        <w:ind w:left="1548" w:hanging="288"/>
        <w:rPr>
          <w:sz w:val="10"/>
          <w:szCs w:val="24"/>
          <w:lang w:val="fr-FR"/>
        </w:rPr>
      </w:pPr>
    </w:p>
    <w:p w:rsidR="0073290F" w:rsidRDefault="0073290F" w:rsidP="007F19FF">
      <w:pPr>
        <w:pStyle w:val="SingleTxt"/>
        <w:jc w:val="left"/>
        <w:rPr>
          <w:b/>
        </w:rPr>
      </w:pPr>
      <w:r w:rsidRPr="007F19FF">
        <w:t>Tableau 43</w:t>
      </w:r>
      <w:r w:rsidR="00D70E8E">
        <w:br/>
      </w:r>
      <w:r w:rsidR="00D70E8E" w:rsidRPr="00D70E8E">
        <w:rPr>
          <w:b/>
        </w:rPr>
        <w:t xml:space="preserve">Maladies les plus fréquentes et autres problèmes </w:t>
      </w:r>
      <w:r w:rsidRPr="007F19FF">
        <w:rPr>
          <w:b/>
        </w:rPr>
        <w:t>de santé selon la classification ICD-10, par sexe, en 2002</w:t>
      </w:r>
    </w:p>
    <w:p w:rsidR="007F19FF" w:rsidRPr="007F19FF" w:rsidRDefault="007F19FF" w:rsidP="007F19FF">
      <w:pPr>
        <w:pStyle w:val="SingleTxt"/>
        <w:spacing w:after="0" w:line="120" w:lineRule="exact"/>
        <w:jc w:val="left"/>
        <w:rPr>
          <w:b/>
          <w:sz w:val="10"/>
        </w:rPr>
      </w:pPr>
    </w:p>
    <w:tbl>
      <w:tblPr>
        <w:tblW w:w="0" w:type="auto"/>
        <w:tblLayout w:type="fixed"/>
        <w:tblCellMar>
          <w:left w:w="70" w:type="dxa"/>
          <w:right w:w="70" w:type="dxa"/>
        </w:tblCellMar>
        <w:tblLook w:val="0000" w:firstRow="0" w:lastRow="0" w:firstColumn="0" w:lastColumn="0" w:noHBand="0" w:noVBand="0"/>
      </w:tblPr>
      <w:tblGrid>
        <w:gridCol w:w="3490"/>
        <w:gridCol w:w="1278"/>
        <w:gridCol w:w="1278"/>
        <w:gridCol w:w="1278"/>
        <w:gridCol w:w="1278"/>
        <w:gridCol w:w="1278"/>
      </w:tblGrid>
      <w:tr w:rsidR="00D70E8E" w:rsidRPr="007F19FF">
        <w:tblPrEx>
          <w:tblCellMar>
            <w:top w:w="0" w:type="dxa"/>
            <w:bottom w:w="0" w:type="dxa"/>
          </w:tblCellMar>
        </w:tblPrEx>
        <w:trPr>
          <w:cantSplit/>
          <w:tblHeader/>
        </w:trPr>
        <w:tc>
          <w:tcPr>
            <w:tcW w:w="3490" w:type="dxa"/>
            <w:vMerge w:val="restart"/>
            <w:tcBorders>
              <w:top w:val="single" w:sz="4" w:space="0" w:color="auto"/>
            </w:tcBorders>
            <w:shd w:val="clear" w:color="auto" w:fill="auto"/>
            <w:vAlign w:val="bottom"/>
          </w:tcPr>
          <w:p w:rsidR="00D70E8E" w:rsidRPr="007F19FF" w:rsidRDefault="00D70E8E" w:rsidP="007F19FF">
            <w:pPr>
              <w:suppressAutoHyphens/>
              <w:spacing w:before="80" w:after="80" w:line="160" w:lineRule="exact"/>
              <w:ind w:right="43"/>
              <w:rPr>
                <w:bCs/>
                <w:i/>
                <w:iCs/>
                <w:color w:val="000000"/>
                <w:sz w:val="14"/>
              </w:rPr>
            </w:pPr>
            <w:r>
              <w:rPr>
                <w:bCs/>
                <w:i/>
                <w:iCs/>
                <w:color w:val="000000"/>
                <w:sz w:val="14"/>
              </w:rPr>
              <w:t>Maladies et autres problèmes de santé</w:t>
            </w:r>
          </w:p>
        </w:tc>
        <w:tc>
          <w:tcPr>
            <w:tcW w:w="2556" w:type="dxa"/>
            <w:gridSpan w:val="2"/>
            <w:tcBorders>
              <w:top w:val="single" w:sz="4" w:space="0" w:color="auto"/>
              <w:bottom w:val="single" w:sz="4" w:space="0" w:color="auto"/>
            </w:tcBorders>
            <w:shd w:val="clear" w:color="auto" w:fill="auto"/>
            <w:vAlign w:val="bottom"/>
          </w:tcPr>
          <w:p w:rsidR="00D70E8E" w:rsidRPr="007F19FF" w:rsidRDefault="00D70E8E" w:rsidP="00D70E8E">
            <w:pPr>
              <w:suppressAutoHyphens/>
              <w:spacing w:before="80" w:after="80" w:line="160" w:lineRule="exact"/>
              <w:ind w:right="43"/>
              <w:jc w:val="center"/>
              <w:rPr>
                <w:bCs/>
                <w:i/>
                <w:iCs/>
                <w:color w:val="000000"/>
                <w:sz w:val="14"/>
              </w:rPr>
            </w:pPr>
            <w:r>
              <w:rPr>
                <w:bCs/>
                <w:i/>
                <w:iCs/>
                <w:color w:val="000000"/>
                <w:sz w:val="14"/>
              </w:rPr>
              <w:t>Total</w:t>
            </w:r>
          </w:p>
        </w:tc>
        <w:tc>
          <w:tcPr>
            <w:tcW w:w="3834" w:type="dxa"/>
            <w:gridSpan w:val="3"/>
            <w:tcBorders>
              <w:top w:val="single" w:sz="4" w:space="0" w:color="auto"/>
              <w:bottom w:val="single" w:sz="4" w:space="0" w:color="auto"/>
            </w:tcBorders>
            <w:shd w:val="clear" w:color="auto" w:fill="auto"/>
            <w:vAlign w:val="bottom"/>
          </w:tcPr>
          <w:p w:rsidR="00D70E8E" w:rsidRPr="007F19FF" w:rsidRDefault="00D70E8E" w:rsidP="00D70E8E">
            <w:pPr>
              <w:suppressAutoHyphens/>
              <w:spacing w:before="80" w:after="80" w:line="160" w:lineRule="exact"/>
              <w:ind w:right="43"/>
              <w:jc w:val="center"/>
              <w:rPr>
                <w:bCs/>
                <w:i/>
                <w:iCs/>
                <w:color w:val="000000"/>
                <w:sz w:val="14"/>
              </w:rPr>
            </w:pPr>
            <w:r>
              <w:rPr>
                <w:bCs/>
                <w:i/>
                <w:iCs/>
                <w:color w:val="000000"/>
                <w:sz w:val="14"/>
              </w:rPr>
              <w:t>Femmes</w:t>
            </w:r>
          </w:p>
        </w:tc>
      </w:tr>
      <w:tr w:rsidR="00D70E8E" w:rsidRPr="007F19FF">
        <w:tblPrEx>
          <w:tblCellMar>
            <w:top w:w="0" w:type="dxa"/>
            <w:bottom w:w="0" w:type="dxa"/>
          </w:tblCellMar>
        </w:tblPrEx>
        <w:trPr>
          <w:cantSplit/>
          <w:tblHeader/>
        </w:trPr>
        <w:tc>
          <w:tcPr>
            <w:tcW w:w="3490" w:type="dxa"/>
            <w:vMerge/>
            <w:tcBorders>
              <w:bottom w:val="single" w:sz="12" w:space="0" w:color="auto"/>
            </w:tcBorders>
            <w:shd w:val="clear" w:color="auto" w:fill="auto"/>
            <w:vAlign w:val="bottom"/>
          </w:tcPr>
          <w:p w:rsidR="00D70E8E" w:rsidRPr="007F19FF" w:rsidRDefault="00D70E8E" w:rsidP="007F19FF">
            <w:pPr>
              <w:suppressAutoHyphens/>
              <w:spacing w:before="80" w:after="80" w:line="160" w:lineRule="exact"/>
              <w:ind w:right="43"/>
              <w:rPr>
                <w:bCs/>
                <w:i/>
                <w:iCs/>
                <w:color w:val="000000"/>
                <w:sz w:val="14"/>
              </w:rPr>
            </w:pPr>
          </w:p>
        </w:tc>
        <w:tc>
          <w:tcPr>
            <w:tcW w:w="1278" w:type="dxa"/>
            <w:tcBorders>
              <w:top w:val="single" w:sz="4" w:space="0" w:color="auto"/>
              <w:bottom w:val="single" w:sz="12" w:space="0" w:color="auto"/>
            </w:tcBorders>
            <w:shd w:val="clear" w:color="auto" w:fill="auto"/>
            <w:vAlign w:val="bottom"/>
          </w:tcPr>
          <w:p w:rsidR="00D70E8E" w:rsidRPr="007F19FF" w:rsidRDefault="00D70E8E" w:rsidP="007F19FF">
            <w:pPr>
              <w:suppressAutoHyphens/>
              <w:spacing w:before="80" w:after="80" w:line="160" w:lineRule="exact"/>
              <w:ind w:right="43"/>
              <w:jc w:val="right"/>
              <w:rPr>
                <w:bCs/>
                <w:i/>
                <w:iCs/>
                <w:color w:val="000000"/>
                <w:sz w:val="14"/>
              </w:rPr>
            </w:pPr>
            <w:r>
              <w:rPr>
                <w:bCs/>
                <w:i/>
                <w:iCs/>
                <w:color w:val="000000"/>
                <w:sz w:val="14"/>
              </w:rPr>
              <w:t>Total</w:t>
            </w:r>
          </w:p>
        </w:tc>
        <w:tc>
          <w:tcPr>
            <w:tcW w:w="1278" w:type="dxa"/>
            <w:tcBorders>
              <w:top w:val="single" w:sz="4" w:space="0" w:color="auto"/>
              <w:bottom w:val="single" w:sz="12" w:space="0" w:color="auto"/>
            </w:tcBorders>
            <w:shd w:val="clear" w:color="auto" w:fill="auto"/>
            <w:vAlign w:val="bottom"/>
          </w:tcPr>
          <w:p w:rsidR="00D70E8E" w:rsidRPr="007F19FF" w:rsidRDefault="00D70E8E" w:rsidP="007F19FF">
            <w:pPr>
              <w:suppressAutoHyphens/>
              <w:spacing w:before="80" w:after="80" w:line="160" w:lineRule="exact"/>
              <w:ind w:right="43"/>
              <w:jc w:val="right"/>
              <w:rPr>
                <w:bCs/>
                <w:i/>
                <w:iCs/>
                <w:color w:val="000000"/>
                <w:sz w:val="14"/>
              </w:rPr>
            </w:pPr>
            <w:r>
              <w:rPr>
                <w:bCs/>
                <w:i/>
                <w:iCs/>
                <w:color w:val="000000"/>
                <w:sz w:val="14"/>
              </w:rPr>
              <w:t>%</w:t>
            </w:r>
          </w:p>
        </w:tc>
        <w:tc>
          <w:tcPr>
            <w:tcW w:w="1278" w:type="dxa"/>
            <w:tcBorders>
              <w:top w:val="single" w:sz="4" w:space="0" w:color="auto"/>
              <w:bottom w:val="single" w:sz="12" w:space="0" w:color="auto"/>
            </w:tcBorders>
            <w:shd w:val="clear" w:color="auto" w:fill="auto"/>
            <w:vAlign w:val="bottom"/>
          </w:tcPr>
          <w:p w:rsidR="00D70E8E" w:rsidRPr="007F19FF" w:rsidRDefault="00D70E8E" w:rsidP="007F19FF">
            <w:pPr>
              <w:suppressAutoHyphens/>
              <w:spacing w:before="80" w:after="80" w:line="160" w:lineRule="exact"/>
              <w:ind w:right="43"/>
              <w:jc w:val="right"/>
              <w:rPr>
                <w:bCs/>
                <w:i/>
                <w:iCs/>
                <w:color w:val="000000"/>
                <w:sz w:val="14"/>
              </w:rPr>
            </w:pPr>
            <w:r>
              <w:rPr>
                <w:bCs/>
                <w:i/>
                <w:iCs/>
                <w:color w:val="000000"/>
                <w:sz w:val="14"/>
              </w:rPr>
              <w:t>Total</w:t>
            </w:r>
          </w:p>
        </w:tc>
        <w:tc>
          <w:tcPr>
            <w:tcW w:w="1278" w:type="dxa"/>
            <w:tcBorders>
              <w:top w:val="single" w:sz="4" w:space="0" w:color="auto"/>
              <w:bottom w:val="single" w:sz="12" w:space="0" w:color="auto"/>
            </w:tcBorders>
            <w:shd w:val="clear" w:color="auto" w:fill="auto"/>
            <w:vAlign w:val="bottom"/>
          </w:tcPr>
          <w:p w:rsidR="00D70E8E" w:rsidRPr="007F19FF" w:rsidRDefault="00D70E8E" w:rsidP="007F19FF">
            <w:pPr>
              <w:suppressAutoHyphens/>
              <w:spacing w:before="80" w:after="80" w:line="160" w:lineRule="exact"/>
              <w:ind w:right="43"/>
              <w:jc w:val="right"/>
              <w:rPr>
                <w:bCs/>
                <w:i/>
                <w:iCs/>
                <w:color w:val="000000"/>
                <w:sz w:val="14"/>
              </w:rPr>
            </w:pPr>
            <w:r>
              <w:rPr>
                <w:bCs/>
                <w:i/>
                <w:iCs/>
                <w:color w:val="000000"/>
                <w:sz w:val="14"/>
              </w:rPr>
              <w:t>% de femmessur l’ensemble des malades</w:t>
            </w:r>
          </w:p>
        </w:tc>
        <w:tc>
          <w:tcPr>
            <w:tcW w:w="1278" w:type="dxa"/>
            <w:tcBorders>
              <w:top w:val="single" w:sz="4" w:space="0" w:color="auto"/>
              <w:bottom w:val="single" w:sz="12" w:space="0" w:color="auto"/>
            </w:tcBorders>
            <w:shd w:val="clear" w:color="auto" w:fill="auto"/>
            <w:vAlign w:val="bottom"/>
          </w:tcPr>
          <w:p w:rsidR="00D70E8E" w:rsidRPr="007F19FF" w:rsidRDefault="00D70E8E" w:rsidP="007F19FF">
            <w:pPr>
              <w:suppressAutoHyphens/>
              <w:spacing w:before="80" w:after="80" w:line="160" w:lineRule="exact"/>
              <w:ind w:right="43"/>
              <w:jc w:val="right"/>
              <w:rPr>
                <w:bCs/>
                <w:i/>
                <w:iCs/>
                <w:color w:val="000000"/>
                <w:sz w:val="14"/>
              </w:rPr>
            </w:pPr>
            <w:r>
              <w:rPr>
                <w:bCs/>
                <w:i/>
                <w:iCs/>
                <w:color w:val="000000"/>
                <w:sz w:val="14"/>
              </w:rPr>
              <w:t>% de femmes par diagnostic</w:t>
            </w:r>
          </w:p>
        </w:tc>
      </w:tr>
      <w:tr w:rsidR="007F19FF" w:rsidRPr="007F19FF">
        <w:tblPrEx>
          <w:tblCellMar>
            <w:top w:w="0" w:type="dxa"/>
            <w:bottom w:w="0" w:type="dxa"/>
          </w:tblCellMar>
        </w:tblPrEx>
        <w:trPr>
          <w:cantSplit/>
          <w:trHeight w:hRule="exact" w:val="115"/>
          <w:tblHeader/>
        </w:trPr>
        <w:tc>
          <w:tcPr>
            <w:tcW w:w="3490" w:type="dxa"/>
            <w:tcBorders>
              <w:top w:val="single" w:sz="12" w:space="0" w:color="auto"/>
            </w:tcBorders>
            <w:shd w:val="clear" w:color="auto" w:fill="auto"/>
            <w:vAlign w:val="bottom"/>
          </w:tcPr>
          <w:p w:rsidR="007F19FF" w:rsidRPr="007F19FF" w:rsidRDefault="007F19FF" w:rsidP="007F19FF">
            <w:pPr>
              <w:suppressAutoHyphens/>
              <w:spacing w:before="40" w:after="40" w:line="210" w:lineRule="exact"/>
              <w:ind w:right="43"/>
              <w:rPr>
                <w:bCs/>
                <w:iCs/>
                <w:color w:val="000000"/>
                <w:sz w:val="17"/>
              </w:rPr>
            </w:pPr>
          </w:p>
        </w:tc>
        <w:tc>
          <w:tcPr>
            <w:tcW w:w="1278" w:type="dxa"/>
            <w:tcBorders>
              <w:top w:val="single" w:sz="12" w:space="0" w:color="auto"/>
            </w:tcBorders>
            <w:shd w:val="clear" w:color="auto" w:fill="auto"/>
            <w:vAlign w:val="bottom"/>
          </w:tcPr>
          <w:p w:rsidR="007F19FF" w:rsidRPr="007F19FF" w:rsidRDefault="007F19FF" w:rsidP="007F19FF">
            <w:pPr>
              <w:suppressAutoHyphens/>
              <w:spacing w:before="40" w:after="40" w:line="210" w:lineRule="exact"/>
              <w:ind w:right="43"/>
              <w:jc w:val="right"/>
              <w:rPr>
                <w:bCs/>
                <w:iCs/>
                <w:color w:val="000000"/>
                <w:sz w:val="17"/>
              </w:rPr>
            </w:pPr>
          </w:p>
        </w:tc>
        <w:tc>
          <w:tcPr>
            <w:tcW w:w="1278" w:type="dxa"/>
            <w:tcBorders>
              <w:top w:val="single" w:sz="12" w:space="0" w:color="auto"/>
            </w:tcBorders>
            <w:shd w:val="clear" w:color="auto" w:fill="auto"/>
            <w:vAlign w:val="bottom"/>
          </w:tcPr>
          <w:p w:rsidR="007F19FF" w:rsidRPr="007F19FF" w:rsidRDefault="007F19FF" w:rsidP="007F19FF">
            <w:pPr>
              <w:suppressAutoHyphens/>
              <w:spacing w:before="40" w:after="40" w:line="210" w:lineRule="exact"/>
              <w:ind w:right="43"/>
              <w:jc w:val="right"/>
              <w:rPr>
                <w:bCs/>
                <w:iCs/>
                <w:color w:val="000000"/>
                <w:sz w:val="17"/>
              </w:rPr>
            </w:pPr>
          </w:p>
        </w:tc>
        <w:tc>
          <w:tcPr>
            <w:tcW w:w="1278" w:type="dxa"/>
            <w:tcBorders>
              <w:top w:val="single" w:sz="12" w:space="0" w:color="auto"/>
            </w:tcBorders>
            <w:shd w:val="clear" w:color="auto" w:fill="auto"/>
            <w:vAlign w:val="bottom"/>
          </w:tcPr>
          <w:p w:rsidR="007F19FF" w:rsidRPr="007F19FF" w:rsidRDefault="007F19FF" w:rsidP="007F19FF">
            <w:pPr>
              <w:suppressAutoHyphens/>
              <w:spacing w:before="40" w:after="40" w:line="210" w:lineRule="exact"/>
              <w:ind w:right="43"/>
              <w:jc w:val="right"/>
              <w:rPr>
                <w:bCs/>
                <w:iCs/>
                <w:color w:val="000000"/>
                <w:sz w:val="17"/>
              </w:rPr>
            </w:pPr>
          </w:p>
        </w:tc>
        <w:tc>
          <w:tcPr>
            <w:tcW w:w="1278" w:type="dxa"/>
            <w:tcBorders>
              <w:top w:val="single" w:sz="12" w:space="0" w:color="auto"/>
            </w:tcBorders>
            <w:shd w:val="clear" w:color="auto" w:fill="auto"/>
            <w:vAlign w:val="bottom"/>
          </w:tcPr>
          <w:p w:rsidR="007F19FF" w:rsidRPr="007F19FF" w:rsidRDefault="007F19FF" w:rsidP="007F19FF">
            <w:pPr>
              <w:suppressAutoHyphens/>
              <w:spacing w:before="40" w:after="40" w:line="210" w:lineRule="exact"/>
              <w:ind w:right="43"/>
              <w:jc w:val="right"/>
              <w:rPr>
                <w:bCs/>
                <w:iCs/>
                <w:color w:val="000000"/>
                <w:sz w:val="17"/>
              </w:rPr>
            </w:pPr>
          </w:p>
        </w:tc>
        <w:tc>
          <w:tcPr>
            <w:tcW w:w="1278" w:type="dxa"/>
            <w:tcBorders>
              <w:top w:val="single" w:sz="12" w:space="0" w:color="auto"/>
            </w:tcBorders>
            <w:shd w:val="clear" w:color="auto" w:fill="auto"/>
            <w:vAlign w:val="bottom"/>
          </w:tcPr>
          <w:p w:rsidR="007F19FF" w:rsidRPr="007F19FF" w:rsidRDefault="007F19FF" w:rsidP="007F19FF">
            <w:pPr>
              <w:suppressAutoHyphens/>
              <w:spacing w:before="40" w:after="40" w:line="210" w:lineRule="exact"/>
              <w:ind w:right="43"/>
              <w:jc w:val="right"/>
              <w:rPr>
                <w:bCs/>
                <w:iCs/>
                <w:color w:val="000000"/>
                <w:sz w:val="17"/>
              </w:rPr>
            </w:pPr>
          </w:p>
        </w:tc>
      </w:tr>
      <w:tr w:rsidR="0073290F" w:rsidRPr="007F19FF">
        <w:tblPrEx>
          <w:tblCellMar>
            <w:top w:w="0" w:type="dxa"/>
            <w:bottom w:w="0" w:type="dxa"/>
          </w:tblCellMar>
        </w:tblPrEx>
        <w:trPr>
          <w:cantSplit/>
        </w:trPr>
        <w:tc>
          <w:tcPr>
            <w:tcW w:w="3490" w:type="dxa"/>
            <w:shd w:val="clear" w:color="auto" w:fill="auto"/>
            <w:vAlign w:val="bottom"/>
          </w:tcPr>
          <w:p w:rsidR="0073290F" w:rsidRPr="00417986" w:rsidRDefault="0073290F" w:rsidP="007F19FF">
            <w:pPr>
              <w:tabs>
                <w:tab w:val="left" w:pos="288"/>
                <w:tab w:val="left" w:pos="576"/>
                <w:tab w:val="left" w:pos="864"/>
                <w:tab w:val="left" w:pos="1152"/>
              </w:tabs>
              <w:suppressAutoHyphens/>
              <w:spacing w:before="40" w:after="40" w:line="210" w:lineRule="exact"/>
              <w:ind w:right="43"/>
              <w:rPr>
                <w:b/>
                <w:bCs/>
                <w:iCs/>
                <w:color w:val="000000"/>
                <w:sz w:val="17"/>
              </w:rPr>
            </w:pPr>
            <w:r w:rsidRPr="00417986">
              <w:rPr>
                <w:b/>
                <w:bCs/>
                <w:iCs/>
                <w:color w:val="000000"/>
                <w:sz w:val="17"/>
              </w:rPr>
              <w:t>Total</w:t>
            </w:r>
          </w:p>
        </w:tc>
        <w:tc>
          <w:tcPr>
            <w:tcW w:w="1278" w:type="dxa"/>
            <w:shd w:val="clear" w:color="auto" w:fill="auto"/>
            <w:vAlign w:val="bottom"/>
          </w:tcPr>
          <w:p w:rsidR="0073290F" w:rsidRPr="00417986" w:rsidRDefault="0073290F" w:rsidP="007F19FF">
            <w:pPr>
              <w:tabs>
                <w:tab w:val="left" w:pos="288"/>
                <w:tab w:val="left" w:pos="576"/>
                <w:tab w:val="left" w:pos="864"/>
                <w:tab w:val="left" w:pos="1152"/>
              </w:tabs>
              <w:suppressAutoHyphens/>
              <w:spacing w:before="40" w:after="40" w:line="210" w:lineRule="exact"/>
              <w:ind w:right="43"/>
              <w:jc w:val="right"/>
              <w:rPr>
                <w:b/>
                <w:bCs/>
                <w:iCs/>
                <w:color w:val="000000"/>
                <w:sz w:val="17"/>
              </w:rPr>
            </w:pPr>
            <w:r w:rsidRPr="00417986">
              <w:rPr>
                <w:b/>
                <w:bCs/>
                <w:iCs/>
                <w:color w:val="000000"/>
                <w:sz w:val="17"/>
              </w:rPr>
              <w:t>4.542.688</w:t>
            </w:r>
          </w:p>
        </w:tc>
        <w:tc>
          <w:tcPr>
            <w:tcW w:w="1278" w:type="dxa"/>
            <w:shd w:val="clear" w:color="auto" w:fill="auto"/>
            <w:vAlign w:val="bottom"/>
          </w:tcPr>
          <w:p w:rsidR="0073290F" w:rsidRPr="00417986" w:rsidRDefault="0073290F" w:rsidP="007F19FF">
            <w:pPr>
              <w:tabs>
                <w:tab w:val="left" w:pos="288"/>
                <w:tab w:val="left" w:pos="576"/>
                <w:tab w:val="left" w:pos="864"/>
                <w:tab w:val="left" w:pos="1152"/>
              </w:tabs>
              <w:suppressAutoHyphens/>
              <w:spacing w:before="40" w:after="40" w:line="210" w:lineRule="exact"/>
              <w:ind w:right="43"/>
              <w:jc w:val="right"/>
              <w:rPr>
                <w:b/>
                <w:bCs/>
                <w:iCs/>
                <w:color w:val="000000"/>
                <w:sz w:val="17"/>
              </w:rPr>
            </w:pPr>
            <w:r w:rsidRPr="00417986">
              <w:rPr>
                <w:b/>
                <w:bCs/>
                <w:iCs/>
                <w:color w:val="000000"/>
                <w:sz w:val="17"/>
              </w:rPr>
              <w:t>100,0</w:t>
            </w:r>
          </w:p>
        </w:tc>
        <w:tc>
          <w:tcPr>
            <w:tcW w:w="1278" w:type="dxa"/>
            <w:shd w:val="clear" w:color="auto" w:fill="auto"/>
            <w:vAlign w:val="bottom"/>
          </w:tcPr>
          <w:p w:rsidR="0073290F" w:rsidRPr="00417986" w:rsidRDefault="0073290F" w:rsidP="007F19FF">
            <w:pPr>
              <w:tabs>
                <w:tab w:val="left" w:pos="288"/>
                <w:tab w:val="left" w:pos="576"/>
                <w:tab w:val="left" w:pos="864"/>
                <w:tab w:val="left" w:pos="1152"/>
              </w:tabs>
              <w:suppressAutoHyphens/>
              <w:spacing w:before="40" w:after="40" w:line="210" w:lineRule="exact"/>
              <w:ind w:right="43"/>
              <w:jc w:val="right"/>
              <w:rPr>
                <w:b/>
                <w:bCs/>
                <w:iCs/>
                <w:color w:val="000000"/>
                <w:sz w:val="17"/>
              </w:rPr>
            </w:pPr>
            <w:r w:rsidRPr="00417986">
              <w:rPr>
                <w:b/>
                <w:bCs/>
                <w:iCs/>
                <w:color w:val="000000"/>
                <w:sz w:val="17"/>
              </w:rPr>
              <w:t>2.738.932</w:t>
            </w:r>
          </w:p>
        </w:tc>
        <w:tc>
          <w:tcPr>
            <w:tcW w:w="1278" w:type="dxa"/>
            <w:shd w:val="clear" w:color="auto" w:fill="auto"/>
            <w:vAlign w:val="bottom"/>
          </w:tcPr>
          <w:p w:rsidR="0073290F" w:rsidRPr="00417986" w:rsidRDefault="0073290F" w:rsidP="007F19FF">
            <w:pPr>
              <w:tabs>
                <w:tab w:val="left" w:pos="288"/>
                <w:tab w:val="left" w:pos="576"/>
                <w:tab w:val="left" w:pos="864"/>
                <w:tab w:val="left" w:pos="1152"/>
              </w:tabs>
              <w:suppressAutoHyphens/>
              <w:spacing w:before="40" w:after="40" w:line="210" w:lineRule="exact"/>
              <w:ind w:right="43"/>
              <w:jc w:val="right"/>
              <w:rPr>
                <w:b/>
                <w:bCs/>
                <w:iCs/>
                <w:color w:val="000000"/>
                <w:sz w:val="17"/>
              </w:rPr>
            </w:pPr>
            <w:r w:rsidRPr="00417986">
              <w:rPr>
                <w:b/>
                <w:bCs/>
                <w:iCs/>
                <w:color w:val="000000"/>
                <w:sz w:val="17"/>
              </w:rPr>
              <w:t>100,0</w:t>
            </w:r>
          </w:p>
        </w:tc>
        <w:tc>
          <w:tcPr>
            <w:tcW w:w="1278" w:type="dxa"/>
            <w:shd w:val="clear" w:color="auto" w:fill="auto"/>
            <w:vAlign w:val="bottom"/>
          </w:tcPr>
          <w:p w:rsidR="0073290F" w:rsidRPr="00417986" w:rsidRDefault="0073290F" w:rsidP="007F19FF">
            <w:pPr>
              <w:tabs>
                <w:tab w:val="left" w:pos="288"/>
                <w:tab w:val="left" w:pos="576"/>
                <w:tab w:val="left" w:pos="864"/>
                <w:tab w:val="left" w:pos="1152"/>
              </w:tabs>
              <w:suppressAutoHyphens/>
              <w:spacing w:before="40" w:after="40" w:line="210" w:lineRule="exact"/>
              <w:ind w:right="43"/>
              <w:jc w:val="right"/>
              <w:rPr>
                <w:b/>
                <w:bCs/>
                <w:iCs/>
                <w:color w:val="000000"/>
                <w:sz w:val="17"/>
              </w:rPr>
            </w:pPr>
            <w:r w:rsidRPr="00417986">
              <w:rPr>
                <w:b/>
                <w:bCs/>
                <w:iCs/>
                <w:color w:val="000000"/>
                <w:sz w:val="17"/>
              </w:rPr>
              <w:t>60,3</w:t>
            </w:r>
          </w:p>
        </w:tc>
      </w:tr>
      <w:tr w:rsidR="0073290F" w:rsidRPr="007F19FF">
        <w:tblPrEx>
          <w:tblCellMar>
            <w:top w:w="0" w:type="dxa"/>
            <w:bottom w:w="0" w:type="dxa"/>
          </w:tblCellMar>
        </w:tblPrEx>
        <w:trPr>
          <w:cantSplit/>
        </w:trPr>
        <w:tc>
          <w:tcPr>
            <w:tcW w:w="3490"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rPr>
                <w:color w:val="000000"/>
                <w:sz w:val="17"/>
              </w:rPr>
            </w:pPr>
            <w:r w:rsidRPr="007F19FF">
              <w:rPr>
                <w:color w:val="000000"/>
                <w:sz w:val="17"/>
              </w:rPr>
              <w:t>Maladies infectieuses et parasitaires</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309.998</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6,8</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172.540</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6,3</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55,7</w:t>
            </w:r>
          </w:p>
        </w:tc>
      </w:tr>
      <w:tr w:rsidR="0073290F" w:rsidRPr="007F19FF">
        <w:tblPrEx>
          <w:tblCellMar>
            <w:top w:w="0" w:type="dxa"/>
            <w:bottom w:w="0" w:type="dxa"/>
          </w:tblCellMar>
        </w:tblPrEx>
        <w:trPr>
          <w:cantSplit/>
        </w:trPr>
        <w:tc>
          <w:tcPr>
            <w:tcW w:w="3490"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rPr>
                <w:color w:val="000000"/>
                <w:sz w:val="17"/>
              </w:rPr>
            </w:pPr>
            <w:r w:rsidRPr="007F19FF">
              <w:rPr>
                <w:color w:val="000000"/>
                <w:sz w:val="17"/>
              </w:rPr>
              <w:t>Néoplasmes</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65.054</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1,4</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41.726</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1,5</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64,1</w:t>
            </w:r>
          </w:p>
        </w:tc>
      </w:tr>
      <w:tr w:rsidR="0073290F" w:rsidRPr="007F19FF">
        <w:tblPrEx>
          <w:tblCellMar>
            <w:top w:w="0" w:type="dxa"/>
            <w:bottom w:w="0" w:type="dxa"/>
          </w:tblCellMar>
        </w:tblPrEx>
        <w:trPr>
          <w:cantSplit/>
        </w:trPr>
        <w:tc>
          <w:tcPr>
            <w:tcW w:w="3490"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rPr>
                <w:color w:val="000000"/>
                <w:sz w:val="17"/>
              </w:rPr>
            </w:pPr>
            <w:r w:rsidRPr="007F19FF">
              <w:rPr>
                <w:color w:val="000000"/>
                <w:sz w:val="17"/>
              </w:rPr>
              <w:t>Maladies du sang et des organes producteurs de sang</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18.660</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0,4</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14.601</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0,5</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78,2</w:t>
            </w:r>
          </w:p>
        </w:tc>
      </w:tr>
      <w:tr w:rsidR="0073290F" w:rsidRPr="007F19FF">
        <w:tblPrEx>
          <w:tblCellMar>
            <w:top w:w="0" w:type="dxa"/>
            <w:bottom w:w="0" w:type="dxa"/>
          </w:tblCellMar>
        </w:tblPrEx>
        <w:trPr>
          <w:cantSplit/>
          <w:trHeight w:val="527"/>
        </w:trPr>
        <w:tc>
          <w:tcPr>
            <w:tcW w:w="3490" w:type="dxa"/>
            <w:shd w:val="clear" w:color="auto" w:fill="auto"/>
            <w:vAlign w:val="bottom"/>
          </w:tcPr>
          <w:p w:rsidR="0073290F" w:rsidRPr="00E30EA9" w:rsidRDefault="0073290F" w:rsidP="007F19FF">
            <w:pPr>
              <w:tabs>
                <w:tab w:val="left" w:pos="288"/>
                <w:tab w:val="left" w:pos="576"/>
                <w:tab w:val="left" w:pos="864"/>
                <w:tab w:val="left" w:pos="1152"/>
              </w:tabs>
              <w:suppressAutoHyphens/>
              <w:spacing w:before="40" w:after="40" w:line="210" w:lineRule="exact"/>
              <w:ind w:right="43"/>
              <w:rPr>
                <w:color w:val="000000"/>
                <w:sz w:val="17"/>
                <w:lang w:val="fr-FR"/>
              </w:rPr>
            </w:pPr>
            <w:r w:rsidRPr="007F19FF">
              <w:rPr>
                <w:color w:val="000000"/>
                <w:sz w:val="17"/>
              </w:rPr>
              <w:t>Maladies endocrines, de la nutrition et du métabolisme</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88.768</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2,0</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52.215</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1,9</w:t>
            </w:r>
          </w:p>
        </w:tc>
        <w:tc>
          <w:tcPr>
            <w:tcW w:w="1278"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7F19FF">
              <w:rPr>
                <w:color w:val="000000"/>
                <w:sz w:val="17"/>
              </w:rPr>
              <w:t>58,8</w:t>
            </w:r>
          </w:p>
        </w:tc>
      </w:tr>
      <w:tr w:rsidR="0073290F" w:rsidRPr="007F19FF">
        <w:tblPrEx>
          <w:tblCellMar>
            <w:top w:w="0" w:type="dxa"/>
            <w:bottom w:w="0" w:type="dxa"/>
          </w:tblCellMar>
        </w:tblPrEx>
        <w:trPr>
          <w:cantSplit/>
        </w:trPr>
        <w:tc>
          <w:tcPr>
            <w:tcW w:w="3490"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rPr>
                <w:color w:val="000000"/>
                <w:sz w:val="17"/>
              </w:rPr>
            </w:pPr>
            <w:r w:rsidRPr="007F19FF">
              <w:rPr>
                <w:color w:val="000000"/>
                <w:sz w:val="17"/>
              </w:rPr>
              <w:t>Troubles mentaux et du comportement</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90.094</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2,0</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55.624</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2,0</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61,7</w:t>
            </w:r>
          </w:p>
        </w:tc>
      </w:tr>
      <w:tr w:rsidR="0073290F" w:rsidRPr="007F19FF">
        <w:tblPrEx>
          <w:tblCellMar>
            <w:top w:w="0" w:type="dxa"/>
            <w:bottom w:w="0" w:type="dxa"/>
          </w:tblCellMar>
        </w:tblPrEx>
        <w:trPr>
          <w:cantSplit/>
        </w:trPr>
        <w:tc>
          <w:tcPr>
            <w:tcW w:w="3490" w:type="dxa"/>
            <w:shd w:val="clear" w:color="auto" w:fill="auto"/>
            <w:vAlign w:val="bottom"/>
          </w:tcPr>
          <w:p w:rsidR="0073290F" w:rsidRPr="00E30EA9" w:rsidRDefault="0073290F" w:rsidP="007F19FF">
            <w:pPr>
              <w:tabs>
                <w:tab w:val="left" w:pos="288"/>
                <w:tab w:val="left" w:pos="576"/>
                <w:tab w:val="left" w:pos="864"/>
                <w:tab w:val="left" w:pos="1152"/>
              </w:tabs>
              <w:suppressAutoHyphens/>
              <w:spacing w:before="40" w:after="40" w:line="210" w:lineRule="exact"/>
              <w:ind w:right="43"/>
              <w:rPr>
                <w:color w:val="000000"/>
                <w:sz w:val="17"/>
                <w:lang w:val="fr-FR"/>
              </w:rPr>
            </w:pPr>
            <w:r w:rsidRPr="00E30EA9">
              <w:rPr>
                <w:color w:val="000000"/>
                <w:sz w:val="17"/>
                <w:lang w:val="fr-FR"/>
              </w:rPr>
              <w:t>Maladies du système nerveux central</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E30EA9">
              <w:rPr>
                <w:color w:val="000000"/>
                <w:sz w:val="17"/>
                <w:lang w:val="fr-FR"/>
              </w:rPr>
              <w:t xml:space="preserve"> </w:t>
            </w:r>
            <w:r w:rsidR="0073290F" w:rsidRPr="007F19FF">
              <w:rPr>
                <w:color w:val="000000"/>
                <w:sz w:val="17"/>
              </w:rPr>
              <w:t>38.905</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0,9</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22.930</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0,8</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58,9</w:t>
            </w:r>
          </w:p>
        </w:tc>
      </w:tr>
      <w:tr w:rsidR="0073290F" w:rsidRPr="007F19FF">
        <w:tblPrEx>
          <w:tblCellMar>
            <w:top w:w="0" w:type="dxa"/>
            <w:bottom w:w="0" w:type="dxa"/>
          </w:tblCellMar>
        </w:tblPrEx>
        <w:trPr>
          <w:cantSplit/>
        </w:trPr>
        <w:tc>
          <w:tcPr>
            <w:tcW w:w="3490"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rPr>
                <w:color w:val="000000"/>
                <w:sz w:val="17"/>
              </w:rPr>
            </w:pPr>
            <w:r w:rsidRPr="007F19FF">
              <w:rPr>
                <w:color w:val="000000"/>
                <w:sz w:val="17"/>
              </w:rPr>
              <w:t>Maladies des yeux et annexes</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119.513</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2,6</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67.674</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2,5</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56,6</w:t>
            </w:r>
          </w:p>
        </w:tc>
      </w:tr>
      <w:tr w:rsidR="0073290F" w:rsidRPr="007F19FF">
        <w:tblPrEx>
          <w:tblCellMar>
            <w:top w:w="0" w:type="dxa"/>
            <w:bottom w:w="0" w:type="dxa"/>
          </w:tblCellMar>
        </w:tblPrEx>
        <w:trPr>
          <w:cantSplit/>
        </w:trPr>
        <w:tc>
          <w:tcPr>
            <w:tcW w:w="3490" w:type="dxa"/>
            <w:shd w:val="clear" w:color="auto" w:fill="auto"/>
            <w:vAlign w:val="bottom"/>
          </w:tcPr>
          <w:p w:rsidR="0073290F" w:rsidRPr="00E30EA9" w:rsidRDefault="0073290F" w:rsidP="007F19FF">
            <w:pPr>
              <w:tabs>
                <w:tab w:val="left" w:pos="288"/>
                <w:tab w:val="left" w:pos="576"/>
                <w:tab w:val="left" w:pos="864"/>
                <w:tab w:val="left" w:pos="1152"/>
              </w:tabs>
              <w:suppressAutoHyphens/>
              <w:spacing w:before="40" w:after="40" w:line="210" w:lineRule="exact"/>
              <w:ind w:right="43"/>
              <w:rPr>
                <w:color w:val="000000"/>
                <w:sz w:val="17"/>
                <w:lang w:val="fr-FR"/>
              </w:rPr>
            </w:pPr>
            <w:r w:rsidRPr="00E30EA9">
              <w:rPr>
                <w:color w:val="000000"/>
                <w:sz w:val="17"/>
                <w:lang w:val="fr-FR"/>
              </w:rPr>
              <w:t>Maladies des oreilles et des mastoïdes</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E30EA9">
              <w:rPr>
                <w:color w:val="000000"/>
                <w:sz w:val="17"/>
                <w:lang w:val="fr-FR"/>
              </w:rPr>
              <w:t xml:space="preserve"> </w:t>
            </w:r>
            <w:r w:rsidR="0073290F" w:rsidRPr="007F19FF">
              <w:rPr>
                <w:color w:val="000000"/>
                <w:sz w:val="17"/>
              </w:rPr>
              <w:t>171.111</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3,8</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88.228</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3,2</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51,6</w:t>
            </w:r>
          </w:p>
        </w:tc>
      </w:tr>
      <w:tr w:rsidR="0073290F" w:rsidRPr="007F19FF">
        <w:tblPrEx>
          <w:tblCellMar>
            <w:top w:w="0" w:type="dxa"/>
            <w:bottom w:w="0" w:type="dxa"/>
          </w:tblCellMar>
        </w:tblPrEx>
        <w:trPr>
          <w:cantSplit/>
        </w:trPr>
        <w:tc>
          <w:tcPr>
            <w:tcW w:w="3490"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rPr>
                <w:color w:val="000000"/>
                <w:sz w:val="17"/>
                <w:lang w:val="en-GB"/>
              </w:rPr>
            </w:pPr>
            <w:r w:rsidRPr="007F19FF">
              <w:rPr>
                <w:color w:val="000000"/>
                <w:sz w:val="17"/>
                <w:lang w:val="en-GB"/>
              </w:rPr>
              <w:t>Maladies du système vasculaire</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lang w:val="en-GB"/>
              </w:rPr>
              <w:t xml:space="preserve"> </w:t>
            </w:r>
            <w:r w:rsidR="0073290F" w:rsidRPr="007F19FF">
              <w:rPr>
                <w:color w:val="000000"/>
                <w:sz w:val="17"/>
              </w:rPr>
              <w:t>301.893</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6,6</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175.714</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6,4</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58,2</w:t>
            </w:r>
          </w:p>
        </w:tc>
      </w:tr>
      <w:tr w:rsidR="0073290F" w:rsidRPr="007F19FF">
        <w:tblPrEx>
          <w:tblCellMar>
            <w:top w:w="0" w:type="dxa"/>
            <w:bottom w:w="0" w:type="dxa"/>
          </w:tblCellMar>
        </w:tblPrEx>
        <w:trPr>
          <w:cantSplit/>
        </w:trPr>
        <w:tc>
          <w:tcPr>
            <w:tcW w:w="3490"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rPr>
                <w:color w:val="000000"/>
                <w:sz w:val="17"/>
                <w:lang w:val="en-GB"/>
              </w:rPr>
            </w:pPr>
            <w:r w:rsidRPr="007F19FF">
              <w:rPr>
                <w:color w:val="000000"/>
                <w:sz w:val="17"/>
                <w:lang w:val="en-GB"/>
              </w:rPr>
              <w:t>Maladies du système respiratoire</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lang w:val="en-GB"/>
              </w:rPr>
              <w:t xml:space="preserve"> </w:t>
            </w:r>
            <w:r w:rsidR="0073290F" w:rsidRPr="007F19FF">
              <w:rPr>
                <w:color w:val="000000"/>
                <w:sz w:val="17"/>
              </w:rPr>
              <w:t>804.571</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17,7</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436.720</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15,9</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54,3</w:t>
            </w:r>
          </w:p>
        </w:tc>
      </w:tr>
      <w:tr w:rsidR="0073290F" w:rsidRPr="007F19FF">
        <w:tblPrEx>
          <w:tblCellMar>
            <w:top w:w="0" w:type="dxa"/>
            <w:bottom w:w="0" w:type="dxa"/>
          </w:tblCellMar>
        </w:tblPrEx>
        <w:trPr>
          <w:cantSplit/>
        </w:trPr>
        <w:tc>
          <w:tcPr>
            <w:tcW w:w="3490"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rPr>
                <w:color w:val="000000"/>
                <w:sz w:val="17"/>
                <w:lang w:val="en-GB"/>
              </w:rPr>
            </w:pPr>
            <w:r w:rsidRPr="007F19FF">
              <w:rPr>
                <w:color w:val="000000"/>
                <w:sz w:val="17"/>
                <w:lang w:val="en-GB"/>
              </w:rPr>
              <w:t>Maladies des organes digestifs</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lang w:val="en-GB"/>
              </w:rPr>
              <w:t xml:space="preserve"> </w:t>
            </w:r>
            <w:r w:rsidR="0073290F" w:rsidRPr="007F19FF">
              <w:rPr>
                <w:color w:val="000000"/>
                <w:sz w:val="17"/>
              </w:rPr>
              <w:t>190.496</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4,2</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102.885</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3,8</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54,0</w:t>
            </w:r>
          </w:p>
        </w:tc>
      </w:tr>
      <w:tr w:rsidR="0073290F" w:rsidRPr="007F19FF">
        <w:tblPrEx>
          <w:tblCellMar>
            <w:top w:w="0" w:type="dxa"/>
            <w:bottom w:w="0" w:type="dxa"/>
          </w:tblCellMar>
        </w:tblPrEx>
        <w:trPr>
          <w:cantSplit/>
        </w:trPr>
        <w:tc>
          <w:tcPr>
            <w:tcW w:w="3490"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rPr>
                <w:color w:val="000000"/>
                <w:sz w:val="17"/>
              </w:rPr>
            </w:pPr>
            <w:r w:rsidRPr="007F19FF">
              <w:rPr>
                <w:color w:val="000000"/>
                <w:sz w:val="17"/>
              </w:rPr>
              <w:t>Maladies de la peau et du tissu sous-cutané</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272.240</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6,0</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159.849</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5,8</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58,7</w:t>
            </w:r>
          </w:p>
        </w:tc>
      </w:tr>
      <w:tr w:rsidR="0073290F" w:rsidRPr="007F19FF">
        <w:tblPrEx>
          <w:tblCellMar>
            <w:top w:w="0" w:type="dxa"/>
            <w:bottom w:w="0" w:type="dxa"/>
          </w:tblCellMar>
        </w:tblPrEx>
        <w:trPr>
          <w:cantSplit/>
        </w:trPr>
        <w:tc>
          <w:tcPr>
            <w:tcW w:w="3490"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rPr>
                <w:color w:val="000000"/>
                <w:sz w:val="17"/>
              </w:rPr>
            </w:pPr>
            <w:r w:rsidRPr="007F19FF">
              <w:rPr>
                <w:color w:val="000000"/>
                <w:sz w:val="17"/>
              </w:rPr>
              <w:t>Maladies du système ostéo-articulaire et des muscles du tissu conjonctif</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422.137</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9,3</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247.531</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9,0</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58,6</w:t>
            </w:r>
          </w:p>
        </w:tc>
      </w:tr>
      <w:tr w:rsidR="0073290F" w:rsidRPr="007F19FF">
        <w:tblPrEx>
          <w:tblCellMar>
            <w:top w:w="0" w:type="dxa"/>
            <w:bottom w:w="0" w:type="dxa"/>
          </w:tblCellMar>
        </w:tblPrEx>
        <w:trPr>
          <w:cantSplit/>
        </w:trPr>
        <w:tc>
          <w:tcPr>
            <w:tcW w:w="3490"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rPr>
                <w:color w:val="000000"/>
                <w:sz w:val="17"/>
              </w:rPr>
            </w:pPr>
            <w:r w:rsidRPr="007F19FF">
              <w:rPr>
                <w:color w:val="000000"/>
                <w:sz w:val="17"/>
              </w:rPr>
              <w:t>Maladies de la vessie et des organes génitaux</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303.100</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6,7</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255.927</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9,3</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84,4</w:t>
            </w:r>
          </w:p>
        </w:tc>
      </w:tr>
      <w:tr w:rsidR="0073290F" w:rsidRPr="007F19FF">
        <w:tblPrEx>
          <w:tblCellMar>
            <w:top w:w="0" w:type="dxa"/>
            <w:bottom w:w="0" w:type="dxa"/>
          </w:tblCellMar>
        </w:tblPrEx>
        <w:trPr>
          <w:cantSplit/>
        </w:trPr>
        <w:tc>
          <w:tcPr>
            <w:tcW w:w="3490" w:type="dxa"/>
            <w:shd w:val="clear" w:color="auto" w:fill="auto"/>
            <w:vAlign w:val="bottom"/>
          </w:tcPr>
          <w:p w:rsidR="0073290F" w:rsidRPr="00E30EA9" w:rsidRDefault="0073290F" w:rsidP="007F19FF">
            <w:pPr>
              <w:tabs>
                <w:tab w:val="left" w:pos="288"/>
                <w:tab w:val="left" w:pos="576"/>
                <w:tab w:val="left" w:pos="864"/>
                <w:tab w:val="left" w:pos="1152"/>
              </w:tabs>
              <w:suppressAutoHyphens/>
              <w:spacing w:before="40" w:after="40" w:line="210" w:lineRule="exact"/>
              <w:ind w:right="43"/>
              <w:rPr>
                <w:color w:val="000000"/>
                <w:sz w:val="17"/>
                <w:lang w:val="fr-FR"/>
              </w:rPr>
            </w:pPr>
            <w:r w:rsidRPr="007F19FF">
              <w:rPr>
                <w:color w:val="000000"/>
                <w:sz w:val="17"/>
              </w:rPr>
              <w:t>Grossesse, accouchement et période post-natale</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sidRPr="00E30EA9">
              <w:rPr>
                <w:color w:val="000000"/>
                <w:sz w:val="17"/>
                <w:lang w:val="fr-FR"/>
              </w:rPr>
              <w:t xml:space="preserve"> </w:t>
            </w:r>
            <w:r w:rsidR="0073290F" w:rsidRPr="007F19FF">
              <w:rPr>
                <w:color w:val="000000"/>
                <w:sz w:val="17"/>
              </w:rPr>
              <w:t>20.699</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0,5</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20.699</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0,8</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100,0</w:t>
            </w:r>
          </w:p>
        </w:tc>
      </w:tr>
      <w:tr w:rsidR="0073290F" w:rsidRPr="007F19FF">
        <w:tblPrEx>
          <w:tblCellMar>
            <w:top w:w="0" w:type="dxa"/>
            <w:bottom w:w="0" w:type="dxa"/>
          </w:tblCellMar>
        </w:tblPrEx>
        <w:trPr>
          <w:cantSplit/>
        </w:trPr>
        <w:tc>
          <w:tcPr>
            <w:tcW w:w="3490"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rPr>
                <w:color w:val="000000"/>
                <w:sz w:val="17"/>
              </w:rPr>
            </w:pPr>
            <w:r w:rsidRPr="007F19FF">
              <w:rPr>
                <w:color w:val="000000"/>
                <w:sz w:val="17"/>
              </w:rPr>
              <w:t>Conditions dérivées de la période périnatale</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2.908</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0,06</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1.442</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0,1</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49,6</w:t>
            </w:r>
          </w:p>
        </w:tc>
      </w:tr>
      <w:tr w:rsidR="0073290F" w:rsidRPr="007F19FF">
        <w:tblPrEx>
          <w:tblCellMar>
            <w:top w:w="0" w:type="dxa"/>
            <w:bottom w:w="0" w:type="dxa"/>
          </w:tblCellMar>
        </w:tblPrEx>
        <w:trPr>
          <w:cantSplit/>
        </w:trPr>
        <w:tc>
          <w:tcPr>
            <w:tcW w:w="3490"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rPr>
                <w:color w:val="000000"/>
                <w:sz w:val="17"/>
              </w:rPr>
            </w:pPr>
            <w:r w:rsidRPr="007F19FF">
              <w:rPr>
                <w:color w:val="000000"/>
                <w:sz w:val="17"/>
              </w:rPr>
              <w:t>Malformations congénitales, déformations et anomalies chromosomiques</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5.769</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0,1</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2.997</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0,1</w:t>
            </w:r>
          </w:p>
        </w:tc>
        <w:tc>
          <w:tcPr>
            <w:tcW w:w="1278" w:type="dxa"/>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52,0</w:t>
            </w:r>
          </w:p>
        </w:tc>
      </w:tr>
      <w:tr w:rsidR="0073290F" w:rsidRPr="007F19FF">
        <w:tblPrEx>
          <w:tblCellMar>
            <w:top w:w="0" w:type="dxa"/>
            <w:bottom w:w="0" w:type="dxa"/>
          </w:tblCellMar>
        </w:tblPrEx>
        <w:trPr>
          <w:cantSplit/>
        </w:trPr>
        <w:tc>
          <w:tcPr>
            <w:tcW w:w="3490" w:type="dxa"/>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rPr>
                <w:color w:val="000000"/>
                <w:sz w:val="17"/>
              </w:rPr>
            </w:pPr>
            <w:r w:rsidRPr="007F19FF">
              <w:rPr>
                <w:color w:val="000000"/>
                <w:sz w:val="17"/>
              </w:rPr>
              <w:t>Symptômes, signes, anomalies, résultats non classés</w:t>
            </w:r>
          </w:p>
        </w:tc>
        <w:tc>
          <w:tcPr>
            <w:tcW w:w="1278" w:type="dxa"/>
            <w:shd w:val="clear" w:color="auto" w:fill="auto"/>
            <w:vAlign w:val="bottom"/>
          </w:tcPr>
          <w:p w:rsidR="0073290F" w:rsidRPr="007F19FF" w:rsidRDefault="00BA4F2E"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293.287</w:t>
            </w:r>
          </w:p>
        </w:tc>
        <w:tc>
          <w:tcPr>
            <w:tcW w:w="1278" w:type="dxa"/>
            <w:shd w:val="clear" w:color="auto" w:fill="auto"/>
            <w:vAlign w:val="bottom"/>
          </w:tcPr>
          <w:p w:rsidR="0073290F" w:rsidRPr="007F19FF" w:rsidRDefault="00BA4F2E"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6,5</w:t>
            </w:r>
          </w:p>
        </w:tc>
        <w:tc>
          <w:tcPr>
            <w:tcW w:w="1278" w:type="dxa"/>
            <w:shd w:val="clear" w:color="auto" w:fill="auto"/>
            <w:vAlign w:val="bottom"/>
          </w:tcPr>
          <w:p w:rsidR="0073290F" w:rsidRPr="007F19FF" w:rsidRDefault="00BA4F2E"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182.598</w:t>
            </w:r>
          </w:p>
        </w:tc>
        <w:tc>
          <w:tcPr>
            <w:tcW w:w="1278" w:type="dxa"/>
            <w:shd w:val="clear" w:color="auto" w:fill="auto"/>
            <w:vAlign w:val="bottom"/>
          </w:tcPr>
          <w:p w:rsidR="0073290F" w:rsidRPr="007F19FF" w:rsidRDefault="00BA4F2E"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6,7</w:t>
            </w:r>
          </w:p>
        </w:tc>
        <w:tc>
          <w:tcPr>
            <w:tcW w:w="1278" w:type="dxa"/>
            <w:shd w:val="clear" w:color="auto" w:fill="auto"/>
            <w:vAlign w:val="bottom"/>
          </w:tcPr>
          <w:p w:rsidR="0073290F" w:rsidRPr="007F19FF" w:rsidRDefault="00BA4F2E"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62,3</w:t>
            </w:r>
          </w:p>
        </w:tc>
      </w:tr>
      <w:tr w:rsidR="0073290F" w:rsidRPr="007F19FF">
        <w:tblPrEx>
          <w:tblCellMar>
            <w:top w:w="0" w:type="dxa"/>
            <w:bottom w:w="0" w:type="dxa"/>
          </w:tblCellMar>
        </w:tblPrEx>
        <w:trPr>
          <w:cantSplit/>
        </w:trPr>
        <w:tc>
          <w:tcPr>
            <w:tcW w:w="3490" w:type="dxa"/>
            <w:tcBorders>
              <w:bottom w:val="single" w:sz="12" w:space="0" w:color="auto"/>
            </w:tcBorders>
            <w:shd w:val="clear" w:color="auto" w:fill="auto"/>
            <w:vAlign w:val="bottom"/>
          </w:tcPr>
          <w:p w:rsidR="0073290F" w:rsidRPr="007F19FF" w:rsidRDefault="0073290F" w:rsidP="007F19FF">
            <w:pPr>
              <w:tabs>
                <w:tab w:val="left" w:pos="288"/>
                <w:tab w:val="left" w:pos="576"/>
                <w:tab w:val="left" w:pos="864"/>
                <w:tab w:val="left" w:pos="1152"/>
              </w:tabs>
              <w:suppressAutoHyphens/>
              <w:spacing w:before="40" w:after="40" w:line="210" w:lineRule="exact"/>
              <w:ind w:right="43"/>
              <w:rPr>
                <w:color w:val="000000"/>
                <w:sz w:val="17"/>
              </w:rPr>
            </w:pPr>
            <w:r w:rsidRPr="007F19FF">
              <w:rPr>
                <w:color w:val="000000"/>
                <w:sz w:val="17"/>
              </w:rPr>
              <w:t>Facteurs affectant l’état de santé, et relations avec les services de santé</w:t>
            </w:r>
          </w:p>
        </w:tc>
        <w:tc>
          <w:tcPr>
            <w:tcW w:w="1278" w:type="dxa"/>
            <w:tcBorders>
              <w:bottom w:val="single" w:sz="12" w:space="0" w:color="auto"/>
            </w:tcBorders>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1.023.485</w:t>
            </w:r>
          </w:p>
        </w:tc>
        <w:tc>
          <w:tcPr>
            <w:tcW w:w="1278" w:type="dxa"/>
            <w:tcBorders>
              <w:bottom w:val="single" w:sz="12" w:space="0" w:color="auto"/>
            </w:tcBorders>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22,5</w:t>
            </w:r>
          </w:p>
        </w:tc>
        <w:tc>
          <w:tcPr>
            <w:tcW w:w="1278" w:type="dxa"/>
            <w:tcBorders>
              <w:bottom w:val="single" w:sz="12" w:space="0" w:color="auto"/>
            </w:tcBorders>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637.032</w:t>
            </w:r>
          </w:p>
        </w:tc>
        <w:tc>
          <w:tcPr>
            <w:tcW w:w="1278" w:type="dxa"/>
            <w:tcBorders>
              <w:bottom w:val="single" w:sz="12" w:space="0" w:color="auto"/>
            </w:tcBorders>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23,3</w:t>
            </w:r>
          </w:p>
        </w:tc>
        <w:tc>
          <w:tcPr>
            <w:tcW w:w="1278" w:type="dxa"/>
            <w:tcBorders>
              <w:bottom w:val="single" w:sz="12" w:space="0" w:color="auto"/>
            </w:tcBorders>
            <w:shd w:val="clear" w:color="auto" w:fill="auto"/>
            <w:vAlign w:val="bottom"/>
          </w:tcPr>
          <w:p w:rsidR="0073290F" w:rsidRPr="007F19FF" w:rsidRDefault="007F19FF" w:rsidP="007F19FF">
            <w:pPr>
              <w:tabs>
                <w:tab w:val="left" w:pos="288"/>
                <w:tab w:val="left" w:pos="576"/>
                <w:tab w:val="left" w:pos="864"/>
                <w:tab w:val="left" w:pos="1152"/>
              </w:tabs>
              <w:suppressAutoHyphens/>
              <w:spacing w:before="40" w:after="40" w:line="210" w:lineRule="exact"/>
              <w:ind w:right="43"/>
              <w:jc w:val="right"/>
              <w:rPr>
                <w:color w:val="000000"/>
                <w:sz w:val="17"/>
              </w:rPr>
            </w:pPr>
            <w:r>
              <w:rPr>
                <w:color w:val="000000"/>
                <w:sz w:val="17"/>
              </w:rPr>
              <w:t xml:space="preserve"> </w:t>
            </w:r>
            <w:r w:rsidR="0073290F" w:rsidRPr="007F19FF">
              <w:rPr>
                <w:color w:val="000000"/>
                <w:sz w:val="17"/>
              </w:rPr>
              <w:t>62,2</w:t>
            </w:r>
          </w:p>
        </w:tc>
      </w:tr>
    </w:tbl>
    <w:p w:rsidR="00D70E8E" w:rsidRPr="00D70E8E" w:rsidRDefault="00D70E8E" w:rsidP="00D70E8E">
      <w:pPr>
        <w:pStyle w:val="Predoblikovano"/>
        <w:tabs>
          <w:tab w:val="clear" w:pos="9590"/>
        </w:tabs>
        <w:spacing w:line="120" w:lineRule="exact"/>
        <w:jc w:val="both"/>
        <w:rPr>
          <w:rFonts w:ascii="Times New Roman" w:hAnsi="Times New Roman" w:cs="Times New Roman"/>
          <w:color w:val="000000"/>
          <w:sz w:val="10"/>
          <w:lang w:val="fr-FR"/>
        </w:rPr>
      </w:pPr>
    </w:p>
    <w:p w:rsidR="0073290F" w:rsidRPr="008F3930" w:rsidRDefault="0073290F" w:rsidP="00D70E8E">
      <w:pPr>
        <w:pStyle w:val="FootnoteText"/>
        <w:tabs>
          <w:tab w:val="clear" w:pos="418"/>
          <w:tab w:val="right" w:pos="216"/>
          <w:tab w:val="left" w:pos="288"/>
          <w:tab w:val="right" w:pos="576"/>
          <w:tab w:val="left" w:pos="648"/>
        </w:tabs>
        <w:ind w:left="288" w:hanging="288"/>
        <w:rPr>
          <w:sz w:val="24"/>
          <w:szCs w:val="24"/>
          <w:lang w:val="fr-FR"/>
        </w:rPr>
      </w:pPr>
      <w:r w:rsidRPr="00D70E8E">
        <w:rPr>
          <w:i/>
          <w:lang w:val="fr-FR"/>
        </w:rPr>
        <w:t>Source</w:t>
      </w:r>
      <w:r w:rsidRPr="0063658B">
        <w:rPr>
          <w:lang w:val="fr-FR"/>
        </w:rPr>
        <w:t>: Annuaire statistique médical 2002, Institut de la Santé publique</w:t>
      </w:r>
      <w:r w:rsidRPr="008F3930">
        <w:rPr>
          <w:sz w:val="24"/>
          <w:szCs w:val="24"/>
          <w:lang w:val="fr-FR"/>
        </w:rPr>
        <w:t xml:space="preserve">. </w:t>
      </w:r>
    </w:p>
    <w:p w:rsidR="00507382" w:rsidRPr="00507382" w:rsidRDefault="00507382" w:rsidP="00507382">
      <w:pPr>
        <w:spacing w:line="120" w:lineRule="exact"/>
        <w:jc w:val="both"/>
        <w:rPr>
          <w:sz w:val="10"/>
        </w:rPr>
      </w:pPr>
    </w:p>
    <w:p w:rsidR="0073290F" w:rsidRDefault="0073290F" w:rsidP="00507382">
      <w:pPr>
        <w:pStyle w:val="SingleTxt"/>
        <w:jc w:val="left"/>
        <w:rPr>
          <w:b/>
          <w:lang w:val="sl-SI"/>
        </w:rPr>
      </w:pPr>
      <w:r w:rsidRPr="001303D2">
        <w:rPr>
          <w:lang w:val="sl-SI"/>
        </w:rPr>
        <w:t>Table</w:t>
      </w:r>
      <w:r>
        <w:rPr>
          <w:lang w:val="sl-SI"/>
        </w:rPr>
        <w:t>au</w:t>
      </w:r>
      <w:r w:rsidRPr="001303D2">
        <w:rPr>
          <w:lang w:val="sl-SI"/>
        </w:rPr>
        <w:t xml:space="preserve"> 44</w:t>
      </w:r>
      <w:r w:rsidR="00507382">
        <w:rPr>
          <w:lang w:val="sl-SI"/>
        </w:rPr>
        <w:br/>
      </w:r>
      <w:r w:rsidRPr="00507382">
        <w:rPr>
          <w:b/>
          <w:lang w:val="sl-SI"/>
        </w:rPr>
        <w:t xml:space="preserve">Nombre total de cas de sida répertoriés, par sexe et tranche d'âge, </w:t>
      </w:r>
      <w:r w:rsidR="00507382">
        <w:rPr>
          <w:b/>
          <w:lang w:val="sl-SI"/>
        </w:rPr>
        <w:br/>
      </w:r>
      <w:r w:rsidRPr="00507382">
        <w:rPr>
          <w:b/>
          <w:lang w:val="sl-SI"/>
        </w:rPr>
        <w:t>au 30 juin 2005</w:t>
      </w:r>
    </w:p>
    <w:p w:rsidR="00507382" w:rsidRPr="00507382" w:rsidRDefault="00507382" w:rsidP="00507382">
      <w:pPr>
        <w:pStyle w:val="SingleTxt"/>
        <w:spacing w:after="0" w:line="120" w:lineRule="exact"/>
        <w:jc w:val="left"/>
        <w:rPr>
          <w:b/>
          <w:sz w:val="10"/>
          <w:lang w:val="sl-SI"/>
        </w:rPr>
      </w:pPr>
    </w:p>
    <w:tbl>
      <w:tblPr>
        <w:tblW w:w="0" w:type="auto"/>
        <w:tblLayout w:type="fixed"/>
        <w:tblCellMar>
          <w:left w:w="85" w:type="dxa"/>
          <w:right w:w="85" w:type="dxa"/>
        </w:tblCellMar>
        <w:tblLook w:val="0000" w:firstRow="0" w:lastRow="0" w:firstColumn="0" w:lastColumn="0" w:noHBand="0" w:noVBand="0"/>
      </w:tblPr>
      <w:tblGrid>
        <w:gridCol w:w="2335"/>
        <w:gridCol w:w="1260"/>
        <w:gridCol w:w="1260"/>
        <w:gridCol w:w="1260"/>
        <w:gridCol w:w="1260"/>
        <w:gridCol w:w="1260"/>
        <w:gridCol w:w="1260"/>
      </w:tblGrid>
      <w:tr w:rsidR="009E67B3" w:rsidRPr="00507382">
        <w:tblPrEx>
          <w:tblCellMar>
            <w:top w:w="0" w:type="dxa"/>
            <w:bottom w:w="0" w:type="dxa"/>
          </w:tblCellMar>
        </w:tblPrEx>
        <w:trPr>
          <w:cantSplit/>
          <w:tblHeader/>
        </w:trPr>
        <w:tc>
          <w:tcPr>
            <w:tcW w:w="2335" w:type="dxa"/>
            <w:vMerge w:val="restart"/>
            <w:tcBorders>
              <w:top w:val="single" w:sz="4" w:space="0" w:color="auto"/>
            </w:tcBorders>
            <w:shd w:val="clear" w:color="auto" w:fill="auto"/>
            <w:vAlign w:val="bottom"/>
          </w:tcPr>
          <w:p w:rsidR="009E67B3" w:rsidRPr="00507382" w:rsidRDefault="009E67B3" w:rsidP="00507382">
            <w:pPr>
              <w:suppressAutoHyphens/>
              <w:spacing w:before="80" w:after="80" w:line="160" w:lineRule="exact"/>
              <w:ind w:right="43"/>
              <w:rPr>
                <w:bCs/>
                <w:i/>
                <w:sz w:val="14"/>
              </w:rPr>
            </w:pPr>
          </w:p>
        </w:tc>
        <w:tc>
          <w:tcPr>
            <w:tcW w:w="2520" w:type="dxa"/>
            <w:gridSpan w:val="2"/>
            <w:tcBorders>
              <w:top w:val="single" w:sz="4" w:space="0" w:color="auto"/>
              <w:bottom w:val="single" w:sz="4" w:space="0" w:color="auto"/>
            </w:tcBorders>
            <w:shd w:val="clear" w:color="auto" w:fill="auto"/>
            <w:vAlign w:val="bottom"/>
          </w:tcPr>
          <w:p w:rsidR="009E67B3" w:rsidRPr="00507382" w:rsidRDefault="009E67B3" w:rsidP="009E67B3">
            <w:pPr>
              <w:suppressAutoHyphens/>
              <w:spacing w:before="80" w:after="80" w:line="160" w:lineRule="exact"/>
              <w:ind w:right="43"/>
              <w:jc w:val="center"/>
              <w:rPr>
                <w:bCs/>
                <w:i/>
                <w:sz w:val="14"/>
              </w:rPr>
            </w:pPr>
            <w:r>
              <w:rPr>
                <w:bCs/>
                <w:i/>
                <w:sz w:val="14"/>
              </w:rPr>
              <w:t>Hommes</w:t>
            </w:r>
          </w:p>
        </w:tc>
        <w:tc>
          <w:tcPr>
            <w:tcW w:w="2520" w:type="dxa"/>
            <w:gridSpan w:val="2"/>
            <w:tcBorders>
              <w:top w:val="single" w:sz="4" w:space="0" w:color="auto"/>
              <w:bottom w:val="single" w:sz="4" w:space="0" w:color="auto"/>
            </w:tcBorders>
            <w:shd w:val="clear" w:color="auto" w:fill="auto"/>
            <w:vAlign w:val="bottom"/>
          </w:tcPr>
          <w:p w:rsidR="009E67B3" w:rsidRPr="00507382" w:rsidRDefault="009E67B3" w:rsidP="009E67B3">
            <w:pPr>
              <w:suppressAutoHyphens/>
              <w:spacing w:before="80" w:after="80" w:line="160" w:lineRule="exact"/>
              <w:ind w:right="43"/>
              <w:jc w:val="center"/>
              <w:rPr>
                <w:bCs/>
                <w:i/>
                <w:sz w:val="14"/>
              </w:rPr>
            </w:pPr>
            <w:r>
              <w:rPr>
                <w:bCs/>
                <w:i/>
                <w:sz w:val="14"/>
              </w:rPr>
              <w:t>Femmes</w:t>
            </w:r>
          </w:p>
        </w:tc>
        <w:tc>
          <w:tcPr>
            <w:tcW w:w="2520" w:type="dxa"/>
            <w:gridSpan w:val="2"/>
            <w:tcBorders>
              <w:top w:val="single" w:sz="4" w:space="0" w:color="auto"/>
              <w:bottom w:val="single" w:sz="4" w:space="0" w:color="auto"/>
            </w:tcBorders>
            <w:shd w:val="clear" w:color="auto" w:fill="auto"/>
            <w:vAlign w:val="bottom"/>
          </w:tcPr>
          <w:p w:rsidR="009E67B3" w:rsidRPr="00507382" w:rsidRDefault="009E67B3" w:rsidP="009E67B3">
            <w:pPr>
              <w:suppressAutoHyphens/>
              <w:spacing w:before="80" w:after="80" w:line="160" w:lineRule="exact"/>
              <w:ind w:right="43"/>
              <w:jc w:val="center"/>
              <w:rPr>
                <w:bCs/>
                <w:i/>
                <w:sz w:val="14"/>
              </w:rPr>
            </w:pPr>
            <w:r>
              <w:rPr>
                <w:bCs/>
                <w:i/>
                <w:sz w:val="14"/>
              </w:rPr>
              <w:t>Total</w:t>
            </w:r>
          </w:p>
        </w:tc>
      </w:tr>
      <w:tr w:rsidR="009E67B3" w:rsidRPr="00507382">
        <w:tblPrEx>
          <w:tblCellMar>
            <w:top w:w="0" w:type="dxa"/>
            <w:bottom w:w="0" w:type="dxa"/>
          </w:tblCellMar>
        </w:tblPrEx>
        <w:trPr>
          <w:cantSplit/>
          <w:tblHeader/>
        </w:trPr>
        <w:tc>
          <w:tcPr>
            <w:tcW w:w="2335" w:type="dxa"/>
            <w:vMerge/>
            <w:tcBorders>
              <w:bottom w:val="single" w:sz="12" w:space="0" w:color="auto"/>
            </w:tcBorders>
            <w:shd w:val="clear" w:color="auto" w:fill="auto"/>
            <w:vAlign w:val="bottom"/>
          </w:tcPr>
          <w:p w:rsidR="009E67B3" w:rsidRPr="00507382" w:rsidRDefault="009E67B3" w:rsidP="00507382">
            <w:pPr>
              <w:suppressAutoHyphens/>
              <w:spacing w:before="80" w:after="80" w:line="160" w:lineRule="exact"/>
              <w:ind w:right="43"/>
              <w:rPr>
                <w:bCs/>
                <w:i/>
                <w:sz w:val="14"/>
              </w:rPr>
            </w:pPr>
          </w:p>
        </w:tc>
        <w:tc>
          <w:tcPr>
            <w:tcW w:w="1260" w:type="dxa"/>
            <w:tcBorders>
              <w:top w:val="single" w:sz="4" w:space="0" w:color="auto"/>
              <w:bottom w:val="single" w:sz="12" w:space="0" w:color="auto"/>
            </w:tcBorders>
            <w:shd w:val="clear" w:color="auto" w:fill="auto"/>
            <w:vAlign w:val="bottom"/>
          </w:tcPr>
          <w:p w:rsidR="009E67B3" w:rsidRPr="00507382" w:rsidRDefault="009E67B3" w:rsidP="009E67B3">
            <w:pPr>
              <w:suppressAutoHyphens/>
              <w:spacing w:before="80" w:after="80" w:line="160" w:lineRule="exact"/>
              <w:ind w:right="43"/>
              <w:jc w:val="right"/>
              <w:rPr>
                <w:bCs/>
                <w:i/>
                <w:sz w:val="14"/>
              </w:rPr>
            </w:pPr>
            <w:r>
              <w:rPr>
                <w:bCs/>
                <w:i/>
                <w:sz w:val="14"/>
              </w:rPr>
              <w:t>Nombre total</w:t>
            </w:r>
          </w:p>
        </w:tc>
        <w:tc>
          <w:tcPr>
            <w:tcW w:w="1260" w:type="dxa"/>
            <w:tcBorders>
              <w:top w:val="single" w:sz="4" w:space="0" w:color="auto"/>
              <w:bottom w:val="single" w:sz="12" w:space="0" w:color="auto"/>
            </w:tcBorders>
            <w:shd w:val="clear" w:color="auto" w:fill="auto"/>
            <w:vAlign w:val="bottom"/>
          </w:tcPr>
          <w:p w:rsidR="009E67B3" w:rsidRPr="00507382" w:rsidRDefault="009E67B3" w:rsidP="009E67B3">
            <w:pPr>
              <w:suppressAutoHyphens/>
              <w:spacing w:before="80" w:after="80" w:line="160" w:lineRule="exact"/>
              <w:ind w:right="43"/>
              <w:jc w:val="right"/>
              <w:rPr>
                <w:bCs/>
                <w:i/>
                <w:sz w:val="14"/>
              </w:rPr>
            </w:pPr>
            <w:r>
              <w:rPr>
                <w:bCs/>
                <w:i/>
                <w:sz w:val="14"/>
              </w:rPr>
              <w:t>%</w:t>
            </w:r>
          </w:p>
        </w:tc>
        <w:tc>
          <w:tcPr>
            <w:tcW w:w="1260" w:type="dxa"/>
            <w:tcBorders>
              <w:top w:val="single" w:sz="4" w:space="0" w:color="auto"/>
              <w:bottom w:val="single" w:sz="12" w:space="0" w:color="auto"/>
            </w:tcBorders>
            <w:shd w:val="clear" w:color="auto" w:fill="auto"/>
            <w:vAlign w:val="bottom"/>
          </w:tcPr>
          <w:p w:rsidR="009E67B3" w:rsidRPr="00507382" w:rsidRDefault="009E67B3" w:rsidP="009E67B3">
            <w:pPr>
              <w:suppressAutoHyphens/>
              <w:spacing w:before="80" w:after="80" w:line="160" w:lineRule="exact"/>
              <w:ind w:right="43"/>
              <w:jc w:val="right"/>
              <w:rPr>
                <w:bCs/>
                <w:i/>
                <w:sz w:val="14"/>
              </w:rPr>
            </w:pPr>
            <w:r>
              <w:rPr>
                <w:bCs/>
                <w:i/>
                <w:sz w:val="14"/>
              </w:rPr>
              <w:t>Nombre total</w:t>
            </w:r>
          </w:p>
        </w:tc>
        <w:tc>
          <w:tcPr>
            <w:tcW w:w="1260" w:type="dxa"/>
            <w:tcBorders>
              <w:top w:val="single" w:sz="4" w:space="0" w:color="auto"/>
              <w:bottom w:val="single" w:sz="12" w:space="0" w:color="auto"/>
            </w:tcBorders>
            <w:shd w:val="clear" w:color="auto" w:fill="auto"/>
            <w:vAlign w:val="bottom"/>
          </w:tcPr>
          <w:p w:rsidR="009E67B3" w:rsidRPr="00507382" w:rsidRDefault="009E67B3" w:rsidP="009E67B3">
            <w:pPr>
              <w:suppressAutoHyphens/>
              <w:spacing w:before="80" w:after="80" w:line="160" w:lineRule="exact"/>
              <w:ind w:right="43"/>
              <w:jc w:val="right"/>
              <w:rPr>
                <w:bCs/>
                <w:i/>
                <w:sz w:val="14"/>
              </w:rPr>
            </w:pPr>
            <w:r>
              <w:rPr>
                <w:bCs/>
                <w:i/>
                <w:sz w:val="14"/>
              </w:rPr>
              <w:t>%</w:t>
            </w:r>
          </w:p>
        </w:tc>
        <w:tc>
          <w:tcPr>
            <w:tcW w:w="1260" w:type="dxa"/>
            <w:tcBorders>
              <w:top w:val="single" w:sz="4" w:space="0" w:color="auto"/>
              <w:bottom w:val="single" w:sz="12" w:space="0" w:color="auto"/>
            </w:tcBorders>
            <w:shd w:val="clear" w:color="auto" w:fill="auto"/>
            <w:vAlign w:val="bottom"/>
          </w:tcPr>
          <w:p w:rsidR="009E67B3" w:rsidRPr="00507382" w:rsidRDefault="009E67B3" w:rsidP="009E67B3">
            <w:pPr>
              <w:suppressAutoHyphens/>
              <w:spacing w:before="80" w:after="80" w:line="160" w:lineRule="exact"/>
              <w:ind w:right="43"/>
              <w:jc w:val="right"/>
              <w:rPr>
                <w:bCs/>
                <w:i/>
                <w:sz w:val="14"/>
              </w:rPr>
            </w:pPr>
            <w:r>
              <w:rPr>
                <w:bCs/>
                <w:i/>
                <w:sz w:val="14"/>
              </w:rPr>
              <w:t>Nombre total</w:t>
            </w:r>
          </w:p>
        </w:tc>
        <w:tc>
          <w:tcPr>
            <w:tcW w:w="1260" w:type="dxa"/>
            <w:tcBorders>
              <w:top w:val="single" w:sz="4" w:space="0" w:color="auto"/>
              <w:bottom w:val="single" w:sz="12" w:space="0" w:color="auto"/>
            </w:tcBorders>
            <w:shd w:val="clear" w:color="auto" w:fill="auto"/>
            <w:vAlign w:val="bottom"/>
          </w:tcPr>
          <w:p w:rsidR="009E67B3" w:rsidRPr="00507382" w:rsidRDefault="009E67B3" w:rsidP="009E67B3">
            <w:pPr>
              <w:suppressAutoHyphens/>
              <w:spacing w:before="80" w:after="80" w:line="160" w:lineRule="exact"/>
              <w:ind w:right="43"/>
              <w:jc w:val="right"/>
              <w:rPr>
                <w:bCs/>
                <w:i/>
                <w:sz w:val="14"/>
              </w:rPr>
            </w:pPr>
            <w:r>
              <w:rPr>
                <w:bCs/>
                <w:i/>
                <w:sz w:val="14"/>
              </w:rPr>
              <w:t>%</w:t>
            </w:r>
          </w:p>
        </w:tc>
      </w:tr>
      <w:tr w:rsidR="00507382" w:rsidRPr="00507382">
        <w:tblPrEx>
          <w:tblCellMar>
            <w:top w:w="0" w:type="dxa"/>
            <w:bottom w:w="0" w:type="dxa"/>
          </w:tblCellMar>
        </w:tblPrEx>
        <w:trPr>
          <w:cantSplit/>
          <w:trHeight w:hRule="exact" w:val="115"/>
          <w:tblHeader/>
        </w:trPr>
        <w:tc>
          <w:tcPr>
            <w:tcW w:w="2335" w:type="dxa"/>
            <w:tcBorders>
              <w:top w:val="single" w:sz="12" w:space="0" w:color="auto"/>
            </w:tcBorders>
            <w:shd w:val="clear" w:color="auto" w:fill="auto"/>
            <w:vAlign w:val="bottom"/>
          </w:tcPr>
          <w:p w:rsidR="00507382" w:rsidRPr="00507382" w:rsidRDefault="00507382" w:rsidP="00507382">
            <w:pPr>
              <w:suppressAutoHyphens/>
              <w:spacing w:before="40" w:after="40" w:line="210" w:lineRule="exact"/>
              <w:ind w:right="43"/>
              <w:rPr>
                <w:bCs/>
                <w:sz w:val="17"/>
              </w:rPr>
            </w:pPr>
          </w:p>
        </w:tc>
        <w:tc>
          <w:tcPr>
            <w:tcW w:w="1260" w:type="dxa"/>
            <w:tcBorders>
              <w:top w:val="single" w:sz="12" w:space="0" w:color="auto"/>
            </w:tcBorders>
            <w:shd w:val="clear" w:color="auto" w:fill="auto"/>
            <w:vAlign w:val="bottom"/>
          </w:tcPr>
          <w:p w:rsidR="00507382" w:rsidRPr="00507382" w:rsidRDefault="00507382" w:rsidP="009E67B3">
            <w:pPr>
              <w:suppressAutoHyphens/>
              <w:spacing w:before="40" w:after="40" w:line="210" w:lineRule="exact"/>
              <w:ind w:right="43"/>
              <w:jc w:val="right"/>
              <w:rPr>
                <w:bCs/>
                <w:sz w:val="17"/>
              </w:rPr>
            </w:pPr>
          </w:p>
        </w:tc>
        <w:tc>
          <w:tcPr>
            <w:tcW w:w="1260" w:type="dxa"/>
            <w:tcBorders>
              <w:top w:val="single" w:sz="12" w:space="0" w:color="auto"/>
            </w:tcBorders>
            <w:shd w:val="clear" w:color="auto" w:fill="auto"/>
            <w:vAlign w:val="bottom"/>
          </w:tcPr>
          <w:p w:rsidR="00507382" w:rsidRPr="00507382" w:rsidRDefault="00507382" w:rsidP="009E67B3">
            <w:pPr>
              <w:suppressAutoHyphens/>
              <w:spacing w:before="40" w:after="40" w:line="210" w:lineRule="exact"/>
              <w:ind w:right="43"/>
              <w:jc w:val="right"/>
              <w:rPr>
                <w:bCs/>
                <w:sz w:val="17"/>
              </w:rPr>
            </w:pPr>
          </w:p>
        </w:tc>
        <w:tc>
          <w:tcPr>
            <w:tcW w:w="1260" w:type="dxa"/>
            <w:tcBorders>
              <w:top w:val="single" w:sz="12" w:space="0" w:color="auto"/>
            </w:tcBorders>
            <w:shd w:val="clear" w:color="auto" w:fill="auto"/>
            <w:vAlign w:val="bottom"/>
          </w:tcPr>
          <w:p w:rsidR="00507382" w:rsidRPr="00507382" w:rsidRDefault="00507382" w:rsidP="009E67B3">
            <w:pPr>
              <w:suppressAutoHyphens/>
              <w:spacing w:before="40" w:after="40" w:line="210" w:lineRule="exact"/>
              <w:ind w:right="43"/>
              <w:jc w:val="right"/>
              <w:rPr>
                <w:bCs/>
                <w:sz w:val="17"/>
              </w:rPr>
            </w:pPr>
          </w:p>
        </w:tc>
        <w:tc>
          <w:tcPr>
            <w:tcW w:w="1260" w:type="dxa"/>
            <w:tcBorders>
              <w:top w:val="single" w:sz="12" w:space="0" w:color="auto"/>
            </w:tcBorders>
            <w:shd w:val="clear" w:color="auto" w:fill="auto"/>
            <w:vAlign w:val="bottom"/>
          </w:tcPr>
          <w:p w:rsidR="00507382" w:rsidRPr="00507382" w:rsidRDefault="00507382" w:rsidP="009E67B3">
            <w:pPr>
              <w:suppressAutoHyphens/>
              <w:spacing w:before="40" w:after="40" w:line="210" w:lineRule="exact"/>
              <w:ind w:right="43"/>
              <w:jc w:val="right"/>
              <w:rPr>
                <w:bCs/>
                <w:sz w:val="17"/>
              </w:rPr>
            </w:pPr>
          </w:p>
        </w:tc>
        <w:tc>
          <w:tcPr>
            <w:tcW w:w="1260" w:type="dxa"/>
            <w:tcBorders>
              <w:top w:val="single" w:sz="12" w:space="0" w:color="auto"/>
            </w:tcBorders>
            <w:shd w:val="clear" w:color="auto" w:fill="auto"/>
            <w:vAlign w:val="bottom"/>
          </w:tcPr>
          <w:p w:rsidR="00507382" w:rsidRPr="00507382" w:rsidRDefault="00507382" w:rsidP="009E67B3">
            <w:pPr>
              <w:suppressAutoHyphens/>
              <w:spacing w:before="40" w:after="40" w:line="210" w:lineRule="exact"/>
              <w:ind w:right="43"/>
              <w:jc w:val="right"/>
              <w:rPr>
                <w:bCs/>
                <w:sz w:val="17"/>
              </w:rPr>
            </w:pPr>
          </w:p>
        </w:tc>
        <w:tc>
          <w:tcPr>
            <w:tcW w:w="1260" w:type="dxa"/>
            <w:tcBorders>
              <w:top w:val="single" w:sz="12" w:space="0" w:color="auto"/>
            </w:tcBorders>
            <w:shd w:val="clear" w:color="auto" w:fill="auto"/>
            <w:vAlign w:val="bottom"/>
          </w:tcPr>
          <w:p w:rsidR="00507382" w:rsidRPr="00507382" w:rsidRDefault="00507382" w:rsidP="009E67B3">
            <w:pPr>
              <w:suppressAutoHyphens/>
              <w:spacing w:before="40" w:after="40" w:line="210" w:lineRule="exact"/>
              <w:ind w:right="43"/>
              <w:jc w:val="right"/>
              <w:rPr>
                <w:bCs/>
                <w:sz w:val="17"/>
              </w:rPr>
            </w:pPr>
          </w:p>
        </w:tc>
      </w:tr>
      <w:tr w:rsidR="0073290F" w:rsidRPr="00507382">
        <w:tblPrEx>
          <w:tblCellMar>
            <w:top w:w="0" w:type="dxa"/>
            <w:bottom w:w="0" w:type="dxa"/>
          </w:tblCellMar>
        </w:tblPrEx>
        <w:trPr>
          <w:cantSplit/>
        </w:trPr>
        <w:tc>
          <w:tcPr>
            <w:tcW w:w="2335" w:type="dxa"/>
            <w:shd w:val="clear" w:color="auto" w:fill="auto"/>
            <w:vAlign w:val="bottom"/>
          </w:tcPr>
          <w:p w:rsidR="0073290F" w:rsidRPr="009E67B3" w:rsidRDefault="0073290F" w:rsidP="00507382">
            <w:pPr>
              <w:tabs>
                <w:tab w:val="left" w:pos="288"/>
                <w:tab w:val="left" w:pos="576"/>
                <w:tab w:val="left" w:pos="864"/>
                <w:tab w:val="left" w:pos="1152"/>
              </w:tabs>
              <w:suppressAutoHyphens/>
              <w:spacing w:before="40" w:after="40" w:line="210" w:lineRule="exact"/>
              <w:ind w:right="43"/>
              <w:rPr>
                <w:b/>
                <w:bCs/>
                <w:sz w:val="17"/>
              </w:rPr>
            </w:pPr>
            <w:r w:rsidRPr="009E67B3">
              <w:rPr>
                <w:b/>
                <w:bCs/>
                <w:sz w:val="17"/>
              </w:rPr>
              <w:t>Total</w:t>
            </w:r>
          </w:p>
        </w:tc>
        <w:tc>
          <w:tcPr>
            <w:tcW w:w="1260" w:type="dxa"/>
            <w:shd w:val="clear" w:color="auto" w:fill="auto"/>
            <w:vAlign w:val="bottom"/>
          </w:tcPr>
          <w:p w:rsidR="0073290F" w:rsidRPr="009E67B3" w:rsidRDefault="0073290F" w:rsidP="009E67B3">
            <w:pPr>
              <w:tabs>
                <w:tab w:val="left" w:pos="288"/>
                <w:tab w:val="left" w:pos="576"/>
                <w:tab w:val="left" w:pos="864"/>
                <w:tab w:val="left" w:pos="1152"/>
              </w:tabs>
              <w:suppressAutoHyphens/>
              <w:spacing w:before="40" w:after="40" w:line="210" w:lineRule="exact"/>
              <w:ind w:right="43"/>
              <w:jc w:val="right"/>
              <w:rPr>
                <w:b/>
                <w:bCs/>
                <w:sz w:val="17"/>
              </w:rPr>
            </w:pPr>
            <w:r w:rsidRPr="009E67B3">
              <w:rPr>
                <w:b/>
                <w:bCs/>
                <w:sz w:val="17"/>
              </w:rPr>
              <w:t>104</w:t>
            </w:r>
          </w:p>
        </w:tc>
        <w:tc>
          <w:tcPr>
            <w:tcW w:w="1260" w:type="dxa"/>
            <w:shd w:val="clear" w:color="auto" w:fill="auto"/>
            <w:vAlign w:val="bottom"/>
          </w:tcPr>
          <w:p w:rsidR="0073290F" w:rsidRPr="009E67B3" w:rsidRDefault="0073290F" w:rsidP="009E67B3">
            <w:pPr>
              <w:tabs>
                <w:tab w:val="left" w:pos="288"/>
                <w:tab w:val="left" w:pos="576"/>
                <w:tab w:val="left" w:pos="864"/>
                <w:tab w:val="left" w:pos="1152"/>
              </w:tabs>
              <w:suppressAutoHyphens/>
              <w:spacing w:before="40" w:after="40" w:line="210" w:lineRule="exact"/>
              <w:ind w:right="43"/>
              <w:jc w:val="right"/>
              <w:rPr>
                <w:b/>
                <w:bCs/>
                <w:sz w:val="17"/>
              </w:rPr>
            </w:pPr>
            <w:r w:rsidRPr="009E67B3">
              <w:rPr>
                <w:b/>
                <w:bCs/>
                <w:sz w:val="17"/>
              </w:rPr>
              <w:t>100,0</w:t>
            </w:r>
          </w:p>
        </w:tc>
        <w:tc>
          <w:tcPr>
            <w:tcW w:w="1260" w:type="dxa"/>
            <w:shd w:val="clear" w:color="auto" w:fill="auto"/>
            <w:vAlign w:val="bottom"/>
          </w:tcPr>
          <w:p w:rsidR="0073290F" w:rsidRPr="009E67B3" w:rsidRDefault="0073290F" w:rsidP="009E67B3">
            <w:pPr>
              <w:tabs>
                <w:tab w:val="left" w:pos="288"/>
                <w:tab w:val="left" w:pos="576"/>
                <w:tab w:val="left" w:pos="864"/>
                <w:tab w:val="left" w:pos="1152"/>
              </w:tabs>
              <w:suppressAutoHyphens/>
              <w:spacing w:before="40" w:after="40" w:line="210" w:lineRule="exact"/>
              <w:ind w:right="43"/>
              <w:jc w:val="right"/>
              <w:rPr>
                <w:b/>
                <w:bCs/>
                <w:sz w:val="17"/>
              </w:rPr>
            </w:pPr>
            <w:r w:rsidRPr="009E67B3">
              <w:rPr>
                <w:b/>
                <w:bCs/>
                <w:sz w:val="17"/>
              </w:rPr>
              <w:t>15</w:t>
            </w:r>
          </w:p>
        </w:tc>
        <w:tc>
          <w:tcPr>
            <w:tcW w:w="1260" w:type="dxa"/>
            <w:shd w:val="clear" w:color="auto" w:fill="auto"/>
            <w:vAlign w:val="bottom"/>
          </w:tcPr>
          <w:p w:rsidR="0073290F" w:rsidRPr="009E67B3" w:rsidRDefault="0073290F" w:rsidP="009E67B3">
            <w:pPr>
              <w:tabs>
                <w:tab w:val="left" w:pos="288"/>
                <w:tab w:val="left" w:pos="576"/>
                <w:tab w:val="left" w:pos="864"/>
                <w:tab w:val="left" w:pos="1152"/>
              </w:tabs>
              <w:suppressAutoHyphens/>
              <w:spacing w:before="40" w:after="40" w:line="210" w:lineRule="exact"/>
              <w:ind w:right="43"/>
              <w:jc w:val="right"/>
              <w:rPr>
                <w:b/>
                <w:bCs/>
                <w:sz w:val="17"/>
              </w:rPr>
            </w:pPr>
            <w:r w:rsidRPr="009E67B3">
              <w:rPr>
                <w:b/>
                <w:bCs/>
                <w:sz w:val="17"/>
              </w:rPr>
              <w:t>100,0</w:t>
            </w:r>
          </w:p>
        </w:tc>
        <w:tc>
          <w:tcPr>
            <w:tcW w:w="1260" w:type="dxa"/>
            <w:shd w:val="clear" w:color="auto" w:fill="auto"/>
            <w:vAlign w:val="bottom"/>
          </w:tcPr>
          <w:p w:rsidR="0073290F" w:rsidRPr="009E67B3" w:rsidRDefault="0073290F" w:rsidP="009E67B3">
            <w:pPr>
              <w:tabs>
                <w:tab w:val="left" w:pos="288"/>
                <w:tab w:val="left" w:pos="576"/>
                <w:tab w:val="left" w:pos="864"/>
                <w:tab w:val="left" w:pos="1152"/>
              </w:tabs>
              <w:suppressAutoHyphens/>
              <w:spacing w:before="40" w:after="40" w:line="210" w:lineRule="exact"/>
              <w:ind w:right="43"/>
              <w:jc w:val="right"/>
              <w:rPr>
                <w:b/>
                <w:bCs/>
                <w:sz w:val="17"/>
              </w:rPr>
            </w:pPr>
            <w:r w:rsidRPr="009E67B3">
              <w:rPr>
                <w:b/>
                <w:bCs/>
                <w:sz w:val="17"/>
              </w:rPr>
              <w:t>119</w:t>
            </w:r>
          </w:p>
        </w:tc>
        <w:tc>
          <w:tcPr>
            <w:tcW w:w="1260" w:type="dxa"/>
            <w:shd w:val="clear" w:color="auto" w:fill="auto"/>
            <w:vAlign w:val="bottom"/>
          </w:tcPr>
          <w:p w:rsidR="0073290F" w:rsidRPr="009E67B3" w:rsidRDefault="0073290F" w:rsidP="009E67B3">
            <w:pPr>
              <w:tabs>
                <w:tab w:val="left" w:pos="288"/>
                <w:tab w:val="left" w:pos="576"/>
                <w:tab w:val="left" w:pos="864"/>
                <w:tab w:val="left" w:pos="1152"/>
              </w:tabs>
              <w:suppressAutoHyphens/>
              <w:spacing w:before="40" w:after="40" w:line="210" w:lineRule="exact"/>
              <w:ind w:right="43"/>
              <w:jc w:val="right"/>
              <w:rPr>
                <w:b/>
                <w:bCs/>
                <w:sz w:val="17"/>
              </w:rPr>
            </w:pPr>
            <w:r w:rsidRPr="009E67B3">
              <w:rPr>
                <w:b/>
                <w:bCs/>
                <w:sz w:val="17"/>
              </w:rPr>
              <w:t>100,0</w:t>
            </w:r>
          </w:p>
        </w:tc>
      </w:tr>
      <w:tr w:rsidR="0073290F" w:rsidRPr="00507382">
        <w:tblPrEx>
          <w:tblCellMar>
            <w:top w:w="0" w:type="dxa"/>
            <w:bottom w:w="0" w:type="dxa"/>
          </w:tblCellMar>
        </w:tblPrEx>
        <w:trPr>
          <w:cantSplit/>
        </w:trPr>
        <w:tc>
          <w:tcPr>
            <w:tcW w:w="2335" w:type="dxa"/>
            <w:shd w:val="clear" w:color="auto" w:fill="auto"/>
            <w:vAlign w:val="bottom"/>
          </w:tcPr>
          <w:p w:rsidR="0073290F" w:rsidRPr="00507382" w:rsidRDefault="0073290F" w:rsidP="00507382">
            <w:pPr>
              <w:tabs>
                <w:tab w:val="left" w:pos="288"/>
                <w:tab w:val="left" w:pos="576"/>
                <w:tab w:val="left" w:pos="864"/>
                <w:tab w:val="left" w:pos="1152"/>
              </w:tabs>
              <w:suppressAutoHyphens/>
              <w:spacing w:before="40" w:after="40" w:line="210" w:lineRule="exact"/>
              <w:ind w:right="43"/>
              <w:rPr>
                <w:sz w:val="17"/>
              </w:rPr>
            </w:pPr>
            <w:r w:rsidRPr="00507382">
              <w:rPr>
                <w:sz w:val="17"/>
              </w:rPr>
              <w:t>Bébés de moins d’un an</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1</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1,0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1</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0,8</w:t>
            </w:r>
          </w:p>
        </w:tc>
      </w:tr>
      <w:tr w:rsidR="0073290F" w:rsidRPr="00507382">
        <w:tblPrEx>
          <w:tblCellMar>
            <w:top w:w="0" w:type="dxa"/>
            <w:bottom w:w="0" w:type="dxa"/>
          </w:tblCellMar>
        </w:tblPrEx>
        <w:trPr>
          <w:cantSplit/>
        </w:trPr>
        <w:tc>
          <w:tcPr>
            <w:tcW w:w="2335" w:type="dxa"/>
            <w:shd w:val="clear" w:color="auto" w:fill="auto"/>
            <w:vAlign w:val="bottom"/>
          </w:tcPr>
          <w:p w:rsidR="0073290F" w:rsidRPr="00507382" w:rsidRDefault="0073290F" w:rsidP="00507382">
            <w:pPr>
              <w:tabs>
                <w:tab w:val="left" w:pos="288"/>
                <w:tab w:val="left" w:pos="576"/>
                <w:tab w:val="left" w:pos="864"/>
                <w:tab w:val="left" w:pos="1152"/>
              </w:tabs>
              <w:suppressAutoHyphens/>
              <w:spacing w:before="40" w:after="40" w:line="210" w:lineRule="exact"/>
              <w:ind w:right="43"/>
              <w:rPr>
                <w:sz w:val="17"/>
              </w:rPr>
            </w:pPr>
            <w:r w:rsidRPr="00507382">
              <w:rPr>
                <w:sz w:val="17"/>
              </w:rPr>
              <w:t>1 -</w:t>
            </w:r>
            <w:r w:rsidR="00BA4F2E">
              <w:rPr>
                <w:sz w:val="17"/>
              </w:rPr>
              <w:t xml:space="preserve"> </w:t>
            </w:r>
            <w:r w:rsidRPr="00507382">
              <w:rPr>
                <w:sz w:val="17"/>
              </w:rPr>
              <w:t>4 ans</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0,0</w:t>
            </w:r>
          </w:p>
        </w:tc>
      </w:tr>
      <w:tr w:rsidR="0073290F" w:rsidRPr="00507382">
        <w:tblPrEx>
          <w:tblCellMar>
            <w:top w:w="0" w:type="dxa"/>
            <w:bottom w:w="0" w:type="dxa"/>
          </w:tblCellMar>
        </w:tblPrEx>
        <w:trPr>
          <w:cantSplit/>
        </w:trPr>
        <w:tc>
          <w:tcPr>
            <w:tcW w:w="2335" w:type="dxa"/>
            <w:shd w:val="clear" w:color="auto" w:fill="auto"/>
            <w:vAlign w:val="bottom"/>
          </w:tcPr>
          <w:p w:rsidR="0073290F" w:rsidRPr="00507382" w:rsidRDefault="0073290F" w:rsidP="00507382">
            <w:pPr>
              <w:tabs>
                <w:tab w:val="left" w:pos="288"/>
                <w:tab w:val="left" w:pos="576"/>
                <w:tab w:val="left" w:pos="864"/>
                <w:tab w:val="left" w:pos="1152"/>
              </w:tabs>
              <w:suppressAutoHyphens/>
              <w:spacing w:before="40" w:after="40" w:line="210" w:lineRule="exact"/>
              <w:ind w:right="43"/>
              <w:rPr>
                <w:sz w:val="17"/>
              </w:rPr>
            </w:pPr>
            <w:r w:rsidRPr="00507382">
              <w:rPr>
                <w:sz w:val="17"/>
              </w:rPr>
              <w:t>5 -</w:t>
            </w:r>
            <w:r w:rsidR="00BA4F2E">
              <w:rPr>
                <w:sz w:val="17"/>
              </w:rPr>
              <w:t xml:space="preserve"> </w:t>
            </w:r>
            <w:r w:rsidRPr="00507382">
              <w:rPr>
                <w:sz w:val="17"/>
              </w:rPr>
              <w:t>9</w:t>
            </w:r>
            <w:r w:rsidR="00BA4F2E">
              <w:rPr>
                <w:sz w:val="17"/>
              </w:rPr>
              <w:t xml:space="preserve"> </w:t>
            </w:r>
            <w:r w:rsidRPr="00507382">
              <w:rPr>
                <w:sz w:val="17"/>
              </w:rPr>
              <w:t>ans</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1</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6,7</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1</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0,8</w:t>
            </w:r>
          </w:p>
        </w:tc>
      </w:tr>
      <w:tr w:rsidR="0073290F" w:rsidRPr="00507382">
        <w:tblPrEx>
          <w:tblCellMar>
            <w:top w:w="0" w:type="dxa"/>
            <w:bottom w:w="0" w:type="dxa"/>
          </w:tblCellMar>
        </w:tblPrEx>
        <w:trPr>
          <w:cantSplit/>
        </w:trPr>
        <w:tc>
          <w:tcPr>
            <w:tcW w:w="2335" w:type="dxa"/>
            <w:shd w:val="clear" w:color="auto" w:fill="auto"/>
            <w:vAlign w:val="bottom"/>
          </w:tcPr>
          <w:p w:rsidR="0073290F" w:rsidRPr="00507382" w:rsidRDefault="0073290F" w:rsidP="00507382">
            <w:pPr>
              <w:tabs>
                <w:tab w:val="left" w:pos="288"/>
                <w:tab w:val="left" w:pos="576"/>
                <w:tab w:val="left" w:pos="864"/>
                <w:tab w:val="left" w:pos="1152"/>
              </w:tabs>
              <w:suppressAutoHyphens/>
              <w:spacing w:before="40" w:after="40" w:line="210" w:lineRule="exact"/>
              <w:ind w:right="43"/>
              <w:rPr>
                <w:sz w:val="17"/>
              </w:rPr>
            </w:pPr>
            <w:r w:rsidRPr="00507382">
              <w:rPr>
                <w:sz w:val="17"/>
              </w:rPr>
              <w:t>10 – 12 ans</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0,0</w:t>
            </w:r>
          </w:p>
        </w:tc>
      </w:tr>
      <w:tr w:rsidR="0073290F" w:rsidRPr="00507382">
        <w:tblPrEx>
          <w:tblCellMar>
            <w:top w:w="0" w:type="dxa"/>
            <w:bottom w:w="0" w:type="dxa"/>
          </w:tblCellMar>
        </w:tblPrEx>
        <w:trPr>
          <w:cantSplit/>
        </w:trPr>
        <w:tc>
          <w:tcPr>
            <w:tcW w:w="2335" w:type="dxa"/>
            <w:shd w:val="clear" w:color="auto" w:fill="auto"/>
            <w:vAlign w:val="bottom"/>
          </w:tcPr>
          <w:p w:rsidR="0073290F" w:rsidRPr="00507382" w:rsidRDefault="0073290F" w:rsidP="00507382">
            <w:pPr>
              <w:tabs>
                <w:tab w:val="left" w:pos="288"/>
                <w:tab w:val="left" w:pos="576"/>
                <w:tab w:val="left" w:pos="864"/>
                <w:tab w:val="left" w:pos="1152"/>
              </w:tabs>
              <w:suppressAutoHyphens/>
              <w:spacing w:before="40" w:after="40" w:line="210" w:lineRule="exact"/>
              <w:ind w:right="43"/>
              <w:rPr>
                <w:sz w:val="17"/>
              </w:rPr>
            </w:pPr>
            <w:r w:rsidRPr="00507382">
              <w:rPr>
                <w:sz w:val="17"/>
              </w:rPr>
              <w:t>13 – 14 ans</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0,0</w:t>
            </w:r>
          </w:p>
        </w:tc>
      </w:tr>
      <w:tr w:rsidR="0073290F" w:rsidRPr="00507382">
        <w:tblPrEx>
          <w:tblCellMar>
            <w:top w:w="0" w:type="dxa"/>
            <w:bottom w:w="0" w:type="dxa"/>
          </w:tblCellMar>
        </w:tblPrEx>
        <w:trPr>
          <w:cantSplit/>
        </w:trPr>
        <w:tc>
          <w:tcPr>
            <w:tcW w:w="2335" w:type="dxa"/>
            <w:shd w:val="clear" w:color="auto" w:fill="auto"/>
            <w:vAlign w:val="bottom"/>
          </w:tcPr>
          <w:p w:rsidR="0073290F" w:rsidRPr="00507382" w:rsidRDefault="0073290F" w:rsidP="00507382">
            <w:pPr>
              <w:tabs>
                <w:tab w:val="left" w:pos="288"/>
                <w:tab w:val="left" w:pos="576"/>
                <w:tab w:val="left" w:pos="864"/>
                <w:tab w:val="left" w:pos="1152"/>
              </w:tabs>
              <w:suppressAutoHyphens/>
              <w:spacing w:before="40" w:after="40" w:line="210" w:lineRule="exact"/>
              <w:ind w:right="43"/>
              <w:rPr>
                <w:sz w:val="17"/>
              </w:rPr>
            </w:pPr>
            <w:r w:rsidRPr="00507382">
              <w:rPr>
                <w:sz w:val="17"/>
              </w:rPr>
              <w:t>15 – 19 ans</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0,0</w:t>
            </w:r>
          </w:p>
        </w:tc>
      </w:tr>
      <w:tr w:rsidR="0073290F" w:rsidRPr="00507382">
        <w:tblPrEx>
          <w:tblCellMar>
            <w:top w:w="0" w:type="dxa"/>
            <w:bottom w:w="0" w:type="dxa"/>
          </w:tblCellMar>
        </w:tblPrEx>
        <w:trPr>
          <w:cantSplit/>
        </w:trPr>
        <w:tc>
          <w:tcPr>
            <w:tcW w:w="2335" w:type="dxa"/>
            <w:shd w:val="clear" w:color="auto" w:fill="auto"/>
            <w:vAlign w:val="bottom"/>
          </w:tcPr>
          <w:p w:rsidR="0073290F" w:rsidRPr="00507382" w:rsidRDefault="0073290F" w:rsidP="00507382">
            <w:pPr>
              <w:tabs>
                <w:tab w:val="left" w:pos="288"/>
                <w:tab w:val="left" w:pos="576"/>
                <w:tab w:val="left" w:pos="864"/>
                <w:tab w:val="left" w:pos="1152"/>
              </w:tabs>
              <w:suppressAutoHyphens/>
              <w:spacing w:before="40" w:after="40" w:line="210" w:lineRule="exact"/>
              <w:ind w:right="43"/>
              <w:rPr>
                <w:sz w:val="17"/>
              </w:rPr>
            </w:pPr>
            <w:r w:rsidRPr="00507382">
              <w:rPr>
                <w:sz w:val="17"/>
              </w:rPr>
              <w:t>20 – 24 ans</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3</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2,9</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color w:val="000000"/>
                <w:sz w:val="17"/>
              </w:rPr>
            </w:pPr>
            <w:r w:rsidRPr="00507382">
              <w:rPr>
                <w:color w:val="000000"/>
                <w:sz w:val="17"/>
              </w:rPr>
              <w:t>3</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color w:val="000000"/>
                <w:sz w:val="17"/>
              </w:rPr>
            </w:pPr>
            <w:r w:rsidRPr="00507382">
              <w:rPr>
                <w:color w:val="000000"/>
                <w:sz w:val="17"/>
              </w:rPr>
              <w:t>2,5</w:t>
            </w:r>
          </w:p>
        </w:tc>
      </w:tr>
      <w:tr w:rsidR="0073290F" w:rsidRPr="00507382">
        <w:tblPrEx>
          <w:tblCellMar>
            <w:top w:w="0" w:type="dxa"/>
            <w:bottom w:w="0" w:type="dxa"/>
          </w:tblCellMar>
        </w:tblPrEx>
        <w:trPr>
          <w:cantSplit/>
        </w:trPr>
        <w:tc>
          <w:tcPr>
            <w:tcW w:w="2335" w:type="dxa"/>
            <w:shd w:val="clear" w:color="auto" w:fill="auto"/>
            <w:vAlign w:val="bottom"/>
          </w:tcPr>
          <w:p w:rsidR="0073290F" w:rsidRPr="00507382" w:rsidRDefault="0073290F" w:rsidP="00507382">
            <w:pPr>
              <w:tabs>
                <w:tab w:val="left" w:pos="288"/>
                <w:tab w:val="left" w:pos="576"/>
                <w:tab w:val="left" w:pos="864"/>
                <w:tab w:val="left" w:pos="1152"/>
              </w:tabs>
              <w:suppressAutoHyphens/>
              <w:spacing w:before="40" w:after="40" w:line="210" w:lineRule="exact"/>
              <w:ind w:right="43"/>
              <w:rPr>
                <w:sz w:val="17"/>
              </w:rPr>
            </w:pPr>
            <w:r w:rsidRPr="00507382">
              <w:rPr>
                <w:sz w:val="17"/>
              </w:rPr>
              <w:t>25 – 29 ans</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15</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14,4</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3</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20,0</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18</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15,1</w:t>
            </w:r>
          </w:p>
        </w:tc>
      </w:tr>
      <w:tr w:rsidR="0073290F" w:rsidRPr="00507382">
        <w:tblPrEx>
          <w:tblCellMar>
            <w:top w:w="0" w:type="dxa"/>
            <w:bottom w:w="0" w:type="dxa"/>
          </w:tblCellMar>
        </w:tblPrEx>
        <w:trPr>
          <w:cantSplit/>
        </w:trPr>
        <w:tc>
          <w:tcPr>
            <w:tcW w:w="2335" w:type="dxa"/>
            <w:shd w:val="clear" w:color="auto" w:fill="auto"/>
            <w:vAlign w:val="bottom"/>
          </w:tcPr>
          <w:p w:rsidR="0073290F" w:rsidRPr="00507382" w:rsidRDefault="0073290F" w:rsidP="00507382">
            <w:pPr>
              <w:tabs>
                <w:tab w:val="left" w:pos="288"/>
                <w:tab w:val="left" w:pos="576"/>
                <w:tab w:val="left" w:pos="864"/>
                <w:tab w:val="left" w:pos="1152"/>
              </w:tabs>
              <w:suppressAutoHyphens/>
              <w:spacing w:before="40" w:after="40" w:line="210" w:lineRule="exact"/>
              <w:ind w:right="43"/>
              <w:rPr>
                <w:sz w:val="17"/>
              </w:rPr>
            </w:pPr>
            <w:r w:rsidRPr="00507382">
              <w:rPr>
                <w:sz w:val="17"/>
              </w:rPr>
              <w:t>30 – 34 ans</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17</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color w:val="000000"/>
                <w:sz w:val="17"/>
              </w:rPr>
            </w:pPr>
            <w:r w:rsidRPr="00507382">
              <w:rPr>
                <w:color w:val="000000"/>
                <w:sz w:val="17"/>
              </w:rPr>
              <w:t>16,3</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7</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46,7</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24</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20,2</w:t>
            </w:r>
          </w:p>
        </w:tc>
      </w:tr>
      <w:tr w:rsidR="0073290F" w:rsidRPr="00507382">
        <w:tblPrEx>
          <w:tblCellMar>
            <w:top w:w="0" w:type="dxa"/>
            <w:bottom w:w="0" w:type="dxa"/>
          </w:tblCellMar>
        </w:tblPrEx>
        <w:trPr>
          <w:cantSplit/>
        </w:trPr>
        <w:tc>
          <w:tcPr>
            <w:tcW w:w="2335" w:type="dxa"/>
            <w:shd w:val="clear" w:color="auto" w:fill="auto"/>
            <w:vAlign w:val="bottom"/>
          </w:tcPr>
          <w:p w:rsidR="0073290F" w:rsidRPr="00507382" w:rsidRDefault="0073290F" w:rsidP="00507382">
            <w:pPr>
              <w:tabs>
                <w:tab w:val="left" w:pos="288"/>
                <w:tab w:val="left" w:pos="576"/>
                <w:tab w:val="left" w:pos="864"/>
                <w:tab w:val="left" w:pos="1152"/>
              </w:tabs>
              <w:suppressAutoHyphens/>
              <w:spacing w:before="40" w:after="40" w:line="210" w:lineRule="exact"/>
              <w:ind w:right="43"/>
              <w:rPr>
                <w:sz w:val="17"/>
              </w:rPr>
            </w:pPr>
            <w:r w:rsidRPr="00507382">
              <w:rPr>
                <w:sz w:val="17"/>
              </w:rPr>
              <w:t>35 – 39 ans</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23</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22,1</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1</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6,7</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24</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20,2</w:t>
            </w:r>
          </w:p>
        </w:tc>
      </w:tr>
      <w:tr w:rsidR="0073290F" w:rsidRPr="00507382">
        <w:tblPrEx>
          <w:tblCellMar>
            <w:top w:w="0" w:type="dxa"/>
            <w:bottom w:w="0" w:type="dxa"/>
          </w:tblCellMar>
        </w:tblPrEx>
        <w:trPr>
          <w:cantSplit/>
        </w:trPr>
        <w:tc>
          <w:tcPr>
            <w:tcW w:w="2335" w:type="dxa"/>
            <w:shd w:val="clear" w:color="auto" w:fill="auto"/>
            <w:vAlign w:val="bottom"/>
          </w:tcPr>
          <w:p w:rsidR="0073290F" w:rsidRPr="00507382" w:rsidRDefault="0073290F" w:rsidP="00507382">
            <w:pPr>
              <w:tabs>
                <w:tab w:val="left" w:pos="288"/>
                <w:tab w:val="left" w:pos="576"/>
                <w:tab w:val="left" w:pos="864"/>
                <w:tab w:val="left" w:pos="1152"/>
              </w:tabs>
              <w:suppressAutoHyphens/>
              <w:spacing w:before="40" w:after="40" w:line="210" w:lineRule="exact"/>
              <w:ind w:right="43"/>
              <w:rPr>
                <w:sz w:val="17"/>
              </w:rPr>
            </w:pPr>
            <w:r w:rsidRPr="00507382">
              <w:rPr>
                <w:sz w:val="17"/>
              </w:rPr>
              <w:t>40 – 49 ans</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31</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39,8</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2</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13,3</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33</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color w:val="000000"/>
                <w:sz w:val="17"/>
              </w:rPr>
            </w:pPr>
            <w:r w:rsidRPr="00507382">
              <w:rPr>
                <w:color w:val="000000"/>
                <w:sz w:val="17"/>
              </w:rPr>
              <w:t>27,7</w:t>
            </w:r>
          </w:p>
        </w:tc>
      </w:tr>
      <w:tr w:rsidR="0073290F" w:rsidRPr="00507382">
        <w:tblPrEx>
          <w:tblCellMar>
            <w:top w:w="0" w:type="dxa"/>
            <w:bottom w:w="0" w:type="dxa"/>
          </w:tblCellMar>
        </w:tblPrEx>
        <w:trPr>
          <w:cantSplit/>
        </w:trPr>
        <w:tc>
          <w:tcPr>
            <w:tcW w:w="2335" w:type="dxa"/>
            <w:shd w:val="clear" w:color="auto" w:fill="auto"/>
            <w:vAlign w:val="bottom"/>
          </w:tcPr>
          <w:p w:rsidR="0073290F" w:rsidRPr="00507382" w:rsidRDefault="0073290F" w:rsidP="00507382">
            <w:pPr>
              <w:tabs>
                <w:tab w:val="left" w:pos="288"/>
                <w:tab w:val="left" w:pos="576"/>
                <w:tab w:val="left" w:pos="864"/>
                <w:tab w:val="left" w:pos="1152"/>
              </w:tabs>
              <w:suppressAutoHyphens/>
              <w:spacing w:before="40" w:after="40" w:line="210" w:lineRule="exact"/>
              <w:ind w:right="43"/>
              <w:rPr>
                <w:sz w:val="17"/>
              </w:rPr>
            </w:pPr>
            <w:r w:rsidRPr="00507382">
              <w:rPr>
                <w:sz w:val="17"/>
              </w:rPr>
              <w:t>50 – 59 ans</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8</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7,7</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1</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6,7</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9</w:t>
            </w:r>
          </w:p>
        </w:tc>
        <w:tc>
          <w:tcPr>
            <w:tcW w:w="1260" w:type="dxa"/>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7,6</w:t>
            </w:r>
          </w:p>
        </w:tc>
      </w:tr>
      <w:tr w:rsidR="0073290F" w:rsidRPr="00507382">
        <w:tblPrEx>
          <w:tblCellMar>
            <w:top w:w="0" w:type="dxa"/>
            <w:bottom w:w="0" w:type="dxa"/>
          </w:tblCellMar>
        </w:tblPrEx>
        <w:trPr>
          <w:cantSplit/>
        </w:trPr>
        <w:tc>
          <w:tcPr>
            <w:tcW w:w="2335" w:type="dxa"/>
            <w:tcBorders>
              <w:bottom w:val="single" w:sz="12" w:space="0" w:color="auto"/>
            </w:tcBorders>
            <w:shd w:val="clear" w:color="auto" w:fill="auto"/>
            <w:vAlign w:val="bottom"/>
          </w:tcPr>
          <w:p w:rsidR="0073290F" w:rsidRPr="00507382" w:rsidRDefault="0073290F" w:rsidP="00507382">
            <w:pPr>
              <w:tabs>
                <w:tab w:val="left" w:pos="288"/>
                <w:tab w:val="left" w:pos="576"/>
                <w:tab w:val="left" w:pos="864"/>
                <w:tab w:val="left" w:pos="1152"/>
              </w:tabs>
              <w:suppressAutoHyphens/>
              <w:spacing w:before="40" w:after="40" w:line="210" w:lineRule="exact"/>
              <w:ind w:right="43"/>
              <w:rPr>
                <w:sz w:val="17"/>
              </w:rPr>
            </w:pPr>
            <w:r w:rsidRPr="00507382">
              <w:rPr>
                <w:sz w:val="17"/>
              </w:rPr>
              <w:t>60 ans et +</w:t>
            </w:r>
          </w:p>
        </w:tc>
        <w:tc>
          <w:tcPr>
            <w:tcW w:w="1260" w:type="dxa"/>
            <w:tcBorders>
              <w:bottom w:val="single" w:sz="12" w:space="0" w:color="auto"/>
            </w:tcBorders>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6</w:t>
            </w:r>
          </w:p>
        </w:tc>
        <w:tc>
          <w:tcPr>
            <w:tcW w:w="1260" w:type="dxa"/>
            <w:tcBorders>
              <w:bottom w:val="single" w:sz="12" w:space="0" w:color="auto"/>
            </w:tcBorders>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5,8</w:t>
            </w:r>
          </w:p>
        </w:tc>
        <w:tc>
          <w:tcPr>
            <w:tcW w:w="1260" w:type="dxa"/>
            <w:tcBorders>
              <w:bottom w:val="single" w:sz="12" w:space="0" w:color="auto"/>
            </w:tcBorders>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w:t>
            </w:r>
          </w:p>
        </w:tc>
        <w:tc>
          <w:tcPr>
            <w:tcW w:w="1260" w:type="dxa"/>
            <w:tcBorders>
              <w:bottom w:val="single" w:sz="12" w:space="0" w:color="auto"/>
            </w:tcBorders>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0,0</w:t>
            </w:r>
          </w:p>
        </w:tc>
        <w:tc>
          <w:tcPr>
            <w:tcW w:w="1260" w:type="dxa"/>
            <w:tcBorders>
              <w:bottom w:val="single" w:sz="12" w:space="0" w:color="auto"/>
            </w:tcBorders>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6</w:t>
            </w:r>
          </w:p>
        </w:tc>
        <w:tc>
          <w:tcPr>
            <w:tcW w:w="1260" w:type="dxa"/>
            <w:tcBorders>
              <w:bottom w:val="single" w:sz="12" w:space="0" w:color="auto"/>
            </w:tcBorders>
            <w:shd w:val="clear" w:color="auto" w:fill="auto"/>
            <w:vAlign w:val="bottom"/>
          </w:tcPr>
          <w:p w:rsidR="0073290F" w:rsidRPr="00507382" w:rsidRDefault="0073290F" w:rsidP="009E67B3">
            <w:pPr>
              <w:tabs>
                <w:tab w:val="left" w:pos="288"/>
                <w:tab w:val="left" w:pos="576"/>
                <w:tab w:val="left" w:pos="864"/>
                <w:tab w:val="left" w:pos="1152"/>
              </w:tabs>
              <w:suppressAutoHyphens/>
              <w:spacing w:before="40" w:after="40" w:line="210" w:lineRule="exact"/>
              <w:ind w:right="43"/>
              <w:jc w:val="right"/>
              <w:rPr>
                <w:sz w:val="17"/>
              </w:rPr>
            </w:pPr>
            <w:r w:rsidRPr="00507382">
              <w:rPr>
                <w:sz w:val="17"/>
              </w:rPr>
              <w:t>5,1</w:t>
            </w:r>
          </w:p>
        </w:tc>
      </w:tr>
    </w:tbl>
    <w:p w:rsidR="009E67B3" w:rsidRPr="009E67B3" w:rsidRDefault="009E67B3" w:rsidP="009E67B3">
      <w:pPr>
        <w:pStyle w:val="FootnoteText"/>
        <w:tabs>
          <w:tab w:val="clear" w:pos="418"/>
          <w:tab w:val="right" w:pos="216"/>
          <w:tab w:val="left" w:pos="288"/>
          <w:tab w:val="right" w:pos="576"/>
          <w:tab w:val="left" w:pos="648"/>
        </w:tabs>
        <w:spacing w:line="120" w:lineRule="exact"/>
        <w:ind w:left="288" w:hanging="288"/>
        <w:rPr>
          <w:sz w:val="10"/>
          <w:lang w:val="fr-FR"/>
        </w:rPr>
      </w:pPr>
    </w:p>
    <w:p w:rsidR="0073290F" w:rsidRPr="002E1252" w:rsidRDefault="0073290F" w:rsidP="009E67B3">
      <w:pPr>
        <w:pStyle w:val="FootnoteText"/>
        <w:tabs>
          <w:tab w:val="clear" w:pos="418"/>
          <w:tab w:val="right" w:pos="216"/>
          <w:tab w:val="left" w:pos="288"/>
          <w:tab w:val="right" w:pos="576"/>
          <w:tab w:val="left" w:pos="648"/>
        </w:tabs>
        <w:ind w:left="288" w:hanging="288"/>
        <w:rPr>
          <w:sz w:val="24"/>
          <w:szCs w:val="24"/>
          <w:lang w:val="fr-FR"/>
        </w:rPr>
      </w:pPr>
      <w:r w:rsidRPr="009E67B3">
        <w:rPr>
          <w:i/>
          <w:lang w:val="fr-FR"/>
        </w:rPr>
        <w:t>Source</w:t>
      </w:r>
      <w:r w:rsidRPr="0063658B">
        <w:rPr>
          <w:lang w:val="fr-FR"/>
        </w:rPr>
        <w:t>: Institut de la Santé publique, 2005</w:t>
      </w:r>
      <w:r w:rsidRPr="002E1252">
        <w:rPr>
          <w:sz w:val="24"/>
          <w:szCs w:val="24"/>
          <w:lang w:val="fr-FR"/>
        </w:rPr>
        <w:t xml:space="preserve">. </w:t>
      </w:r>
    </w:p>
    <w:p w:rsidR="0073290F" w:rsidRPr="002E1252" w:rsidRDefault="0073290F" w:rsidP="0073290F">
      <w:pPr>
        <w:pStyle w:val="Predoblikovano"/>
        <w:tabs>
          <w:tab w:val="clear" w:pos="9590"/>
        </w:tabs>
        <w:ind w:left="1416" w:hanging="1416"/>
        <w:rPr>
          <w:rFonts w:ascii="Times New Roman" w:hAnsi="Times New Roman" w:cs="Times New Roman"/>
          <w:b/>
          <w:bCs/>
          <w:sz w:val="24"/>
          <w:szCs w:val="24"/>
          <w:lang w:val="fr-FR"/>
        </w:rPr>
      </w:pPr>
    </w:p>
    <w:p w:rsidR="0073290F" w:rsidRDefault="0073290F" w:rsidP="0073290F">
      <w:pPr>
        <w:pStyle w:val="Predoblikovano"/>
        <w:tabs>
          <w:tab w:val="clear" w:pos="9590"/>
        </w:tabs>
        <w:ind w:left="1416" w:hanging="1416"/>
        <w:rPr>
          <w:rFonts w:ascii="Times New Roman" w:hAnsi="Times New Roman" w:cs="Times New Roman"/>
          <w:b/>
          <w:bCs/>
          <w:sz w:val="24"/>
          <w:szCs w:val="24"/>
          <w:lang w:val="fr-FR"/>
        </w:rPr>
      </w:pPr>
    </w:p>
    <w:p w:rsidR="0073290F" w:rsidRDefault="0073290F" w:rsidP="0073290F">
      <w:pPr>
        <w:pStyle w:val="Predoblikovano"/>
        <w:tabs>
          <w:tab w:val="clear" w:pos="9590"/>
        </w:tabs>
        <w:ind w:left="1416" w:hanging="1416"/>
        <w:rPr>
          <w:rFonts w:ascii="Times New Roman" w:hAnsi="Times New Roman" w:cs="Times New Roman"/>
          <w:b/>
          <w:bCs/>
          <w:sz w:val="24"/>
          <w:szCs w:val="24"/>
          <w:lang w:val="fr-FR"/>
        </w:rPr>
      </w:pPr>
    </w:p>
    <w:p w:rsidR="0073290F" w:rsidRDefault="0073290F" w:rsidP="0073290F">
      <w:pPr>
        <w:pStyle w:val="Predoblikovano"/>
        <w:tabs>
          <w:tab w:val="clear" w:pos="9590"/>
        </w:tabs>
        <w:ind w:left="1416" w:hanging="1416"/>
        <w:rPr>
          <w:rFonts w:ascii="Times New Roman" w:hAnsi="Times New Roman" w:cs="Times New Roman"/>
          <w:b/>
          <w:bCs/>
          <w:sz w:val="24"/>
          <w:szCs w:val="24"/>
          <w:lang w:val="fr-FR"/>
        </w:rPr>
      </w:pPr>
    </w:p>
    <w:p w:rsidR="0073290F" w:rsidRDefault="0073290F" w:rsidP="009E67B3">
      <w:pPr>
        <w:pStyle w:val="SingleTxt"/>
        <w:jc w:val="left"/>
        <w:rPr>
          <w:b/>
          <w:lang w:val="fr-FR"/>
        </w:rPr>
      </w:pPr>
      <w:r w:rsidRPr="002E1252">
        <w:rPr>
          <w:lang w:val="fr-FR"/>
        </w:rPr>
        <w:t>Tableau 45</w:t>
      </w:r>
      <w:r w:rsidR="009E67B3">
        <w:rPr>
          <w:lang w:val="fr-FR"/>
        </w:rPr>
        <w:br/>
      </w:r>
      <w:r w:rsidRPr="009E67B3">
        <w:rPr>
          <w:b/>
          <w:lang w:val="fr-FR"/>
        </w:rPr>
        <w:t>Montant mensuel des aides sociales, par sexe</w:t>
      </w:r>
    </w:p>
    <w:p w:rsidR="009E67B3" w:rsidRPr="009E67B3" w:rsidRDefault="009E67B3" w:rsidP="009E67B3">
      <w:pPr>
        <w:pStyle w:val="SingleTxt"/>
        <w:spacing w:after="0" w:line="120" w:lineRule="exact"/>
        <w:jc w:val="left"/>
        <w:rPr>
          <w:b/>
          <w:sz w:val="10"/>
          <w:lang w:val="fr-FR"/>
        </w:rPr>
      </w:pPr>
    </w:p>
    <w:p w:rsidR="00507382" w:rsidRPr="00507382" w:rsidRDefault="00507382" w:rsidP="00507382">
      <w:pPr>
        <w:pStyle w:val="Predoblikovano"/>
        <w:tabs>
          <w:tab w:val="clear" w:pos="9590"/>
        </w:tabs>
        <w:spacing w:line="120" w:lineRule="exact"/>
        <w:ind w:left="1416" w:hanging="1416"/>
        <w:rPr>
          <w:rFonts w:ascii="Times New Roman" w:hAnsi="Times New Roman" w:cs="Times New Roman"/>
          <w:b/>
          <w:bCs/>
          <w:sz w:val="10"/>
          <w:szCs w:val="24"/>
          <w:lang w:val="fr-FR"/>
        </w:rPr>
      </w:pPr>
    </w:p>
    <w:tbl>
      <w:tblPr>
        <w:tblW w:w="0" w:type="auto"/>
        <w:tblInd w:w="250" w:type="dxa"/>
        <w:tblCellMar>
          <w:left w:w="70" w:type="dxa"/>
          <w:right w:w="70" w:type="dxa"/>
        </w:tblCellMar>
        <w:tblLook w:val="0000" w:firstRow="0" w:lastRow="0" w:firstColumn="0" w:lastColumn="0" w:noHBand="0" w:noVBand="0"/>
      </w:tblPr>
      <w:tblGrid>
        <w:gridCol w:w="1592"/>
        <w:gridCol w:w="1842"/>
        <w:gridCol w:w="1842"/>
        <w:gridCol w:w="1843"/>
        <w:gridCol w:w="1843"/>
      </w:tblGrid>
      <w:tr w:rsidR="0073290F" w:rsidRPr="00D70E8E">
        <w:tblPrEx>
          <w:tblCellMar>
            <w:top w:w="0" w:type="dxa"/>
            <w:bottom w:w="0" w:type="dxa"/>
          </w:tblCellMar>
        </w:tblPrEx>
        <w:trPr>
          <w:tblHeader/>
        </w:trPr>
        <w:tc>
          <w:tcPr>
            <w:tcW w:w="1592" w:type="dxa"/>
            <w:tcBorders>
              <w:top w:val="single" w:sz="4" w:space="0" w:color="auto"/>
              <w:bottom w:val="single" w:sz="12" w:space="0" w:color="auto"/>
            </w:tcBorders>
            <w:shd w:val="clear" w:color="auto" w:fill="auto"/>
            <w:vAlign w:val="bottom"/>
          </w:tcPr>
          <w:p w:rsidR="0073290F" w:rsidRPr="00D70E8E" w:rsidRDefault="0073290F" w:rsidP="00D70E8E">
            <w:pPr>
              <w:pStyle w:val="Predoblikovano"/>
              <w:tabs>
                <w:tab w:val="clear" w:pos="9590"/>
              </w:tabs>
              <w:suppressAutoHyphens/>
              <w:spacing w:before="80" w:after="80" w:line="160" w:lineRule="exact"/>
              <w:ind w:right="43"/>
              <w:jc w:val="both"/>
              <w:rPr>
                <w:rFonts w:ascii="Times New Roman" w:hAnsi="Times New Roman" w:cs="Times New Roman"/>
                <w:i/>
                <w:sz w:val="14"/>
                <w:szCs w:val="24"/>
                <w:lang w:val="fr-FR"/>
              </w:rPr>
            </w:pPr>
          </w:p>
        </w:tc>
        <w:tc>
          <w:tcPr>
            <w:tcW w:w="1842" w:type="dxa"/>
            <w:tcBorders>
              <w:top w:val="single" w:sz="4" w:space="0" w:color="auto"/>
              <w:bottom w:val="single" w:sz="12" w:space="0" w:color="auto"/>
            </w:tcBorders>
            <w:shd w:val="clear" w:color="auto" w:fill="auto"/>
            <w:vAlign w:val="bottom"/>
          </w:tcPr>
          <w:p w:rsidR="0073290F" w:rsidRPr="00D70E8E" w:rsidRDefault="0073290F" w:rsidP="00D70E8E">
            <w:pPr>
              <w:pStyle w:val="Predoblikovano"/>
              <w:tabs>
                <w:tab w:val="clear" w:pos="9590"/>
              </w:tabs>
              <w:suppressAutoHyphens/>
              <w:spacing w:before="80" w:after="80" w:line="160" w:lineRule="exact"/>
              <w:ind w:right="43"/>
              <w:jc w:val="right"/>
              <w:rPr>
                <w:rFonts w:ascii="Times New Roman" w:hAnsi="Times New Roman" w:cs="Times New Roman"/>
                <w:bCs/>
                <w:i/>
                <w:sz w:val="14"/>
                <w:szCs w:val="24"/>
              </w:rPr>
            </w:pPr>
            <w:r w:rsidRPr="00D70E8E">
              <w:rPr>
                <w:rFonts w:ascii="Times New Roman" w:hAnsi="Times New Roman" w:cs="Times New Roman"/>
                <w:bCs/>
                <w:i/>
                <w:sz w:val="14"/>
                <w:szCs w:val="24"/>
              </w:rPr>
              <w:t>Janvier 2002</w:t>
            </w:r>
          </w:p>
        </w:tc>
        <w:tc>
          <w:tcPr>
            <w:tcW w:w="1842" w:type="dxa"/>
            <w:tcBorders>
              <w:top w:val="single" w:sz="4" w:space="0" w:color="auto"/>
              <w:bottom w:val="single" w:sz="12" w:space="0" w:color="auto"/>
            </w:tcBorders>
            <w:shd w:val="clear" w:color="auto" w:fill="auto"/>
            <w:vAlign w:val="bottom"/>
          </w:tcPr>
          <w:p w:rsidR="0073290F" w:rsidRPr="00D70E8E" w:rsidRDefault="0073290F" w:rsidP="00D70E8E">
            <w:pPr>
              <w:pStyle w:val="Predoblikovano"/>
              <w:tabs>
                <w:tab w:val="clear" w:pos="9590"/>
              </w:tabs>
              <w:suppressAutoHyphens/>
              <w:spacing w:before="80" w:after="80" w:line="160" w:lineRule="exact"/>
              <w:ind w:right="43"/>
              <w:jc w:val="right"/>
              <w:rPr>
                <w:rFonts w:ascii="Times New Roman" w:hAnsi="Times New Roman" w:cs="Times New Roman"/>
                <w:bCs/>
                <w:i/>
                <w:sz w:val="14"/>
                <w:szCs w:val="24"/>
              </w:rPr>
            </w:pPr>
            <w:r w:rsidRPr="00D70E8E">
              <w:rPr>
                <w:rFonts w:ascii="Times New Roman" w:hAnsi="Times New Roman" w:cs="Times New Roman"/>
                <w:bCs/>
                <w:i/>
                <w:sz w:val="14"/>
                <w:szCs w:val="24"/>
              </w:rPr>
              <w:t>Janvier 2003</w:t>
            </w:r>
          </w:p>
        </w:tc>
        <w:tc>
          <w:tcPr>
            <w:tcW w:w="1843" w:type="dxa"/>
            <w:tcBorders>
              <w:top w:val="single" w:sz="4" w:space="0" w:color="auto"/>
              <w:bottom w:val="single" w:sz="12" w:space="0" w:color="auto"/>
            </w:tcBorders>
            <w:shd w:val="clear" w:color="auto" w:fill="auto"/>
            <w:vAlign w:val="bottom"/>
          </w:tcPr>
          <w:p w:rsidR="0073290F" w:rsidRPr="00D70E8E" w:rsidRDefault="0073290F" w:rsidP="00D70E8E">
            <w:pPr>
              <w:pStyle w:val="Predoblikovano"/>
              <w:tabs>
                <w:tab w:val="clear" w:pos="9590"/>
              </w:tabs>
              <w:suppressAutoHyphens/>
              <w:spacing w:before="80" w:after="80" w:line="160" w:lineRule="exact"/>
              <w:ind w:right="43"/>
              <w:jc w:val="right"/>
              <w:rPr>
                <w:rFonts w:ascii="Times New Roman" w:hAnsi="Times New Roman" w:cs="Times New Roman"/>
                <w:bCs/>
                <w:i/>
                <w:sz w:val="14"/>
                <w:szCs w:val="24"/>
              </w:rPr>
            </w:pPr>
            <w:r w:rsidRPr="00D70E8E">
              <w:rPr>
                <w:rFonts w:ascii="Times New Roman" w:hAnsi="Times New Roman" w:cs="Times New Roman"/>
                <w:bCs/>
                <w:i/>
                <w:sz w:val="14"/>
                <w:szCs w:val="24"/>
              </w:rPr>
              <w:t>Décembre 2003</w:t>
            </w:r>
          </w:p>
        </w:tc>
        <w:tc>
          <w:tcPr>
            <w:tcW w:w="1843" w:type="dxa"/>
            <w:tcBorders>
              <w:top w:val="single" w:sz="4" w:space="0" w:color="auto"/>
              <w:bottom w:val="single" w:sz="12" w:space="0" w:color="auto"/>
            </w:tcBorders>
            <w:shd w:val="clear" w:color="auto" w:fill="auto"/>
            <w:vAlign w:val="bottom"/>
          </w:tcPr>
          <w:p w:rsidR="0073290F" w:rsidRPr="00D70E8E" w:rsidRDefault="0073290F" w:rsidP="00D70E8E">
            <w:pPr>
              <w:pStyle w:val="Predoblikovano"/>
              <w:tabs>
                <w:tab w:val="clear" w:pos="9590"/>
              </w:tabs>
              <w:suppressAutoHyphens/>
              <w:spacing w:before="80" w:after="80" w:line="160" w:lineRule="exact"/>
              <w:ind w:right="43"/>
              <w:jc w:val="right"/>
              <w:rPr>
                <w:rFonts w:ascii="Times New Roman" w:hAnsi="Times New Roman" w:cs="Times New Roman"/>
                <w:bCs/>
                <w:i/>
                <w:sz w:val="14"/>
                <w:szCs w:val="24"/>
              </w:rPr>
            </w:pPr>
            <w:r w:rsidRPr="00D70E8E">
              <w:rPr>
                <w:rFonts w:ascii="Times New Roman" w:hAnsi="Times New Roman" w:cs="Times New Roman"/>
                <w:bCs/>
                <w:i/>
                <w:sz w:val="14"/>
                <w:szCs w:val="24"/>
              </w:rPr>
              <w:t>Décembre 2004</w:t>
            </w:r>
          </w:p>
        </w:tc>
      </w:tr>
      <w:tr w:rsidR="00D70E8E" w:rsidRPr="00D70E8E">
        <w:tblPrEx>
          <w:tblCellMar>
            <w:top w:w="0" w:type="dxa"/>
            <w:bottom w:w="0" w:type="dxa"/>
          </w:tblCellMar>
        </w:tblPrEx>
        <w:trPr>
          <w:trHeight w:hRule="exact" w:val="115"/>
          <w:tblHeader/>
        </w:trPr>
        <w:tc>
          <w:tcPr>
            <w:tcW w:w="1592" w:type="dxa"/>
            <w:tcBorders>
              <w:top w:val="single" w:sz="12" w:space="0" w:color="auto"/>
            </w:tcBorders>
            <w:shd w:val="clear" w:color="auto" w:fill="auto"/>
            <w:vAlign w:val="bottom"/>
          </w:tcPr>
          <w:p w:rsidR="00D70E8E" w:rsidRPr="00D70E8E" w:rsidRDefault="00D70E8E" w:rsidP="00D70E8E">
            <w:pPr>
              <w:pStyle w:val="Predoblikovano"/>
              <w:tabs>
                <w:tab w:val="clear" w:pos="9590"/>
              </w:tabs>
              <w:suppressAutoHyphens/>
              <w:spacing w:before="40" w:after="40" w:line="210" w:lineRule="exact"/>
              <w:ind w:right="43"/>
              <w:jc w:val="both"/>
              <w:rPr>
                <w:rFonts w:ascii="Times New Roman" w:hAnsi="Times New Roman" w:cs="Times New Roman"/>
                <w:sz w:val="17"/>
                <w:szCs w:val="24"/>
              </w:rPr>
            </w:pPr>
          </w:p>
        </w:tc>
        <w:tc>
          <w:tcPr>
            <w:tcW w:w="1842" w:type="dxa"/>
            <w:tcBorders>
              <w:top w:val="single" w:sz="12" w:space="0" w:color="auto"/>
            </w:tcBorders>
            <w:shd w:val="clear" w:color="auto" w:fill="auto"/>
            <w:vAlign w:val="bottom"/>
          </w:tcPr>
          <w:p w:rsidR="00D70E8E" w:rsidRPr="00D70E8E" w:rsidRDefault="00D70E8E" w:rsidP="00D70E8E">
            <w:pPr>
              <w:pStyle w:val="Predoblikovano"/>
              <w:tabs>
                <w:tab w:val="clear" w:pos="9590"/>
              </w:tabs>
              <w:suppressAutoHyphens/>
              <w:spacing w:before="40" w:after="40" w:line="210" w:lineRule="exact"/>
              <w:ind w:right="43"/>
              <w:jc w:val="right"/>
              <w:rPr>
                <w:rFonts w:ascii="Times New Roman" w:hAnsi="Times New Roman" w:cs="Times New Roman"/>
                <w:sz w:val="17"/>
                <w:szCs w:val="24"/>
              </w:rPr>
            </w:pPr>
          </w:p>
        </w:tc>
        <w:tc>
          <w:tcPr>
            <w:tcW w:w="1842" w:type="dxa"/>
            <w:tcBorders>
              <w:top w:val="single" w:sz="12" w:space="0" w:color="auto"/>
            </w:tcBorders>
            <w:shd w:val="clear" w:color="auto" w:fill="auto"/>
            <w:vAlign w:val="bottom"/>
          </w:tcPr>
          <w:p w:rsidR="00D70E8E" w:rsidRPr="00D70E8E" w:rsidRDefault="00D70E8E" w:rsidP="00D70E8E">
            <w:pPr>
              <w:pStyle w:val="Predoblikovano"/>
              <w:tabs>
                <w:tab w:val="clear" w:pos="9590"/>
              </w:tabs>
              <w:suppressAutoHyphens/>
              <w:spacing w:before="40" w:after="40" w:line="210" w:lineRule="exact"/>
              <w:ind w:right="43"/>
              <w:jc w:val="right"/>
              <w:rPr>
                <w:rFonts w:ascii="Times New Roman" w:hAnsi="Times New Roman" w:cs="Times New Roman"/>
                <w:sz w:val="17"/>
                <w:szCs w:val="24"/>
              </w:rPr>
            </w:pPr>
          </w:p>
        </w:tc>
        <w:tc>
          <w:tcPr>
            <w:tcW w:w="1843" w:type="dxa"/>
            <w:tcBorders>
              <w:top w:val="single" w:sz="12" w:space="0" w:color="auto"/>
            </w:tcBorders>
            <w:shd w:val="clear" w:color="auto" w:fill="auto"/>
            <w:vAlign w:val="bottom"/>
          </w:tcPr>
          <w:p w:rsidR="00D70E8E" w:rsidRPr="00D70E8E" w:rsidRDefault="00D70E8E" w:rsidP="00D70E8E">
            <w:pPr>
              <w:pStyle w:val="Predoblikovano"/>
              <w:tabs>
                <w:tab w:val="clear" w:pos="9590"/>
              </w:tabs>
              <w:suppressAutoHyphens/>
              <w:spacing w:before="40" w:after="40" w:line="210" w:lineRule="exact"/>
              <w:ind w:right="43"/>
              <w:jc w:val="right"/>
              <w:rPr>
                <w:rFonts w:ascii="Times New Roman" w:hAnsi="Times New Roman" w:cs="Times New Roman"/>
                <w:sz w:val="17"/>
                <w:szCs w:val="24"/>
              </w:rPr>
            </w:pPr>
          </w:p>
        </w:tc>
        <w:tc>
          <w:tcPr>
            <w:tcW w:w="1843" w:type="dxa"/>
            <w:tcBorders>
              <w:top w:val="single" w:sz="12" w:space="0" w:color="auto"/>
            </w:tcBorders>
            <w:shd w:val="clear" w:color="auto" w:fill="auto"/>
            <w:vAlign w:val="bottom"/>
          </w:tcPr>
          <w:p w:rsidR="00D70E8E" w:rsidRPr="00D70E8E" w:rsidRDefault="00D70E8E" w:rsidP="00D70E8E">
            <w:pPr>
              <w:pStyle w:val="Predoblikovano"/>
              <w:tabs>
                <w:tab w:val="clear" w:pos="9590"/>
              </w:tabs>
              <w:suppressAutoHyphens/>
              <w:spacing w:before="40" w:after="40" w:line="210" w:lineRule="exact"/>
              <w:ind w:right="43"/>
              <w:jc w:val="right"/>
              <w:rPr>
                <w:rFonts w:ascii="Times New Roman" w:hAnsi="Times New Roman" w:cs="Times New Roman"/>
                <w:sz w:val="17"/>
                <w:szCs w:val="24"/>
              </w:rPr>
            </w:pPr>
          </w:p>
        </w:tc>
      </w:tr>
      <w:tr w:rsidR="0073290F" w:rsidRPr="00D70E8E">
        <w:tblPrEx>
          <w:tblCellMar>
            <w:top w:w="0" w:type="dxa"/>
            <w:bottom w:w="0" w:type="dxa"/>
          </w:tblCellMar>
        </w:tblPrEx>
        <w:tc>
          <w:tcPr>
            <w:tcW w:w="1592" w:type="dxa"/>
            <w:shd w:val="clear" w:color="auto" w:fill="auto"/>
            <w:vAlign w:val="bottom"/>
          </w:tcPr>
          <w:p w:rsidR="0073290F" w:rsidRPr="00D70E8E" w:rsidRDefault="0073290F" w:rsidP="00D70E8E">
            <w:pPr>
              <w:pStyle w:val="Predoblikovano"/>
              <w:tabs>
                <w:tab w:val="clear" w:pos="9590"/>
                <w:tab w:val="left" w:pos="288"/>
                <w:tab w:val="left" w:pos="576"/>
                <w:tab w:val="left" w:pos="864"/>
                <w:tab w:val="left" w:pos="1152"/>
              </w:tabs>
              <w:suppressAutoHyphens/>
              <w:spacing w:before="40" w:after="40" w:line="210" w:lineRule="exact"/>
              <w:ind w:right="43"/>
              <w:jc w:val="both"/>
              <w:rPr>
                <w:rFonts w:ascii="Times New Roman" w:hAnsi="Times New Roman" w:cs="Times New Roman"/>
                <w:sz w:val="17"/>
                <w:szCs w:val="24"/>
              </w:rPr>
            </w:pPr>
            <w:r w:rsidRPr="00D70E8E">
              <w:rPr>
                <w:rFonts w:ascii="Times New Roman" w:hAnsi="Times New Roman" w:cs="Times New Roman"/>
                <w:sz w:val="17"/>
                <w:szCs w:val="24"/>
              </w:rPr>
              <w:t>Total</w:t>
            </w:r>
          </w:p>
        </w:tc>
        <w:tc>
          <w:tcPr>
            <w:tcW w:w="1842" w:type="dxa"/>
            <w:shd w:val="clear" w:color="auto" w:fill="auto"/>
            <w:vAlign w:val="bottom"/>
          </w:tcPr>
          <w:p w:rsidR="0073290F" w:rsidRPr="00D70E8E" w:rsidRDefault="0073290F" w:rsidP="00D70E8E">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24"/>
              </w:rPr>
            </w:pPr>
            <w:r w:rsidRPr="00D70E8E">
              <w:rPr>
                <w:rFonts w:ascii="Times New Roman" w:hAnsi="Times New Roman" w:cs="Times New Roman"/>
                <w:sz w:val="17"/>
                <w:szCs w:val="24"/>
              </w:rPr>
              <w:t>31.577</w:t>
            </w:r>
          </w:p>
        </w:tc>
        <w:tc>
          <w:tcPr>
            <w:tcW w:w="1842" w:type="dxa"/>
            <w:shd w:val="clear" w:color="auto" w:fill="auto"/>
            <w:vAlign w:val="bottom"/>
          </w:tcPr>
          <w:p w:rsidR="0073290F" w:rsidRPr="00D70E8E" w:rsidRDefault="0073290F" w:rsidP="00D70E8E">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24"/>
              </w:rPr>
            </w:pPr>
            <w:r w:rsidRPr="00D70E8E">
              <w:rPr>
                <w:rFonts w:ascii="Times New Roman" w:hAnsi="Times New Roman" w:cs="Times New Roman"/>
                <w:sz w:val="17"/>
                <w:szCs w:val="24"/>
              </w:rPr>
              <w:t>45.922</w:t>
            </w:r>
          </w:p>
        </w:tc>
        <w:tc>
          <w:tcPr>
            <w:tcW w:w="1843" w:type="dxa"/>
            <w:shd w:val="clear" w:color="auto" w:fill="auto"/>
            <w:vAlign w:val="bottom"/>
          </w:tcPr>
          <w:p w:rsidR="0073290F" w:rsidRPr="00D70E8E" w:rsidRDefault="0073290F" w:rsidP="00D70E8E">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24"/>
              </w:rPr>
            </w:pPr>
            <w:r w:rsidRPr="00D70E8E">
              <w:rPr>
                <w:rFonts w:ascii="Times New Roman" w:hAnsi="Times New Roman" w:cs="Times New Roman"/>
                <w:sz w:val="17"/>
                <w:szCs w:val="24"/>
              </w:rPr>
              <w:t>57.742</w:t>
            </w:r>
          </w:p>
        </w:tc>
        <w:tc>
          <w:tcPr>
            <w:tcW w:w="1843" w:type="dxa"/>
            <w:shd w:val="clear" w:color="auto" w:fill="auto"/>
            <w:vAlign w:val="bottom"/>
          </w:tcPr>
          <w:p w:rsidR="0073290F" w:rsidRPr="00D70E8E" w:rsidRDefault="0073290F" w:rsidP="00D70E8E">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24"/>
              </w:rPr>
            </w:pPr>
            <w:r w:rsidRPr="00D70E8E">
              <w:rPr>
                <w:rFonts w:ascii="Times New Roman" w:hAnsi="Times New Roman" w:cs="Times New Roman"/>
                <w:sz w:val="17"/>
                <w:szCs w:val="24"/>
              </w:rPr>
              <w:t>62.256</w:t>
            </w:r>
          </w:p>
        </w:tc>
      </w:tr>
      <w:tr w:rsidR="0073290F" w:rsidRPr="00D70E8E">
        <w:tblPrEx>
          <w:tblCellMar>
            <w:top w:w="0" w:type="dxa"/>
            <w:bottom w:w="0" w:type="dxa"/>
          </w:tblCellMar>
        </w:tblPrEx>
        <w:tc>
          <w:tcPr>
            <w:tcW w:w="1592" w:type="dxa"/>
            <w:shd w:val="clear" w:color="auto" w:fill="auto"/>
            <w:vAlign w:val="bottom"/>
          </w:tcPr>
          <w:p w:rsidR="0073290F" w:rsidRPr="00D70E8E" w:rsidRDefault="0073290F" w:rsidP="00D70E8E">
            <w:pPr>
              <w:pStyle w:val="Predoblikovano"/>
              <w:tabs>
                <w:tab w:val="clear" w:pos="9590"/>
                <w:tab w:val="left" w:pos="288"/>
                <w:tab w:val="left" w:pos="576"/>
                <w:tab w:val="left" w:pos="864"/>
                <w:tab w:val="left" w:pos="1152"/>
              </w:tabs>
              <w:suppressAutoHyphens/>
              <w:spacing w:before="40" w:after="40" w:line="210" w:lineRule="exact"/>
              <w:ind w:right="43"/>
              <w:jc w:val="both"/>
              <w:rPr>
                <w:rFonts w:ascii="Times New Roman" w:hAnsi="Times New Roman" w:cs="Times New Roman"/>
                <w:sz w:val="17"/>
                <w:szCs w:val="24"/>
              </w:rPr>
            </w:pPr>
            <w:r w:rsidRPr="00D70E8E">
              <w:rPr>
                <w:rFonts w:ascii="Times New Roman" w:hAnsi="Times New Roman" w:cs="Times New Roman"/>
                <w:sz w:val="17"/>
                <w:szCs w:val="24"/>
              </w:rPr>
              <w:t>Femmes</w:t>
            </w:r>
          </w:p>
        </w:tc>
        <w:tc>
          <w:tcPr>
            <w:tcW w:w="1842" w:type="dxa"/>
            <w:shd w:val="clear" w:color="auto" w:fill="auto"/>
            <w:vAlign w:val="bottom"/>
          </w:tcPr>
          <w:p w:rsidR="0073290F" w:rsidRPr="00D70E8E" w:rsidRDefault="0073290F" w:rsidP="00D70E8E">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24"/>
              </w:rPr>
            </w:pPr>
            <w:r w:rsidRPr="00D70E8E">
              <w:rPr>
                <w:rFonts w:ascii="Times New Roman" w:hAnsi="Times New Roman" w:cs="Times New Roman"/>
                <w:sz w:val="17"/>
                <w:szCs w:val="24"/>
              </w:rPr>
              <w:t>15.442</w:t>
            </w:r>
          </w:p>
        </w:tc>
        <w:tc>
          <w:tcPr>
            <w:tcW w:w="1842" w:type="dxa"/>
            <w:shd w:val="clear" w:color="auto" w:fill="auto"/>
            <w:vAlign w:val="bottom"/>
          </w:tcPr>
          <w:p w:rsidR="0073290F" w:rsidRPr="00D70E8E" w:rsidRDefault="0073290F" w:rsidP="00D70E8E">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24"/>
              </w:rPr>
            </w:pPr>
            <w:r w:rsidRPr="00D70E8E">
              <w:rPr>
                <w:rFonts w:ascii="Times New Roman" w:hAnsi="Times New Roman" w:cs="Times New Roman"/>
                <w:sz w:val="17"/>
                <w:szCs w:val="24"/>
              </w:rPr>
              <w:t>22.589</w:t>
            </w:r>
          </w:p>
        </w:tc>
        <w:tc>
          <w:tcPr>
            <w:tcW w:w="1843" w:type="dxa"/>
            <w:shd w:val="clear" w:color="auto" w:fill="auto"/>
            <w:vAlign w:val="bottom"/>
          </w:tcPr>
          <w:p w:rsidR="0073290F" w:rsidRPr="00D70E8E" w:rsidRDefault="0073290F" w:rsidP="00D70E8E">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24"/>
              </w:rPr>
            </w:pPr>
            <w:r w:rsidRPr="00D70E8E">
              <w:rPr>
                <w:rFonts w:ascii="Times New Roman" w:hAnsi="Times New Roman" w:cs="Times New Roman"/>
                <w:sz w:val="17"/>
                <w:szCs w:val="24"/>
              </w:rPr>
              <w:t>30.758</w:t>
            </w:r>
          </w:p>
        </w:tc>
        <w:tc>
          <w:tcPr>
            <w:tcW w:w="1843" w:type="dxa"/>
            <w:shd w:val="clear" w:color="auto" w:fill="auto"/>
            <w:vAlign w:val="bottom"/>
          </w:tcPr>
          <w:p w:rsidR="0073290F" w:rsidRPr="00D70E8E" w:rsidRDefault="0073290F" w:rsidP="00D70E8E">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24"/>
              </w:rPr>
            </w:pPr>
            <w:r w:rsidRPr="00D70E8E">
              <w:rPr>
                <w:rFonts w:ascii="Times New Roman" w:hAnsi="Times New Roman" w:cs="Times New Roman"/>
                <w:sz w:val="17"/>
                <w:szCs w:val="24"/>
              </w:rPr>
              <w:t>33.865</w:t>
            </w:r>
          </w:p>
        </w:tc>
      </w:tr>
      <w:tr w:rsidR="0073290F" w:rsidRPr="00D70E8E">
        <w:tblPrEx>
          <w:tblCellMar>
            <w:top w:w="0" w:type="dxa"/>
            <w:bottom w:w="0" w:type="dxa"/>
          </w:tblCellMar>
        </w:tblPrEx>
        <w:tc>
          <w:tcPr>
            <w:tcW w:w="1592" w:type="dxa"/>
            <w:tcBorders>
              <w:bottom w:val="single" w:sz="12" w:space="0" w:color="auto"/>
            </w:tcBorders>
            <w:shd w:val="clear" w:color="auto" w:fill="auto"/>
            <w:vAlign w:val="bottom"/>
          </w:tcPr>
          <w:p w:rsidR="0073290F" w:rsidRPr="00D70E8E" w:rsidRDefault="0073290F" w:rsidP="00D70E8E">
            <w:pPr>
              <w:pStyle w:val="Predoblikovano"/>
              <w:tabs>
                <w:tab w:val="clear" w:pos="9590"/>
                <w:tab w:val="left" w:pos="288"/>
                <w:tab w:val="left" w:pos="576"/>
                <w:tab w:val="left" w:pos="864"/>
                <w:tab w:val="left" w:pos="1152"/>
              </w:tabs>
              <w:suppressAutoHyphens/>
              <w:spacing w:before="40" w:after="40" w:line="210" w:lineRule="exact"/>
              <w:ind w:right="43"/>
              <w:jc w:val="both"/>
              <w:rPr>
                <w:rFonts w:ascii="Times New Roman" w:hAnsi="Times New Roman" w:cs="Times New Roman"/>
                <w:sz w:val="17"/>
                <w:szCs w:val="24"/>
              </w:rPr>
            </w:pPr>
            <w:r w:rsidRPr="00D70E8E">
              <w:rPr>
                <w:rFonts w:ascii="Times New Roman" w:hAnsi="Times New Roman" w:cs="Times New Roman"/>
                <w:sz w:val="17"/>
                <w:szCs w:val="24"/>
              </w:rPr>
              <w:t>% de femmes</w:t>
            </w:r>
          </w:p>
        </w:tc>
        <w:tc>
          <w:tcPr>
            <w:tcW w:w="1842" w:type="dxa"/>
            <w:tcBorders>
              <w:bottom w:val="single" w:sz="12" w:space="0" w:color="auto"/>
            </w:tcBorders>
            <w:shd w:val="clear" w:color="auto" w:fill="auto"/>
            <w:vAlign w:val="bottom"/>
          </w:tcPr>
          <w:p w:rsidR="0073290F" w:rsidRPr="00D70E8E" w:rsidRDefault="0073290F" w:rsidP="00D70E8E">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24"/>
              </w:rPr>
            </w:pPr>
            <w:r w:rsidRPr="00D70E8E">
              <w:rPr>
                <w:rFonts w:ascii="Times New Roman" w:hAnsi="Times New Roman" w:cs="Times New Roman"/>
                <w:sz w:val="17"/>
                <w:szCs w:val="24"/>
              </w:rPr>
              <w:t>48,9</w:t>
            </w:r>
          </w:p>
        </w:tc>
        <w:tc>
          <w:tcPr>
            <w:tcW w:w="1842" w:type="dxa"/>
            <w:tcBorders>
              <w:bottom w:val="single" w:sz="12" w:space="0" w:color="auto"/>
            </w:tcBorders>
            <w:shd w:val="clear" w:color="auto" w:fill="auto"/>
            <w:vAlign w:val="bottom"/>
          </w:tcPr>
          <w:p w:rsidR="0073290F" w:rsidRPr="00D70E8E" w:rsidRDefault="0073290F" w:rsidP="00D70E8E">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24"/>
              </w:rPr>
            </w:pPr>
            <w:r w:rsidRPr="00D70E8E">
              <w:rPr>
                <w:rFonts w:ascii="Times New Roman" w:hAnsi="Times New Roman" w:cs="Times New Roman"/>
                <w:sz w:val="17"/>
                <w:szCs w:val="24"/>
              </w:rPr>
              <w:t>49,2</w:t>
            </w:r>
          </w:p>
        </w:tc>
        <w:tc>
          <w:tcPr>
            <w:tcW w:w="1843" w:type="dxa"/>
            <w:tcBorders>
              <w:bottom w:val="single" w:sz="12" w:space="0" w:color="auto"/>
            </w:tcBorders>
            <w:shd w:val="clear" w:color="auto" w:fill="auto"/>
            <w:vAlign w:val="bottom"/>
          </w:tcPr>
          <w:p w:rsidR="0073290F" w:rsidRPr="00D70E8E" w:rsidRDefault="0073290F" w:rsidP="00D70E8E">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24"/>
              </w:rPr>
            </w:pPr>
            <w:r w:rsidRPr="00D70E8E">
              <w:rPr>
                <w:rFonts w:ascii="Times New Roman" w:hAnsi="Times New Roman" w:cs="Times New Roman"/>
                <w:sz w:val="17"/>
                <w:szCs w:val="24"/>
              </w:rPr>
              <w:t>53,3</w:t>
            </w:r>
          </w:p>
        </w:tc>
        <w:tc>
          <w:tcPr>
            <w:tcW w:w="1843" w:type="dxa"/>
            <w:tcBorders>
              <w:bottom w:val="single" w:sz="12" w:space="0" w:color="auto"/>
            </w:tcBorders>
            <w:shd w:val="clear" w:color="auto" w:fill="auto"/>
            <w:vAlign w:val="bottom"/>
          </w:tcPr>
          <w:p w:rsidR="0073290F" w:rsidRPr="00D70E8E" w:rsidRDefault="0073290F" w:rsidP="00D70E8E">
            <w:pPr>
              <w:pStyle w:val="Predoblikovano"/>
              <w:tabs>
                <w:tab w:val="clear" w:pos="9590"/>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24"/>
              </w:rPr>
            </w:pPr>
            <w:r w:rsidRPr="00D70E8E">
              <w:rPr>
                <w:rFonts w:ascii="Times New Roman" w:hAnsi="Times New Roman" w:cs="Times New Roman"/>
                <w:sz w:val="17"/>
                <w:szCs w:val="24"/>
              </w:rPr>
              <w:t>54,4</w:t>
            </w:r>
          </w:p>
        </w:tc>
      </w:tr>
    </w:tbl>
    <w:p w:rsidR="00D70E8E" w:rsidRPr="00D70E8E" w:rsidRDefault="00D70E8E" w:rsidP="00D70E8E">
      <w:pPr>
        <w:pStyle w:val="Predoblikovano"/>
        <w:tabs>
          <w:tab w:val="clear" w:pos="9590"/>
        </w:tabs>
        <w:spacing w:line="120" w:lineRule="exact"/>
        <w:jc w:val="both"/>
        <w:rPr>
          <w:rFonts w:ascii="Times New Roman" w:hAnsi="Times New Roman" w:cs="Times New Roman"/>
          <w:sz w:val="10"/>
          <w:lang w:val="fr-FR"/>
        </w:rPr>
      </w:pPr>
    </w:p>
    <w:p w:rsidR="0073290F" w:rsidRPr="002E1252" w:rsidRDefault="0073290F" w:rsidP="00D70E8E">
      <w:pPr>
        <w:pStyle w:val="FootnoteText"/>
        <w:tabs>
          <w:tab w:val="clear" w:pos="418"/>
          <w:tab w:val="right" w:pos="216"/>
          <w:tab w:val="left" w:pos="288"/>
          <w:tab w:val="right" w:pos="576"/>
          <w:tab w:val="left" w:pos="648"/>
        </w:tabs>
        <w:ind w:left="288" w:hanging="288"/>
        <w:rPr>
          <w:sz w:val="24"/>
          <w:szCs w:val="24"/>
          <w:lang w:val="fr-FR"/>
        </w:rPr>
      </w:pPr>
      <w:r w:rsidRPr="00D70E8E">
        <w:rPr>
          <w:i/>
          <w:lang w:val="fr-FR"/>
        </w:rPr>
        <w:t>Source</w:t>
      </w:r>
      <w:r w:rsidRPr="0063658B">
        <w:rPr>
          <w:lang w:val="fr-FR"/>
        </w:rPr>
        <w:t>: Ministère du Travail, de la Famille et des Affaires sociales, 2005</w:t>
      </w:r>
      <w:r w:rsidRPr="002E1252">
        <w:rPr>
          <w:sz w:val="24"/>
          <w:szCs w:val="24"/>
          <w:lang w:val="fr-FR"/>
        </w:rPr>
        <w:t>.</w:t>
      </w:r>
    </w:p>
    <w:p w:rsidR="00FC5255" w:rsidRPr="00FC5255" w:rsidRDefault="00FC5255" w:rsidP="00FC5255">
      <w:pPr>
        <w:spacing w:line="120" w:lineRule="exact"/>
        <w:rPr>
          <w:b/>
          <w:bCs/>
          <w:sz w:val="10"/>
          <w:lang w:val="sv-SE"/>
        </w:rPr>
      </w:pPr>
    </w:p>
    <w:p w:rsidR="00FC5255" w:rsidRDefault="0073290F" w:rsidP="00FC5255">
      <w:pPr>
        <w:pStyle w:val="SingleTxt"/>
        <w:jc w:val="left"/>
        <w:rPr>
          <w:b/>
          <w:bCs/>
          <w:lang w:val="sv-SE"/>
        </w:rPr>
      </w:pPr>
      <w:r w:rsidRPr="001303D2">
        <w:rPr>
          <w:lang w:val="sv-SE"/>
        </w:rPr>
        <w:t>Table</w:t>
      </w:r>
      <w:r>
        <w:rPr>
          <w:lang w:val="sv-SE"/>
        </w:rPr>
        <w:t>au</w:t>
      </w:r>
      <w:r w:rsidRPr="001303D2">
        <w:rPr>
          <w:lang w:val="sv-SE"/>
        </w:rPr>
        <w:t xml:space="preserve"> 46</w:t>
      </w:r>
      <w:r w:rsidR="00FC5255">
        <w:rPr>
          <w:lang w:val="sv-SE"/>
        </w:rPr>
        <w:br/>
      </w:r>
      <w:r w:rsidRPr="00FC5255">
        <w:rPr>
          <w:b/>
          <w:lang w:val="sv-SE"/>
        </w:rPr>
        <w:t>Indicateurs de cohésion sociale – revenus et pauvreté,</w:t>
      </w:r>
      <w:r w:rsidR="00FC5255">
        <w:rPr>
          <w:lang w:val="sv-SE"/>
        </w:rPr>
        <w:t xml:space="preserve"> </w:t>
      </w:r>
      <w:r w:rsidRPr="001303D2">
        <w:rPr>
          <w:b/>
          <w:bCs/>
          <w:lang w:val="sv-SE"/>
        </w:rPr>
        <w:t>2000-2002</w:t>
      </w:r>
    </w:p>
    <w:p w:rsidR="00FC5255" w:rsidRPr="00FC5255" w:rsidRDefault="00FC5255" w:rsidP="00FC5255">
      <w:pPr>
        <w:spacing w:line="120" w:lineRule="exact"/>
        <w:rPr>
          <w:sz w:val="10"/>
        </w:rPr>
      </w:pPr>
    </w:p>
    <w:tbl>
      <w:tblPr>
        <w:tblW w:w="9882" w:type="dxa"/>
        <w:tblCellMar>
          <w:left w:w="0" w:type="dxa"/>
          <w:right w:w="0" w:type="dxa"/>
        </w:tblCellMar>
        <w:tblLook w:val="01E0" w:firstRow="1" w:lastRow="1" w:firstColumn="1" w:lastColumn="1" w:noHBand="0" w:noVBand="0"/>
      </w:tblPr>
      <w:tblGrid>
        <w:gridCol w:w="4590"/>
        <w:gridCol w:w="882"/>
        <w:gridCol w:w="882"/>
        <w:gridCol w:w="754"/>
        <w:gridCol w:w="128"/>
        <w:gridCol w:w="492"/>
        <w:gridCol w:w="390"/>
        <w:gridCol w:w="279"/>
        <w:gridCol w:w="585"/>
        <w:gridCol w:w="18"/>
        <w:gridCol w:w="725"/>
        <w:gridCol w:w="157"/>
      </w:tblGrid>
      <w:tr w:rsidR="00FC5255" w:rsidRPr="006A4084">
        <w:trPr>
          <w:trHeight w:val="211"/>
          <w:tblHeader/>
        </w:trPr>
        <w:tc>
          <w:tcPr>
            <w:tcW w:w="4590" w:type="dxa"/>
            <w:tcBorders>
              <w:top w:val="single" w:sz="4" w:space="0" w:color="auto"/>
            </w:tcBorders>
            <w:shd w:val="clear" w:color="auto" w:fill="auto"/>
            <w:tcMar>
              <w:left w:w="0" w:type="dxa"/>
              <w:right w:w="0" w:type="dxa"/>
            </w:tcMar>
            <w:vAlign w:val="bottom"/>
          </w:tcPr>
          <w:p w:rsidR="00FC5255" w:rsidRPr="006A4084" w:rsidRDefault="00FC5255" w:rsidP="006A4084">
            <w:pPr>
              <w:pStyle w:val="CeloAng"/>
              <w:spacing w:before="80" w:after="80" w:line="160" w:lineRule="exact"/>
              <w:ind w:left="114" w:right="43"/>
              <w:rPr>
                <w:rFonts w:ascii="Times New Roman" w:hAnsi="Times New Roman" w:cs="Times New Roman"/>
                <w:b/>
                <w:i/>
                <w:sz w:val="14"/>
                <w:szCs w:val="24"/>
                <w:lang w:val="fr-FR"/>
              </w:rPr>
            </w:pPr>
          </w:p>
        </w:tc>
        <w:tc>
          <w:tcPr>
            <w:tcW w:w="5292" w:type="dxa"/>
            <w:gridSpan w:val="11"/>
            <w:tcBorders>
              <w:top w:val="single" w:sz="4" w:space="0" w:color="auto"/>
              <w:bottom w:val="single" w:sz="4" w:space="0" w:color="auto"/>
            </w:tcBorders>
            <w:shd w:val="clear" w:color="auto" w:fill="auto"/>
            <w:vAlign w:val="bottom"/>
          </w:tcPr>
          <w:p w:rsidR="00FC5255" w:rsidRPr="006A4084" w:rsidRDefault="00FC5255" w:rsidP="00FC5255">
            <w:pPr>
              <w:pStyle w:val="Num"/>
              <w:suppressAutoHyphens/>
              <w:spacing w:before="80" w:after="80" w:line="160" w:lineRule="exact"/>
              <w:ind w:right="43"/>
              <w:jc w:val="center"/>
              <w:rPr>
                <w:rFonts w:ascii="Times New Roman" w:hAnsi="Times New Roman" w:cs="Times New Roman"/>
                <w:i/>
                <w:sz w:val="14"/>
                <w:szCs w:val="24"/>
              </w:rPr>
            </w:pPr>
            <w:r>
              <w:rPr>
                <w:rFonts w:ascii="Times New Roman" w:hAnsi="Times New Roman" w:cs="Times New Roman"/>
                <w:i/>
                <w:sz w:val="14"/>
                <w:szCs w:val="24"/>
              </w:rPr>
              <w:t>Revenus</w:t>
            </w:r>
          </w:p>
        </w:tc>
      </w:tr>
      <w:tr w:rsidR="00507382" w:rsidRPr="006A4084">
        <w:trPr>
          <w:trHeight w:val="211"/>
          <w:tblHeader/>
        </w:trPr>
        <w:tc>
          <w:tcPr>
            <w:tcW w:w="4590" w:type="dxa"/>
            <w:shd w:val="clear" w:color="auto" w:fill="auto"/>
            <w:tcMar>
              <w:left w:w="0" w:type="dxa"/>
              <w:right w:w="0" w:type="dxa"/>
            </w:tcMar>
            <w:vAlign w:val="bottom"/>
          </w:tcPr>
          <w:p w:rsidR="00FC5255" w:rsidRPr="006A4084" w:rsidRDefault="00FC5255" w:rsidP="006A4084">
            <w:pPr>
              <w:pStyle w:val="CeloAng"/>
              <w:spacing w:before="80" w:after="80" w:line="160" w:lineRule="exact"/>
              <w:ind w:left="114" w:right="43"/>
              <w:rPr>
                <w:rFonts w:ascii="Times New Roman" w:hAnsi="Times New Roman" w:cs="Times New Roman"/>
                <w:b/>
                <w:i/>
                <w:sz w:val="14"/>
                <w:szCs w:val="24"/>
                <w:lang w:val="fr-FR"/>
              </w:rPr>
            </w:pPr>
          </w:p>
        </w:tc>
        <w:tc>
          <w:tcPr>
            <w:tcW w:w="2646" w:type="dxa"/>
            <w:gridSpan w:val="4"/>
            <w:tcBorders>
              <w:top w:val="single" w:sz="4" w:space="0" w:color="auto"/>
              <w:bottom w:val="single" w:sz="4" w:space="0" w:color="auto"/>
            </w:tcBorders>
            <w:shd w:val="clear" w:color="auto" w:fill="auto"/>
            <w:vAlign w:val="bottom"/>
          </w:tcPr>
          <w:p w:rsidR="00FC5255" w:rsidRPr="006A4084" w:rsidRDefault="00FC5255" w:rsidP="00FC5255">
            <w:pPr>
              <w:pStyle w:val="Num"/>
              <w:suppressAutoHyphens/>
              <w:spacing w:before="80" w:after="80" w:line="160" w:lineRule="exact"/>
              <w:ind w:right="43"/>
              <w:jc w:val="center"/>
              <w:rPr>
                <w:rFonts w:ascii="Times New Roman" w:hAnsi="Times New Roman" w:cs="Times New Roman"/>
                <w:i/>
                <w:sz w:val="14"/>
                <w:szCs w:val="24"/>
              </w:rPr>
            </w:pPr>
            <w:r>
              <w:rPr>
                <w:rFonts w:ascii="Times New Roman" w:hAnsi="Times New Roman" w:cs="Times New Roman"/>
                <w:i/>
                <w:sz w:val="14"/>
                <w:szCs w:val="24"/>
              </w:rPr>
              <w:t>Financiers</w:t>
            </w:r>
          </w:p>
        </w:tc>
        <w:tc>
          <w:tcPr>
            <w:tcW w:w="2646" w:type="dxa"/>
            <w:gridSpan w:val="7"/>
            <w:tcBorders>
              <w:top w:val="single" w:sz="4" w:space="0" w:color="auto"/>
              <w:bottom w:val="single" w:sz="4" w:space="0" w:color="auto"/>
            </w:tcBorders>
            <w:shd w:val="clear" w:color="auto" w:fill="auto"/>
            <w:vAlign w:val="bottom"/>
          </w:tcPr>
          <w:p w:rsidR="00FC5255" w:rsidRPr="006A4084" w:rsidRDefault="00FC5255" w:rsidP="00FC5255">
            <w:pPr>
              <w:pStyle w:val="Num"/>
              <w:suppressAutoHyphens/>
              <w:spacing w:before="80" w:after="80" w:line="160" w:lineRule="exact"/>
              <w:ind w:right="43"/>
              <w:jc w:val="center"/>
              <w:rPr>
                <w:rFonts w:ascii="Times New Roman" w:hAnsi="Times New Roman" w:cs="Times New Roman"/>
                <w:i/>
                <w:sz w:val="14"/>
                <w:szCs w:val="24"/>
              </w:rPr>
            </w:pPr>
            <w:r>
              <w:rPr>
                <w:rFonts w:ascii="Times New Roman" w:hAnsi="Times New Roman" w:cs="Times New Roman"/>
                <w:i/>
                <w:sz w:val="14"/>
                <w:szCs w:val="24"/>
              </w:rPr>
              <w:t>Financiers + en nature</w:t>
            </w:r>
          </w:p>
        </w:tc>
      </w:tr>
      <w:tr w:rsidR="006405B4" w:rsidRPr="006A4084">
        <w:trPr>
          <w:trHeight w:val="211"/>
          <w:tblHeader/>
        </w:trPr>
        <w:tc>
          <w:tcPr>
            <w:tcW w:w="4590" w:type="dxa"/>
            <w:tcBorders>
              <w:top w:val="single" w:sz="4" w:space="0" w:color="auto"/>
              <w:bottom w:val="single" w:sz="12" w:space="0" w:color="auto"/>
            </w:tcBorders>
            <w:shd w:val="clear" w:color="auto" w:fill="auto"/>
            <w:tcMar>
              <w:left w:w="0" w:type="dxa"/>
              <w:right w:w="0" w:type="dxa"/>
            </w:tcMar>
            <w:vAlign w:val="bottom"/>
          </w:tcPr>
          <w:p w:rsidR="006A4084" w:rsidRPr="006A4084" w:rsidRDefault="006A4084" w:rsidP="006A4084">
            <w:pPr>
              <w:pStyle w:val="CeloAng"/>
              <w:spacing w:before="80" w:after="80" w:line="160" w:lineRule="exact"/>
              <w:ind w:left="114" w:right="43"/>
              <w:rPr>
                <w:rFonts w:ascii="Times New Roman" w:hAnsi="Times New Roman" w:cs="Times New Roman"/>
                <w:b/>
                <w:i/>
                <w:sz w:val="14"/>
                <w:szCs w:val="24"/>
                <w:lang w:val="fr-FR"/>
              </w:rPr>
            </w:pPr>
          </w:p>
        </w:tc>
        <w:tc>
          <w:tcPr>
            <w:tcW w:w="882" w:type="dxa"/>
            <w:tcBorders>
              <w:top w:val="single" w:sz="4" w:space="0" w:color="auto"/>
              <w:bottom w:val="single" w:sz="12" w:space="0" w:color="auto"/>
            </w:tcBorders>
            <w:shd w:val="clear" w:color="auto" w:fill="auto"/>
            <w:vAlign w:val="bottom"/>
          </w:tcPr>
          <w:p w:rsidR="006A4084" w:rsidRPr="006A4084" w:rsidRDefault="00FC5255" w:rsidP="006A4084">
            <w:pPr>
              <w:pStyle w:val="Num"/>
              <w:suppressAutoHyphens/>
              <w:spacing w:before="80" w:after="80" w:line="160" w:lineRule="exact"/>
              <w:ind w:right="43"/>
              <w:rPr>
                <w:rFonts w:ascii="Times New Roman" w:hAnsi="Times New Roman" w:cs="Times New Roman"/>
                <w:i/>
                <w:sz w:val="14"/>
                <w:szCs w:val="24"/>
              </w:rPr>
            </w:pPr>
            <w:r>
              <w:rPr>
                <w:rFonts w:ascii="Times New Roman" w:hAnsi="Times New Roman" w:cs="Times New Roman"/>
                <w:i/>
                <w:sz w:val="14"/>
                <w:szCs w:val="24"/>
              </w:rPr>
              <w:t>2000</w:t>
            </w:r>
          </w:p>
        </w:tc>
        <w:tc>
          <w:tcPr>
            <w:tcW w:w="882" w:type="dxa"/>
            <w:tcBorders>
              <w:top w:val="single" w:sz="4" w:space="0" w:color="auto"/>
              <w:bottom w:val="single" w:sz="12" w:space="0" w:color="auto"/>
            </w:tcBorders>
            <w:shd w:val="clear" w:color="auto" w:fill="auto"/>
            <w:vAlign w:val="bottom"/>
          </w:tcPr>
          <w:p w:rsidR="006A4084" w:rsidRPr="006A4084" w:rsidRDefault="00FC5255" w:rsidP="006A4084">
            <w:pPr>
              <w:pStyle w:val="Num"/>
              <w:suppressAutoHyphens/>
              <w:spacing w:before="80" w:after="80" w:line="160" w:lineRule="exact"/>
              <w:ind w:right="43"/>
              <w:rPr>
                <w:rFonts w:ascii="Times New Roman" w:hAnsi="Times New Roman" w:cs="Times New Roman"/>
                <w:i/>
                <w:sz w:val="14"/>
                <w:szCs w:val="24"/>
              </w:rPr>
            </w:pPr>
            <w:r>
              <w:rPr>
                <w:rFonts w:ascii="Times New Roman" w:hAnsi="Times New Roman" w:cs="Times New Roman"/>
                <w:i/>
                <w:sz w:val="14"/>
                <w:szCs w:val="24"/>
              </w:rPr>
              <w:t>2001</w:t>
            </w:r>
          </w:p>
        </w:tc>
        <w:tc>
          <w:tcPr>
            <w:tcW w:w="882" w:type="dxa"/>
            <w:gridSpan w:val="2"/>
            <w:tcBorders>
              <w:top w:val="single" w:sz="4" w:space="0" w:color="auto"/>
              <w:bottom w:val="single" w:sz="12" w:space="0" w:color="auto"/>
            </w:tcBorders>
            <w:shd w:val="clear" w:color="auto" w:fill="auto"/>
            <w:vAlign w:val="bottom"/>
          </w:tcPr>
          <w:p w:rsidR="006A4084" w:rsidRPr="006A4084" w:rsidRDefault="00FC5255" w:rsidP="006A4084">
            <w:pPr>
              <w:pStyle w:val="Num"/>
              <w:suppressAutoHyphens/>
              <w:spacing w:before="80" w:after="80" w:line="160" w:lineRule="exact"/>
              <w:ind w:right="43"/>
              <w:rPr>
                <w:rFonts w:ascii="Times New Roman" w:hAnsi="Times New Roman" w:cs="Times New Roman"/>
                <w:i/>
                <w:sz w:val="14"/>
                <w:szCs w:val="24"/>
              </w:rPr>
            </w:pPr>
            <w:r>
              <w:rPr>
                <w:rFonts w:ascii="Times New Roman" w:hAnsi="Times New Roman" w:cs="Times New Roman"/>
                <w:i/>
                <w:sz w:val="14"/>
                <w:szCs w:val="24"/>
              </w:rPr>
              <w:t>2002</w:t>
            </w:r>
          </w:p>
        </w:tc>
        <w:tc>
          <w:tcPr>
            <w:tcW w:w="882" w:type="dxa"/>
            <w:gridSpan w:val="2"/>
            <w:tcBorders>
              <w:top w:val="single" w:sz="4" w:space="0" w:color="auto"/>
              <w:bottom w:val="single" w:sz="12" w:space="0" w:color="auto"/>
            </w:tcBorders>
            <w:shd w:val="clear" w:color="auto" w:fill="auto"/>
            <w:vAlign w:val="bottom"/>
          </w:tcPr>
          <w:p w:rsidR="006A4084" w:rsidRPr="006A4084" w:rsidRDefault="00FC5255" w:rsidP="006A4084">
            <w:pPr>
              <w:pStyle w:val="Num"/>
              <w:suppressAutoHyphens/>
              <w:spacing w:before="80" w:after="80" w:line="160" w:lineRule="exact"/>
              <w:ind w:right="43"/>
              <w:rPr>
                <w:rFonts w:ascii="Times New Roman" w:hAnsi="Times New Roman" w:cs="Times New Roman"/>
                <w:i/>
                <w:sz w:val="14"/>
                <w:szCs w:val="24"/>
              </w:rPr>
            </w:pPr>
            <w:r>
              <w:rPr>
                <w:rFonts w:ascii="Times New Roman" w:hAnsi="Times New Roman" w:cs="Times New Roman"/>
                <w:i/>
                <w:sz w:val="14"/>
                <w:szCs w:val="24"/>
              </w:rPr>
              <w:t>2000</w:t>
            </w:r>
          </w:p>
        </w:tc>
        <w:tc>
          <w:tcPr>
            <w:tcW w:w="882" w:type="dxa"/>
            <w:gridSpan w:val="3"/>
            <w:tcBorders>
              <w:top w:val="single" w:sz="4" w:space="0" w:color="auto"/>
              <w:bottom w:val="single" w:sz="12" w:space="0" w:color="auto"/>
            </w:tcBorders>
            <w:shd w:val="clear" w:color="auto" w:fill="auto"/>
            <w:vAlign w:val="bottom"/>
          </w:tcPr>
          <w:p w:rsidR="006A4084" w:rsidRPr="006A4084" w:rsidRDefault="00FC5255" w:rsidP="006A4084">
            <w:pPr>
              <w:pStyle w:val="Num"/>
              <w:suppressAutoHyphens/>
              <w:spacing w:before="80" w:after="80" w:line="160" w:lineRule="exact"/>
              <w:ind w:right="43"/>
              <w:rPr>
                <w:rFonts w:ascii="Times New Roman" w:hAnsi="Times New Roman" w:cs="Times New Roman"/>
                <w:i/>
                <w:sz w:val="14"/>
                <w:szCs w:val="24"/>
              </w:rPr>
            </w:pPr>
            <w:r>
              <w:rPr>
                <w:rFonts w:ascii="Times New Roman" w:hAnsi="Times New Roman" w:cs="Times New Roman"/>
                <w:i/>
                <w:sz w:val="14"/>
                <w:szCs w:val="24"/>
              </w:rPr>
              <w:t>2001</w:t>
            </w:r>
          </w:p>
        </w:tc>
        <w:tc>
          <w:tcPr>
            <w:tcW w:w="882" w:type="dxa"/>
            <w:gridSpan w:val="2"/>
            <w:tcBorders>
              <w:top w:val="single" w:sz="4" w:space="0" w:color="auto"/>
              <w:bottom w:val="single" w:sz="12" w:space="0" w:color="auto"/>
            </w:tcBorders>
            <w:shd w:val="clear" w:color="auto" w:fill="auto"/>
            <w:vAlign w:val="bottom"/>
          </w:tcPr>
          <w:p w:rsidR="006A4084" w:rsidRPr="006A4084" w:rsidRDefault="00FC5255" w:rsidP="006A4084">
            <w:pPr>
              <w:pStyle w:val="Num"/>
              <w:suppressAutoHyphens/>
              <w:spacing w:before="80" w:after="80" w:line="160" w:lineRule="exact"/>
              <w:ind w:right="43"/>
              <w:rPr>
                <w:rFonts w:ascii="Times New Roman" w:hAnsi="Times New Roman" w:cs="Times New Roman"/>
                <w:i/>
                <w:sz w:val="14"/>
                <w:szCs w:val="24"/>
              </w:rPr>
            </w:pPr>
            <w:r>
              <w:rPr>
                <w:rFonts w:ascii="Times New Roman" w:hAnsi="Times New Roman" w:cs="Times New Roman"/>
                <w:i/>
                <w:sz w:val="14"/>
                <w:szCs w:val="24"/>
              </w:rPr>
              <w:t>2002</w:t>
            </w:r>
          </w:p>
        </w:tc>
      </w:tr>
      <w:tr w:rsidR="006405B4" w:rsidRPr="006A4084">
        <w:trPr>
          <w:trHeight w:hRule="exact" w:val="115"/>
          <w:tblHeader/>
        </w:trPr>
        <w:tc>
          <w:tcPr>
            <w:tcW w:w="4590" w:type="dxa"/>
            <w:tcBorders>
              <w:top w:val="single" w:sz="12" w:space="0" w:color="auto"/>
            </w:tcBorders>
            <w:shd w:val="clear" w:color="auto" w:fill="auto"/>
            <w:tcMar>
              <w:left w:w="0" w:type="dxa"/>
              <w:right w:w="0" w:type="dxa"/>
            </w:tcMar>
            <w:vAlign w:val="bottom"/>
          </w:tcPr>
          <w:p w:rsidR="006A4084" w:rsidRPr="006A4084" w:rsidRDefault="006A4084" w:rsidP="006A4084">
            <w:pPr>
              <w:pStyle w:val="CeloAng"/>
              <w:spacing w:before="40" w:after="40" w:line="210" w:lineRule="exact"/>
              <w:ind w:left="114" w:right="43"/>
              <w:rPr>
                <w:rFonts w:ascii="Times New Roman" w:hAnsi="Times New Roman" w:cs="Times New Roman"/>
                <w:b/>
                <w:sz w:val="17"/>
                <w:szCs w:val="24"/>
                <w:lang w:val="fr-FR"/>
              </w:rPr>
            </w:pPr>
          </w:p>
        </w:tc>
        <w:tc>
          <w:tcPr>
            <w:tcW w:w="882" w:type="dxa"/>
            <w:tcBorders>
              <w:top w:val="single" w:sz="12" w:space="0" w:color="auto"/>
            </w:tcBorders>
            <w:shd w:val="clear" w:color="auto" w:fill="auto"/>
            <w:vAlign w:val="bottom"/>
          </w:tcPr>
          <w:p w:rsidR="006A4084" w:rsidRPr="006A4084" w:rsidRDefault="006A4084" w:rsidP="006A4084">
            <w:pPr>
              <w:pStyle w:val="Num"/>
              <w:suppressAutoHyphens/>
              <w:spacing w:before="40" w:after="40" w:line="210" w:lineRule="exact"/>
              <w:ind w:right="43"/>
              <w:rPr>
                <w:rFonts w:ascii="Times New Roman" w:hAnsi="Times New Roman" w:cs="Times New Roman"/>
                <w:sz w:val="17"/>
                <w:szCs w:val="24"/>
              </w:rPr>
            </w:pPr>
          </w:p>
        </w:tc>
        <w:tc>
          <w:tcPr>
            <w:tcW w:w="882" w:type="dxa"/>
            <w:tcBorders>
              <w:top w:val="single" w:sz="12" w:space="0" w:color="auto"/>
            </w:tcBorders>
            <w:shd w:val="clear" w:color="auto" w:fill="auto"/>
            <w:vAlign w:val="bottom"/>
          </w:tcPr>
          <w:p w:rsidR="006A4084" w:rsidRPr="006A4084" w:rsidRDefault="006A4084" w:rsidP="006A4084">
            <w:pPr>
              <w:pStyle w:val="Num"/>
              <w:suppressAutoHyphens/>
              <w:spacing w:before="40" w:after="40" w:line="210" w:lineRule="exact"/>
              <w:ind w:right="43"/>
              <w:rPr>
                <w:rFonts w:ascii="Times New Roman" w:hAnsi="Times New Roman" w:cs="Times New Roman"/>
                <w:sz w:val="17"/>
                <w:szCs w:val="24"/>
              </w:rPr>
            </w:pPr>
          </w:p>
        </w:tc>
        <w:tc>
          <w:tcPr>
            <w:tcW w:w="882" w:type="dxa"/>
            <w:gridSpan w:val="2"/>
            <w:tcBorders>
              <w:top w:val="single" w:sz="12" w:space="0" w:color="auto"/>
            </w:tcBorders>
            <w:shd w:val="clear" w:color="auto" w:fill="auto"/>
            <w:vAlign w:val="bottom"/>
          </w:tcPr>
          <w:p w:rsidR="006A4084" w:rsidRPr="006A4084" w:rsidRDefault="006A4084" w:rsidP="006A4084">
            <w:pPr>
              <w:pStyle w:val="Num"/>
              <w:suppressAutoHyphens/>
              <w:spacing w:before="40" w:after="40" w:line="210" w:lineRule="exact"/>
              <w:ind w:right="43"/>
              <w:rPr>
                <w:rFonts w:ascii="Times New Roman" w:hAnsi="Times New Roman" w:cs="Times New Roman"/>
                <w:sz w:val="17"/>
                <w:szCs w:val="24"/>
              </w:rPr>
            </w:pPr>
          </w:p>
        </w:tc>
        <w:tc>
          <w:tcPr>
            <w:tcW w:w="882" w:type="dxa"/>
            <w:gridSpan w:val="2"/>
            <w:tcBorders>
              <w:top w:val="single" w:sz="12" w:space="0" w:color="auto"/>
            </w:tcBorders>
            <w:shd w:val="clear" w:color="auto" w:fill="auto"/>
            <w:vAlign w:val="bottom"/>
          </w:tcPr>
          <w:p w:rsidR="006A4084" w:rsidRPr="006A4084" w:rsidRDefault="006A4084" w:rsidP="006A4084">
            <w:pPr>
              <w:pStyle w:val="Num"/>
              <w:suppressAutoHyphens/>
              <w:spacing w:before="40" w:after="40" w:line="210" w:lineRule="exact"/>
              <w:ind w:right="43"/>
              <w:rPr>
                <w:rFonts w:ascii="Times New Roman" w:hAnsi="Times New Roman" w:cs="Times New Roman"/>
                <w:sz w:val="17"/>
                <w:szCs w:val="24"/>
              </w:rPr>
            </w:pPr>
          </w:p>
        </w:tc>
        <w:tc>
          <w:tcPr>
            <w:tcW w:w="882" w:type="dxa"/>
            <w:gridSpan w:val="3"/>
            <w:tcBorders>
              <w:top w:val="single" w:sz="12" w:space="0" w:color="auto"/>
            </w:tcBorders>
            <w:shd w:val="clear" w:color="auto" w:fill="auto"/>
            <w:vAlign w:val="bottom"/>
          </w:tcPr>
          <w:p w:rsidR="006A4084" w:rsidRPr="006A4084" w:rsidRDefault="006A4084" w:rsidP="006A4084">
            <w:pPr>
              <w:pStyle w:val="Num"/>
              <w:suppressAutoHyphens/>
              <w:spacing w:before="40" w:after="40" w:line="210" w:lineRule="exact"/>
              <w:ind w:right="43"/>
              <w:rPr>
                <w:rFonts w:ascii="Times New Roman" w:hAnsi="Times New Roman" w:cs="Times New Roman"/>
                <w:sz w:val="17"/>
                <w:szCs w:val="24"/>
              </w:rPr>
            </w:pPr>
          </w:p>
        </w:tc>
        <w:tc>
          <w:tcPr>
            <w:tcW w:w="882" w:type="dxa"/>
            <w:gridSpan w:val="2"/>
            <w:tcBorders>
              <w:top w:val="single" w:sz="12" w:space="0" w:color="auto"/>
            </w:tcBorders>
            <w:shd w:val="clear" w:color="auto" w:fill="auto"/>
            <w:vAlign w:val="bottom"/>
          </w:tcPr>
          <w:p w:rsidR="006A4084" w:rsidRPr="006A4084" w:rsidRDefault="006A4084" w:rsidP="006A4084">
            <w:pPr>
              <w:pStyle w:val="Num"/>
              <w:suppressAutoHyphens/>
              <w:spacing w:before="40" w:after="40" w:line="210" w:lineRule="exact"/>
              <w:ind w:right="43"/>
              <w:rPr>
                <w:rFonts w:ascii="Times New Roman" w:hAnsi="Times New Roman" w:cs="Times New Roman"/>
                <w:sz w:val="17"/>
                <w:szCs w:val="24"/>
              </w:rPr>
            </w:pPr>
          </w:p>
        </w:tc>
      </w:tr>
      <w:tr w:rsidR="00507382" w:rsidRPr="006A4084">
        <w:trPr>
          <w:trHeight w:val="211"/>
        </w:trPr>
        <w:tc>
          <w:tcPr>
            <w:tcW w:w="4590" w:type="dxa"/>
            <w:shd w:val="clear" w:color="auto" w:fill="auto"/>
            <w:tcMar>
              <w:left w:w="0" w:type="dxa"/>
              <w:right w:w="0" w:type="dxa"/>
            </w:tcMar>
            <w:vAlign w:val="bottom"/>
          </w:tcPr>
          <w:p w:rsidR="0073290F" w:rsidRPr="006A4084" w:rsidRDefault="0073290F" w:rsidP="006A4084">
            <w:pPr>
              <w:pStyle w:val="CeloAng"/>
              <w:tabs>
                <w:tab w:val="left" w:pos="288"/>
                <w:tab w:val="left" w:pos="576"/>
                <w:tab w:val="left" w:pos="864"/>
                <w:tab w:val="left" w:pos="1152"/>
              </w:tabs>
              <w:spacing w:before="40" w:after="40" w:line="210" w:lineRule="exact"/>
              <w:ind w:left="114" w:right="43"/>
              <w:rPr>
                <w:rFonts w:ascii="Times New Roman" w:hAnsi="Times New Roman" w:cs="Times New Roman"/>
                <w:b/>
                <w:sz w:val="17"/>
                <w:szCs w:val="24"/>
                <w:lang w:val="fr-FR"/>
              </w:rPr>
            </w:pPr>
            <w:r w:rsidRPr="006A4084">
              <w:rPr>
                <w:rFonts w:ascii="Times New Roman" w:hAnsi="Times New Roman" w:cs="Times New Roman"/>
                <w:b/>
                <w:sz w:val="17"/>
                <w:szCs w:val="24"/>
                <w:lang w:val="fr-FR"/>
              </w:rPr>
              <w:t>Taux de risque de pauvreté</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13,0</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12,9</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11,9</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11,3</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10,6</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9,9</w:t>
            </w:r>
          </w:p>
        </w:tc>
      </w:tr>
      <w:tr w:rsidR="00507382" w:rsidRPr="006A4084">
        <w:trPr>
          <w:trHeight w:val="411"/>
        </w:trPr>
        <w:tc>
          <w:tcPr>
            <w:tcW w:w="4590" w:type="dxa"/>
            <w:shd w:val="clear" w:color="auto" w:fill="auto"/>
            <w:tcMar>
              <w:left w:w="0" w:type="dxa"/>
              <w:right w:w="0" w:type="dxa"/>
            </w:tcMar>
            <w:vAlign w:val="bottom"/>
          </w:tcPr>
          <w:p w:rsidR="0073290F" w:rsidRPr="006A4084" w:rsidRDefault="0073290F" w:rsidP="006A4084">
            <w:pPr>
              <w:pStyle w:val="CeloAng"/>
              <w:tabs>
                <w:tab w:val="left" w:pos="288"/>
                <w:tab w:val="left" w:pos="576"/>
                <w:tab w:val="left" w:pos="864"/>
                <w:tab w:val="left" w:pos="1152"/>
              </w:tabs>
              <w:spacing w:before="40" w:after="40" w:line="210" w:lineRule="exact"/>
              <w:ind w:left="114" w:right="43"/>
              <w:rPr>
                <w:rFonts w:ascii="Times New Roman" w:hAnsi="Times New Roman" w:cs="Times New Roman"/>
                <w:b/>
                <w:sz w:val="17"/>
                <w:szCs w:val="24"/>
                <w:lang w:val="fr-FR"/>
              </w:rPr>
            </w:pPr>
            <w:r w:rsidRPr="006A4084">
              <w:rPr>
                <w:rFonts w:ascii="Times New Roman" w:hAnsi="Times New Roman" w:cs="Times New Roman"/>
                <w:b/>
                <w:sz w:val="17"/>
                <w:szCs w:val="24"/>
                <w:lang w:val="fr-FR"/>
              </w:rPr>
              <w:t>Taux de risque de pauvreté, par tranche d’âge et par sexe</w:t>
            </w:r>
          </w:p>
        </w:tc>
        <w:tc>
          <w:tcPr>
            <w:tcW w:w="882" w:type="dxa"/>
            <w:shd w:val="clear" w:color="auto" w:fill="auto"/>
            <w:vAlign w:val="bottom"/>
          </w:tcPr>
          <w:p w:rsidR="0073290F" w:rsidRPr="006A4084" w:rsidRDefault="0073290F" w:rsidP="00FC5255">
            <w:pPr>
              <w:pStyle w:val="Num"/>
              <w:tabs>
                <w:tab w:val="left" w:pos="288"/>
                <w:tab w:val="left" w:pos="576"/>
                <w:tab w:val="left" w:pos="864"/>
                <w:tab w:val="left" w:pos="1152"/>
              </w:tabs>
              <w:suppressAutoHyphens/>
              <w:spacing w:before="40" w:after="40" w:line="210" w:lineRule="exact"/>
              <w:ind w:right="43"/>
              <w:jc w:val="left"/>
              <w:rPr>
                <w:rFonts w:ascii="Times New Roman" w:hAnsi="Times New Roman" w:cs="Times New Roman"/>
                <w:b/>
                <w:sz w:val="17"/>
                <w:szCs w:val="24"/>
                <w:lang w:val="sv-SE"/>
              </w:rPr>
            </w:pP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b/>
                <w:sz w:val="17"/>
                <w:szCs w:val="24"/>
                <w:lang w:val="sv-SE"/>
              </w:rPr>
            </w:pP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b/>
                <w:sz w:val="17"/>
                <w:szCs w:val="24"/>
                <w:lang w:val="sv-SE"/>
              </w:rPr>
            </w:pP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b/>
                <w:sz w:val="17"/>
                <w:szCs w:val="24"/>
                <w:lang w:val="sv-SE"/>
              </w:rPr>
            </w:pP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b/>
                <w:sz w:val="17"/>
                <w:szCs w:val="24"/>
                <w:lang w:val="sv-SE"/>
              </w:rPr>
            </w:pP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b/>
                <w:sz w:val="17"/>
                <w:szCs w:val="24"/>
                <w:lang w:val="sv-SE"/>
              </w:rPr>
            </w:pP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lang w:val="fr-FR"/>
              </w:rPr>
              <w:t xml:space="preserve"> </w:t>
            </w:r>
            <w:r w:rsidRPr="006A4084">
              <w:rPr>
                <w:rFonts w:ascii="Times New Roman" w:hAnsi="Times New Roman" w:cs="Times New Roman"/>
                <w:sz w:val="17"/>
                <w:szCs w:val="24"/>
              </w:rPr>
              <w:t>Hommes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12,5</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bookmarkStart w:id="1" w:name="RANGE!H15"/>
            <w:r w:rsidRPr="006A4084">
              <w:rPr>
                <w:rFonts w:ascii="Times New Roman" w:hAnsi="Times New Roman" w:cs="Times New Roman"/>
                <w:sz w:val="17"/>
                <w:szCs w:val="24"/>
              </w:rPr>
              <w:t>12,4</w:t>
            </w:r>
            <w:bookmarkEnd w:id="1"/>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11,1</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10,5</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9,6</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8,5</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 xml:space="preserve"> Femmes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13,5</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13,3</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12,6</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12,0</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11,6</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11,2</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 xml:space="preserve"> 0-15 ans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11,2</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11,7</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10,5</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9,3</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8,7</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7,4</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 xml:space="preserve"> 16-24 ans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12,3</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13,4</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12,3</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10,3</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10,3</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10,0</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numPr>
                <w:ilvl w:val="0"/>
                <w:numId w:val="3"/>
              </w:numPr>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Hommes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13,2</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14,1</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12,9</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10,7</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10,4</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10,2</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numPr>
                <w:ilvl w:val="0"/>
                <w:numId w:val="3"/>
              </w:numPr>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Femmes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11,2</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12,5</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11,6</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9,9</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10,3</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9,9</w:t>
            </w:r>
          </w:p>
        </w:tc>
      </w:tr>
      <w:tr w:rsidR="00507382" w:rsidRPr="006A4084">
        <w:trPr>
          <w:trHeight w:val="211"/>
        </w:trPr>
        <w:tc>
          <w:tcPr>
            <w:tcW w:w="4590" w:type="dxa"/>
            <w:shd w:val="clear" w:color="auto" w:fill="auto"/>
            <w:tcMar>
              <w:left w:w="0" w:type="dxa"/>
              <w:right w:w="0" w:type="dxa"/>
            </w:tcMar>
            <w:vAlign w:val="bottom"/>
          </w:tcPr>
          <w:p w:rsidR="0073290F" w:rsidRPr="006A4084" w:rsidRDefault="0073290F" w:rsidP="00FC5255">
            <w:pPr>
              <w:pStyle w:val="CeloAng"/>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 xml:space="preserve"> 25-49 ans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10,8</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10,3</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9,0</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9,2</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8,6</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7,4</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numPr>
                <w:ilvl w:val="0"/>
                <w:numId w:val="3"/>
              </w:numPr>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Hommes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11,3</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10,6</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9,3</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9,5</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8,7</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7,6</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numPr>
                <w:ilvl w:val="0"/>
                <w:numId w:val="3"/>
              </w:numPr>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Femmes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10,3</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9,9</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8,6</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8,9</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8,5</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7,2</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 xml:space="preserve"> 50-64 ans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12,0</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11,7</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11,3</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10,6</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9,7</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9,7</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numPr>
                <w:ilvl w:val="0"/>
                <w:numId w:val="3"/>
              </w:numPr>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Hommes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12,3</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11,8</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11,9</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10,9</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9,3</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9,7</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numPr>
                <w:ilvl w:val="0"/>
                <w:numId w:val="3"/>
              </w:numPr>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Femmes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11,7</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11,6</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10,6</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10,3</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10,1</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9,7</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tabs>
                <w:tab w:val="left" w:pos="288"/>
                <w:tab w:val="left" w:pos="576"/>
                <w:tab w:val="left" w:pos="864"/>
                <w:tab w:val="left" w:pos="1152"/>
                <w:tab w:val="right" w:pos="2680"/>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 xml:space="preserve"> 65 ans et plus</w:t>
            </w:r>
            <w:r w:rsidRPr="006A4084">
              <w:rPr>
                <w:rFonts w:ascii="Times New Roman" w:hAnsi="Times New Roman" w:cs="Times New Roman"/>
                <w:sz w:val="17"/>
                <w:szCs w:val="24"/>
              </w:rPr>
              <w:tab/>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23,4</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22,3</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21,4</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21,2</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19,5</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19,2</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numPr>
                <w:ilvl w:val="0"/>
                <w:numId w:val="3"/>
              </w:numPr>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Hommes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18,5</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19,6</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16,7</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14,0</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12,9</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10,8</w:t>
            </w:r>
          </w:p>
        </w:tc>
      </w:tr>
      <w:tr w:rsidR="00507382" w:rsidRPr="006A4084">
        <w:trPr>
          <w:trHeight w:val="211"/>
        </w:trPr>
        <w:tc>
          <w:tcPr>
            <w:tcW w:w="4590" w:type="dxa"/>
            <w:shd w:val="clear" w:color="auto" w:fill="auto"/>
            <w:tcMar>
              <w:left w:w="0" w:type="dxa"/>
              <w:right w:w="0" w:type="dxa"/>
            </w:tcMar>
            <w:vAlign w:val="bottom"/>
          </w:tcPr>
          <w:p w:rsidR="0073290F" w:rsidRPr="006A4084" w:rsidRDefault="0073290F" w:rsidP="00FC5255">
            <w:pPr>
              <w:pStyle w:val="CeloAng"/>
              <w:numPr>
                <w:ilvl w:val="0"/>
                <w:numId w:val="3"/>
              </w:numPr>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Femmes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26,3</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23,8</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24,1</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25,4</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23,5</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24,1</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 xml:space="preserve"> 0-64 ans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11,4</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11,4</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10,3</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9,7</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9,1</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8,3</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numPr>
                <w:ilvl w:val="0"/>
                <w:numId w:val="3"/>
              </w:numPr>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Hommes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11,9</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11,6</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10,5</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10,1</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9,2</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8,3</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numPr>
                <w:ilvl w:val="0"/>
                <w:numId w:val="3"/>
              </w:numPr>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Femmes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10,8</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11,1</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10,1</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9,3</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9,1</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8,4</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 xml:space="preserve"> 16 ans et plus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13,4</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13,1</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12,2</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11,7</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11,0</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10,4</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numPr>
                <w:ilvl w:val="0"/>
                <w:numId w:val="3"/>
              </w:numPr>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Hommes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12,8</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12,7</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11,5</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10,6</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9,7</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9,0</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numPr>
                <w:ilvl w:val="0"/>
                <w:numId w:val="3"/>
              </w:numPr>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Femmes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13,9</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13,6</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12,8</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12,7</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12,2</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11,8</w:t>
            </w:r>
          </w:p>
        </w:tc>
      </w:tr>
      <w:tr w:rsidR="00507382" w:rsidRPr="006A4084">
        <w:trPr>
          <w:trHeight w:val="223"/>
        </w:trPr>
        <w:tc>
          <w:tcPr>
            <w:tcW w:w="4590" w:type="dxa"/>
            <w:shd w:val="clear" w:color="auto" w:fill="auto"/>
            <w:tcMar>
              <w:left w:w="0" w:type="dxa"/>
              <w:right w:w="0" w:type="dxa"/>
            </w:tcMar>
            <w:vAlign w:val="bottom"/>
          </w:tcPr>
          <w:p w:rsidR="0073290F" w:rsidRPr="006A4084" w:rsidRDefault="0073290F" w:rsidP="00FC5255">
            <w:pPr>
              <w:pStyle w:val="CeloAng"/>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 xml:space="preserve"> 16-64 ans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11,4</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11,3</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10,2</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9,8</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9,2</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8,5</w:t>
            </w:r>
          </w:p>
        </w:tc>
      </w:tr>
      <w:tr w:rsidR="00507382" w:rsidRPr="006A4084">
        <w:trPr>
          <w:trHeight w:val="211"/>
        </w:trPr>
        <w:tc>
          <w:tcPr>
            <w:tcW w:w="4590" w:type="dxa"/>
            <w:shd w:val="clear" w:color="auto" w:fill="auto"/>
            <w:tcMar>
              <w:left w:w="0" w:type="dxa"/>
              <w:right w:w="0" w:type="dxa"/>
            </w:tcMar>
            <w:vAlign w:val="bottom"/>
          </w:tcPr>
          <w:p w:rsidR="0073290F" w:rsidRPr="006A4084" w:rsidRDefault="0073290F" w:rsidP="00FC5255">
            <w:pPr>
              <w:pStyle w:val="CeloAng"/>
              <w:numPr>
                <w:ilvl w:val="0"/>
                <w:numId w:val="3"/>
              </w:numPr>
              <w:tabs>
                <w:tab w:val="left" w:pos="288"/>
                <w:tab w:val="left" w:pos="576"/>
                <w:tab w:val="left" w:pos="864"/>
                <w:tab w:val="left" w:pos="1152"/>
              </w:tabs>
              <w:spacing w:before="40" w:after="40" w:line="210" w:lineRule="exact"/>
              <w:ind w:left="144" w:right="43"/>
              <w:rPr>
                <w:rFonts w:ascii="Times New Roman" w:hAnsi="Times New Roman" w:cs="Times New Roman"/>
                <w:sz w:val="17"/>
                <w:szCs w:val="24"/>
              </w:rPr>
            </w:pPr>
            <w:r w:rsidRPr="006A4084">
              <w:rPr>
                <w:rFonts w:ascii="Times New Roman" w:hAnsi="Times New Roman" w:cs="Times New Roman"/>
                <w:sz w:val="17"/>
                <w:szCs w:val="24"/>
              </w:rPr>
              <w:t>Hommes</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11,9</w:t>
            </w:r>
          </w:p>
        </w:tc>
        <w:tc>
          <w:tcPr>
            <w:tcW w:w="882" w:type="dxa"/>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11,6</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10,7</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10,1</w:t>
            </w:r>
          </w:p>
        </w:tc>
        <w:tc>
          <w:tcPr>
            <w:tcW w:w="882" w:type="dxa"/>
            <w:gridSpan w:val="3"/>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9,2</w:t>
            </w:r>
          </w:p>
        </w:tc>
        <w:tc>
          <w:tcPr>
            <w:tcW w:w="882" w:type="dxa"/>
            <w:gridSpan w:val="2"/>
            <w:shd w:val="clear" w:color="auto" w:fill="auto"/>
            <w:vAlign w:val="bottom"/>
          </w:tcPr>
          <w:p w:rsidR="0073290F" w:rsidRPr="006A4084" w:rsidRDefault="0073290F" w:rsidP="006A4084">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8,7</w:t>
            </w:r>
          </w:p>
        </w:tc>
      </w:tr>
      <w:tr w:rsidR="00507382" w:rsidRPr="006A4084">
        <w:trPr>
          <w:trHeight w:val="211"/>
        </w:trPr>
        <w:tc>
          <w:tcPr>
            <w:tcW w:w="4590" w:type="dxa"/>
            <w:shd w:val="clear" w:color="auto" w:fill="auto"/>
            <w:tcMar>
              <w:left w:w="0" w:type="dxa"/>
              <w:right w:w="0" w:type="dxa"/>
            </w:tcMar>
            <w:vAlign w:val="bottom"/>
          </w:tcPr>
          <w:p w:rsidR="00FC5255" w:rsidRPr="006A4084" w:rsidRDefault="00FC5255" w:rsidP="00FC5255">
            <w:pPr>
              <w:pStyle w:val="CeloAng"/>
              <w:numPr>
                <w:ilvl w:val="0"/>
                <w:numId w:val="3"/>
              </w:numPr>
              <w:tabs>
                <w:tab w:val="left" w:pos="288"/>
                <w:tab w:val="left" w:pos="576"/>
                <w:tab w:val="left" w:pos="864"/>
                <w:tab w:val="left" w:pos="1152"/>
              </w:tabs>
              <w:spacing w:before="40" w:after="40" w:line="210" w:lineRule="exact"/>
              <w:ind w:left="144" w:right="43"/>
              <w:rPr>
                <w:rFonts w:ascii="Times New Roman" w:hAnsi="Times New Roman" w:cs="Times New Roman"/>
                <w:sz w:val="17"/>
                <w:szCs w:val="24"/>
                <w:lang w:val="de-DE"/>
              </w:rPr>
            </w:pPr>
            <w:r w:rsidRPr="006A4084">
              <w:rPr>
                <w:rFonts w:ascii="Times New Roman" w:hAnsi="Times New Roman" w:cs="Times New Roman"/>
                <w:sz w:val="17"/>
                <w:szCs w:val="24"/>
                <w:lang w:val="de-DE"/>
              </w:rPr>
              <w:t>Femmes</w:t>
            </w:r>
          </w:p>
        </w:tc>
        <w:tc>
          <w:tcPr>
            <w:tcW w:w="882" w:type="dxa"/>
            <w:shd w:val="clear" w:color="auto" w:fill="auto"/>
            <w:vAlign w:val="bottom"/>
          </w:tcPr>
          <w:p w:rsidR="00FC5255" w:rsidRPr="006A4084" w:rsidRDefault="00FC5255"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de-DE"/>
              </w:rPr>
            </w:pPr>
            <w:r w:rsidRPr="006A4084">
              <w:rPr>
                <w:rFonts w:ascii="Times New Roman" w:hAnsi="Times New Roman" w:cs="Times New Roman"/>
                <w:sz w:val="17"/>
                <w:szCs w:val="24"/>
                <w:lang w:val="de-DE"/>
              </w:rPr>
              <w:t>10,8</w:t>
            </w:r>
          </w:p>
        </w:tc>
        <w:tc>
          <w:tcPr>
            <w:tcW w:w="882" w:type="dxa"/>
            <w:shd w:val="clear" w:color="auto" w:fill="auto"/>
            <w:vAlign w:val="bottom"/>
          </w:tcPr>
          <w:p w:rsidR="00FC5255" w:rsidRPr="006A4084" w:rsidRDefault="00FC5255"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de-DE"/>
              </w:rPr>
            </w:pPr>
            <w:r w:rsidRPr="006A4084">
              <w:rPr>
                <w:rFonts w:ascii="Times New Roman" w:hAnsi="Times New Roman" w:cs="Times New Roman"/>
                <w:sz w:val="17"/>
                <w:szCs w:val="24"/>
                <w:lang w:val="de-DE"/>
              </w:rPr>
              <w:t>10,9</w:t>
            </w:r>
          </w:p>
        </w:tc>
        <w:tc>
          <w:tcPr>
            <w:tcW w:w="882" w:type="dxa"/>
            <w:gridSpan w:val="2"/>
            <w:shd w:val="clear" w:color="auto" w:fill="auto"/>
            <w:vAlign w:val="bottom"/>
          </w:tcPr>
          <w:p w:rsidR="00FC5255" w:rsidRPr="006A4084" w:rsidRDefault="00FC5255"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de-DE"/>
              </w:rPr>
            </w:pPr>
            <w:r w:rsidRPr="006A4084">
              <w:rPr>
                <w:rFonts w:ascii="Times New Roman" w:hAnsi="Times New Roman" w:cs="Times New Roman"/>
                <w:sz w:val="17"/>
                <w:szCs w:val="24"/>
                <w:lang w:val="de-DE"/>
              </w:rPr>
              <w:t>9,7</w:t>
            </w:r>
          </w:p>
        </w:tc>
        <w:tc>
          <w:tcPr>
            <w:tcW w:w="882" w:type="dxa"/>
            <w:gridSpan w:val="2"/>
            <w:shd w:val="clear" w:color="auto" w:fill="auto"/>
            <w:vAlign w:val="bottom"/>
          </w:tcPr>
          <w:p w:rsidR="00FC5255" w:rsidRPr="006A4084" w:rsidRDefault="00FC5255"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de-DE"/>
              </w:rPr>
            </w:pPr>
            <w:r w:rsidRPr="006A4084">
              <w:rPr>
                <w:rFonts w:ascii="Times New Roman" w:hAnsi="Times New Roman" w:cs="Times New Roman"/>
                <w:sz w:val="17"/>
                <w:szCs w:val="24"/>
                <w:lang w:val="de-DE"/>
              </w:rPr>
              <w:t>9,5</w:t>
            </w:r>
          </w:p>
        </w:tc>
        <w:tc>
          <w:tcPr>
            <w:tcW w:w="882" w:type="dxa"/>
            <w:gridSpan w:val="3"/>
            <w:shd w:val="clear" w:color="auto" w:fill="auto"/>
            <w:vAlign w:val="bottom"/>
          </w:tcPr>
          <w:p w:rsidR="00FC5255" w:rsidRPr="006A4084" w:rsidRDefault="00FC5255"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de-DE"/>
              </w:rPr>
            </w:pPr>
            <w:r w:rsidRPr="006A4084">
              <w:rPr>
                <w:rFonts w:ascii="Times New Roman" w:hAnsi="Times New Roman" w:cs="Times New Roman"/>
                <w:sz w:val="17"/>
                <w:szCs w:val="24"/>
                <w:lang w:val="de-DE"/>
              </w:rPr>
              <w:t>9,2</w:t>
            </w:r>
          </w:p>
        </w:tc>
        <w:tc>
          <w:tcPr>
            <w:tcW w:w="882" w:type="dxa"/>
            <w:gridSpan w:val="2"/>
            <w:shd w:val="clear" w:color="auto" w:fill="auto"/>
            <w:vAlign w:val="bottom"/>
          </w:tcPr>
          <w:p w:rsidR="00FC5255" w:rsidRPr="006A4084" w:rsidRDefault="00FC5255"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de-DE"/>
              </w:rPr>
            </w:pPr>
            <w:r w:rsidRPr="006A4084">
              <w:rPr>
                <w:rFonts w:ascii="Times New Roman" w:hAnsi="Times New Roman" w:cs="Times New Roman"/>
                <w:sz w:val="17"/>
                <w:szCs w:val="24"/>
                <w:lang w:val="de-DE"/>
              </w:rPr>
              <w:t>8,4</w:t>
            </w:r>
          </w:p>
        </w:tc>
      </w:tr>
      <w:tr w:rsidR="006E710C" w:rsidRPr="006A4084">
        <w:trPr>
          <w:trHeight w:val="211"/>
        </w:trPr>
        <w:tc>
          <w:tcPr>
            <w:tcW w:w="4590" w:type="dxa"/>
            <w:shd w:val="clear" w:color="auto" w:fill="auto"/>
            <w:tcMar>
              <w:left w:w="0" w:type="dxa"/>
              <w:right w:w="0" w:type="dxa"/>
            </w:tcMar>
            <w:vAlign w:val="bottom"/>
          </w:tcPr>
          <w:p w:rsidR="00507382" w:rsidRPr="00507382" w:rsidRDefault="00507382" w:rsidP="004077D8">
            <w:pPr>
              <w:pStyle w:val="CeloAng"/>
              <w:tabs>
                <w:tab w:val="left" w:pos="288"/>
                <w:tab w:val="left" w:pos="576"/>
                <w:tab w:val="left" w:pos="864"/>
                <w:tab w:val="left" w:pos="1152"/>
              </w:tabs>
              <w:spacing w:before="40" w:after="40" w:line="210" w:lineRule="exact"/>
              <w:ind w:right="43"/>
              <w:rPr>
                <w:rFonts w:ascii="Times New Roman" w:hAnsi="Times New Roman" w:cs="Times New Roman"/>
                <w:b/>
                <w:sz w:val="17"/>
                <w:szCs w:val="24"/>
                <w:lang w:val="fr-FR"/>
              </w:rPr>
            </w:pPr>
            <w:r w:rsidRPr="00507382">
              <w:rPr>
                <w:rFonts w:ascii="Times New Roman" w:hAnsi="Times New Roman" w:cs="Times New Roman"/>
                <w:b/>
                <w:sz w:val="17"/>
                <w:szCs w:val="24"/>
                <w:lang w:val="fr-FR"/>
              </w:rPr>
              <w:t>Taux de risque de pauvreté, selon les statuts les plus courants en matière d’activité, et par sexe</w:t>
            </w:r>
          </w:p>
        </w:tc>
        <w:tc>
          <w:tcPr>
            <w:tcW w:w="882" w:type="dxa"/>
            <w:shd w:val="clear" w:color="auto" w:fill="auto"/>
            <w:vAlign w:val="bottom"/>
          </w:tcPr>
          <w:p w:rsidR="00507382" w:rsidRPr="00E30EA9"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fr-FR"/>
              </w:rPr>
            </w:pPr>
          </w:p>
        </w:tc>
        <w:tc>
          <w:tcPr>
            <w:tcW w:w="882" w:type="dxa"/>
            <w:shd w:val="clear" w:color="auto" w:fill="auto"/>
            <w:vAlign w:val="bottom"/>
          </w:tcPr>
          <w:p w:rsidR="00507382" w:rsidRPr="00E30EA9"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fr-FR"/>
              </w:rPr>
            </w:pPr>
          </w:p>
        </w:tc>
        <w:tc>
          <w:tcPr>
            <w:tcW w:w="882" w:type="dxa"/>
            <w:gridSpan w:val="2"/>
            <w:shd w:val="clear" w:color="auto" w:fill="auto"/>
            <w:vAlign w:val="bottom"/>
          </w:tcPr>
          <w:p w:rsidR="00507382" w:rsidRPr="00E30EA9"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fr-FR"/>
              </w:rPr>
            </w:pPr>
          </w:p>
        </w:tc>
        <w:tc>
          <w:tcPr>
            <w:tcW w:w="882" w:type="dxa"/>
            <w:gridSpan w:val="2"/>
            <w:shd w:val="clear" w:color="auto" w:fill="auto"/>
            <w:vAlign w:val="bottom"/>
          </w:tcPr>
          <w:p w:rsidR="00507382" w:rsidRPr="00E30EA9"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fr-FR"/>
              </w:rPr>
            </w:pPr>
          </w:p>
        </w:tc>
        <w:tc>
          <w:tcPr>
            <w:tcW w:w="882" w:type="dxa"/>
            <w:gridSpan w:val="3"/>
            <w:shd w:val="clear" w:color="auto" w:fill="auto"/>
            <w:vAlign w:val="bottom"/>
          </w:tcPr>
          <w:p w:rsidR="00507382" w:rsidRPr="00E30EA9"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fr-FR"/>
              </w:rPr>
            </w:pPr>
          </w:p>
        </w:tc>
        <w:tc>
          <w:tcPr>
            <w:tcW w:w="882" w:type="dxa"/>
            <w:gridSpan w:val="2"/>
            <w:shd w:val="clear" w:color="auto" w:fill="auto"/>
            <w:vAlign w:val="bottom"/>
          </w:tcPr>
          <w:p w:rsidR="00507382" w:rsidRPr="00E30EA9"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fr-FR"/>
              </w:rPr>
            </w:pPr>
          </w:p>
        </w:tc>
      </w:tr>
      <w:tr w:rsidR="00507382" w:rsidRPr="006A4084">
        <w:trPr>
          <w:trHeight w:val="211"/>
        </w:trPr>
        <w:tc>
          <w:tcPr>
            <w:tcW w:w="4590" w:type="dxa"/>
            <w:shd w:val="clear" w:color="auto" w:fill="auto"/>
            <w:tcMar>
              <w:left w:w="0" w:type="dxa"/>
              <w:right w:w="0" w:type="dxa"/>
            </w:tcMar>
            <w:vAlign w:val="bottom"/>
          </w:tcPr>
          <w:p w:rsidR="00507382" w:rsidRPr="006A4084" w:rsidRDefault="00507382" w:rsidP="004077D8">
            <w:pPr>
              <w:pStyle w:val="CeloAng"/>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lang w:val="fr-FR"/>
              </w:rPr>
              <w:t xml:space="preserve"> </w:t>
            </w:r>
            <w:r w:rsidRPr="006A4084">
              <w:rPr>
                <w:rFonts w:ascii="Times New Roman" w:hAnsi="Times New Roman" w:cs="Times New Roman"/>
                <w:sz w:val="17"/>
                <w:szCs w:val="24"/>
              </w:rPr>
              <w:t>Actifs</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6,8</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6,8</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5,6</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5,2</w:t>
            </w:r>
          </w:p>
        </w:tc>
        <w:tc>
          <w:tcPr>
            <w:tcW w:w="882" w:type="dxa"/>
            <w:gridSpan w:val="3"/>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4,8</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3,7</w:t>
            </w:r>
          </w:p>
        </w:tc>
      </w:tr>
      <w:tr w:rsidR="00507382" w:rsidRPr="006A4084">
        <w:trPr>
          <w:trHeight w:val="211"/>
        </w:trPr>
        <w:tc>
          <w:tcPr>
            <w:tcW w:w="4590" w:type="dxa"/>
            <w:shd w:val="clear" w:color="auto" w:fill="auto"/>
            <w:tcMar>
              <w:left w:w="0" w:type="dxa"/>
              <w:right w:w="0" w:type="dxa"/>
            </w:tcMar>
            <w:vAlign w:val="bottom"/>
          </w:tcPr>
          <w:p w:rsidR="00507382" w:rsidRPr="006A4084" w:rsidRDefault="00507382" w:rsidP="004077D8">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Hommes</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7,4</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7,5</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6,3</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5,6</w:t>
            </w:r>
          </w:p>
        </w:tc>
        <w:tc>
          <w:tcPr>
            <w:tcW w:w="882" w:type="dxa"/>
            <w:gridSpan w:val="3"/>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5,4</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4,1</w:t>
            </w:r>
          </w:p>
        </w:tc>
      </w:tr>
      <w:tr w:rsidR="00507382" w:rsidRPr="006A4084">
        <w:trPr>
          <w:trHeight w:val="211"/>
        </w:trPr>
        <w:tc>
          <w:tcPr>
            <w:tcW w:w="4590" w:type="dxa"/>
            <w:shd w:val="clear" w:color="auto" w:fill="auto"/>
            <w:tcMar>
              <w:left w:w="0" w:type="dxa"/>
              <w:right w:w="0" w:type="dxa"/>
            </w:tcMar>
            <w:vAlign w:val="bottom"/>
          </w:tcPr>
          <w:p w:rsidR="00507382" w:rsidRPr="006A4084" w:rsidRDefault="00507382" w:rsidP="004077D8">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Femmes</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6,1</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6,0</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4,8</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4,8</w:t>
            </w:r>
          </w:p>
        </w:tc>
        <w:tc>
          <w:tcPr>
            <w:tcW w:w="882" w:type="dxa"/>
            <w:gridSpan w:val="3"/>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4,1</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3,3</w:t>
            </w:r>
          </w:p>
        </w:tc>
      </w:tr>
      <w:tr w:rsidR="00507382" w:rsidRPr="006A4084">
        <w:trPr>
          <w:trHeight w:val="211"/>
        </w:trPr>
        <w:tc>
          <w:tcPr>
            <w:tcW w:w="4590" w:type="dxa"/>
            <w:shd w:val="clear" w:color="auto" w:fill="auto"/>
            <w:tcMar>
              <w:left w:w="0" w:type="dxa"/>
              <w:right w:w="0" w:type="dxa"/>
            </w:tcMar>
            <w:vAlign w:val="bottom"/>
          </w:tcPr>
          <w:p w:rsidR="00507382" w:rsidRPr="006A4084" w:rsidRDefault="00507382" w:rsidP="004077D8">
            <w:pPr>
              <w:pStyle w:val="CeloAng"/>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 xml:space="preserve"> Salariés</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5,0</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5,0</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4,2</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4,4</w:t>
            </w:r>
          </w:p>
        </w:tc>
        <w:tc>
          <w:tcPr>
            <w:tcW w:w="882" w:type="dxa"/>
            <w:gridSpan w:val="3"/>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4,1</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3,2</w:t>
            </w:r>
          </w:p>
        </w:tc>
      </w:tr>
      <w:tr w:rsidR="00507382" w:rsidRPr="006A4084">
        <w:trPr>
          <w:trHeight w:val="211"/>
        </w:trPr>
        <w:tc>
          <w:tcPr>
            <w:tcW w:w="4590" w:type="dxa"/>
            <w:shd w:val="clear" w:color="auto" w:fill="auto"/>
            <w:tcMar>
              <w:left w:w="0" w:type="dxa"/>
              <w:right w:w="0" w:type="dxa"/>
            </w:tcMar>
            <w:vAlign w:val="bottom"/>
          </w:tcPr>
          <w:p w:rsidR="00507382" w:rsidRPr="006A4084" w:rsidRDefault="00507382" w:rsidP="004077D8">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Hommes</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5,3</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5,4</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4,8</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4,6</w:t>
            </w:r>
          </w:p>
        </w:tc>
        <w:tc>
          <w:tcPr>
            <w:tcW w:w="882" w:type="dxa"/>
            <w:gridSpan w:val="3"/>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4,4</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3,6</w:t>
            </w:r>
          </w:p>
        </w:tc>
      </w:tr>
      <w:tr w:rsidR="00507382" w:rsidRPr="006A4084">
        <w:trPr>
          <w:trHeight w:val="211"/>
        </w:trPr>
        <w:tc>
          <w:tcPr>
            <w:tcW w:w="4590" w:type="dxa"/>
            <w:shd w:val="clear" w:color="auto" w:fill="auto"/>
            <w:tcMar>
              <w:left w:w="0" w:type="dxa"/>
              <w:right w:w="0" w:type="dxa"/>
            </w:tcMar>
            <w:vAlign w:val="bottom"/>
          </w:tcPr>
          <w:p w:rsidR="00507382" w:rsidRPr="006A4084" w:rsidRDefault="00507382" w:rsidP="004077D8">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Femmes</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4,5</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4,5</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3,5</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4,2</w:t>
            </w:r>
          </w:p>
        </w:tc>
        <w:tc>
          <w:tcPr>
            <w:tcW w:w="882" w:type="dxa"/>
            <w:gridSpan w:val="3"/>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3,7</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2,8</w:t>
            </w:r>
          </w:p>
        </w:tc>
      </w:tr>
      <w:tr w:rsidR="00507382" w:rsidRPr="006A4084">
        <w:trPr>
          <w:trHeight w:val="211"/>
        </w:trPr>
        <w:tc>
          <w:tcPr>
            <w:tcW w:w="4590" w:type="dxa"/>
            <w:shd w:val="clear" w:color="auto" w:fill="auto"/>
            <w:tcMar>
              <w:left w:w="0" w:type="dxa"/>
              <w:right w:w="0" w:type="dxa"/>
            </w:tcMar>
            <w:vAlign w:val="bottom"/>
          </w:tcPr>
          <w:p w:rsidR="00507382" w:rsidRPr="006A4084" w:rsidRDefault="00507382" w:rsidP="004077D8">
            <w:pPr>
              <w:pStyle w:val="CeloAng"/>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 xml:space="preserve"> Travailleurs indépendants</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18,6</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19,1</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15,2</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10,3</w:t>
            </w:r>
          </w:p>
        </w:tc>
        <w:tc>
          <w:tcPr>
            <w:tcW w:w="882" w:type="dxa"/>
            <w:gridSpan w:val="3"/>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9,7</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7,3</w:t>
            </w:r>
          </w:p>
        </w:tc>
      </w:tr>
      <w:tr w:rsidR="00507382" w:rsidRPr="006A4084">
        <w:trPr>
          <w:trHeight w:val="211"/>
        </w:trPr>
        <w:tc>
          <w:tcPr>
            <w:tcW w:w="4590" w:type="dxa"/>
            <w:shd w:val="clear" w:color="auto" w:fill="auto"/>
            <w:tcMar>
              <w:left w:w="0" w:type="dxa"/>
              <w:right w:w="0" w:type="dxa"/>
            </w:tcMar>
            <w:vAlign w:val="bottom"/>
          </w:tcPr>
          <w:p w:rsidR="00507382" w:rsidRPr="006A4084" w:rsidRDefault="00507382" w:rsidP="004077D8">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Hommes</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17,4</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18,4</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13,9</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10,3</w:t>
            </w:r>
          </w:p>
        </w:tc>
        <w:tc>
          <w:tcPr>
            <w:tcW w:w="882" w:type="dxa"/>
            <w:gridSpan w:val="3"/>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10,3</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7,1</w:t>
            </w:r>
          </w:p>
        </w:tc>
      </w:tr>
      <w:tr w:rsidR="00507382" w:rsidRPr="006A4084">
        <w:trPr>
          <w:trHeight w:val="211"/>
        </w:trPr>
        <w:tc>
          <w:tcPr>
            <w:tcW w:w="4590" w:type="dxa"/>
            <w:shd w:val="clear" w:color="auto" w:fill="auto"/>
            <w:tcMar>
              <w:left w:w="0" w:type="dxa"/>
              <w:right w:w="0" w:type="dxa"/>
            </w:tcMar>
            <w:vAlign w:val="bottom"/>
          </w:tcPr>
          <w:p w:rsidR="00507382" w:rsidRPr="006A4084" w:rsidRDefault="00507382" w:rsidP="004077D8">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Femmes</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20,9</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20,6</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18,2</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10,3</w:t>
            </w:r>
          </w:p>
        </w:tc>
        <w:tc>
          <w:tcPr>
            <w:tcW w:w="882" w:type="dxa"/>
            <w:gridSpan w:val="3"/>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8,6</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7,8</w:t>
            </w:r>
          </w:p>
        </w:tc>
      </w:tr>
      <w:tr w:rsidR="00507382" w:rsidRPr="006A4084">
        <w:trPr>
          <w:trHeight w:val="211"/>
        </w:trPr>
        <w:tc>
          <w:tcPr>
            <w:tcW w:w="4590" w:type="dxa"/>
            <w:shd w:val="clear" w:color="auto" w:fill="auto"/>
            <w:tcMar>
              <w:left w:w="0" w:type="dxa"/>
              <w:right w:w="0" w:type="dxa"/>
            </w:tcMar>
            <w:vAlign w:val="bottom"/>
          </w:tcPr>
          <w:p w:rsidR="00507382" w:rsidRPr="006A4084" w:rsidRDefault="00507382" w:rsidP="004077D8">
            <w:pPr>
              <w:pStyle w:val="CeloAng"/>
              <w:tabs>
                <w:tab w:val="left" w:pos="288"/>
                <w:tab w:val="left" w:pos="576"/>
                <w:tab w:val="left" w:pos="864"/>
                <w:tab w:val="left" w:pos="1152"/>
              </w:tabs>
              <w:spacing w:before="40" w:after="40" w:line="210" w:lineRule="exact"/>
              <w:ind w:left="60" w:right="43"/>
              <w:rPr>
                <w:rFonts w:ascii="Times New Roman" w:hAnsi="Times New Roman" w:cs="Times New Roman"/>
                <w:sz w:val="17"/>
                <w:szCs w:val="24"/>
              </w:rPr>
            </w:pPr>
            <w:r w:rsidRPr="006A4084">
              <w:rPr>
                <w:rFonts w:ascii="Times New Roman" w:hAnsi="Times New Roman" w:cs="Times New Roman"/>
                <w:sz w:val="17"/>
                <w:szCs w:val="24"/>
              </w:rPr>
              <w:t>Sans employ</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20,4</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19,9</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19,1</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18,5</w:t>
            </w:r>
          </w:p>
        </w:tc>
        <w:tc>
          <w:tcPr>
            <w:tcW w:w="882" w:type="dxa"/>
            <w:gridSpan w:val="3"/>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17,6</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17,4</w:t>
            </w:r>
          </w:p>
        </w:tc>
      </w:tr>
      <w:tr w:rsidR="00507382" w:rsidRPr="006A4084">
        <w:trPr>
          <w:trHeight w:val="211"/>
        </w:trPr>
        <w:tc>
          <w:tcPr>
            <w:tcW w:w="4590" w:type="dxa"/>
            <w:shd w:val="clear" w:color="auto" w:fill="auto"/>
            <w:tcMar>
              <w:left w:w="0" w:type="dxa"/>
              <w:right w:w="0" w:type="dxa"/>
            </w:tcMar>
            <w:vAlign w:val="bottom"/>
          </w:tcPr>
          <w:p w:rsidR="00507382" w:rsidRPr="006A4084" w:rsidRDefault="00507382" w:rsidP="004077D8">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Hommes</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20,2</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19,9</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18,8</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17,5</w:t>
            </w:r>
          </w:p>
        </w:tc>
        <w:tc>
          <w:tcPr>
            <w:tcW w:w="882" w:type="dxa"/>
            <w:gridSpan w:val="3"/>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15,8</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15,7</w:t>
            </w:r>
          </w:p>
        </w:tc>
      </w:tr>
      <w:tr w:rsidR="00507382" w:rsidRPr="006A4084">
        <w:trPr>
          <w:trHeight w:val="211"/>
        </w:trPr>
        <w:tc>
          <w:tcPr>
            <w:tcW w:w="4590" w:type="dxa"/>
            <w:shd w:val="clear" w:color="auto" w:fill="auto"/>
            <w:tcMar>
              <w:left w:w="0" w:type="dxa"/>
              <w:right w:w="0" w:type="dxa"/>
            </w:tcMar>
            <w:vAlign w:val="bottom"/>
          </w:tcPr>
          <w:p w:rsidR="00507382" w:rsidRPr="006A4084" w:rsidRDefault="00507382" w:rsidP="004077D8">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Femmes</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20,5</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19,8</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19,3</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19,3</w:t>
            </w:r>
          </w:p>
        </w:tc>
        <w:tc>
          <w:tcPr>
            <w:tcW w:w="882" w:type="dxa"/>
            <w:gridSpan w:val="3"/>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18,9</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18,6</w:t>
            </w:r>
          </w:p>
        </w:tc>
      </w:tr>
      <w:tr w:rsidR="00507382" w:rsidRPr="006A4084">
        <w:trPr>
          <w:trHeight w:val="211"/>
        </w:trPr>
        <w:tc>
          <w:tcPr>
            <w:tcW w:w="4590" w:type="dxa"/>
            <w:shd w:val="clear" w:color="auto" w:fill="auto"/>
            <w:tcMar>
              <w:left w:w="0" w:type="dxa"/>
              <w:right w:w="0" w:type="dxa"/>
            </w:tcMar>
            <w:vAlign w:val="bottom"/>
          </w:tcPr>
          <w:p w:rsidR="00507382" w:rsidRPr="006A4084" w:rsidRDefault="00507382" w:rsidP="004077D8">
            <w:pPr>
              <w:pStyle w:val="CeloAng"/>
              <w:tabs>
                <w:tab w:val="left" w:pos="288"/>
                <w:tab w:val="left" w:pos="576"/>
                <w:tab w:val="left" w:pos="864"/>
                <w:tab w:val="left" w:pos="1152"/>
              </w:tabs>
              <w:spacing w:before="40" w:after="40" w:line="210" w:lineRule="exact"/>
              <w:ind w:left="60" w:right="43"/>
              <w:rPr>
                <w:rFonts w:ascii="Times New Roman" w:hAnsi="Times New Roman" w:cs="Times New Roman"/>
                <w:sz w:val="17"/>
                <w:szCs w:val="24"/>
              </w:rPr>
            </w:pPr>
            <w:r w:rsidRPr="006A4084">
              <w:rPr>
                <w:rFonts w:ascii="Times New Roman" w:hAnsi="Times New Roman" w:cs="Times New Roman"/>
                <w:sz w:val="17"/>
                <w:szCs w:val="24"/>
              </w:rPr>
              <w:t>Chômeurs</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39,5</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40,3</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39,1</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42,1</w:t>
            </w:r>
          </w:p>
        </w:tc>
        <w:tc>
          <w:tcPr>
            <w:tcW w:w="882" w:type="dxa"/>
            <w:gridSpan w:val="3"/>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40,8</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38,4</w:t>
            </w:r>
          </w:p>
        </w:tc>
      </w:tr>
      <w:tr w:rsidR="00507382" w:rsidRPr="006A4084">
        <w:trPr>
          <w:trHeight w:val="211"/>
        </w:trPr>
        <w:tc>
          <w:tcPr>
            <w:tcW w:w="4590" w:type="dxa"/>
            <w:shd w:val="clear" w:color="auto" w:fill="auto"/>
            <w:tcMar>
              <w:left w:w="0" w:type="dxa"/>
              <w:right w:w="0" w:type="dxa"/>
            </w:tcMar>
            <w:vAlign w:val="bottom"/>
          </w:tcPr>
          <w:p w:rsidR="00507382" w:rsidRPr="006A4084" w:rsidRDefault="00507382" w:rsidP="004077D8">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Hommes</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41,5</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38,8</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41,7</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41,6</w:t>
            </w:r>
          </w:p>
        </w:tc>
        <w:tc>
          <w:tcPr>
            <w:tcW w:w="882" w:type="dxa"/>
            <w:gridSpan w:val="3"/>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36,9</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39,3</w:t>
            </w:r>
          </w:p>
        </w:tc>
      </w:tr>
      <w:tr w:rsidR="00507382" w:rsidRPr="006A4084">
        <w:trPr>
          <w:trHeight w:val="211"/>
        </w:trPr>
        <w:tc>
          <w:tcPr>
            <w:tcW w:w="4590" w:type="dxa"/>
            <w:shd w:val="clear" w:color="auto" w:fill="auto"/>
            <w:tcMar>
              <w:left w:w="0" w:type="dxa"/>
              <w:right w:w="0" w:type="dxa"/>
            </w:tcMar>
            <w:vAlign w:val="bottom"/>
          </w:tcPr>
          <w:p w:rsidR="00507382" w:rsidRPr="006A4084" w:rsidRDefault="00507382" w:rsidP="004077D8">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Femmes</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37,1</w:t>
            </w:r>
          </w:p>
        </w:tc>
        <w:tc>
          <w:tcPr>
            <w:tcW w:w="882" w:type="dxa"/>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42,3</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36,2</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42,8</w:t>
            </w:r>
          </w:p>
        </w:tc>
        <w:tc>
          <w:tcPr>
            <w:tcW w:w="882" w:type="dxa"/>
            <w:gridSpan w:val="3"/>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45,8</w:t>
            </w:r>
          </w:p>
        </w:tc>
        <w:tc>
          <w:tcPr>
            <w:tcW w:w="882" w:type="dxa"/>
            <w:gridSpan w:val="2"/>
            <w:shd w:val="clear" w:color="auto" w:fill="auto"/>
            <w:vAlign w:val="bottom"/>
          </w:tcPr>
          <w:p w:rsidR="00507382" w:rsidRPr="006A4084" w:rsidRDefault="00507382" w:rsidP="004077D8">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6A4084">
              <w:rPr>
                <w:rFonts w:ascii="Times New Roman" w:hAnsi="Times New Roman" w:cs="Times New Roman"/>
                <w:sz w:val="17"/>
                <w:szCs w:val="24"/>
              </w:rPr>
              <w:t>37,5</w:t>
            </w:r>
          </w:p>
        </w:tc>
      </w:tr>
      <w:tr w:rsidR="00507382" w:rsidRPr="006A4084">
        <w:trPr>
          <w:trHeight w:hRule="exact" w:val="115"/>
          <w:tblHeader/>
        </w:trPr>
        <w:tc>
          <w:tcPr>
            <w:tcW w:w="4590" w:type="dxa"/>
            <w:tcBorders>
              <w:top w:val="single" w:sz="12" w:space="0" w:color="auto"/>
            </w:tcBorders>
            <w:shd w:val="clear" w:color="auto" w:fill="auto"/>
            <w:tcMar>
              <w:left w:w="0" w:type="dxa"/>
              <w:right w:w="0" w:type="dxa"/>
            </w:tcMar>
            <w:vAlign w:val="bottom"/>
          </w:tcPr>
          <w:p w:rsidR="006A4084" w:rsidRPr="006A4084" w:rsidRDefault="006A4084" w:rsidP="006A4084">
            <w:pPr>
              <w:pStyle w:val="CeloAng"/>
              <w:spacing w:before="40" w:after="40" w:line="210" w:lineRule="exact"/>
              <w:ind w:right="43"/>
              <w:rPr>
                <w:rFonts w:ascii="Times New Roman" w:hAnsi="Times New Roman" w:cs="Times New Roman"/>
                <w:sz w:val="17"/>
                <w:szCs w:val="24"/>
                <w:lang w:val="fr-FR"/>
              </w:rPr>
            </w:pPr>
          </w:p>
        </w:tc>
        <w:tc>
          <w:tcPr>
            <w:tcW w:w="2518" w:type="dxa"/>
            <w:gridSpan w:val="3"/>
            <w:tcBorders>
              <w:top w:val="single" w:sz="12" w:space="0" w:color="auto"/>
            </w:tcBorders>
            <w:shd w:val="clear" w:color="auto" w:fill="auto"/>
            <w:vAlign w:val="bottom"/>
          </w:tcPr>
          <w:p w:rsidR="006A4084" w:rsidRPr="006A4084" w:rsidRDefault="006A4084" w:rsidP="006A4084">
            <w:pPr>
              <w:pStyle w:val="Num"/>
              <w:suppressAutoHyphens/>
              <w:spacing w:before="40" w:after="40" w:line="210" w:lineRule="exact"/>
              <w:ind w:right="43"/>
              <w:rPr>
                <w:rFonts w:ascii="Times New Roman" w:hAnsi="Times New Roman" w:cs="Times New Roman"/>
                <w:sz w:val="17"/>
                <w:szCs w:val="24"/>
              </w:rPr>
            </w:pPr>
          </w:p>
        </w:tc>
        <w:tc>
          <w:tcPr>
            <w:tcW w:w="620" w:type="dxa"/>
            <w:gridSpan w:val="2"/>
            <w:tcBorders>
              <w:top w:val="single" w:sz="12" w:space="0" w:color="auto"/>
            </w:tcBorders>
            <w:shd w:val="clear" w:color="auto" w:fill="auto"/>
            <w:vAlign w:val="bottom"/>
          </w:tcPr>
          <w:p w:rsidR="006A4084" w:rsidRPr="006A4084" w:rsidRDefault="006A4084" w:rsidP="006A4084">
            <w:pPr>
              <w:pStyle w:val="Num"/>
              <w:suppressAutoHyphens/>
              <w:spacing w:before="40" w:after="40" w:line="210" w:lineRule="exact"/>
              <w:ind w:right="43"/>
              <w:rPr>
                <w:rFonts w:ascii="Times New Roman" w:hAnsi="Times New Roman" w:cs="Times New Roman"/>
                <w:sz w:val="17"/>
                <w:szCs w:val="24"/>
              </w:rPr>
            </w:pPr>
          </w:p>
        </w:tc>
        <w:tc>
          <w:tcPr>
            <w:tcW w:w="669" w:type="dxa"/>
            <w:gridSpan w:val="2"/>
            <w:tcBorders>
              <w:top w:val="single" w:sz="12" w:space="0" w:color="auto"/>
            </w:tcBorders>
            <w:shd w:val="clear" w:color="auto" w:fill="auto"/>
            <w:vAlign w:val="bottom"/>
          </w:tcPr>
          <w:p w:rsidR="006A4084" w:rsidRPr="006A4084" w:rsidRDefault="006A4084" w:rsidP="006A4084">
            <w:pPr>
              <w:pStyle w:val="Num"/>
              <w:suppressAutoHyphens/>
              <w:spacing w:before="40" w:after="40" w:line="210" w:lineRule="exact"/>
              <w:ind w:right="43"/>
              <w:rPr>
                <w:rFonts w:ascii="Times New Roman" w:hAnsi="Times New Roman" w:cs="Times New Roman"/>
                <w:sz w:val="17"/>
                <w:szCs w:val="24"/>
              </w:rPr>
            </w:pPr>
          </w:p>
        </w:tc>
        <w:tc>
          <w:tcPr>
            <w:tcW w:w="585" w:type="dxa"/>
            <w:tcBorders>
              <w:top w:val="single" w:sz="12" w:space="0" w:color="auto"/>
            </w:tcBorders>
            <w:shd w:val="clear" w:color="auto" w:fill="auto"/>
            <w:vAlign w:val="bottom"/>
          </w:tcPr>
          <w:p w:rsidR="006A4084" w:rsidRPr="006A4084" w:rsidRDefault="006A4084" w:rsidP="006A4084">
            <w:pPr>
              <w:pStyle w:val="Num"/>
              <w:suppressAutoHyphens/>
              <w:spacing w:before="40" w:after="40" w:line="210" w:lineRule="exact"/>
              <w:ind w:right="43"/>
              <w:rPr>
                <w:rFonts w:ascii="Times New Roman" w:hAnsi="Times New Roman" w:cs="Times New Roman"/>
                <w:sz w:val="17"/>
                <w:szCs w:val="24"/>
              </w:rPr>
            </w:pPr>
          </w:p>
        </w:tc>
        <w:tc>
          <w:tcPr>
            <w:tcW w:w="743" w:type="dxa"/>
            <w:gridSpan w:val="2"/>
            <w:tcBorders>
              <w:top w:val="single" w:sz="12" w:space="0" w:color="auto"/>
            </w:tcBorders>
            <w:shd w:val="clear" w:color="auto" w:fill="auto"/>
            <w:vAlign w:val="bottom"/>
          </w:tcPr>
          <w:p w:rsidR="006A4084" w:rsidRPr="006A4084" w:rsidRDefault="006A4084" w:rsidP="006A4084">
            <w:pPr>
              <w:pStyle w:val="Num"/>
              <w:suppressAutoHyphens/>
              <w:spacing w:before="40" w:after="40" w:line="210" w:lineRule="exact"/>
              <w:ind w:right="43"/>
              <w:rPr>
                <w:rFonts w:ascii="Times New Roman" w:hAnsi="Times New Roman" w:cs="Times New Roman"/>
                <w:sz w:val="17"/>
                <w:szCs w:val="24"/>
              </w:rPr>
            </w:pPr>
          </w:p>
        </w:tc>
        <w:tc>
          <w:tcPr>
            <w:tcW w:w="0" w:type="auto"/>
            <w:tcBorders>
              <w:top w:val="single" w:sz="12" w:space="0" w:color="auto"/>
            </w:tcBorders>
            <w:shd w:val="clear" w:color="auto" w:fill="auto"/>
            <w:vAlign w:val="bottom"/>
          </w:tcPr>
          <w:p w:rsidR="006A4084" w:rsidRPr="006A4084" w:rsidRDefault="006A4084" w:rsidP="006A4084">
            <w:pPr>
              <w:pStyle w:val="Num"/>
              <w:suppressAutoHyphens/>
              <w:spacing w:before="40" w:after="40" w:line="210" w:lineRule="exact"/>
              <w:ind w:right="43"/>
              <w:rPr>
                <w:rFonts w:ascii="Times New Roman" w:hAnsi="Times New Roman" w:cs="Times New Roman"/>
                <w:sz w:val="17"/>
                <w:szCs w:val="24"/>
              </w:rPr>
            </w:pPr>
          </w:p>
        </w:tc>
      </w:tr>
    </w:tbl>
    <w:p w:rsidR="009E67B3" w:rsidRDefault="009E67B3" w:rsidP="009E67B3">
      <w:pPr>
        <w:spacing w:line="120" w:lineRule="exact"/>
        <w:rPr>
          <w:b/>
          <w:bCs/>
          <w:sz w:val="10"/>
          <w:lang w:val="sv-SE"/>
        </w:rPr>
      </w:pPr>
    </w:p>
    <w:p w:rsidR="006405B4" w:rsidRDefault="006405B4" w:rsidP="009E67B3">
      <w:pPr>
        <w:spacing w:line="120" w:lineRule="exact"/>
        <w:rPr>
          <w:b/>
          <w:bCs/>
          <w:sz w:val="10"/>
          <w:lang w:val="sv-SE"/>
        </w:rPr>
      </w:pPr>
    </w:p>
    <w:p w:rsidR="006405B4" w:rsidRDefault="006405B4" w:rsidP="009E67B3">
      <w:pPr>
        <w:spacing w:line="120" w:lineRule="exact"/>
        <w:rPr>
          <w:b/>
          <w:bCs/>
          <w:sz w:val="10"/>
          <w:lang w:val="sv-SE"/>
        </w:rPr>
      </w:pPr>
    </w:p>
    <w:p w:rsidR="006405B4" w:rsidRPr="009E67B3" w:rsidRDefault="006405B4" w:rsidP="009E67B3">
      <w:pPr>
        <w:spacing w:line="120" w:lineRule="exact"/>
        <w:rPr>
          <w:b/>
          <w:bCs/>
          <w:sz w:val="10"/>
          <w:lang w:val="sv-SE"/>
        </w:rPr>
      </w:pPr>
    </w:p>
    <w:p w:rsidR="0073290F" w:rsidRDefault="0073290F" w:rsidP="009E67B3">
      <w:pPr>
        <w:pStyle w:val="SingleTxt"/>
        <w:jc w:val="left"/>
        <w:rPr>
          <w:b/>
          <w:bCs/>
          <w:lang w:val="sv-SE"/>
        </w:rPr>
      </w:pPr>
      <w:r w:rsidRPr="001303D2">
        <w:rPr>
          <w:lang w:val="sv-SE"/>
        </w:rPr>
        <w:t>Table</w:t>
      </w:r>
      <w:r>
        <w:rPr>
          <w:lang w:val="sv-SE"/>
        </w:rPr>
        <w:t>au</w:t>
      </w:r>
      <w:r w:rsidRPr="001303D2">
        <w:rPr>
          <w:lang w:val="sv-SE"/>
        </w:rPr>
        <w:t xml:space="preserve"> 46</w:t>
      </w:r>
      <w:r>
        <w:rPr>
          <w:lang w:val="sv-SE"/>
        </w:rPr>
        <w:t>a</w:t>
      </w:r>
      <w:r w:rsidR="009E67B3">
        <w:rPr>
          <w:lang w:val="sv-SE"/>
        </w:rPr>
        <w:br/>
      </w:r>
      <w:r w:rsidRPr="009E67B3">
        <w:rPr>
          <w:b/>
          <w:lang w:val="sv-SE"/>
        </w:rPr>
        <w:t>Indicateurs de cohésion sociale – revenus et pauvreté,</w:t>
      </w:r>
      <w:r w:rsidR="009E67B3" w:rsidRPr="009E67B3">
        <w:rPr>
          <w:b/>
          <w:lang w:val="sv-SE"/>
        </w:rPr>
        <w:t xml:space="preserve"> </w:t>
      </w:r>
      <w:r w:rsidRPr="009E67B3">
        <w:rPr>
          <w:b/>
          <w:bCs/>
          <w:lang w:val="sv-SE"/>
        </w:rPr>
        <w:t>2000-2002, suite</w:t>
      </w:r>
    </w:p>
    <w:p w:rsidR="009E67B3" w:rsidRPr="009E67B3" w:rsidRDefault="009E67B3" w:rsidP="009E67B3">
      <w:pPr>
        <w:pStyle w:val="SingleTxt"/>
        <w:spacing w:after="0" w:line="120" w:lineRule="exact"/>
        <w:jc w:val="left"/>
        <w:rPr>
          <w:b/>
          <w:bCs/>
          <w:sz w:val="10"/>
          <w:lang w:val="sv-SE"/>
        </w:rPr>
      </w:pPr>
    </w:p>
    <w:tbl>
      <w:tblPr>
        <w:tblW w:w="9900" w:type="dxa"/>
        <w:tblCellMar>
          <w:left w:w="0" w:type="dxa"/>
          <w:right w:w="0" w:type="dxa"/>
        </w:tblCellMar>
        <w:tblLook w:val="01E0" w:firstRow="1" w:lastRow="1" w:firstColumn="1" w:lastColumn="1" w:noHBand="0" w:noVBand="0"/>
      </w:tblPr>
      <w:tblGrid>
        <w:gridCol w:w="4590"/>
        <w:gridCol w:w="885"/>
        <w:gridCol w:w="885"/>
        <w:gridCol w:w="885"/>
        <w:gridCol w:w="885"/>
        <w:gridCol w:w="885"/>
        <w:gridCol w:w="885"/>
      </w:tblGrid>
      <w:tr w:rsidR="006E710C" w:rsidRPr="00D9134C">
        <w:trPr>
          <w:trHeight w:val="222"/>
          <w:tblHeader/>
        </w:trPr>
        <w:tc>
          <w:tcPr>
            <w:tcW w:w="4590" w:type="dxa"/>
            <w:tcBorders>
              <w:top w:val="single" w:sz="4" w:space="0" w:color="auto"/>
            </w:tcBorders>
            <w:shd w:val="clear" w:color="auto" w:fill="auto"/>
            <w:vAlign w:val="bottom"/>
          </w:tcPr>
          <w:p w:rsidR="006E710C" w:rsidRPr="00D9134C" w:rsidRDefault="006E710C" w:rsidP="00D9134C">
            <w:pPr>
              <w:pStyle w:val="CeloAng"/>
              <w:tabs>
                <w:tab w:val="left" w:pos="288"/>
                <w:tab w:val="left" w:pos="576"/>
                <w:tab w:val="left" w:pos="864"/>
                <w:tab w:val="left" w:pos="1152"/>
              </w:tabs>
              <w:spacing w:before="80" w:after="80" w:line="160" w:lineRule="exact"/>
              <w:ind w:right="43"/>
              <w:rPr>
                <w:rFonts w:ascii="Times New Roman" w:hAnsi="Times New Roman" w:cs="Times New Roman"/>
                <w:i/>
                <w:sz w:val="14"/>
                <w:szCs w:val="24"/>
                <w:lang w:val="fr-FR"/>
              </w:rPr>
            </w:pPr>
          </w:p>
        </w:tc>
        <w:tc>
          <w:tcPr>
            <w:tcW w:w="5310" w:type="dxa"/>
            <w:gridSpan w:val="6"/>
            <w:tcBorders>
              <w:top w:val="single" w:sz="4" w:space="0" w:color="auto"/>
            </w:tcBorders>
            <w:shd w:val="clear" w:color="auto" w:fill="auto"/>
            <w:vAlign w:val="center"/>
          </w:tcPr>
          <w:p w:rsidR="006E710C" w:rsidRPr="006E710C" w:rsidRDefault="006E710C" w:rsidP="004077D8">
            <w:pPr>
              <w:pStyle w:val="GLavaSlo"/>
              <w:rPr>
                <w:rFonts w:ascii="Times New Roman" w:hAnsi="Times New Roman" w:cs="Times New Roman"/>
                <w:bCs/>
                <w:i/>
                <w:sz w:val="14"/>
                <w:szCs w:val="14"/>
              </w:rPr>
            </w:pPr>
            <w:r w:rsidRPr="006E710C">
              <w:rPr>
                <w:rFonts w:ascii="Times New Roman" w:hAnsi="Times New Roman" w:cs="Times New Roman"/>
                <w:bCs/>
                <w:i/>
                <w:sz w:val="14"/>
                <w:szCs w:val="14"/>
              </w:rPr>
              <w:t>Revenus</w:t>
            </w:r>
          </w:p>
        </w:tc>
      </w:tr>
      <w:tr w:rsidR="006E710C" w:rsidRPr="00D9134C">
        <w:trPr>
          <w:trHeight w:val="222"/>
          <w:tblHeader/>
        </w:trPr>
        <w:tc>
          <w:tcPr>
            <w:tcW w:w="4590" w:type="dxa"/>
            <w:shd w:val="clear" w:color="auto" w:fill="auto"/>
            <w:vAlign w:val="bottom"/>
          </w:tcPr>
          <w:p w:rsidR="006E710C" w:rsidRPr="00D9134C" w:rsidRDefault="006E710C" w:rsidP="00D9134C">
            <w:pPr>
              <w:pStyle w:val="CeloAng"/>
              <w:tabs>
                <w:tab w:val="left" w:pos="288"/>
                <w:tab w:val="left" w:pos="576"/>
                <w:tab w:val="left" w:pos="864"/>
                <w:tab w:val="left" w:pos="1152"/>
              </w:tabs>
              <w:spacing w:before="80" w:after="80" w:line="160" w:lineRule="exact"/>
              <w:ind w:right="43"/>
              <w:rPr>
                <w:rFonts w:ascii="Times New Roman" w:hAnsi="Times New Roman" w:cs="Times New Roman"/>
                <w:i/>
                <w:sz w:val="14"/>
                <w:szCs w:val="24"/>
                <w:lang w:val="fr-FR"/>
              </w:rPr>
            </w:pPr>
          </w:p>
        </w:tc>
        <w:tc>
          <w:tcPr>
            <w:tcW w:w="2655" w:type="dxa"/>
            <w:gridSpan w:val="3"/>
            <w:shd w:val="clear" w:color="auto" w:fill="auto"/>
            <w:vAlign w:val="center"/>
          </w:tcPr>
          <w:p w:rsidR="006E710C" w:rsidRPr="006E710C" w:rsidRDefault="006E710C" w:rsidP="004077D8">
            <w:pPr>
              <w:pStyle w:val="GLavaSlo"/>
              <w:ind w:left="0"/>
              <w:rPr>
                <w:rFonts w:ascii="Times New Roman" w:hAnsi="Times New Roman" w:cs="Times New Roman"/>
                <w:bCs/>
                <w:i/>
                <w:sz w:val="14"/>
                <w:szCs w:val="14"/>
              </w:rPr>
            </w:pPr>
            <w:r w:rsidRPr="006E710C">
              <w:rPr>
                <w:rFonts w:ascii="Times New Roman" w:hAnsi="Times New Roman" w:cs="Times New Roman"/>
                <w:bCs/>
                <w:i/>
                <w:sz w:val="14"/>
                <w:szCs w:val="14"/>
              </w:rPr>
              <w:t>financiers</w:t>
            </w:r>
          </w:p>
        </w:tc>
        <w:tc>
          <w:tcPr>
            <w:tcW w:w="2655" w:type="dxa"/>
            <w:gridSpan w:val="3"/>
            <w:shd w:val="clear" w:color="auto" w:fill="auto"/>
            <w:vAlign w:val="center"/>
          </w:tcPr>
          <w:p w:rsidR="006E710C" w:rsidRPr="006E710C" w:rsidRDefault="006E710C" w:rsidP="004077D8">
            <w:pPr>
              <w:pStyle w:val="GLavaSlo"/>
              <w:ind w:left="0"/>
              <w:rPr>
                <w:rFonts w:ascii="Times New Roman" w:hAnsi="Times New Roman" w:cs="Times New Roman"/>
                <w:bCs/>
                <w:i/>
                <w:sz w:val="14"/>
                <w:szCs w:val="14"/>
              </w:rPr>
            </w:pPr>
            <w:r w:rsidRPr="006E710C">
              <w:rPr>
                <w:rFonts w:ascii="Times New Roman" w:hAnsi="Times New Roman" w:cs="Times New Roman"/>
                <w:bCs/>
                <w:i/>
                <w:sz w:val="14"/>
                <w:szCs w:val="14"/>
              </w:rPr>
              <w:t>financiers + en nature</w:t>
            </w:r>
          </w:p>
        </w:tc>
      </w:tr>
      <w:tr w:rsidR="006E710C" w:rsidRPr="00D9134C">
        <w:trPr>
          <w:trHeight w:val="222"/>
          <w:tblHeader/>
        </w:trPr>
        <w:tc>
          <w:tcPr>
            <w:tcW w:w="4590" w:type="dxa"/>
            <w:tcBorders>
              <w:bottom w:val="single" w:sz="12" w:space="0" w:color="auto"/>
            </w:tcBorders>
            <w:shd w:val="clear" w:color="auto" w:fill="auto"/>
            <w:vAlign w:val="bottom"/>
          </w:tcPr>
          <w:p w:rsidR="006E710C" w:rsidRPr="00D9134C" w:rsidRDefault="006E710C" w:rsidP="00D9134C">
            <w:pPr>
              <w:pStyle w:val="CeloAng"/>
              <w:tabs>
                <w:tab w:val="left" w:pos="288"/>
                <w:tab w:val="left" w:pos="576"/>
                <w:tab w:val="left" w:pos="864"/>
                <w:tab w:val="left" w:pos="1152"/>
              </w:tabs>
              <w:spacing w:before="80" w:after="80" w:line="160" w:lineRule="exact"/>
              <w:ind w:right="43"/>
              <w:rPr>
                <w:rFonts w:ascii="Times New Roman" w:hAnsi="Times New Roman" w:cs="Times New Roman"/>
                <w:i/>
                <w:sz w:val="14"/>
                <w:szCs w:val="24"/>
                <w:lang w:val="fr-FR"/>
              </w:rPr>
            </w:pPr>
          </w:p>
        </w:tc>
        <w:tc>
          <w:tcPr>
            <w:tcW w:w="885" w:type="dxa"/>
            <w:tcBorders>
              <w:bottom w:val="single" w:sz="12" w:space="0" w:color="auto"/>
            </w:tcBorders>
            <w:shd w:val="clear" w:color="auto" w:fill="auto"/>
            <w:vAlign w:val="center"/>
          </w:tcPr>
          <w:p w:rsidR="006E710C" w:rsidRPr="006E710C" w:rsidRDefault="006E710C" w:rsidP="004077D8">
            <w:pPr>
              <w:pStyle w:val="GLavaSlo"/>
              <w:rPr>
                <w:rFonts w:ascii="Times New Roman" w:hAnsi="Times New Roman" w:cs="Times New Roman"/>
                <w:bCs/>
                <w:i/>
                <w:sz w:val="14"/>
                <w:szCs w:val="14"/>
                <w:lang w:val="de-DE"/>
              </w:rPr>
            </w:pPr>
            <w:r w:rsidRPr="006E710C">
              <w:rPr>
                <w:rFonts w:ascii="Times New Roman" w:hAnsi="Times New Roman" w:cs="Times New Roman"/>
                <w:bCs/>
                <w:i/>
                <w:sz w:val="14"/>
                <w:szCs w:val="14"/>
                <w:lang w:val="de-DE"/>
              </w:rPr>
              <w:t>2000</w:t>
            </w:r>
          </w:p>
        </w:tc>
        <w:tc>
          <w:tcPr>
            <w:tcW w:w="885" w:type="dxa"/>
            <w:tcBorders>
              <w:bottom w:val="single" w:sz="12" w:space="0" w:color="auto"/>
            </w:tcBorders>
            <w:shd w:val="clear" w:color="auto" w:fill="auto"/>
            <w:vAlign w:val="center"/>
          </w:tcPr>
          <w:p w:rsidR="006E710C" w:rsidRPr="006E710C" w:rsidRDefault="006E710C" w:rsidP="004077D8">
            <w:pPr>
              <w:pStyle w:val="GLavaSlo"/>
              <w:rPr>
                <w:rFonts w:ascii="Times New Roman" w:hAnsi="Times New Roman" w:cs="Times New Roman"/>
                <w:bCs/>
                <w:i/>
                <w:sz w:val="14"/>
                <w:szCs w:val="14"/>
                <w:lang w:val="de-DE"/>
              </w:rPr>
            </w:pPr>
            <w:r w:rsidRPr="006E710C">
              <w:rPr>
                <w:rFonts w:ascii="Times New Roman" w:hAnsi="Times New Roman" w:cs="Times New Roman"/>
                <w:bCs/>
                <w:i/>
                <w:sz w:val="14"/>
                <w:szCs w:val="14"/>
                <w:lang w:val="de-DE"/>
              </w:rPr>
              <w:t>2001</w:t>
            </w:r>
          </w:p>
        </w:tc>
        <w:tc>
          <w:tcPr>
            <w:tcW w:w="885" w:type="dxa"/>
            <w:tcBorders>
              <w:bottom w:val="single" w:sz="12" w:space="0" w:color="auto"/>
            </w:tcBorders>
            <w:shd w:val="clear" w:color="auto" w:fill="auto"/>
            <w:vAlign w:val="center"/>
          </w:tcPr>
          <w:p w:rsidR="006E710C" w:rsidRPr="006E710C" w:rsidRDefault="006E710C" w:rsidP="004077D8">
            <w:pPr>
              <w:pStyle w:val="GLavaSlo"/>
              <w:rPr>
                <w:rFonts w:ascii="Times New Roman" w:hAnsi="Times New Roman" w:cs="Times New Roman"/>
                <w:bCs/>
                <w:i/>
                <w:sz w:val="14"/>
                <w:szCs w:val="14"/>
                <w:lang w:val="de-DE"/>
              </w:rPr>
            </w:pPr>
            <w:r w:rsidRPr="006E710C">
              <w:rPr>
                <w:rFonts w:ascii="Times New Roman" w:hAnsi="Times New Roman" w:cs="Times New Roman"/>
                <w:bCs/>
                <w:i/>
                <w:sz w:val="14"/>
                <w:szCs w:val="14"/>
                <w:lang w:val="de-DE"/>
              </w:rPr>
              <w:t>2002</w:t>
            </w:r>
          </w:p>
        </w:tc>
        <w:tc>
          <w:tcPr>
            <w:tcW w:w="885" w:type="dxa"/>
            <w:tcBorders>
              <w:bottom w:val="single" w:sz="12" w:space="0" w:color="auto"/>
            </w:tcBorders>
            <w:shd w:val="clear" w:color="auto" w:fill="auto"/>
            <w:vAlign w:val="center"/>
          </w:tcPr>
          <w:p w:rsidR="006E710C" w:rsidRPr="006E710C" w:rsidRDefault="006E710C" w:rsidP="004077D8">
            <w:pPr>
              <w:pStyle w:val="GLavaSlo"/>
              <w:rPr>
                <w:rFonts w:ascii="Times New Roman" w:hAnsi="Times New Roman" w:cs="Times New Roman"/>
                <w:bCs/>
                <w:i/>
                <w:sz w:val="14"/>
                <w:szCs w:val="14"/>
                <w:lang w:val="de-DE"/>
              </w:rPr>
            </w:pPr>
            <w:r w:rsidRPr="006E710C">
              <w:rPr>
                <w:rFonts w:ascii="Times New Roman" w:hAnsi="Times New Roman" w:cs="Times New Roman"/>
                <w:bCs/>
                <w:i/>
                <w:sz w:val="14"/>
                <w:szCs w:val="14"/>
                <w:lang w:val="de-DE"/>
              </w:rPr>
              <w:t>2000</w:t>
            </w:r>
          </w:p>
        </w:tc>
        <w:tc>
          <w:tcPr>
            <w:tcW w:w="885" w:type="dxa"/>
            <w:tcBorders>
              <w:bottom w:val="single" w:sz="12" w:space="0" w:color="auto"/>
            </w:tcBorders>
            <w:shd w:val="clear" w:color="auto" w:fill="auto"/>
            <w:vAlign w:val="center"/>
          </w:tcPr>
          <w:p w:rsidR="006E710C" w:rsidRPr="006E710C" w:rsidRDefault="006E710C" w:rsidP="004077D8">
            <w:pPr>
              <w:pStyle w:val="GLavaSlo"/>
              <w:rPr>
                <w:rFonts w:ascii="Times New Roman" w:hAnsi="Times New Roman" w:cs="Times New Roman"/>
                <w:bCs/>
                <w:i/>
                <w:sz w:val="14"/>
                <w:szCs w:val="14"/>
                <w:lang w:val="de-DE"/>
              </w:rPr>
            </w:pPr>
            <w:r w:rsidRPr="006E710C">
              <w:rPr>
                <w:rFonts w:ascii="Times New Roman" w:hAnsi="Times New Roman" w:cs="Times New Roman"/>
                <w:bCs/>
                <w:i/>
                <w:sz w:val="14"/>
                <w:szCs w:val="14"/>
                <w:lang w:val="de-DE"/>
              </w:rPr>
              <w:t>2001</w:t>
            </w:r>
          </w:p>
        </w:tc>
        <w:tc>
          <w:tcPr>
            <w:tcW w:w="885" w:type="dxa"/>
            <w:tcBorders>
              <w:bottom w:val="single" w:sz="12" w:space="0" w:color="auto"/>
            </w:tcBorders>
            <w:shd w:val="clear" w:color="auto" w:fill="auto"/>
            <w:vAlign w:val="center"/>
          </w:tcPr>
          <w:p w:rsidR="006E710C" w:rsidRPr="006E710C" w:rsidRDefault="006E710C" w:rsidP="004077D8">
            <w:pPr>
              <w:pStyle w:val="GLavaSlo"/>
              <w:rPr>
                <w:rFonts w:ascii="Times New Roman" w:hAnsi="Times New Roman" w:cs="Times New Roman"/>
                <w:bCs/>
                <w:i/>
                <w:sz w:val="14"/>
                <w:szCs w:val="14"/>
                <w:lang w:val="de-DE"/>
              </w:rPr>
            </w:pPr>
            <w:r w:rsidRPr="006E710C">
              <w:rPr>
                <w:rFonts w:ascii="Times New Roman" w:hAnsi="Times New Roman" w:cs="Times New Roman"/>
                <w:bCs/>
                <w:i/>
                <w:sz w:val="14"/>
                <w:szCs w:val="14"/>
                <w:lang w:val="de-DE"/>
              </w:rPr>
              <w:t>2002</w:t>
            </w:r>
          </w:p>
        </w:tc>
      </w:tr>
      <w:tr w:rsidR="006E710C" w:rsidRPr="00D9134C">
        <w:trPr>
          <w:trHeight w:hRule="exact" w:val="115"/>
          <w:tblHeader/>
        </w:trPr>
        <w:tc>
          <w:tcPr>
            <w:tcW w:w="4590" w:type="dxa"/>
            <w:tcBorders>
              <w:top w:val="single" w:sz="12" w:space="0" w:color="auto"/>
            </w:tcBorders>
            <w:shd w:val="clear" w:color="auto" w:fill="auto"/>
            <w:vAlign w:val="bottom"/>
          </w:tcPr>
          <w:p w:rsidR="006E710C" w:rsidRPr="00D9134C" w:rsidRDefault="006E710C" w:rsidP="00D9134C">
            <w:pPr>
              <w:pStyle w:val="CeloAng"/>
              <w:spacing w:before="40" w:after="40" w:line="210" w:lineRule="exact"/>
              <w:ind w:right="43"/>
              <w:rPr>
                <w:rFonts w:ascii="Times New Roman" w:hAnsi="Times New Roman" w:cs="Times New Roman"/>
                <w:sz w:val="17"/>
                <w:szCs w:val="24"/>
              </w:rPr>
            </w:pPr>
          </w:p>
        </w:tc>
        <w:tc>
          <w:tcPr>
            <w:tcW w:w="885" w:type="dxa"/>
            <w:tcBorders>
              <w:top w:val="single" w:sz="12" w:space="0" w:color="auto"/>
            </w:tcBorders>
            <w:shd w:val="clear" w:color="auto" w:fill="auto"/>
            <w:vAlign w:val="bottom"/>
          </w:tcPr>
          <w:p w:rsidR="006E710C" w:rsidRPr="00D9134C" w:rsidRDefault="006E710C" w:rsidP="00D9134C">
            <w:pPr>
              <w:pStyle w:val="Num"/>
              <w:suppressAutoHyphens/>
              <w:spacing w:before="40" w:after="40" w:line="210" w:lineRule="exact"/>
              <w:ind w:right="43"/>
              <w:rPr>
                <w:rFonts w:ascii="Times New Roman" w:hAnsi="Times New Roman" w:cs="Times New Roman"/>
                <w:sz w:val="17"/>
                <w:szCs w:val="24"/>
              </w:rPr>
            </w:pPr>
          </w:p>
        </w:tc>
        <w:tc>
          <w:tcPr>
            <w:tcW w:w="885" w:type="dxa"/>
            <w:tcBorders>
              <w:top w:val="single" w:sz="12" w:space="0" w:color="auto"/>
            </w:tcBorders>
            <w:shd w:val="clear" w:color="auto" w:fill="auto"/>
            <w:vAlign w:val="bottom"/>
          </w:tcPr>
          <w:p w:rsidR="006E710C" w:rsidRPr="00D9134C" w:rsidRDefault="006E710C" w:rsidP="00D9134C">
            <w:pPr>
              <w:pStyle w:val="Num"/>
              <w:suppressAutoHyphens/>
              <w:spacing w:before="40" w:after="40" w:line="210" w:lineRule="exact"/>
              <w:ind w:right="43"/>
              <w:rPr>
                <w:rFonts w:ascii="Times New Roman" w:hAnsi="Times New Roman" w:cs="Times New Roman"/>
                <w:sz w:val="17"/>
                <w:szCs w:val="24"/>
              </w:rPr>
            </w:pPr>
          </w:p>
        </w:tc>
        <w:tc>
          <w:tcPr>
            <w:tcW w:w="885" w:type="dxa"/>
            <w:tcBorders>
              <w:top w:val="single" w:sz="12" w:space="0" w:color="auto"/>
            </w:tcBorders>
            <w:shd w:val="clear" w:color="auto" w:fill="auto"/>
            <w:vAlign w:val="bottom"/>
          </w:tcPr>
          <w:p w:rsidR="006E710C" w:rsidRPr="00D9134C" w:rsidRDefault="006E710C" w:rsidP="00D9134C">
            <w:pPr>
              <w:pStyle w:val="Num"/>
              <w:suppressAutoHyphens/>
              <w:spacing w:before="40" w:after="40" w:line="210" w:lineRule="exact"/>
              <w:ind w:right="43"/>
              <w:rPr>
                <w:rFonts w:ascii="Times New Roman" w:hAnsi="Times New Roman" w:cs="Times New Roman"/>
                <w:sz w:val="17"/>
                <w:szCs w:val="24"/>
              </w:rPr>
            </w:pPr>
          </w:p>
        </w:tc>
        <w:tc>
          <w:tcPr>
            <w:tcW w:w="885" w:type="dxa"/>
            <w:tcBorders>
              <w:top w:val="single" w:sz="12" w:space="0" w:color="auto"/>
            </w:tcBorders>
            <w:shd w:val="clear" w:color="auto" w:fill="auto"/>
            <w:vAlign w:val="bottom"/>
          </w:tcPr>
          <w:p w:rsidR="006E710C" w:rsidRPr="00D9134C" w:rsidRDefault="006E710C" w:rsidP="00D9134C">
            <w:pPr>
              <w:pStyle w:val="Num"/>
              <w:suppressAutoHyphens/>
              <w:spacing w:before="40" w:after="40" w:line="210" w:lineRule="exact"/>
              <w:ind w:right="43"/>
              <w:rPr>
                <w:rFonts w:ascii="Times New Roman" w:hAnsi="Times New Roman" w:cs="Times New Roman"/>
                <w:sz w:val="17"/>
                <w:szCs w:val="24"/>
              </w:rPr>
            </w:pPr>
          </w:p>
        </w:tc>
        <w:tc>
          <w:tcPr>
            <w:tcW w:w="885" w:type="dxa"/>
            <w:tcBorders>
              <w:top w:val="single" w:sz="12" w:space="0" w:color="auto"/>
            </w:tcBorders>
            <w:shd w:val="clear" w:color="auto" w:fill="auto"/>
            <w:vAlign w:val="bottom"/>
          </w:tcPr>
          <w:p w:rsidR="006E710C" w:rsidRPr="00D9134C" w:rsidRDefault="006E710C" w:rsidP="00D9134C">
            <w:pPr>
              <w:pStyle w:val="Num"/>
              <w:suppressAutoHyphens/>
              <w:spacing w:before="40" w:after="40" w:line="210" w:lineRule="exact"/>
              <w:ind w:right="43"/>
              <w:rPr>
                <w:rFonts w:ascii="Times New Roman" w:hAnsi="Times New Roman" w:cs="Times New Roman"/>
                <w:sz w:val="17"/>
                <w:szCs w:val="24"/>
              </w:rPr>
            </w:pPr>
          </w:p>
        </w:tc>
        <w:tc>
          <w:tcPr>
            <w:tcW w:w="885" w:type="dxa"/>
            <w:tcBorders>
              <w:top w:val="single" w:sz="12" w:space="0" w:color="auto"/>
            </w:tcBorders>
            <w:shd w:val="clear" w:color="auto" w:fill="auto"/>
            <w:vAlign w:val="bottom"/>
          </w:tcPr>
          <w:p w:rsidR="006E710C" w:rsidRPr="00D9134C" w:rsidRDefault="006E710C" w:rsidP="00D9134C">
            <w:pPr>
              <w:pStyle w:val="Num"/>
              <w:suppressAutoHyphens/>
              <w:spacing w:before="40" w:after="40" w:line="210" w:lineRule="exact"/>
              <w:ind w:right="43"/>
              <w:rPr>
                <w:rFonts w:ascii="Times New Roman" w:hAnsi="Times New Roman" w:cs="Times New Roman"/>
                <w:sz w:val="17"/>
                <w:szCs w:val="24"/>
              </w:rPr>
            </w:pPr>
          </w:p>
        </w:tc>
      </w:tr>
      <w:tr w:rsidR="006E710C" w:rsidRPr="00D9134C">
        <w:trPr>
          <w:trHeight w:val="216"/>
        </w:trPr>
        <w:tc>
          <w:tcPr>
            <w:tcW w:w="4590" w:type="dxa"/>
            <w:shd w:val="clear" w:color="auto" w:fill="auto"/>
            <w:vAlign w:val="bottom"/>
          </w:tcPr>
          <w:p w:rsidR="006E710C" w:rsidRPr="00D9134C" w:rsidRDefault="006E710C" w:rsidP="006E710C">
            <w:pPr>
              <w:pStyle w:val="CeloAng"/>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 xml:space="preserve"> Retraités</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15,8</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15,4</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15,7</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15,0</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14,5</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15,3</w:t>
            </w:r>
          </w:p>
        </w:tc>
      </w:tr>
      <w:tr w:rsidR="006E710C" w:rsidRPr="00D9134C">
        <w:trPr>
          <w:trHeight w:val="216"/>
        </w:trPr>
        <w:tc>
          <w:tcPr>
            <w:tcW w:w="4590" w:type="dxa"/>
            <w:shd w:val="clear" w:color="auto" w:fill="auto"/>
            <w:vAlign w:val="bottom"/>
          </w:tcPr>
          <w:p w:rsidR="006E710C" w:rsidRPr="00D9134C" w:rsidRDefault="006E710C" w:rsidP="006E710C">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Hommes</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15,3</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16,1</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15,6</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12,3</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11,7</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12,1</w:t>
            </w:r>
          </w:p>
        </w:tc>
      </w:tr>
      <w:tr w:rsidR="006E710C" w:rsidRPr="00D9134C">
        <w:trPr>
          <w:trHeight w:val="216"/>
        </w:trPr>
        <w:tc>
          <w:tcPr>
            <w:tcW w:w="4590" w:type="dxa"/>
            <w:shd w:val="clear" w:color="auto" w:fill="auto"/>
            <w:vAlign w:val="bottom"/>
          </w:tcPr>
          <w:p w:rsidR="006E710C" w:rsidRPr="00D9134C" w:rsidRDefault="006E710C" w:rsidP="006E710C">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Femmes</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16,2</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14,9</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15,7</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16,9</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16,4</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17,4</w:t>
            </w:r>
          </w:p>
        </w:tc>
      </w:tr>
      <w:tr w:rsidR="006E710C" w:rsidRPr="00D9134C">
        <w:trPr>
          <w:trHeight w:val="216"/>
        </w:trPr>
        <w:tc>
          <w:tcPr>
            <w:tcW w:w="4590" w:type="dxa"/>
            <w:shd w:val="clear" w:color="auto" w:fill="auto"/>
            <w:vAlign w:val="bottom"/>
          </w:tcPr>
          <w:p w:rsidR="006E710C" w:rsidRPr="00D9134C" w:rsidRDefault="006E710C" w:rsidP="006E710C">
            <w:pPr>
              <w:pStyle w:val="CeloAng"/>
              <w:tabs>
                <w:tab w:val="left" w:pos="288"/>
                <w:tab w:val="left" w:pos="576"/>
                <w:tab w:val="left" w:pos="864"/>
                <w:tab w:val="left" w:pos="1152"/>
              </w:tabs>
              <w:spacing w:before="40" w:after="40" w:line="210" w:lineRule="exact"/>
              <w:ind w:right="43"/>
              <w:rPr>
                <w:rFonts w:ascii="Times New Roman" w:hAnsi="Times New Roman" w:cs="Times New Roman"/>
                <w:sz w:val="17"/>
                <w:szCs w:val="24"/>
                <w:lang w:val="fr-FR"/>
              </w:rPr>
            </w:pPr>
            <w:r w:rsidRPr="00D9134C">
              <w:rPr>
                <w:rFonts w:ascii="Times New Roman" w:hAnsi="Times New Roman" w:cs="Times New Roman"/>
                <w:sz w:val="17"/>
                <w:szCs w:val="24"/>
                <w:lang w:val="fr-FR"/>
              </w:rPr>
              <w:t xml:space="preserve"> Autres inactifs sur le plan économique</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23,3</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22,7</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20,2</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19,1</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17,9</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16,3</w:t>
            </w:r>
          </w:p>
        </w:tc>
      </w:tr>
      <w:tr w:rsidR="006E710C" w:rsidRPr="00D9134C">
        <w:trPr>
          <w:trHeight w:val="216"/>
        </w:trPr>
        <w:tc>
          <w:tcPr>
            <w:tcW w:w="4590" w:type="dxa"/>
            <w:shd w:val="clear" w:color="auto" w:fill="auto"/>
            <w:vAlign w:val="bottom"/>
          </w:tcPr>
          <w:p w:rsidR="006E710C" w:rsidRPr="00D9134C" w:rsidRDefault="006E710C" w:rsidP="006E710C">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Hommes</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21,9</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20,8</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17,5</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18,9</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16,4</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14,8</w:t>
            </w:r>
          </w:p>
        </w:tc>
      </w:tr>
      <w:tr w:rsidR="006E710C" w:rsidRPr="00D9134C">
        <w:trPr>
          <w:trHeight w:val="216"/>
        </w:trPr>
        <w:tc>
          <w:tcPr>
            <w:tcW w:w="4590" w:type="dxa"/>
            <w:shd w:val="clear" w:color="auto" w:fill="auto"/>
            <w:vAlign w:val="bottom"/>
          </w:tcPr>
          <w:p w:rsidR="006E710C" w:rsidRPr="00D9134C" w:rsidRDefault="006E710C" w:rsidP="006E710C">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Femmes</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24,2</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24,0</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22,1</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19,2</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18,8</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17,4</w:t>
            </w:r>
          </w:p>
        </w:tc>
      </w:tr>
      <w:tr w:rsidR="006E710C" w:rsidRPr="00D9134C">
        <w:trPr>
          <w:trHeight w:val="216"/>
        </w:trPr>
        <w:tc>
          <w:tcPr>
            <w:tcW w:w="4590" w:type="dxa"/>
            <w:shd w:val="clear" w:color="auto" w:fill="auto"/>
            <w:vAlign w:val="bottom"/>
          </w:tcPr>
          <w:p w:rsidR="006E710C" w:rsidRPr="00D9134C" w:rsidRDefault="006E710C" w:rsidP="006E710C">
            <w:pPr>
              <w:pStyle w:val="CeloAng"/>
              <w:tabs>
                <w:tab w:val="left" w:pos="288"/>
                <w:tab w:val="left" w:pos="576"/>
                <w:tab w:val="left" w:pos="864"/>
                <w:tab w:val="left" w:pos="1152"/>
              </w:tabs>
              <w:spacing w:before="40" w:after="40" w:line="210" w:lineRule="exact"/>
              <w:ind w:left="114" w:right="43"/>
              <w:rPr>
                <w:rFonts w:ascii="Times New Roman" w:hAnsi="Times New Roman" w:cs="Times New Roman"/>
                <w:b/>
                <w:sz w:val="17"/>
                <w:szCs w:val="24"/>
                <w:lang w:val="fr-FR"/>
              </w:rPr>
            </w:pPr>
            <w:r w:rsidRPr="00D9134C">
              <w:rPr>
                <w:rFonts w:ascii="Times New Roman" w:hAnsi="Times New Roman" w:cs="Times New Roman"/>
                <w:b/>
                <w:sz w:val="17"/>
                <w:szCs w:val="24"/>
                <w:lang w:val="fr-FR"/>
              </w:rPr>
              <w:t>Taux de risque de pauvreté, par type de ménage</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b/>
                <w:sz w:val="17"/>
                <w:szCs w:val="24"/>
                <w:lang w:val="sv-SE"/>
              </w:rPr>
            </w:pP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b/>
                <w:sz w:val="17"/>
                <w:szCs w:val="24"/>
                <w:lang w:val="sv-SE"/>
              </w:rPr>
            </w:pP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b/>
                <w:sz w:val="17"/>
                <w:szCs w:val="24"/>
                <w:lang w:val="sv-SE"/>
              </w:rPr>
            </w:pP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b/>
                <w:sz w:val="17"/>
                <w:szCs w:val="24"/>
                <w:lang w:val="sv-SE"/>
              </w:rPr>
            </w:pP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b/>
                <w:sz w:val="17"/>
                <w:szCs w:val="24"/>
                <w:lang w:val="sv-SE"/>
              </w:rPr>
            </w:pP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b/>
                <w:sz w:val="17"/>
                <w:szCs w:val="24"/>
                <w:lang w:val="sv-SE"/>
              </w:rPr>
            </w:pPr>
          </w:p>
        </w:tc>
      </w:tr>
      <w:tr w:rsidR="006E710C" w:rsidRPr="00D9134C">
        <w:trPr>
          <w:trHeight w:val="216"/>
        </w:trPr>
        <w:tc>
          <w:tcPr>
            <w:tcW w:w="4590" w:type="dxa"/>
            <w:shd w:val="clear" w:color="auto" w:fill="auto"/>
            <w:vAlign w:val="bottom"/>
          </w:tcPr>
          <w:p w:rsidR="006E710C" w:rsidRPr="00E30EA9" w:rsidRDefault="006E710C" w:rsidP="006E710C">
            <w:pPr>
              <w:pStyle w:val="CeloAng"/>
              <w:tabs>
                <w:tab w:val="left" w:pos="288"/>
                <w:tab w:val="left" w:pos="576"/>
                <w:tab w:val="left" w:pos="864"/>
                <w:tab w:val="left" w:pos="1152"/>
              </w:tabs>
              <w:spacing w:before="40" w:after="40" w:line="210" w:lineRule="exact"/>
              <w:ind w:left="114" w:right="43"/>
              <w:rPr>
                <w:rFonts w:ascii="Times New Roman" w:hAnsi="Times New Roman" w:cs="Times New Roman"/>
                <w:sz w:val="17"/>
                <w:szCs w:val="24"/>
                <w:lang w:val="fr-FR"/>
              </w:rPr>
            </w:pPr>
            <w:r w:rsidRPr="00D9134C">
              <w:rPr>
                <w:rFonts w:ascii="Times New Roman" w:hAnsi="Times New Roman" w:cs="Times New Roman"/>
                <w:sz w:val="17"/>
                <w:szCs w:val="24"/>
                <w:lang w:val="fr-FR"/>
              </w:rPr>
              <w:t>Ense</w:t>
            </w:r>
            <w:r>
              <w:rPr>
                <w:rFonts w:ascii="Times New Roman" w:hAnsi="Times New Roman" w:cs="Times New Roman"/>
                <w:sz w:val="17"/>
                <w:szCs w:val="24"/>
                <w:lang w:val="fr-FR"/>
              </w:rPr>
              <w:t>sm</w:t>
            </w:r>
            <w:r w:rsidRPr="00D9134C">
              <w:rPr>
                <w:rFonts w:ascii="Times New Roman" w:hAnsi="Times New Roman" w:cs="Times New Roman"/>
                <w:sz w:val="17"/>
                <w:szCs w:val="24"/>
                <w:lang w:val="fr-FR"/>
              </w:rPr>
              <w:t>ble des ménages sans enfants à charge</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16,6</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15,5</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15,1</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14,8</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13,6</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13,8</w:t>
            </w:r>
          </w:p>
        </w:tc>
      </w:tr>
      <w:tr w:rsidR="006E710C" w:rsidRPr="00D9134C">
        <w:trPr>
          <w:trHeight w:val="216"/>
        </w:trPr>
        <w:tc>
          <w:tcPr>
            <w:tcW w:w="4590" w:type="dxa"/>
            <w:shd w:val="clear" w:color="auto" w:fill="auto"/>
            <w:vAlign w:val="bottom"/>
          </w:tcPr>
          <w:p w:rsidR="006E710C" w:rsidRPr="00D9134C" w:rsidRDefault="006E710C" w:rsidP="006E710C">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lang w:val="fr-FR"/>
              </w:rPr>
            </w:pPr>
            <w:r w:rsidRPr="00D9134C">
              <w:rPr>
                <w:rFonts w:ascii="Times New Roman" w:hAnsi="Times New Roman" w:cs="Times New Roman"/>
                <w:sz w:val="17"/>
                <w:szCs w:val="24"/>
                <w:lang w:val="fr-FR"/>
              </w:rPr>
              <w:t>Foyer comportant une seule personne, total</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34,4</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33,3</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35,7</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36,2</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35,2</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36,1</w:t>
            </w:r>
          </w:p>
        </w:tc>
      </w:tr>
      <w:tr w:rsidR="006E710C" w:rsidRPr="00D9134C">
        <w:trPr>
          <w:trHeight w:val="216"/>
        </w:trPr>
        <w:tc>
          <w:tcPr>
            <w:tcW w:w="4590" w:type="dxa"/>
            <w:shd w:val="clear" w:color="auto" w:fill="auto"/>
            <w:vAlign w:val="bottom"/>
          </w:tcPr>
          <w:p w:rsidR="006E710C" w:rsidRPr="00D9134C" w:rsidRDefault="006E710C" w:rsidP="006E710C">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lang w:val="fr-FR"/>
              </w:rPr>
            </w:pPr>
            <w:r w:rsidRPr="00D9134C">
              <w:rPr>
                <w:rFonts w:ascii="Times New Roman" w:hAnsi="Times New Roman" w:cs="Times New Roman"/>
                <w:sz w:val="17"/>
                <w:szCs w:val="24"/>
                <w:lang w:val="fr-FR"/>
              </w:rPr>
              <w:t>Foyer comportant une seule personne - masculine</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29,9</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34,2</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38,4</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28,5</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27,7</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30,5</w:t>
            </w:r>
          </w:p>
        </w:tc>
      </w:tr>
      <w:tr w:rsidR="006E710C" w:rsidRPr="00D9134C">
        <w:trPr>
          <w:trHeight w:val="216"/>
        </w:trPr>
        <w:tc>
          <w:tcPr>
            <w:tcW w:w="4590" w:type="dxa"/>
            <w:shd w:val="clear" w:color="auto" w:fill="auto"/>
            <w:vAlign w:val="bottom"/>
          </w:tcPr>
          <w:p w:rsidR="006E710C" w:rsidRPr="00D9134C" w:rsidRDefault="006E710C" w:rsidP="006E710C">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lang w:val="fr-FR"/>
              </w:rPr>
            </w:pPr>
            <w:r w:rsidRPr="00D9134C">
              <w:rPr>
                <w:rFonts w:ascii="Times New Roman" w:hAnsi="Times New Roman" w:cs="Times New Roman"/>
                <w:sz w:val="17"/>
                <w:szCs w:val="24"/>
                <w:lang w:val="fr-FR"/>
              </w:rPr>
              <w:t>Foyer comportant une seule personne - féminine</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36,2</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32,9</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34,5</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39,3</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38,6</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38,7</w:t>
            </w:r>
          </w:p>
        </w:tc>
      </w:tr>
      <w:tr w:rsidR="006E710C" w:rsidRPr="00D9134C">
        <w:trPr>
          <w:trHeight w:val="216"/>
        </w:trPr>
        <w:tc>
          <w:tcPr>
            <w:tcW w:w="4590" w:type="dxa"/>
            <w:shd w:val="clear" w:color="auto" w:fill="auto"/>
            <w:vAlign w:val="bottom"/>
          </w:tcPr>
          <w:p w:rsidR="006E710C" w:rsidRPr="00E30EA9" w:rsidRDefault="006E710C" w:rsidP="006E710C">
            <w:pPr>
              <w:pStyle w:val="CeloAng"/>
              <w:tabs>
                <w:tab w:val="left" w:pos="288"/>
                <w:tab w:val="left" w:pos="576"/>
                <w:tab w:val="left" w:pos="864"/>
                <w:tab w:val="left" w:pos="1152"/>
              </w:tabs>
              <w:spacing w:before="40" w:after="40" w:line="210" w:lineRule="exact"/>
              <w:ind w:right="43"/>
              <w:rPr>
                <w:rFonts w:ascii="Times New Roman" w:hAnsi="Times New Roman" w:cs="Times New Roman"/>
                <w:sz w:val="17"/>
                <w:szCs w:val="24"/>
                <w:lang w:val="fr-FR"/>
              </w:rPr>
            </w:pPr>
            <w:r w:rsidRPr="00E30EA9">
              <w:rPr>
                <w:rFonts w:ascii="Times New Roman" w:hAnsi="Times New Roman" w:cs="Times New Roman"/>
                <w:sz w:val="17"/>
                <w:szCs w:val="24"/>
                <w:lang w:val="fr-FR"/>
              </w:rPr>
              <w:t xml:space="preserve"> Ensemble des ménages avec enfants à charge</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10,9</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11,3</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9,9</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9,2</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8,7</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7,5</w:t>
            </w:r>
          </w:p>
        </w:tc>
      </w:tr>
      <w:tr w:rsidR="006E710C" w:rsidRPr="00D9134C">
        <w:trPr>
          <w:trHeight w:val="216"/>
        </w:trPr>
        <w:tc>
          <w:tcPr>
            <w:tcW w:w="4590" w:type="dxa"/>
            <w:shd w:val="clear" w:color="auto" w:fill="auto"/>
            <w:vAlign w:val="bottom"/>
          </w:tcPr>
          <w:p w:rsidR="006E710C" w:rsidRPr="00D9134C" w:rsidRDefault="006E710C" w:rsidP="006E710C">
            <w:pPr>
              <w:pStyle w:val="CeloAng"/>
              <w:tabs>
                <w:tab w:val="left" w:pos="288"/>
                <w:tab w:val="left" w:pos="576"/>
                <w:tab w:val="left" w:pos="864"/>
                <w:tab w:val="left" w:pos="1152"/>
              </w:tabs>
              <w:spacing w:before="40" w:after="40" w:line="210" w:lineRule="exact"/>
              <w:ind w:right="43"/>
              <w:rPr>
                <w:rFonts w:ascii="Times New Roman" w:hAnsi="Times New Roman" w:cs="Times New Roman"/>
                <w:sz w:val="17"/>
                <w:szCs w:val="24"/>
                <w:lang w:val="fr-FR"/>
              </w:rPr>
            </w:pPr>
            <w:r w:rsidRPr="00D9134C">
              <w:rPr>
                <w:rFonts w:ascii="Times New Roman" w:hAnsi="Times New Roman" w:cs="Times New Roman"/>
                <w:sz w:val="17"/>
                <w:szCs w:val="24"/>
                <w:lang w:val="fr-FR"/>
              </w:rPr>
              <w:t xml:space="preserve"> Famille monoparentale, avec un ou plusieurs enfants à charge</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17,5</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18,0</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14,8</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21,1</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19,8</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17,2</w:t>
            </w:r>
          </w:p>
        </w:tc>
      </w:tr>
      <w:tr w:rsidR="006E710C" w:rsidRPr="00D9134C">
        <w:trPr>
          <w:trHeight w:val="216"/>
        </w:trPr>
        <w:tc>
          <w:tcPr>
            <w:tcW w:w="4590" w:type="dxa"/>
            <w:shd w:val="clear" w:color="auto" w:fill="auto"/>
            <w:vAlign w:val="bottom"/>
          </w:tcPr>
          <w:p w:rsidR="006E710C" w:rsidRPr="00D9134C" w:rsidRDefault="006E710C" w:rsidP="006E710C">
            <w:pPr>
              <w:pStyle w:val="CeloAng"/>
              <w:tabs>
                <w:tab w:val="left" w:pos="288"/>
                <w:tab w:val="left" w:pos="576"/>
                <w:tab w:val="left" w:pos="864"/>
                <w:tab w:val="left" w:pos="1152"/>
              </w:tabs>
              <w:spacing w:before="40" w:after="40" w:line="210" w:lineRule="exact"/>
              <w:ind w:left="114" w:right="43"/>
              <w:rPr>
                <w:rFonts w:ascii="Times New Roman" w:hAnsi="Times New Roman" w:cs="Times New Roman"/>
                <w:sz w:val="17"/>
                <w:szCs w:val="24"/>
                <w:lang w:val="fr-FR"/>
              </w:rPr>
            </w:pPr>
            <w:r w:rsidRPr="00D9134C">
              <w:rPr>
                <w:rFonts w:ascii="Times New Roman" w:hAnsi="Times New Roman" w:cs="Times New Roman"/>
                <w:b/>
                <w:bCs/>
                <w:sz w:val="17"/>
                <w:szCs w:val="24"/>
                <w:lang w:val="fr-FR"/>
              </w:rPr>
              <w:t>Taux de risque de pauvreté, par statut en matière de logement</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fr-FR"/>
              </w:rPr>
            </w:pP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fr-FR"/>
              </w:rPr>
            </w:pP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fr-FR"/>
              </w:rPr>
            </w:pP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fr-FR"/>
              </w:rPr>
            </w:pP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fr-FR"/>
              </w:rPr>
            </w:pP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fr-FR"/>
              </w:rPr>
            </w:pPr>
          </w:p>
        </w:tc>
      </w:tr>
      <w:tr w:rsidR="006E710C" w:rsidRPr="00D9134C">
        <w:trPr>
          <w:trHeight w:val="216"/>
        </w:trPr>
        <w:tc>
          <w:tcPr>
            <w:tcW w:w="4590" w:type="dxa"/>
            <w:shd w:val="clear" w:color="auto" w:fill="auto"/>
            <w:vAlign w:val="bottom"/>
          </w:tcPr>
          <w:p w:rsidR="006E710C" w:rsidRPr="00D9134C" w:rsidRDefault="006E710C" w:rsidP="006E710C">
            <w:pPr>
              <w:pStyle w:val="CeloAng"/>
              <w:tabs>
                <w:tab w:val="left" w:pos="288"/>
                <w:tab w:val="left" w:pos="576"/>
                <w:tab w:val="left" w:pos="864"/>
                <w:tab w:val="left" w:pos="1152"/>
              </w:tabs>
              <w:spacing w:before="40" w:after="40" w:line="210" w:lineRule="exact"/>
              <w:ind w:left="114" w:right="43"/>
              <w:rPr>
                <w:rFonts w:ascii="Times New Roman" w:hAnsi="Times New Roman" w:cs="Times New Roman"/>
                <w:sz w:val="17"/>
                <w:szCs w:val="24"/>
                <w:lang w:val="fr-FR"/>
              </w:rPr>
            </w:pPr>
            <w:r w:rsidRPr="00D9134C">
              <w:rPr>
                <w:rFonts w:ascii="Times New Roman" w:hAnsi="Times New Roman" w:cs="Times New Roman"/>
                <w:sz w:val="17"/>
                <w:szCs w:val="24"/>
                <w:lang w:val="fr-FR"/>
              </w:rPr>
              <w:t>Propriétaire ou sans loyer</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12,8</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12,8</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11,5</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10,9</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10,2</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9,2</w:t>
            </w:r>
          </w:p>
        </w:tc>
      </w:tr>
      <w:tr w:rsidR="006E710C" w:rsidRPr="00D9134C">
        <w:trPr>
          <w:trHeight w:val="216"/>
        </w:trPr>
        <w:tc>
          <w:tcPr>
            <w:tcW w:w="4590" w:type="dxa"/>
            <w:shd w:val="clear" w:color="auto" w:fill="auto"/>
            <w:vAlign w:val="bottom"/>
          </w:tcPr>
          <w:p w:rsidR="006E710C" w:rsidRPr="00D9134C" w:rsidRDefault="006E710C" w:rsidP="006E710C">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Hommes</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12,2</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12,3</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10,7</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10,0</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9,2</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7,9</w:t>
            </w:r>
          </w:p>
        </w:tc>
      </w:tr>
      <w:tr w:rsidR="006E710C" w:rsidRPr="00D9134C">
        <w:trPr>
          <w:trHeight w:val="216"/>
        </w:trPr>
        <w:tc>
          <w:tcPr>
            <w:tcW w:w="4590" w:type="dxa"/>
            <w:shd w:val="clear" w:color="auto" w:fill="auto"/>
            <w:vAlign w:val="bottom"/>
          </w:tcPr>
          <w:p w:rsidR="006E710C" w:rsidRPr="00D9134C" w:rsidRDefault="006E710C" w:rsidP="006E710C">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Femmes</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de-DE"/>
              </w:rPr>
            </w:pPr>
            <w:r w:rsidRPr="00D9134C">
              <w:rPr>
                <w:rFonts w:ascii="Times New Roman" w:hAnsi="Times New Roman" w:cs="Times New Roman"/>
                <w:sz w:val="17"/>
                <w:szCs w:val="24"/>
                <w:lang w:val="de-DE"/>
              </w:rPr>
              <w:t>13,3</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de-DE"/>
              </w:rPr>
            </w:pPr>
            <w:r w:rsidRPr="00D9134C">
              <w:rPr>
                <w:rFonts w:ascii="Times New Roman" w:hAnsi="Times New Roman" w:cs="Times New Roman"/>
                <w:sz w:val="17"/>
                <w:szCs w:val="24"/>
                <w:lang w:val="de-DE"/>
              </w:rPr>
              <w:t>13,3</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de-DE"/>
              </w:rPr>
            </w:pPr>
            <w:r w:rsidRPr="00D9134C">
              <w:rPr>
                <w:rFonts w:ascii="Times New Roman" w:hAnsi="Times New Roman" w:cs="Times New Roman"/>
                <w:sz w:val="17"/>
                <w:szCs w:val="24"/>
                <w:lang w:val="de-DE"/>
              </w:rPr>
              <w:t>12,3</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de-DE"/>
              </w:rPr>
            </w:pPr>
            <w:r w:rsidRPr="00D9134C">
              <w:rPr>
                <w:rFonts w:ascii="Times New Roman" w:hAnsi="Times New Roman" w:cs="Times New Roman"/>
                <w:sz w:val="17"/>
                <w:szCs w:val="24"/>
                <w:lang w:val="de-DE"/>
              </w:rPr>
              <w:t>11,7</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de-DE"/>
              </w:rPr>
            </w:pPr>
            <w:r w:rsidRPr="00D9134C">
              <w:rPr>
                <w:rFonts w:ascii="Times New Roman" w:hAnsi="Times New Roman" w:cs="Times New Roman"/>
                <w:sz w:val="17"/>
                <w:szCs w:val="24"/>
                <w:lang w:val="de-DE"/>
              </w:rPr>
              <w:t>11,2</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lang w:val="de-DE"/>
              </w:rPr>
            </w:pPr>
            <w:r w:rsidRPr="00D9134C">
              <w:rPr>
                <w:rFonts w:ascii="Times New Roman" w:hAnsi="Times New Roman" w:cs="Times New Roman"/>
                <w:sz w:val="17"/>
                <w:szCs w:val="24"/>
                <w:lang w:val="de-DE"/>
              </w:rPr>
              <w:t>10,5</w:t>
            </w:r>
          </w:p>
        </w:tc>
      </w:tr>
      <w:tr w:rsidR="006E710C" w:rsidRPr="00D9134C">
        <w:trPr>
          <w:trHeight w:val="216"/>
        </w:trPr>
        <w:tc>
          <w:tcPr>
            <w:tcW w:w="4590" w:type="dxa"/>
            <w:shd w:val="clear" w:color="auto" w:fill="auto"/>
            <w:vAlign w:val="bottom"/>
          </w:tcPr>
          <w:p w:rsidR="006E710C" w:rsidRPr="00D9134C" w:rsidRDefault="006E710C" w:rsidP="006E710C">
            <w:pPr>
              <w:pStyle w:val="CeloAng"/>
              <w:tabs>
                <w:tab w:val="left" w:pos="288"/>
                <w:tab w:val="left" w:pos="576"/>
                <w:tab w:val="left" w:pos="864"/>
                <w:tab w:val="left" w:pos="1152"/>
              </w:tabs>
              <w:spacing w:before="40" w:after="40" w:line="210" w:lineRule="exact"/>
              <w:ind w:right="43"/>
              <w:rPr>
                <w:rFonts w:ascii="Times New Roman" w:hAnsi="Times New Roman" w:cs="Times New Roman"/>
                <w:sz w:val="17"/>
                <w:szCs w:val="24"/>
                <w:lang w:val="de-DE"/>
              </w:rPr>
            </w:pPr>
            <w:r w:rsidRPr="00D9134C">
              <w:rPr>
                <w:rFonts w:ascii="Times New Roman" w:hAnsi="Times New Roman" w:cs="Times New Roman"/>
                <w:sz w:val="17"/>
                <w:szCs w:val="24"/>
                <w:lang w:val="de-DE"/>
              </w:rPr>
              <w:t xml:space="preserve"> Locataire</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16,6</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14,6</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17,6</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16,8</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16,2</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19,9</w:t>
            </w:r>
          </w:p>
        </w:tc>
      </w:tr>
      <w:tr w:rsidR="006E710C" w:rsidRPr="00D9134C">
        <w:trPr>
          <w:trHeight w:val="216"/>
        </w:trPr>
        <w:tc>
          <w:tcPr>
            <w:tcW w:w="4590" w:type="dxa"/>
            <w:shd w:val="clear" w:color="auto" w:fill="auto"/>
            <w:vAlign w:val="bottom"/>
          </w:tcPr>
          <w:p w:rsidR="006E710C" w:rsidRPr="00D9134C" w:rsidRDefault="006E710C" w:rsidP="006E710C">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Hommes</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17,6</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14,8</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17,8</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16,8</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15,0</w:t>
            </w:r>
          </w:p>
        </w:tc>
        <w:tc>
          <w:tcPr>
            <w:tcW w:w="885" w:type="dxa"/>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18,3</w:t>
            </w:r>
          </w:p>
        </w:tc>
      </w:tr>
      <w:tr w:rsidR="006E710C" w:rsidRPr="00D9134C">
        <w:trPr>
          <w:trHeight w:val="216"/>
        </w:trPr>
        <w:tc>
          <w:tcPr>
            <w:tcW w:w="4590" w:type="dxa"/>
            <w:tcBorders>
              <w:bottom w:val="single" w:sz="12" w:space="0" w:color="auto"/>
            </w:tcBorders>
            <w:shd w:val="clear" w:color="auto" w:fill="auto"/>
            <w:vAlign w:val="bottom"/>
          </w:tcPr>
          <w:p w:rsidR="006E710C" w:rsidRPr="00D9134C" w:rsidRDefault="006E710C" w:rsidP="006E710C">
            <w:pPr>
              <w:pStyle w:val="CeloAng"/>
              <w:numPr>
                <w:ilvl w:val="0"/>
                <w:numId w:val="3"/>
              </w:numPr>
              <w:tabs>
                <w:tab w:val="left" w:pos="288"/>
                <w:tab w:val="left" w:pos="576"/>
                <w:tab w:val="left" w:pos="864"/>
                <w:tab w:val="left" w:pos="1152"/>
              </w:tab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Femmes</w:t>
            </w:r>
          </w:p>
        </w:tc>
        <w:tc>
          <w:tcPr>
            <w:tcW w:w="885" w:type="dxa"/>
            <w:tcBorders>
              <w:bottom w:val="single" w:sz="12" w:space="0" w:color="auto"/>
            </w:tcBorders>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15,8</w:t>
            </w:r>
          </w:p>
        </w:tc>
        <w:tc>
          <w:tcPr>
            <w:tcW w:w="885" w:type="dxa"/>
            <w:tcBorders>
              <w:bottom w:val="single" w:sz="12" w:space="0" w:color="auto"/>
            </w:tcBorders>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14,3</w:t>
            </w:r>
          </w:p>
        </w:tc>
        <w:tc>
          <w:tcPr>
            <w:tcW w:w="885" w:type="dxa"/>
            <w:tcBorders>
              <w:bottom w:val="single" w:sz="12" w:space="0" w:color="auto"/>
            </w:tcBorders>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17,4</w:t>
            </w:r>
          </w:p>
        </w:tc>
        <w:tc>
          <w:tcPr>
            <w:tcW w:w="885" w:type="dxa"/>
            <w:tcBorders>
              <w:bottom w:val="single" w:sz="12" w:space="0" w:color="auto"/>
            </w:tcBorders>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16,8</w:t>
            </w:r>
          </w:p>
        </w:tc>
        <w:tc>
          <w:tcPr>
            <w:tcW w:w="885" w:type="dxa"/>
            <w:tcBorders>
              <w:bottom w:val="single" w:sz="12" w:space="0" w:color="auto"/>
            </w:tcBorders>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17,2</w:t>
            </w:r>
          </w:p>
        </w:tc>
        <w:tc>
          <w:tcPr>
            <w:tcW w:w="885" w:type="dxa"/>
            <w:tcBorders>
              <w:bottom w:val="single" w:sz="12" w:space="0" w:color="auto"/>
            </w:tcBorders>
            <w:shd w:val="clear" w:color="auto" w:fill="auto"/>
            <w:vAlign w:val="bottom"/>
          </w:tcPr>
          <w:p w:rsidR="006E710C" w:rsidRPr="00D9134C" w:rsidRDefault="006E710C" w:rsidP="006E710C">
            <w:pPr>
              <w:pStyle w:val="Num"/>
              <w:tabs>
                <w:tab w:val="left" w:pos="288"/>
                <w:tab w:val="left" w:pos="576"/>
                <w:tab w:val="left" w:pos="864"/>
                <w:tab w:val="left" w:pos="1152"/>
              </w:tabs>
              <w:suppressAutoHyphens/>
              <w:spacing w:before="40" w:after="40" w:line="210" w:lineRule="exact"/>
              <w:ind w:right="43"/>
              <w:rPr>
                <w:rFonts w:ascii="Times New Roman" w:hAnsi="Times New Roman" w:cs="Times New Roman"/>
                <w:sz w:val="17"/>
                <w:szCs w:val="24"/>
              </w:rPr>
            </w:pPr>
            <w:r w:rsidRPr="00D9134C">
              <w:rPr>
                <w:rFonts w:ascii="Times New Roman" w:hAnsi="Times New Roman" w:cs="Times New Roman"/>
                <w:sz w:val="17"/>
                <w:szCs w:val="24"/>
              </w:rPr>
              <w:t>21,4</w:t>
            </w:r>
          </w:p>
        </w:tc>
      </w:tr>
    </w:tbl>
    <w:p w:rsidR="006405B4" w:rsidRPr="006405B4" w:rsidRDefault="006405B4" w:rsidP="006405B4">
      <w:pPr>
        <w:pStyle w:val="Predoblikovano"/>
        <w:tabs>
          <w:tab w:val="clear" w:pos="9590"/>
        </w:tabs>
        <w:spacing w:line="120" w:lineRule="exact"/>
        <w:jc w:val="both"/>
        <w:rPr>
          <w:rFonts w:ascii="Times New Roman" w:hAnsi="Times New Roman" w:cs="Times New Roman"/>
          <w:sz w:val="10"/>
          <w:lang w:val="fr-FR"/>
        </w:rPr>
      </w:pPr>
    </w:p>
    <w:p w:rsidR="0073290F" w:rsidRPr="00EE2ACF" w:rsidRDefault="006405B4" w:rsidP="006405B4">
      <w:pPr>
        <w:pStyle w:val="FootnoteText"/>
        <w:tabs>
          <w:tab w:val="clear" w:pos="418"/>
          <w:tab w:val="right" w:pos="216"/>
          <w:tab w:val="left" w:pos="288"/>
          <w:tab w:val="right" w:pos="576"/>
          <w:tab w:val="left" w:pos="648"/>
        </w:tabs>
        <w:ind w:left="288" w:hanging="288"/>
        <w:rPr>
          <w:lang w:val="fr-FR"/>
        </w:rPr>
      </w:pPr>
      <w:r>
        <w:rPr>
          <w:i/>
          <w:lang w:val="fr-FR"/>
        </w:rPr>
        <w:tab/>
      </w:r>
      <w:r>
        <w:rPr>
          <w:i/>
          <w:lang w:val="fr-FR"/>
        </w:rPr>
        <w:tab/>
      </w:r>
      <w:r w:rsidR="0073290F" w:rsidRPr="006405B4">
        <w:rPr>
          <w:i/>
          <w:lang w:val="fr-FR"/>
        </w:rPr>
        <w:t>Source</w:t>
      </w:r>
      <w:r w:rsidR="0073290F" w:rsidRPr="00EE2ACF">
        <w:rPr>
          <w:lang w:val="fr-FR"/>
        </w:rPr>
        <w:t>: Indicateurs de cohésion sociale (Indicateurs Laeken), 2000 – 2002.</w:t>
      </w:r>
      <w:r>
        <w:rPr>
          <w:lang w:val="fr-FR"/>
        </w:rPr>
        <w:br/>
      </w:r>
      <w:r w:rsidR="0073290F" w:rsidRPr="00EE2ACF">
        <w:rPr>
          <w:lang w:val="fr-FR"/>
        </w:rPr>
        <w:t xml:space="preserve">Institut de la Statistique de la République de Slovénie, 2004. </w:t>
      </w:r>
    </w:p>
    <w:p w:rsidR="0073290F" w:rsidRPr="00EA7628" w:rsidRDefault="0073290F" w:rsidP="0073290F">
      <w:pPr>
        <w:rPr>
          <w:b/>
          <w:bCs/>
        </w:rPr>
      </w:pPr>
    </w:p>
    <w:p w:rsidR="0073290F" w:rsidRDefault="0073290F" w:rsidP="006405B4">
      <w:pPr>
        <w:pStyle w:val="SingleTxt"/>
        <w:jc w:val="left"/>
        <w:rPr>
          <w:b/>
          <w:bCs/>
          <w:color w:val="000000"/>
        </w:rPr>
      </w:pPr>
      <w:r w:rsidRPr="00220B31">
        <w:t>Tableau 47</w:t>
      </w:r>
      <w:r w:rsidR="006405B4">
        <w:br/>
      </w:r>
      <w:r w:rsidRPr="006405B4">
        <w:rPr>
          <w:b/>
        </w:rPr>
        <w:t>Utilisation du temps chez les personnes âgées de 10 ans et plus, par sexe,</w:t>
      </w:r>
      <w:r w:rsidR="006405B4">
        <w:t xml:space="preserve"> </w:t>
      </w:r>
      <w:r w:rsidR="006405B4">
        <w:br/>
      </w:r>
      <w:r w:rsidRPr="001303D2">
        <w:rPr>
          <w:b/>
          <w:bCs/>
          <w:color w:val="000000"/>
        </w:rPr>
        <w:t>A</w:t>
      </w:r>
      <w:r>
        <w:rPr>
          <w:b/>
          <w:bCs/>
          <w:color w:val="000000"/>
        </w:rPr>
        <w:t>v</w:t>
      </w:r>
      <w:r w:rsidRPr="001303D2">
        <w:rPr>
          <w:b/>
          <w:bCs/>
          <w:color w:val="000000"/>
        </w:rPr>
        <w:t>ril 2000 – Mar</w:t>
      </w:r>
      <w:r>
        <w:rPr>
          <w:b/>
          <w:bCs/>
          <w:color w:val="000000"/>
        </w:rPr>
        <w:t xml:space="preserve">s </w:t>
      </w:r>
      <w:r w:rsidRPr="001303D2">
        <w:rPr>
          <w:b/>
          <w:bCs/>
          <w:color w:val="000000"/>
        </w:rPr>
        <w:t>2001</w:t>
      </w:r>
    </w:p>
    <w:p w:rsidR="006405B4" w:rsidRPr="006405B4" w:rsidRDefault="006405B4" w:rsidP="006405B4">
      <w:pPr>
        <w:autoSpaceDE w:val="0"/>
        <w:autoSpaceDN w:val="0"/>
        <w:adjustRightInd w:val="0"/>
        <w:spacing w:line="120" w:lineRule="exact"/>
        <w:ind w:left="708" w:firstLine="708"/>
        <w:rPr>
          <w:b/>
          <w:bCs/>
          <w:color w:val="000000"/>
          <w:sz w:val="10"/>
        </w:rPr>
      </w:pPr>
    </w:p>
    <w:tbl>
      <w:tblPr>
        <w:tblW w:w="0" w:type="auto"/>
        <w:tblInd w:w="1267" w:type="dxa"/>
        <w:tblCellMar>
          <w:left w:w="70" w:type="dxa"/>
          <w:right w:w="70" w:type="dxa"/>
        </w:tblCellMar>
        <w:tblLook w:val="0000" w:firstRow="0" w:lastRow="0" w:firstColumn="0" w:lastColumn="0" w:noHBand="0" w:noVBand="0"/>
      </w:tblPr>
      <w:tblGrid>
        <w:gridCol w:w="4917"/>
        <w:gridCol w:w="996"/>
        <w:gridCol w:w="990"/>
      </w:tblGrid>
      <w:tr w:rsidR="0073290F" w:rsidRPr="00D70E8E">
        <w:tblPrEx>
          <w:tblCellMar>
            <w:top w:w="0" w:type="dxa"/>
            <w:bottom w:w="0" w:type="dxa"/>
          </w:tblCellMar>
        </w:tblPrEx>
        <w:trPr>
          <w:cantSplit/>
          <w:tblHeader/>
        </w:trPr>
        <w:tc>
          <w:tcPr>
            <w:tcW w:w="0" w:type="auto"/>
            <w:tcBorders>
              <w:top w:val="single" w:sz="4" w:space="0" w:color="auto"/>
              <w:bottom w:val="single" w:sz="12" w:space="0" w:color="auto"/>
            </w:tcBorders>
            <w:shd w:val="clear" w:color="auto" w:fill="auto"/>
            <w:vAlign w:val="bottom"/>
          </w:tcPr>
          <w:p w:rsidR="0073290F" w:rsidRPr="00D70E8E" w:rsidRDefault="0073290F" w:rsidP="00D70E8E">
            <w:pPr>
              <w:suppressAutoHyphens/>
              <w:spacing w:before="80" w:after="80" w:line="160" w:lineRule="exact"/>
              <w:ind w:right="43"/>
              <w:rPr>
                <w:i/>
                <w:sz w:val="14"/>
              </w:rPr>
            </w:pPr>
            <w:r w:rsidRPr="00D70E8E">
              <w:rPr>
                <w:i/>
                <w:sz w:val="14"/>
              </w:rPr>
              <w:t>Activités</w:t>
            </w:r>
          </w:p>
        </w:tc>
        <w:tc>
          <w:tcPr>
            <w:tcW w:w="996" w:type="dxa"/>
            <w:tcBorders>
              <w:top w:val="single" w:sz="4" w:space="0" w:color="auto"/>
              <w:bottom w:val="single" w:sz="12" w:space="0" w:color="auto"/>
            </w:tcBorders>
            <w:shd w:val="clear" w:color="auto" w:fill="auto"/>
            <w:vAlign w:val="bottom"/>
          </w:tcPr>
          <w:p w:rsidR="0073290F" w:rsidRPr="00D70E8E" w:rsidRDefault="0073290F" w:rsidP="00D70E8E">
            <w:pPr>
              <w:pStyle w:val="Heading11"/>
              <w:widowControl/>
              <w:suppressAutoHyphens/>
              <w:spacing w:before="80" w:after="80" w:line="160" w:lineRule="exact"/>
              <w:ind w:right="43"/>
              <w:jc w:val="right"/>
              <w:rPr>
                <w:b w:val="0"/>
                <w:i/>
                <w:sz w:val="14"/>
                <w:szCs w:val="24"/>
              </w:rPr>
            </w:pPr>
            <w:r w:rsidRPr="00D70E8E">
              <w:rPr>
                <w:b w:val="0"/>
                <w:i/>
                <w:sz w:val="14"/>
                <w:szCs w:val="24"/>
              </w:rPr>
              <w:t>Hommes</w:t>
            </w:r>
          </w:p>
        </w:tc>
        <w:tc>
          <w:tcPr>
            <w:tcW w:w="990" w:type="dxa"/>
            <w:tcBorders>
              <w:top w:val="single" w:sz="4" w:space="0" w:color="auto"/>
              <w:bottom w:val="single" w:sz="12" w:space="0" w:color="auto"/>
            </w:tcBorders>
            <w:shd w:val="clear" w:color="auto" w:fill="auto"/>
            <w:vAlign w:val="bottom"/>
          </w:tcPr>
          <w:p w:rsidR="0073290F" w:rsidRPr="00D70E8E" w:rsidRDefault="0073290F" w:rsidP="00D70E8E">
            <w:pPr>
              <w:pStyle w:val="Heading11"/>
              <w:widowControl/>
              <w:suppressAutoHyphens/>
              <w:spacing w:before="80" w:after="80" w:line="160" w:lineRule="exact"/>
              <w:ind w:right="43"/>
              <w:jc w:val="right"/>
              <w:rPr>
                <w:b w:val="0"/>
                <w:i/>
                <w:sz w:val="14"/>
                <w:szCs w:val="24"/>
              </w:rPr>
            </w:pPr>
            <w:r w:rsidRPr="00D70E8E">
              <w:rPr>
                <w:b w:val="0"/>
                <w:i/>
                <w:sz w:val="14"/>
                <w:szCs w:val="24"/>
              </w:rPr>
              <w:t>Femmes</w:t>
            </w:r>
          </w:p>
        </w:tc>
      </w:tr>
      <w:tr w:rsidR="00D70E8E" w:rsidRPr="00D70E8E">
        <w:tblPrEx>
          <w:tblCellMar>
            <w:top w:w="0" w:type="dxa"/>
            <w:bottom w:w="0" w:type="dxa"/>
          </w:tblCellMar>
        </w:tblPrEx>
        <w:trPr>
          <w:cantSplit/>
          <w:trHeight w:hRule="exact" w:val="115"/>
          <w:tblHeader/>
        </w:trPr>
        <w:tc>
          <w:tcPr>
            <w:tcW w:w="0" w:type="auto"/>
            <w:tcBorders>
              <w:top w:val="single" w:sz="12" w:space="0" w:color="auto"/>
            </w:tcBorders>
            <w:shd w:val="clear" w:color="auto" w:fill="auto"/>
            <w:vAlign w:val="bottom"/>
          </w:tcPr>
          <w:p w:rsidR="00D70E8E" w:rsidRPr="00D70E8E" w:rsidRDefault="00D70E8E" w:rsidP="00D70E8E">
            <w:pPr>
              <w:suppressAutoHyphens/>
              <w:spacing w:before="40" w:after="40" w:line="210" w:lineRule="exact"/>
              <w:ind w:right="43"/>
              <w:rPr>
                <w:bCs/>
                <w:sz w:val="17"/>
              </w:rPr>
            </w:pPr>
          </w:p>
        </w:tc>
        <w:tc>
          <w:tcPr>
            <w:tcW w:w="996" w:type="dxa"/>
            <w:tcBorders>
              <w:top w:val="single" w:sz="12" w:space="0" w:color="auto"/>
            </w:tcBorders>
            <w:shd w:val="clear" w:color="auto" w:fill="auto"/>
            <w:vAlign w:val="bottom"/>
          </w:tcPr>
          <w:p w:rsidR="00D70E8E" w:rsidRPr="00D70E8E" w:rsidRDefault="00D70E8E" w:rsidP="00D70E8E">
            <w:pPr>
              <w:suppressAutoHyphens/>
              <w:spacing w:before="40" w:after="40" w:line="210" w:lineRule="exact"/>
              <w:ind w:right="43"/>
              <w:jc w:val="right"/>
              <w:rPr>
                <w:bCs/>
                <w:sz w:val="17"/>
              </w:rPr>
            </w:pPr>
          </w:p>
        </w:tc>
        <w:tc>
          <w:tcPr>
            <w:tcW w:w="990" w:type="dxa"/>
            <w:tcBorders>
              <w:top w:val="single" w:sz="12" w:space="0" w:color="auto"/>
            </w:tcBorders>
            <w:shd w:val="clear" w:color="auto" w:fill="auto"/>
            <w:vAlign w:val="bottom"/>
          </w:tcPr>
          <w:p w:rsidR="00D70E8E" w:rsidRPr="00D70E8E" w:rsidRDefault="00D70E8E" w:rsidP="00D70E8E">
            <w:pPr>
              <w:suppressAutoHyphens/>
              <w:spacing w:before="40" w:after="40" w:line="210" w:lineRule="exact"/>
              <w:ind w:right="43"/>
              <w:jc w:val="right"/>
              <w:rPr>
                <w:bCs/>
                <w:sz w:val="17"/>
              </w:rPr>
            </w:pPr>
          </w:p>
        </w:tc>
      </w:tr>
      <w:tr w:rsidR="0073290F" w:rsidRPr="00D70E8E">
        <w:tblPrEx>
          <w:tblCellMar>
            <w:top w:w="0" w:type="dxa"/>
            <w:bottom w:w="0" w:type="dxa"/>
          </w:tblCellMar>
        </w:tblPrEx>
        <w:trPr>
          <w:cantSplit/>
        </w:trPr>
        <w:tc>
          <w:tcPr>
            <w:tcW w:w="0" w:type="auto"/>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bCs/>
                <w:sz w:val="17"/>
              </w:rPr>
            </w:pPr>
            <w:r w:rsidRPr="00D70E8E">
              <w:rPr>
                <w:bCs/>
                <w:sz w:val="17"/>
              </w:rPr>
              <w:t>Total</w:t>
            </w:r>
          </w:p>
        </w:tc>
        <w:tc>
          <w:tcPr>
            <w:tcW w:w="996"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bCs/>
                <w:sz w:val="17"/>
              </w:rPr>
            </w:pPr>
            <w:r w:rsidRPr="00D70E8E">
              <w:rPr>
                <w:bCs/>
                <w:sz w:val="17"/>
              </w:rPr>
              <w:t>24h</w:t>
            </w:r>
          </w:p>
        </w:tc>
        <w:tc>
          <w:tcPr>
            <w:tcW w:w="99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bCs/>
                <w:sz w:val="17"/>
              </w:rPr>
            </w:pPr>
            <w:r w:rsidRPr="00D70E8E">
              <w:rPr>
                <w:bCs/>
                <w:sz w:val="17"/>
              </w:rPr>
              <w:t>24h</w:t>
            </w:r>
          </w:p>
        </w:tc>
      </w:tr>
      <w:tr w:rsidR="0073290F" w:rsidRPr="00D70E8E">
        <w:tblPrEx>
          <w:tblCellMar>
            <w:top w:w="0" w:type="dxa"/>
            <w:bottom w:w="0" w:type="dxa"/>
          </w:tblCellMar>
        </w:tblPrEx>
        <w:trPr>
          <w:cantSplit/>
        </w:trPr>
        <w:tc>
          <w:tcPr>
            <w:tcW w:w="0" w:type="auto"/>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sz w:val="17"/>
              </w:rPr>
              <w:t>Sommeil</w:t>
            </w:r>
          </w:p>
        </w:tc>
        <w:tc>
          <w:tcPr>
            <w:tcW w:w="996"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8h 31'</w:t>
            </w:r>
          </w:p>
        </w:tc>
        <w:tc>
          <w:tcPr>
            <w:tcW w:w="99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8h 40'</w:t>
            </w:r>
          </w:p>
        </w:tc>
      </w:tr>
      <w:tr w:rsidR="0073290F" w:rsidRPr="00D70E8E">
        <w:tblPrEx>
          <w:tblCellMar>
            <w:top w:w="0" w:type="dxa"/>
            <w:bottom w:w="0" w:type="dxa"/>
          </w:tblCellMar>
        </w:tblPrEx>
        <w:trPr>
          <w:cantSplit/>
        </w:trPr>
        <w:tc>
          <w:tcPr>
            <w:tcW w:w="0" w:type="auto"/>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sz w:val="17"/>
              </w:rPr>
              <w:t>Repas</w:t>
            </w:r>
          </w:p>
        </w:tc>
        <w:tc>
          <w:tcPr>
            <w:tcW w:w="996"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1h 31'</w:t>
            </w:r>
          </w:p>
        </w:tc>
        <w:tc>
          <w:tcPr>
            <w:tcW w:w="99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1h 25'</w:t>
            </w:r>
          </w:p>
        </w:tc>
      </w:tr>
      <w:tr w:rsidR="0073290F" w:rsidRPr="00D70E8E">
        <w:tblPrEx>
          <w:tblCellMar>
            <w:top w:w="0" w:type="dxa"/>
            <w:bottom w:w="0" w:type="dxa"/>
          </w:tblCellMar>
        </w:tblPrEx>
        <w:trPr>
          <w:cantSplit/>
        </w:trPr>
        <w:tc>
          <w:tcPr>
            <w:tcW w:w="0" w:type="auto"/>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sz w:val="17"/>
              </w:rPr>
              <w:t>Soins personnels</w:t>
            </w:r>
          </w:p>
        </w:tc>
        <w:tc>
          <w:tcPr>
            <w:tcW w:w="996"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1h 19'</w:t>
            </w:r>
          </w:p>
        </w:tc>
        <w:tc>
          <w:tcPr>
            <w:tcW w:w="99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1h 16'</w:t>
            </w:r>
          </w:p>
        </w:tc>
      </w:tr>
      <w:tr w:rsidR="0073290F" w:rsidRPr="00D70E8E">
        <w:tblPrEx>
          <w:tblCellMar>
            <w:top w:w="0" w:type="dxa"/>
            <w:bottom w:w="0" w:type="dxa"/>
          </w:tblCellMar>
        </w:tblPrEx>
        <w:trPr>
          <w:cantSplit/>
        </w:trPr>
        <w:tc>
          <w:tcPr>
            <w:tcW w:w="0" w:type="auto"/>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sz w:val="17"/>
              </w:rPr>
              <w:t>Emploi</w:t>
            </w:r>
          </w:p>
        </w:tc>
        <w:tc>
          <w:tcPr>
            <w:tcW w:w="996"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3h 13'</w:t>
            </w:r>
          </w:p>
        </w:tc>
        <w:tc>
          <w:tcPr>
            <w:tcW w:w="99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2h 13'</w:t>
            </w:r>
          </w:p>
        </w:tc>
      </w:tr>
      <w:tr w:rsidR="0073290F" w:rsidRPr="00D70E8E">
        <w:tblPrEx>
          <w:tblCellMar>
            <w:top w:w="0" w:type="dxa"/>
            <w:bottom w:w="0" w:type="dxa"/>
          </w:tblCellMar>
        </w:tblPrEx>
        <w:trPr>
          <w:cantSplit/>
        </w:trPr>
        <w:tc>
          <w:tcPr>
            <w:tcW w:w="0" w:type="auto"/>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sz w:val="17"/>
              </w:rPr>
              <w:t>Etudes</w:t>
            </w:r>
          </w:p>
        </w:tc>
        <w:tc>
          <w:tcPr>
            <w:tcW w:w="996"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43'</w:t>
            </w:r>
          </w:p>
        </w:tc>
        <w:tc>
          <w:tcPr>
            <w:tcW w:w="99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42'</w:t>
            </w:r>
          </w:p>
        </w:tc>
      </w:tr>
      <w:tr w:rsidR="0073290F" w:rsidRPr="00D70E8E">
        <w:tblPrEx>
          <w:tblCellMar>
            <w:top w:w="0" w:type="dxa"/>
            <w:bottom w:w="0" w:type="dxa"/>
          </w:tblCellMar>
        </w:tblPrEx>
        <w:trPr>
          <w:cantSplit/>
        </w:trPr>
        <w:tc>
          <w:tcPr>
            <w:tcW w:w="0" w:type="auto"/>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sz w:val="17"/>
              </w:rPr>
              <w:t xml:space="preserve">Ménage au domicile, et aide informelle dans d’autres logements </w:t>
            </w:r>
          </w:p>
        </w:tc>
        <w:tc>
          <w:tcPr>
            <w:tcW w:w="996"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2h 23'</w:t>
            </w:r>
          </w:p>
        </w:tc>
        <w:tc>
          <w:tcPr>
            <w:tcW w:w="99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4h 4'</w:t>
            </w:r>
          </w:p>
        </w:tc>
      </w:tr>
      <w:tr w:rsidR="0073290F" w:rsidRPr="00D70E8E">
        <w:tblPrEx>
          <w:tblCellMar>
            <w:top w:w="0" w:type="dxa"/>
            <w:bottom w:w="0" w:type="dxa"/>
          </w:tblCellMar>
        </w:tblPrEx>
        <w:trPr>
          <w:cantSplit/>
        </w:trPr>
        <w:tc>
          <w:tcPr>
            <w:tcW w:w="0" w:type="auto"/>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sz w:val="17"/>
              </w:rPr>
              <w:t>Tâches familiales</w:t>
            </w:r>
          </w:p>
        </w:tc>
        <w:tc>
          <w:tcPr>
            <w:tcW w:w="996"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11'</w:t>
            </w:r>
          </w:p>
        </w:tc>
        <w:tc>
          <w:tcPr>
            <w:tcW w:w="99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27'</w:t>
            </w:r>
          </w:p>
        </w:tc>
      </w:tr>
      <w:tr w:rsidR="0073290F" w:rsidRPr="00D70E8E">
        <w:tblPrEx>
          <w:tblCellMar>
            <w:top w:w="0" w:type="dxa"/>
            <w:bottom w:w="0" w:type="dxa"/>
          </w:tblCellMar>
        </w:tblPrEx>
        <w:trPr>
          <w:cantSplit/>
        </w:trPr>
        <w:tc>
          <w:tcPr>
            <w:tcW w:w="0" w:type="auto"/>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sz w:val="17"/>
              </w:rPr>
              <w:t>Activités participatives et religieuses</w:t>
            </w:r>
          </w:p>
        </w:tc>
        <w:tc>
          <w:tcPr>
            <w:tcW w:w="996"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9'</w:t>
            </w:r>
          </w:p>
        </w:tc>
        <w:tc>
          <w:tcPr>
            <w:tcW w:w="99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8'</w:t>
            </w:r>
          </w:p>
        </w:tc>
      </w:tr>
      <w:tr w:rsidR="0073290F" w:rsidRPr="00D70E8E">
        <w:tblPrEx>
          <w:tblCellMar>
            <w:top w:w="0" w:type="dxa"/>
            <w:bottom w:w="0" w:type="dxa"/>
          </w:tblCellMar>
        </w:tblPrEx>
        <w:trPr>
          <w:cantSplit/>
        </w:trPr>
        <w:tc>
          <w:tcPr>
            <w:tcW w:w="0" w:type="auto"/>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sz w:val="17"/>
              </w:rPr>
              <w:t>Culture, sport, passe-temps</w:t>
            </w:r>
          </w:p>
        </w:tc>
        <w:tc>
          <w:tcPr>
            <w:tcW w:w="996"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1h 2'</w:t>
            </w:r>
          </w:p>
        </w:tc>
        <w:tc>
          <w:tcPr>
            <w:tcW w:w="99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39'</w:t>
            </w:r>
          </w:p>
        </w:tc>
      </w:tr>
      <w:tr w:rsidR="0073290F" w:rsidRPr="00D70E8E">
        <w:tblPrEx>
          <w:tblCellMar>
            <w:top w:w="0" w:type="dxa"/>
            <w:bottom w:w="0" w:type="dxa"/>
          </w:tblCellMar>
        </w:tblPrEx>
        <w:trPr>
          <w:cantSplit/>
        </w:trPr>
        <w:tc>
          <w:tcPr>
            <w:tcW w:w="0" w:type="auto"/>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sz w:val="17"/>
              </w:rPr>
              <w:t>Vie sociale</w:t>
            </w:r>
          </w:p>
        </w:tc>
        <w:tc>
          <w:tcPr>
            <w:tcW w:w="996"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1h 1'</w:t>
            </w:r>
          </w:p>
        </w:tc>
        <w:tc>
          <w:tcPr>
            <w:tcW w:w="99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 xml:space="preserve">1h </w:t>
            </w:r>
          </w:p>
        </w:tc>
      </w:tr>
      <w:tr w:rsidR="0073290F" w:rsidRPr="00D70E8E">
        <w:tblPrEx>
          <w:tblCellMar>
            <w:top w:w="0" w:type="dxa"/>
            <w:bottom w:w="0" w:type="dxa"/>
          </w:tblCellMar>
        </w:tblPrEx>
        <w:trPr>
          <w:cantSplit/>
        </w:trPr>
        <w:tc>
          <w:tcPr>
            <w:tcW w:w="0" w:type="auto"/>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sz w:val="17"/>
              </w:rPr>
              <w:t>Télévision</w:t>
            </w:r>
          </w:p>
        </w:tc>
        <w:tc>
          <w:tcPr>
            <w:tcW w:w="996"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2h 12'</w:t>
            </w:r>
          </w:p>
        </w:tc>
        <w:tc>
          <w:tcPr>
            <w:tcW w:w="99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1h 50'</w:t>
            </w:r>
          </w:p>
        </w:tc>
      </w:tr>
      <w:tr w:rsidR="0073290F" w:rsidRPr="00D70E8E">
        <w:tblPrEx>
          <w:tblCellMar>
            <w:top w:w="0" w:type="dxa"/>
            <w:bottom w:w="0" w:type="dxa"/>
          </w:tblCellMar>
        </w:tblPrEx>
        <w:trPr>
          <w:cantSplit/>
        </w:trPr>
        <w:tc>
          <w:tcPr>
            <w:tcW w:w="0" w:type="auto"/>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sz w:val="17"/>
              </w:rPr>
              <w:t>Autres médias de masse</w:t>
            </w:r>
          </w:p>
        </w:tc>
        <w:tc>
          <w:tcPr>
            <w:tcW w:w="996"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32'</w:t>
            </w:r>
          </w:p>
        </w:tc>
        <w:tc>
          <w:tcPr>
            <w:tcW w:w="99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31'</w:t>
            </w:r>
          </w:p>
        </w:tc>
      </w:tr>
      <w:tr w:rsidR="0073290F" w:rsidRPr="00D70E8E">
        <w:tblPrEx>
          <w:tblCellMar>
            <w:top w:w="0" w:type="dxa"/>
            <w:bottom w:w="0" w:type="dxa"/>
          </w:tblCellMar>
        </w:tblPrEx>
        <w:trPr>
          <w:cantSplit/>
        </w:trPr>
        <w:tc>
          <w:tcPr>
            <w:tcW w:w="0" w:type="auto"/>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sz w:val="17"/>
              </w:rPr>
              <w:t>Voyages</w:t>
            </w:r>
          </w:p>
        </w:tc>
        <w:tc>
          <w:tcPr>
            <w:tcW w:w="996"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1h 11'</w:t>
            </w:r>
          </w:p>
        </w:tc>
        <w:tc>
          <w:tcPr>
            <w:tcW w:w="99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1h 1'</w:t>
            </w:r>
          </w:p>
        </w:tc>
      </w:tr>
      <w:tr w:rsidR="0073290F" w:rsidRPr="00D70E8E">
        <w:tblPrEx>
          <w:tblCellMar>
            <w:top w:w="0" w:type="dxa"/>
            <w:bottom w:w="0" w:type="dxa"/>
          </w:tblCellMar>
        </w:tblPrEx>
        <w:trPr>
          <w:cantSplit/>
        </w:trPr>
        <w:tc>
          <w:tcPr>
            <w:tcW w:w="0" w:type="auto"/>
            <w:tcBorders>
              <w:bottom w:val="single" w:sz="12" w:space="0" w:color="auto"/>
            </w:tcBorders>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sz w:val="17"/>
              </w:rPr>
              <w:t>Autres, et non précisées</w:t>
            </w:r>
          </w:p>
        </w:tc>
        <w:tc>
          <w:tcPr>
            <w:tcW w:w="996" w:type="dxa"/>
            <w:tcBorders>
              <w:bottom w:val="single" w:sz="12" w:space="0" w:color="auto"/>
            </w:tcBorders>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2'</w:t>
            </w:r>
          </w:p>
        </w:tc>
        <w:tc>
          <w:tcPr>
            <w:tcW w:w="990" w:type="dxa"/>
            <w:tcBorders>
              <w:bottom w:val="single" w:sz="12" w:space="0" w:color="auto"/>
            </w:tcBorders>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2'</w:t>
            </w:r>
          </w:p>
        </w:tc>
      </w:tr>
    </w:tbl>
    <w:p w:rsidR="006405B4" w:rsidRPr="006405B4" w:rsidRDefault="006405B4" w:rsidP="006405B4">
      <w:pPr>
        <w:pStyle w:val="Caption"/>
        <w:spacing w:after="0" w:line="120" w:lineRule="exact"/>
        <w:rPr>
          <w:sz w:val="10"/>
          <w:szCs w:val="20"/>
          <w:lang w:val="fr-FR"/>
        </w:rPr>
      </w:pPr>
    </w:p>
    <w:p w:rsidR="0073290F" w:rsidRPr="00220B31" w:rsidRDefault="0073290F" w:rsidP="006405B4">
      <w:pPr>
        <w:pStyle w:val="FootnoteText"/>
        <w:tabs>
          <w:tab w:val="clear" w:pos="418"/>
          <w:tab w:val="right" w:pos="1476"/>
          <w:tab w:val="left" w:pos="1548"/>
          <w:tab w:val="right" w:pos="1836"/>
          <w:tab w:val="left" w:pos="1908"/>
        </w:tabs>
        <w:ind w:left="1548" w:hanging="288"/>
        <w:rPr>
          <w:lang w:val="fr-FR"/>
        </w:rPr>
      </w:pPr>
      <w:r w:rsidRPr="006405B4">
        <w:rPr>
          <w:i/>
          <w:lang w:val="fr-FR"/>
        </w:rPr>
        <w:t>Source</w:t>
      </w:r>
      <w:r w:rsidRPr="00EE2ACF">
        <w:rPr>
          <w:lang w:val="fr-FR"/>
        </w:rPr>
        <w:t>: Annuaire statistique 2005, Institut de la Statistique de la République de Slovénie</w:t>
      </w:r>
      <w:r w:rsidRPr="00220B31">
        <w:rPr>
          <w:lang w:val="fr-FR"/>
        </w:rPr>
        <w:t>.</w:t>
      </w:r>
    </w:p>
    <w:p w:rsidR="006405B4" w:rsidRPr="006405B4" w:rsidRDefault="006405B4" w:rsidP="006405B4">
      <w:pPr>
        <w:pStyle w:val="SingleTxt"/>
        <w:spacing w:after="0" w:line="120" w:lineRule="exact"/>
        <w:rPr>
          <w:sz w:val="10"/>
        </w:rPr>
      </w:pPr>
    </w:p>
    <w:p w:rsidR="0073290F" w:rsidRPr="006405B4" w:rsidRDefault="006405B4" w:rsidP="006405B4">
      <w:pPr>
        <w:pStyle w:val="SingleTxt"/>
        <w:jc w:val="left"/>
      </w:pPr>
      <w:r>
        <w:br w:type="page"/>
      </w:r>
      <w:r w:rsidR="0073290F" w:rsidRPr="006405B4">
        <w:t>Tableau 48</w:t>
      </w:r>
      <w:r>
        <w:br/>
      </w:r>
      <w:r w:rsidRPr="006405B4">
        <w:rPr>
          <w:b/>
        </w:rPr>
        <w:t>G</w:t>
      </w:r>
      <w:r w:rsidR="0073290F" w:rsidRPr="006405B4">
        <w:rPr>
          <w:b/>
        </w:rPr>
        <w:t xml:space="preserve">rille de l’utilisation du temps chez les hommes et les femmes slovènes </w:t>
      </w:r>
      <w:r>
        <w:rPr>
          <w:b/>
        </w:rPr>
        <w:br/>
      </w:r>
      <w:r w:rsidR="0073290F" w:rsidRPr="006405B4">
        <w:rPr>
          <w:b/>
        </w:rPr>
        <w:t>âgés de 20 à 74 ans</w:t>
      </w:r>
    </w:p>
    <w:p w:rsidR="006405B4" w:rsidRPr="006405B4" w:rsidRDefault="006405B4" w:rsidP="006405B4">
      <w:pPr>
        <w:pStyle w:val="SingleTxt"/>
        <w:spacing w:after="0" w:line="120" w:lineRule="exact"/>
        <w:rPr>
          <w:sz w:val="10"/>
        </w:rPr>
      </w:pPr>
    </w:p>
    <w:tbl>
      <w:tblPr>
        <w:tblW w:w="0" w:type="auto"/>
        <w:tblInd w:w="1267" w:type="dxa"/>
        <w:tblLayout w:type="fixed"/>
        <w:tblCellMar>
          <w:left w:w="70" w:type="dxa"/>
          <w:right w:w="70" w:type="dxa"/>
        </w:tblCellMar>
        <w:tblLook w:val="0000" w:firstRow="0" w:lastRow="0" w:firstColumn="0" w:lastColumn="0" w:noHBand="0" w:noVBand="0"/>
      </w:tblPr>
      <w:tblGrid>
        <w:gridCol w:w="3240"/>
        <w:gridCol w:w="1620"/>
        <w:gridCol w:w="1620"/>
      </w:tblGrid>
      <w:tr w:rsidR="0073290F" w:rsidRPr="00D70E8E">
        <w:tblPrEx>
          <w:tblCellMar>
            <w:top w:w="0" w:type="dxa"/>
            <w:bottom w:w="0" w:type="dxa"/>
          </w:tblCellMar>
        </w:tblPrEx>
        <w:trPr>
          <w:cantSplit/>
          <w:tblHeader/>
        </w:trPr>
        <w:tc>
          <w:tcPr>
            <w:tcW w:w="3240" w:type="dxa"/>
            <w:tcBorders>
              <w:top w:val="single" w:sz="4" w:space="0" w:color="auto"/>
              <w:bottom w:val="single" w:sz="12" w:space="0" w:color="auto"/>
            </w:tcBorders>
            <w:shd w:val="clear" w:color="auto" w:fill="auto"/>
            <w:vAlign w:val="bottom"/>
          </w:tcPr>
          <w:p w:rsidR="0073290F" w:rsidRPr="00D70E8E" w:rsidRDefault="0073290F" w:rsidP="00D70E8E">
            <w:pPr>
              <w:suppressAutoHyphens/>
              <w:spacing w:before="80" w:after="80" w:line="160" w:lineRule="exact"/>
              <w:ind w:right="43"/>
              <w:rPr>
                <w:i/>
                <w:sz w:val="14"/>
              </w:rPr>
            </w:pPr>
            <w:r w:rsidRPr="00D70E8E">
              <w:rPr>
                <w:i/>
                <w:sz w:val="14"/>
              </w:rPr>
              <w:t>Activités</w:t>
            </w:r>
          </w:p>
        </w:tc>
        <w:tc>
          <w:tcPr>
            <w:tcW w:w="1620" w:type="dxa"/>
            <w:tcBorders>
              <w:top w:val="single" w:sz="4" w:space="0" w:color="auto"/>
              <w:bottom w:val="single" w:sz="12" w:space="0" w:color="auto"/>
            </w:tcBorders>
            <w:shd w:val="clear" w:color="auto" w:fill="auto"/>
            <w:vAlign w:val="bottom"/>
          </w:tcPr>
          <w:p w:rsidR="0073290F" w:rsidRPr="00D70E8E" w:rsidRDefault="0073290F" w:rsidP="00D70E8E">
            <w:pPr>
              <w:pStyle w:val="Heading11"/>
              <w:widowControl/>
              <w:suppressAutoHyphens/>
              <w:spacing w:before="80" w:after="80" w:line="160" w:lineRule="exact"/>
              <w:ind w:right="43"/>
              <w:jc w:val="right"/>
              <w:rPr>
                <w:b w:val="0"/>
                <w:i/>
                <w:sz w:val="14"/>
                <w:szCs w:val="24"/>
              </w:rPr>
            </w:pPr>
            <w:r w:rsidRPr="00D70E8E">
              <w:rPr>
                <w:b w:val="0"/>
                <w:i/>
                <w:sz w:val="14"/>
                <w:szCs w:val="24"/>
              </w:rPr>
              <w:t>Hommes</w:t>
            </w:r>
          </w:p>
        </w:tc>
        <w:tc>
          <w:tcPr>
            <w:tcW w:w="1620" w:type="dxa"/>
            <w:tcBorders>
              <w:top w:val="single" w:sz="4" w:space="0" w:color="auto"/>
              <w:bottom w:val="single" w:sz="12" w:space="0" w:color="auto"/>
            </w:tcBorders>
            <w:shd w:val="clear" w:color="auto" w:fill="auto"/>
            <w:vAlign w:val="bottom"/>
          </w:tcPr>
          <w:p w:rsidR="0073290F" w:rsidRPr="00D70E8E" w:rsidRDefault="0073290F" w:rsidP="00D70E8E">
            <w:pPr>
              <w:pStyle w:val="Heading11"/>
              <w:widowControl/>
              <w:suppressAutoHyphens/>
              <w:spacing w:before="80" w:after="80" w:line="160" w:lineRule="exact"/>
              <w:ind w:right="43"/>
              <w:jc w:val="right"/>
              <w:rPr>
                <w:b w:val="0"/>
                <w:i/>
                <w:sz w:val="14"/>
                <w:szCs w:val="24"/>
              </w:rPr>
            </w:pPr>
            <w:r w:rsidRPr="00D70E8E">
              <w:rPr>
                <w:b w:val="0"/>
                <w:i/>
                <w:sz w:val="14"/>
                <w:szCs w:val="24"/>
              </w:rPr>
              <w:t>Femmes</w:t>
            </w:r>
          </w:p>
        </w:tc>
      </w:tr>
      <w:tr w:rsidR="00D70E8E" w:rsidRPr="00D70E8E">
        <w:tblPrEx>
          <w:tblCellMar>
            <w:top w:w="0" w:type="dxa"/>
            <w:bottom w:w="0" w:type="dxa"/>
          </w:tblCellMar>
        </w:tblPrEx>
        <w:trPr>
          <w:cantSplit/>
          <w:trHeight w:hRule="exact" w:val="115"/>
          <w:tblHeader/>
        </w:trPr>
        <w:tc>
          <w:tcPr>
            <w:tcW w:w="3240" w:type="dxa"/>
            <w:tcBorders>
              <w:top w:val="single" w:sz="12" w:space="0" w:color="auto"/>
            </w:tcBorders>
            <w:shd w:val="clear" w:color="auto" w:fill="auto"/>
            <w:vAlign w:val="bottom"/>
          </w:tcPr>
          <w:p w:rsidR="00D70E8E" w:rsidRPr="00D70E8E" w:rsidRDefault="00D70E8E" w:rsidP="00D70E8E">
            <w:pPr>
              <w:suppressAutoHyphens/>
              <w:spacing w:before="40" w:after="40" w:line="210" w:lineRule="exact"/>
              <w:ind w:right="43"/>
              <w:rPr>
                <w:bCs/>
                <w:sz w:val="17"/>
              </w:rPr>
            </w:pPr>
          </w:p>
        </w:tc>
        <w:tc>
          <w:tcPr>
            <w:tcW w:w="1620" w:type="dxa"/>
            <w:tcBorders>
              <w:top w:val="single" w:sz="12" w:space="0" w:color="auto"/>
            </w:tcBorders>
            <w:shd w:val="clear" w:color="auto" w:fill="auto"/>
            <w:vAlign w:val="bottom"/>
          </w:tcPr>
          <w:p w:rsidR="00D70E8E" w:rsidRPr="00D70E8E" w:rsidRDefault="00D70E8E" w:rsidP="00D70E8E">
            <w:pPr>
              <w:suppressAutoHyphens/>
              <w:spacing w:before="40" w:after="40" w:line="210" w:lineRule="exact"/>
              <w:ind w:right="43"/>
              <w:jc w:val="right"/>
              <w:rPr>
                <w:bCs/>
                <w:sz w:val="17"/>
              </w:rPr>
            </w:pPr>
          </w:p>
        </w:tc>
        <w:tc>
          <w:tcPr>
            <w:tcW w:w="1620" w:type="dxa"/>
            <w:tcBorders>
              <w:top w:val="single" w:sz="12" w:space="0" w:color="auto"/>
            </w:tcBorders>
            <w:shd w:val="clear" w:color="auto" w:fill="auto"/>
            <w:vAlign w:val="bottom"/>
          </w:tcPr>
          <w:p w:rsidR="00D70E8E" w:rsidRPr="00D70E8E" w:rsidRDefault="00D70E8E" w:rsidP="00D70E8E">
            <w:pPr>
              <w:suppressAutoHyphens/>
              <w:spacing w:before="40" w:after="40" w:line="210" w:lineRule="exact"/>
              <w:ind w:right="43"/>
              <w:jc w:val="right"/>
              <w:rPr>
                <w:bCs/>
                <w:sz w:val="17"/>
              </w:rPr>
            </w:pPr>
          </w:p>
        </w:tc>
      </w:tr>
      <w:tr w:rsidR="0073290F" w:rsidRPr="00D70E8E">
        <w:tblPrEx>
          <w:tblCellMar>
            <w:top w:w="0" w:type="dxa"/>
            <w:bottom w:w="0" w:type="dxa"/>
          </w:tblCellMar>
        </w:tblPrEx>
        <w:trPr>
          <w:cantSplit/>
        </w:trPr>
        <w:tc>
          <w:tcPr>
            <w:tcW w:w="324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bCs/>
                <w:sz w:val="17"/>
              </w:rPr>
            </w:pPr>
            <w:r w:rsidRPr="00D70E8E">
              <w:rPr>
                <w:bCs/>
                <w:sz w:val="17"/>
              </w:rPr>
              <w:t>Total</w:t>
            </w:r>
          </w:p>
        </w:tc>
        <w:tc>
          <w:tcPr>
            <w:tcW w:w="162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bCs/>
                <w:sz w:val="17"/>
              </w:rPr>
            </w:pPr>
            <w:r w:rsidRPr="00D70E8E">
              <w:rPr>
                <w:bCs/>
                <w:sz w:val="17"/>
              </w:rPr>
              <w:t>24h</w:t>
            </w:r>
          </w:p>
        </w:tc>
        <w:tc>
          <w:tcPr>
            <w:tcW w:w="162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bCs/>
                <w:sz w:val="17"/>
              </w:rPr>
            </w:pPr>
            <w:r w:rsidRPr="00D70E8E">
              <w:rPr>
                <w:bCs/>
                <w:sz w:val="17"/>
              </w:rPr>
              <w:t>24h</w:t>
            </w:r>
          </w:p>
        </w:tc>
      </w:tr>
      <w:tr w:rsidR="0073290F" w:rsidRPr="00D70E8E">
        <w:tblPrEx>
          <w:tblCellMar>
            <w:top w:w="0" w:type="dxa"/>
            <w:bottom w:w="0" w:type="dxa"/>
          </w:tblCellMar>
        </w:tblPrEx>
        <w:trPr>
          <w:cantSplit/>
        </w:trPr>
        <w:tc>
          <w:tcPr>
            <w:tcW w:w="3240" w:type="dxa"/>
            <w:shd w:val="clear" w:color="auto" w:fill="auto"/>
            <w:vAlign w:val="bottom"/>
          </w:tcPr>
          <w:p w:rsidR="0073290F" w:rsidRPr="00D70E8E" w:rsidRDefault="0073290F" w:rsidP="00D70E8E">
            <w:pPr>
              <w:pStyle w:val="nastabelaslo"/>
              <w:tabs>
                <w:tab w:val="left" w:pos="288"/>
                <w:tab w:val="left" w:pos="576"/>
                <w:tab w:val="left" w:pos="864"/>
                <w:tab w:val="left" w:pos="1152"/>
              </w:tabs>
              <w:suppressAutoHyphens/>
              <w:spacing w:before="40" w:beforeAutospacing="0" w:after="40" w:afterAutospacing="0" w:line="210" w:lineRule="exact"/>
              <w:ind w:right="43"/>
              <w:rPr>
                <w:rFonts w:ascii="Times New Roman" w:eastAsia="Times New Roman" w:hAnsi="Times New Roman"/>
                <w:bCs/>
                <w:sz w:val="17"/>
              </w:rPr>
            </w:pPr>
            <w:r w:rsidRPr="00D70E8E">
              <w:rPr>
                <w:rFonts w:ascii="Times New Roman" w:eastAsia="Times New Roman" w:hAnsi="Times New Roman"/>
                <w:bCs/>
                <w:sz w:val="17"/>
              </w:rPr>
              <w:t>Loisirs*</w:t>
            </w:r>
          </w:p>
        </w:tc>
        <w:tc>
          <w:tcPr>
            <w:tcW w:w="162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5:34</w:t>
            </w:r>
          </w:p>
        </w:tc>
        <w:tc>
          <w:tcPr>
            <w:tcW w:w="162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4:29</w:t>
            </w:r>
          </w:p>
        </w:tc>
      </w:tr>
      <w:tr w:rsidR="0073290F" w:rsidRPr="00D70E8E">
        <w:tblPrEx>
          <w:tblCellMar>
            <w:top w:w="0" w:type="dxa"/>
            <w:bottom w:w="0" w:type="dxa"/>
          </w:tblCellMar>
        </w:tblPrEx>
        <w:trPr>
          <w:cantSplit/>
        </w:trPr>
        <w:tc>
          <w:tcPr>
            <w:tcW w:w="324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bCs/>
                <w:sz w:val="17"/>
              </w:rPr>
              <w:t>Repas, soins personnels</w:t>
            </w:r>
          </w:p>
        </w:tc>
        <w:tc>
          <w:tcPr>
            <w:tcW w:w="162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2:13</w:t>
            </w:r>
          </w:p>
        </w:tc>
        <w:tc>
          <w:tcPr>
            <w:tcW w:w="162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2:08</w:t>
            </w:r>
          </w:p>
        </w:tc>
      </w:tr>
      <w:tr w:rsidR="0073290F" w:rsidRPr="00D70E8E">
        <w:tblPrEx>
          <w:tblCellMar>
            <w:top w:w="0" w:type="dxa"/>
            <w:bottom w:w="0" w:type="dxa"/>
          </w:tblCellMar>
        </w:tblPrEx>
        <w:trPr>
          <w:cantSplit/>
        </w:trPr>
        <w:tc>
          <w:tcPr>
            <w:tcW w:w="324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sz w:val="17"/>
              </w:rPr>
              <w:t>Sommeil</w:t>
            </w:r>
          </w:p>
        </w:tc>
        <w:tc>
          <w:tcPr>
            <w:tcW w:w="162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8:17</w:t>
            </w:r>
          </w:p>
        </w:tc>
        <w:tc>
          <w:tcPr>
            <w:tcW w:w="162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8:24</w:t>
            </w:r>
          </w:p>
        </w:tc>
      </w:tr>
      <w:tr w:rsidR="0073290F" w:rsidRPr="00D70E8E">
        <w:tblPrEx>
          <w:tblCellMar>
            <w:top w:w="0" w:type="dxa"/>
            <w:bottom w:w="0" w:type="dxa"/>
          </w:tblCellMar>
        </w:tblPrEx>
        <w:trPr>
          <w:cantSplit/>
        </w:trPr>
        <w:tc>
          <w:tcPr>
            <w:tcW w:w="324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bCs/>
                <w:sz w:val="17"/>
              </w:rPr>
              <w:t>Voyages</w:t>
            </w:r>
          </w:p>
        </w:tc>
        <w:tc>
          <w:tcPr>
            <w:tcW w:w="162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1:09</w:t>
            </w:r>
          </w:p>
        </w:tc>
        <w:tc>
          <w:tcPr>
            <w:tcW w:w="162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1:02</w:t>
            </w:r>
          </w:p>
        </w:tc>
      </w:tr>
      <w:tr w:rsidR="0073290F" w:rsidRPr="00D70E8E">
        <w:tblPrEx>
          <w:tblCellMar>
            <w:top w:w="0" w:type="dxa"/>
            <w:bottom w:w="0" w:type="dxa"/>
          </w:tblCellMar>
        </w:tblPrEx>
        <w:trPr>
          <w:cantSplit/>
        </w:trPr>
        <w:tc>
          <w:tcPr>
            <w:tcW w:w="324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bCs/>
                <w:sz w:val="17"/>
              </w:rPr>
              <w:t>Travaux domestiques</w:t>
            </w:r>
          </w:p>
        </w:tc>
        <w:tc>
          <w:tcPr>
            <w:tcW w:w="162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2:39</w:t>
            </w:r>
          </w:p>
        </w:tc>
        <w:tc>
          <w:tcPr>
            <w:tcW w:w="162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4:57</w:t>
            </w:r>
          </w:p>
        </w:tc>
      </w:tr>
      <w:tr w:rsidR="0073290F" w:rsidRPr="00D70E8E">
        <w:tblPrEx>
          <w:tblCellMar>
            <w:top w:w="0" w:type="dxa"/>
            <w:bottom w:w="0" w:type="dxa"/>
          </w:tblCellMar>
        </w:tblPrEx>
        <w:trPr>
          <w:cantSplit/>
        </w:trPr>
        <w:tc>
          <w:tcPr>
            <w:tcW w:w="3240" w:type="dxa"/>
            <w:tcBorders>
              <w:bottom w:val="single" w:sz="12" w:space="0" w:color="auto"/>
            </w:tcBorders>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bCs/>
                <w:sz w:val="17"/>
              </w:rPr>
              <w:t>Activités rémunérées, Etudes</w:t>
            </w:r>
          </w:p>
        </w:tc>
        <w:tc>
          <w:tcPr>
            <w:tcW w:w="1620" w:type="dxa"/>
            <w:tcBorders>
              <w:bottom w:val="single" w:sz="12" w:space="0" w:color="auto"/>
            </w:tcBorders>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4:07</w:t>
            </w:r>
          </w:p>
        </w:tc>
        <w:tc>
          <w:tcPr>
            <w:tcW w:w="1620" w:type="dxa"/>
            <w:tcBorders>
              <w:bottom w:val="single" w:sz="12" w:space="0" w:color="auto"/>
            </w:tcBorders>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2:59</w:t>
            </w:r>
          </w:p>
        </w:tc>
      </w:tr>
    </w:tbl>
    <w:p w:rsidR="006405B4" w:rsidRPr="006405B4" w:rsidRDefault="006405B4" w:rsidP="006405B4">
      <w:pPr>
        <w:pStyle w:val="Predoblikovano"/>
        <w:tabs>
          <w:tab w:val="clear" w:pos="9590"/>
        </w:tabs>
        <w:spacing w:line="120" w:lineRule="exact"/>
        <w:jc w:val="both"/>
        <w:rPr>
          <w:rFonts w:ascii="Times New Roman" w:hAnsi="Times New Roman" w:cs="Times New Roman"/>
          <w:sz w:val="10"/>
          <w:lang w:val="fr-FR"/>
        </w:rPr>
      </w:pPr>
    </w:p>
    <w:p w:rsidR="0073290F" w:rsidRPr="00EE2ACF" w:rsidRDefault="0073290F" w:rsidP="006405B4">
      <w:pPr>
        <w:pStyle w:val="FootnoteText"/>
        <w:tabs>
          <w:tab w:val="clear" w:pos="418"/>
          <w:tab w:val="right" w:pos="1476"/>
          <w:tab w:val="left" w:pos="1548"/>
          <w:tab w:val="right" w:pos="1836"/>
          <w:tab w:val="left" w:pos="1908"/>
        </w:tabs>
        <w:ind w:left="1548" w:hanging="288"/>
        <w:rPr>
          <w:lang w:val="fr-FR"/>
        </w:rPr>
      </w:pPr>
      <w:r w:rsidRPr="00EE2ACF">
        <w:rPr>
          <w:lang w:val="fr-FR"/>
        </w:rPr>
        <w:t>*</w:t>
      </w:r>
      <w:r w:rsidR="006405B4">
        <w:rPr>
          <w:lang w:val="fr-FR"/>
        </w:rPr>
        <w:tab/>
      </w:r>
      <w:r w:rsidR="006405B4">
        <w:rPr>
          <w:lang w:val="fr-FR"/>
        </w:rPr>
        <w:tab/>
      </w:r>
      <w:r w:rsidRPr="00EE2ACF">
        <w:rPr>
          <w:lang w:val="fr-FR"/>
        </w:rPr>
        <w:t>Par “loisirs”, il faut entendre l’ensemble des activités parallèles, telles que le bénévolat et les réunions d’association, l’aide à d’autres ménages ou foyers, la “socialisation” et les divertissements, le sport et autres activités extérieures, les violons d’Ingres et les jeux, le temps passé à regarder la télévision, le repos, ou toute autre utilisation du temps non précisée.</w:t>
      </w:r>
    </w:p>
    <w:p w:rsidR="00417986" w:rsidRPr="00417986" w:rsidRDefault="00417986" w:rsidP="00417986">
      <w:pPr>
        <w:pStyle w:val="Predoblikovano"/>
        <w:tabs>
          <w:tab w:val="clear" w:pos="9590"/>
        </w:tabs>
        <w:spacing w:line="120" w:lineRule="exact"/>
        <w:jc w:val="both"/>
        <w:rPr>
          <w:rFonts w:ascii="Times New Roman" w:hAnsi="Times New Roman" w:cs="Times New Roman"/>
          <w:sz w:val="10"/>
          <w:lang w:val="fr-FR"/>
        </w:rPr>
      </w:pPr>
    </w:p>
    <w:p w:rsidR="0073290F" w:rsidRPr="00580C0C" w:rsidRDefault="006405B4" w:rsidP="006405B4">
      <w:pPr>
        <w:pStyle w:val="FootnoteText"/>
        <w:tabs>
          <w:tab w:val="clear" w:pos="418"/>
          <w:tab w:val="right" w:pos="1476"/>
          <w:tab w:val="left" w:pos="1548"/>
          <w:tab w:val="right" w:pos="1836"/>
          <w:tab w:val="left" w:pos="1908"/>
        </w:tabs>
        <w:ind w:left="1548" w:hanging="288"/>
        <w:rPr>
          <w:sz w:val="24"/>
          <w:szCs w:val="24"/>
          <w:lang w:val="fr-FR"/>
        </w:rPr>
      </w:pPr>
      <w:r>
        <w:rPr>
          <w:i/>
          <w:lang w:val="fr-FR"/>
        </w:rPr>
        <w:tab/>
      </w:r>
      <w:r>
        <w:rPr>
          <w:i/>
          <w:lang w:val="fr-FR"/>
        </w:rPr>
        <w:tab/>
      </w:r>
      <w:r w:rsidR="0073290F" w:rsidRPr="006405B4">
        <w:rPr>
          <w:i/>
          <w:lang w:val="fr-FR"/>
        </w:rPr>
        <w:t>Source</w:t>
      </w:r>
      <w:r w:rsidR="0073290F" w:rsidRPr="00EE2ACF">
        <w:rPr>
          <w:lang w:val="fr-FR"/>
        </w:rPr>
        <w:t>: “</w:t>
      </w:r>
      <w:r w:rsidR="0073290F">
        <w:rPr>
          <w:lang w:val="fr-FR"/>
        </w:rPr>
        <w:t>A quoi les Européens consacrent-ils</w:t>
      </w:r>
      <w:r w:rsidR="0073290F" w:rsidRPr="00EE2ACF">
        <w:rPr>
          <w:lang w:val="fr-FR"/>
        </w:rPr>
        <w:t xml:space="preserve"> leur temps</w:t>
      </w:r>
      <w:r w:rsidR="0073290F">
        <w:rPr>
          <w:lang w:val="fr-FR"/>
        </w:rPr>
        <w:t> ? La</w:t>
      </w:r>
      <w:r w:rsidR="0073290F" w:rsidRPr="00EE2ACF">
        <w:rPr>
          <w:lang w:val="fr-FR"/>
        </w:rPr>
        <w:t xml:space="preserve"> vie quotidienne des femmes et des ho</w:t>
      </w:r>
      <w:r w:rsidR="0073290F">
        <w:rPr>
          <w:lang w:val="fr-FR"/>
        </w:rPr>
        <w:t>m</w:t>
      </w:r>
      <w:r w:rsidR="0073290F" w:rsidRPr="00EE2ACF">
        <w:rPr>
          <w:lang w:val="fr-FR"/>
        </w:rPr>
        <w:t>mes, en Europe” (Données concernant la période 1998 – 2002), Eurostat, 2004</w:t>
      </w:r>
      <w:r w:rsidR="0073290F" w:rsidRPr="00580C0C">
        <w:rPr>
          <w:sz w:val="24"/>
          <w:szCs w:val="24"/>
          <w:lang w:val="fr-FR"/>
        </w:rPr>
        <w:t>.</w:t>
      </w:r>
    </w:p>
    <w:p w:rsidR="00417986" w:rsidRPr="00417986" w:rsidRDefault="00417986" w:rsidP="00417986">
      <w:pPr>
        <w:pStyle w:val="Predoblikovano"/>
        <w:tabs>
          <w:tab w:val="clear" w:pos="9590"/>
        </w:tabs>
        <w:spacing w:line="120" w:lineRule="exact"/>
        <w:jc w:val="both"/>
        <w:rPr>
          <w:rFonts w:ascii="Times New Roman" w:hAnsi="Times New Roman" w:cs="Times New Roman"/>
          <w:sz w:val="10"/>
          <w:szCs w:val="24"/>
          <w:lang w:val="fr-FR"/>
        </w:rPr>
      </w:pPr>
    </w:p>
    <w:p w:rsidR="0073290F" w:rsidRDefault="0073290F" w:rsidP="006405B4">
      <w:pPr>
        <w:pStyle w:val="SingleTxt"/>
        <w:jc w:val="left"/>
        <w:rPr>
          <w:lang w:val="fr-FR"/>
        </w:rPr>
      </w:pPr>
      <w:r w:rsidRPr="00580C0C">
        <w:rPr>
          <w:lang w:val="fr-FR"/>
        </w:rPr>
        <w:t>Tableau 49</w:t>
      </w:r>
      <w:r w:rsidR="006405B4">
        <w:rPr>
          <w:lang w:val="fr-FR"/>
        </w:rPr>
        <w:br/>
      </w:r>
      <w:r w:rsidRPr="006405B4">
        <w:rPr>
          <w:b/>
          <w:lang w:val="fr-FR"/>
        </w:rPr>
        <w:t>Grille de l’utilisation du temps chez les employés slovènes (hommes et femmes)</w:t>
      </w:r>
      <w:r w:rsidRPr="00580C0C">
        <w:rPr>
          <w:lang w:val="fr-FR"/>
        </w:rPr>
        <w:t xml:space="preserve"> </w:t>
      </w:r>
    </w:p>
    <w:p w:rsidR="006405B4" w:rsidRPr="006405B4" w:rsidRDefault="006405B4" w:rsidP="006405B4">
      <w:pPr>
        <w:pStyle w:val="BodyText22"/>
        <w:widowControl/>
        <w:spacing w:line="120" w:lineRule="exact"/>
        <w:ind w:left="708" w:firstLine="708"/>
        <w:rPr>
          <w:color w:val="000000"/>
          <w:sz w:val="10"/>
          <w:lang w:val="fr-FR"/>
        </w:rPr>
      </w:pPr>
    </w:p>
    <w:tbl>
      <w:tblPr>
        <w:tblW w:w="0" w:type="auto"/>
        <w:tblInd w:w="1267" w:type="dxa"/>
        <w:tblLayout w:type="fixed"/>
        <w:tblCellMar>
          <w:left w:w="70" w:type="dxa"/>
          <w:right w:w="70" w:type="dxa"/>
        </w:tblCellMar>
        <w:tblLook w:val="0000" w:firstRow="0" w:lastRow="0" w:firstColumn="0" w:lastColumn="0" w:noHBand="0" w:noVBand="0"/>
      </w:tblPr>
      <w:tblGrid>
        <w:gridCol w:w="3000"/>
        <w:gridCol w:w="1860"/>
        <w:gridCol w:w="1620"/>
      </w:tblGrid>
      <w:tr w:rsidR="0073290F" w:rsidRPr="00D70E8E">
        <w:tblPrEx>
          <w:tblCellMar>
            <w:top w:w="0" w:type="dxa"/>
            <w:bottom w:w="0" w:type="dxa"/>
          </w:tblCellMar>
        </w:tblPrEx>
        <w:trPr>
          <w:cantSplit/>
          <w:tblHeader/>
        </w:trPr>
        <w:tc>
          <w:tcPr>
            <w:tcW w:w="3000" w:type="dxa"/>
            <w:tcBorders>
              <w:top w:val="single" w:sz="4" w:space="0" w:color="auto"/>
              <w:bottom w:val="single" w:sz="12" w:space="0" w:color="auto"/>
            </w:tcBorders>
            <w:shd w:val="clear" w:color="auto" w:fill="auto"/>
            <w:vAlign w:val="bottom"/>
          </w:tcPr>
          <w:p w:rsidR="0073290F" w:rsidRPr="00D70E8E" w:rsidRDefault="0073290F" w:rsidP="00D70E8E">
            <w:pPr>
              <w:suppressAutoHyphens/>
              <w:spacing w:before="80" w:after="80" w:line="160" w:lineRule="exact"/>
              <w:ind w:right="43"/>
              <w:rPr>
                <w:i/>
                <w:sz w:val="14"/>
              </w:rPr>
            </w:pPr>
            <w:r w:rsidRPr="00D70E8E">
              <w:rPr>
                <w:i/>
                <w:sz w:val="14"/>
              </w:rPr>
              <w:t>Activités</w:t>
            </w:r>
          </w:p>
        </w:tc>
        <w:tc>
          <w:tcPr>
            <w:tcW w:w="1860" w:type="dxa"/>
            <w:tcBorders>
              <w:top w:val="single" w:sz="4" w:space="0" w:color="auto"/>
              <w:bottom w:val="single" w:sz="12" w:space="0" w:color="auto"/>
            </w:tcBorders>
            <w:shd w:val="clear" w:color="auto" w:fill="auto"/>
            <w:vAlign w:val="bottom"/>
          </w:tcPr>
          <w:p w:rsidR="0073290F" w:rsidRPr="00D70E8E" w:rsidRDefault="0073290F" w:rsidP="00D70E8E">
            <w:pPr>
              <w:pStyle w:val="Heading11"/>
              <w:widowControl/>
              <w:suppressAutoHyphens/>
              <w:spacing w:before="80" w:after="80" w:line="160" w:lineRule="exact"/>
              <w:ind w:right="43"/>
              <w:jc w:val="right"/>
              <w:rPr>
                <w:b w:val="0"/>
                <w:i/>
                <w:sz w:val="14"/>
                <w:szCs w:val="24"/>
              </w:rPr>
            </w:pPr>
            <w:r w:rsidRPr="00D70E8E">
              <w:rPr>
                <w:b w:val="0"/>
                <w:i/>
                <w:sz w:val="14"/>
                <w:szCs w:val="24"/>
              </w:rPr>
              <w:t>Hommes</w:t>
            </w:r>
          </w:p>
        </w:tc>
        <w:tc>
          <w:tcPr>
            <w:tcW w:w="1620" w:type="dxa"/>
            <w:tcBorders>
              <w:top w:val="single" w:sz="4" w:space="0" w:color="auto"/>
              <w:bottom w:val="single" w:sz="12" w:space="0" w:color="auto"/>
            </w:tcBorders>
            <w:shd w:val="clear" w:color="auto" w:fill="auto"/>
            <w:vAlign w:val="bottom"/>
          </w:tcPr>
          <w:p w:rsidR="0073290F" w:rsidRPr="00D70E8E" w:rsidRDefault="0073290F" w:rsidP="00D70E8E">
            <w:pPr>
              <w:pStyle w:val="Heading11"/>
              <w:widowControl/>
              <w:suppressAutoHyphens/>
              <w:spacing w:before="80" w:after="80" w:line="160" w:lineRule="exact"/>
              <w:ind w:right="43"/>
              <w:jc w:val="right"/>
              <w:rPr>
                <w:b w:val="0"/>
                <w:i/>
                <w:sz w:val="14"/>
                <w:szCs w:val="24"/>
              </w:rPr>
            </w:pPr>
            <w:r w:rsidRPr="00D70E8E">
              <w:rPr>
                <w:b w:val="0"/>
                <w:i/>
                <w:sz w:val="14"/>
                <w:szCs w:val="24"/>
              </w:rPr>
              <w:t>Femmes</w:t>
            </w:r>
          </w:p>
        </w:tc>
      </w:tr>
      <w:tr w:rsidR="00D70E8E" w:rsidRPr="00D70E8E">
        <w:tblPrEx>
          <w:tblCellMar>
            <w:top w:w="0" w:type="dxa"/>
            <w:bottom w:w="0" w:type="dxa"/>
          </w:tblCellMar>
        </w:tblPrEx>
        <w:trPr>
          <w:cantSplit/>
          <w:trHeight w:hRule="exact" w:val="115"/>
          <w:tblHeader/>
        </w:trPr>
        <w:tc>
          <w:tcPr>
            <w:tcW w:w="3000" w:type="dxa"/>
            <w:tcBorders>
              <w:top w:val="single" w:sz="12" w:space="0" w:color="auto"/>
            </w:tcBorders>
            <w:shd w:val="clear" w:color="auto" w:fill="auto"/>
            <w:vAlign w:val="bottom"/>
          </w:tcPr>
          <w:p w:rsidR="00D70E8E" w:rsidRPr="00D70E8E" w:rsidRDefault="00D70E8E" w:rsidP="00D70E8E">
            <w:pPr>
              <w:suppressAutoHyphens/>
              <w:spacing w:before="40" w:after="40" w:line="210" w:lineRule="exact"/>
              <w:ind w:right="43"/>
              <w:rPr>
                <w:bCs/>
                <w:sz w:val="17"/>
              </w:rPr>
            </w:pPr>
          </w:p>
        </w:tc>
        <w:tc>
          <w:tcPr>
            <w:tcW w:w="1860" w:type="dxa"/>
            <w:tcBorders>
              <w:top w:val="single" w:sz="12" w:space="0" w:color="auto"/>
            </w:tcBorders>
            <w:shd w:val="clear" w:color="auto" w:fill="auto"/>
            <w:vAlign w:val="bottom"/>
          </w:tcPr>
          <w:p w:rsidR="00D70E8E" w:rsidRPr="00D70E8E" w:rsidRDefault="00D70E8E" w:rsidP="00D70E8E">
            <w:pPr>
              <w:suppressAutoHyphens/>
              <w:spacing w:before="40" w:after="40" w:line="210" w:lineRule="exact"/>
              <w:ind w:right="43"/>
              <w:jc w:val="right"/>
              <w:rPr>
                <w:bCs/>
                <w:sz w:val="17"/>
              </w:rPr>
            </w:pPr>
          </w:p>
        </w:tc>
        <w:tc>
          <w:tcPr>
            <w:tcW w:w="1620" w:type="dxa"/>
            <w:tcBorders>
              <w:top w:val="single" w:sz="12" w:space="0" w:color="auto"/>
            </w:tcBorders>
            <w:shd w:val="clear" w:color="auto" w:fill="auto"/>
            <w:vAlign w:val="bottom"/>
          </w:tcPr>
          <w:p w:rsidR="00D70E8E" w:rsidRPr="00D70E8E" w:rsidRDefault="00D70E8E" w:rsidP="00D70E8E">
            <w:pPr>
              <w:suppressAutoHyphens/>
              <w:spacing w:before="40" w:after="40" w:line="210" w:lineRule="exact"/>
              <w:ind w:right="43"/>
              <w:jc w:val="right"/>
              <w:rPr>
                <w:bCs/>
                <w:sz w:val="17"/>
              </w:rPr>
            </w:pPr>
          </w:p>
        </w:tc>
      </w:tr>
      <w:tr w:rsidR="0073290F" w:rsidRPr="00D70E8E">
        <w:tblPrEx>
          <w:tblCellMar>
            <w:top w:w="0" w:type="dxa"/>
            <w:bottom w:w="0" w:type="dxa"/>
          </w:tblCellMar>
        </w:tblPrEx>
        <w:trPr>
          <w:cantSplit/>
        </w:trPr>
        <w:tc>
          <w:tcPr>
            <w:tcW w:w="300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bCs/>
                <w:sz w:val="17"/>
              </w:rPr>
            </w:pPr>
            <w:r w:rsidRPr="00D70E8E">
              <w:rPr>
                <w:bCs/>
                <w:sz w:val="17"/>
              </w:rPr>
              <w:t>Total</w:t>
            </w:r>
          </w:p>
        </w:tc>
        <w:tc>
          <w:tcPr>
            <w:tcW w:w="186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bCs/>
                <w:sz w:val="17"/>
              </w:rPr>
            </w:pPr>
            <w:r w:rsidRPr="00D70E8E">
              <w:rPr>
                <w:bCs/>
                <w:sz w:val="17"/>
              </w:rPr>
              <w:t>24h</w:t>
            </w:r>
          </w:p>
        </w:tc>
        <w:tc>
          <w:tcPr>
            <w:tcW w:w="162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bCs/>
                <w:sz w:val="17"/>
              </w:rPr>
            </w:pPr>
            <w:r w:rsidRPr="00D70E8E">
              <w:rPr>
                <w:bCs/>
                <w:sz w:val="17"/>
              </w:rPr>
              <w:t>24h</w:t>
            </w:r>
          </w:p>
        </w:tc>
      </w:tr>
      <w:tr w:rsidR="0073290F" w:rsidRPr="00D70E8E">
        <w:tblPrEx>
          <w:tblCellMar>
            <w:top w:w="0" w:type="dxa"/>
            <w:bottom w:w="0" w:type="dxa"/>
          </w:tblCellMar>
        </w:tblPrEx>
        <w:trPr>
          <w:cantSplit/>
        </w:trPr>
        <w:tc>
          <w:tcPr>
            <w:tcW w:w="300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bCs/>
                <w:sz w:val="17"/>
              </w:rPr>
              <w:t>Loisirs*</w:t>
            </w:r>
          </w:p>
        </w:tc>
        <w:tc>
          <w:tcPr>
            <w:tcW w:w="186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4:52</w:t>
            </w:r>
          </w:p>
        </w:tc>
        <w:tc>
          <w:tcPr>
            <w:tcW w:w="162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3:51</w:t>
            </w:r>
          </w:p>
        </w:tc>
      </w:tr>
      <w:tr w:rsidR="0073290F" w:rsidRPr="00D70E8E">
        <w:tblPrEx>
          <w:tblCellMar>
            <w:top w:w="0" w:type="dxa"/>
            <w:bottom w:w="0" w:type="dxa"/>
          </w:tblCellMar>
        </w:tblPrEx>
        <w:trPr>
          <w:cantSplit/>
        </w:trPr>
        <w:tc>
          <w:tcPr>
            <w:tcW w:w="300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bCs/>
                <w:sz w:val="17"/>
              </w:rPr>
              <w:t>Repas, soins personnels</w:t>
            </w:r>
          </w:p>
        </w:tc>
        <w:tc>
          <w:tcPr>
            <w:tcW w:w="186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2:07</w:t>
            </w:r>
          </w:p>
        </w:tc>
        <w:tc>
          <w:tcPr>
            <w:tcW w:w="162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2:02</w:t>
            </w:r>
          </w:p>
        </w:tc>
      </w:tr>
      <w:tr w:rsidR="0073290F" w:rsidRPr="00D70E8E">
        <w:tblPrEx>
          <w:tblCellMar>
            <w:top w:w="0" w:type="dxa"/>
            <w:bottom w:w="0" w:type="dxa"/>
          </w:tblCellMar>
        </w:tblPrEx>
        <w:trPr>
          <w:cantSplit/>
        </w:trPr>
        <w:tc>
          <w:tcPr>
            <w:tcW w:w="300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bCs/>
                <w:sz w:val="17"/>
              </w:rPr>
              <w:t>Sommeil</w:t>
            </w:r>
          </w:p>
        </w:tc>
        <w:tc>
          <w:tcPr>
            <w:tcW w:w="186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8:06</w:t>
            </w:r>
          </w:p>
        </w:tc>
        <w:tc>
          <w:tcPr>
            <w:tcW w:w="162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8:12</w:t>
            </w:r>
          </w:p>
        </w:tc>
      </w:tr>
      <w:tr w:rsidR="0073290F" w:rsidRPr="00D70E8E">
        <w:tblPrEx>
          <w:tblCellMar>
            <w:top w:w="0" w:type="dxa"/>
            <w:bottom w:w="0" w:type="dxa"/>
          </w:tblCellMar>
        </w:tblPrEx>
        <w:trPr>
          <w:cantSplit/>
        </w:trPr>
        <w:tc>
          <w:tcPr>
            <w:tcW w:w="300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sz w:val="17"/>
              </w:rPr>
              <w:t>Voyages</w:t>
            </w:r>
          </w:p>
        </w:tc>
        <w:tc>
          <w:tcPr>
            <w:tcW w:w="186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1:14</w:t>
            </w:r>
          </w:p>
        </w:tc>
        <w:tc>
          <w:tcPr>
            <w:tcW w:w="162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1:09</w:t>
            </w:r>
          </w:p>
        </w:tc>
      </w:tr>
      <w:tr w:rsidR="0073290F" w:rsidRPr="00D70E8E">
        <w:tblPrEx>
          <w:tblCellMar>
            <w:top w:w="0" w:type="dxa"/>
            <w:bottom w:w="0" w:type="dxa"/>
          </w:tblCellMar>
        </w:tblPrEx>
        <w:trPr>
          <w:cantSplit/>
        </w:trPr>
        <w:tc>
          <w:tcPr>
            <w:tcW w:w="300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bCs/>
                <w:sz w:val="17"/>
              </w:rPr>
              <w:t>Travaux domestiques</w:t>
            </w:r>
          </w:p>
        </w:tc>
        <w:tc>
          <w:tcPr>
            <w:tcW w:w="186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2:24</w:t>
            </w:r>
          </w:p>
        </w:tc>
        <w:tc>
          <w:tcPr>
            <w:tcW w:w="1620" w:type="dxa"/>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4:24</w:t>
            </w:r>
          </w:p>
        </w:tc>
      </w:tr>
      <w:tr w:rsidR="0073290F" w:rsidRPr="00D70E8E">
        <w:tblPrEx>
          <w:tblCellMar>
            <w:top w:w="0" w:type="dxa"/>
            <w:bottom w:w="0" w:type="dxa"/>
          </w:tblCellMar>
        </w:tblPrEx>
        <w:trPr>
          <w:cantSplit/>
        </w:trPr>
        <w:tc>
          <w:tcPr>
            <w:tcW w:w="3000" w:type="dxa"/>
            <w:tcBorders>
              <w:bottom w:val="single" w:sz="12" w:space="0" w:color="auto"/>
            </w:tcBorders>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rPr>
                <w:sz w:val="17"/>
              </w:rPr>
            </w:pPr>
            <w:r w:rsidRPr="00D70E8E">
              <w:rPr>
                <w:bCs/>
                <w:sz w:val="17"/>
              </w:rPr>
              <w:t>Activités rémunérées, Etudes</w:t>
            </w:r>
          </w:p>
        </w:tc>
        <w:tc>
          <w:tcPr>
            <w:tcW w:w="1860" w:type="dxa"/>
            <w:tcBorders>
              <w:bottom w:val="single" w:sz="12" w:space="0" w:color="auto"/>
            </w:tcBorders>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5:20</w:t>
            </w:r>
          </w:p>
        </w:tc>
        <w:tc>
          <w:tcPr>
            <w:tcW w:w="1620" w:type="dxa"/>
            <w:tcBorders>
              <w:bottom w:val="single" w:sz="12" w:space="0" w:color="auto"/>
            </w:tcBorders>
            <w:shd w:val="clear" w:color="auto" w:fill="auto"/>
            <w:vAlign w:val="bottom"/>
          </w:tcPr>
          <w:p w:rsidR="0073290F" w:rsidRPr="00D70E8E" w:rsidRDefault="0073290F" w:rsidP="00D70E8E">
            <w:pPr>
              <w:tabs>
                <w:tab w:val="left" w:pos="288"/>
                <w:tab w:val="left" w:pos="576"/>
                <w:tab w:val="left" w:pos="864"/>
                <w:tab w:val="left" w:pos="1152"/>
              </w:tabs>
              <w:suppressAutoHyphens/>
              <w:spacing w:before="40" w:after="40" w:line="210" w:lineRule="exact"/>
              <w:ind w:right="43"/>
              <w:jc w:val="right"/>
              <w:rPr>
                <w:sz w:val="17"/>
              </w:rPr>
            </w:pPr>
            <w:r w:rsidRPr="00D70E8E">
              <w:rPr>
                <w:sz w:val="17"/>
              </w:rPr>
              <w:t>4:23</w:t>
            </w:r>
          </w:p>
        </w:tc>
      </w:tr>
    </w:tbl>
    <w:p w:rsidR="006405B4" w:rsidRPr="006405B4" w:rsidRDefault="006405B4" w:rsidP="006405B4">
      <w:pPr>
        <w:pStyle w:val="Predoblikovano"/>
        <w:tabs>
          <w:tab w:val="clear" w:pos="9590"/>
        </w:tabs>
        <w:spacing w:line="120" w:lineRule="exact"/>
        <w:jc w:val="both"/>
        <w:rPr>
          <w:rFonts w:ascii="Times New Roman" w:hAnsi="Times New Roman" w:cs="Times New Roman"/>
          <w:sz w:val="10"/>
          <w:lang w:val="fr-FR"/>
        </w:rPr>
      </w:pPr>
    </w:p>
    <w:p w:rsidR="0073290F" w:rsidRPr="00EE2ACF" w:rsidRDefault="0073290F" w:rsidP="006405B4">
      <w:pPr>
        <w:pStyle w:val="FootnoteText"/>
        <w:tabs>
          <w:tab w:val="clear" w:pos="418"/>
          <w:tab w:val="right" w:pos="1476"/>
          <w:tab w:val="left" w:pos="1548"/>
          <w:tab w:val="right" w:pos="1836"/>
          <w:tab w:val="left" w:pos="1908"/>
        </w:tabs>
        <w:ind w:left="1548" w:hanging="288"/>
        <w:rPr>
          <w:lang w:val="fr-FR"/>
        </w:rPr>
      </w:pPr>
      <w:r w:rsidRPr="00EE2ACF">
        <w:rPr>
          <w:lang w:val="fr-FR"/>
        </w:rPr>
        <w:t>*</w:t>
      </w:r>
      <w:r w:rsidR="006405B4">
        <w:rPr>
          <w:lang w:val="fr-FR"/>
        </w:rPr>
        <w:tab/>
      </w:r>
      <w:r w:rsidR="006405B4">
        <w:rPr>
          <w:lang w:val="fr-FR"/>
        </w:rPr>
        <w:tab/>
      </w:r>
      <w:r w:rsidRPr="00EE2ACF">
        <w:rPr>
          <w:lang w:val="fr-FR"/>
        </w:rPr>
        <w:t>Loisirs: voir ci-dessus.</w:t>
      </w:r>
    </w:p>
    <w:p w:rsidR="0073290F" w:rsidRPr="00EE2ACF" w:rsidRDefault="0073290F" w:rsidP="006405B4">
      <w:pPr>
        <w:pStyle w:val="FootnoteText"/>
        <w:tabs>
          <w:tab w:val="clear" w:pos="418"/>
          <w:tab w:val="right" w:pos="1476"/>
          <w:tab w:val="left" w:pos="1548"/>
          <w:tab w:val="right" w:pos="1836"/>
          <w:tab w:val="left" w:pos="1908"/>
        </w:tabs>
        <w:ind w:left="1548" w:hanging="288"/>
        <w:rPr>
          <w:lang w:val="fr-FR"/>
        </w:rPr>
      </w:pPr>
      <w:r w:rsidRPr="006405B4">
        <w:rPr>
          <w:i/>
          <w:lang w:val="fr-FR"/>
        </w:rPr>
        <w:t>Source</w:t>
      </w:r>
      <w:r w:rsidRPr="00EE2ACF">
        <w:rPr>
          <w:lang w:val="fr-FR"/>
        </w:rPr>
        <w:t>: “</w:t>
      </w:r>
      <w:r>
        <w:rPr>
          <w:lang w:val="fr-FR"/>
        </w:rPr>
        <w:t>A quoi les Européens consacrent-ils leur</w:t>
      </w:r>
      <w:r w:rsidRPr="00EE2ACF">
        <w:rPr>
          <w:lang w:val="fr-FR"/>
        </w:rPr>
        <w:t xml:space="preserve"> temps</w:t>
      </w:r>
      <w:r>
        <w:rPr>
          <w:lang w:val="fr-FR"/>
        </w:rPr>
        <w:t> ? La</w:t>
      </w:r>
      <w:r w:rsidRPr="00EE2ACF">
        <w:rPr>
          <w:lang w:val="fr-FR"/>
        </w:rPr>
        <w:t xml:space="preserve"> vie quotidienne des femmes et des hom</w:t>
      </w:r>
      <w:r>
        <w:rPr>
          <w:lang w:val="fr-FR"/>
        </w:rPr>
        <w:t>m</w:t>
      </w:r>
      <w:r w:rsidRPr="00EE2ACF">
        <w:rPr>
          <w:lang w:val="fr-FR"/>
        </w:rPr>
        <w:t>es, en Europe” (Données concernant la période 1998 – 2002), Eurostat, 2004.</w:t>
      </w:r>
    </w:p>
    <w:p w:rsidR="006405B4" w:rsidRPr="006405B4" w:rsidRDefault="006405B4" w:rsidP="006405B4">
      <w:pPr>
        <w:pStyle w:val="BodyText"/>
        <w:spacing w:line="120" w:lineRule="exact"/>
        <w:ind w:left="708" w:firstLine="708"/>
        <w:jc w:val="both"/>
        <w:rPr>
          <w:sz w:val="10"/>
          <w:szCs w:val="24"/>
          <w:lang w:val="fr-FR"/>
        </w:rPr>
      </w:pPr>
    </w:p>
    <w:p w:rsidR="0073290F" w:rsidRDefault="0073290F" w:rsidP="006405B4">
      <w:pPr>
        <w:pStyle w:val="SingleTxt"/>
        <w:jc w:val="left"/>
        <w:rPr>
          <w:lang w:val="fr-FR"/>
        </w:rPr>
      </w:pPr>
      <w:r w:rsidRPr="00580C0C">
        <w:rPr>
          <w:lang w:val="fr-FR"/>
        </w:rPr>
        <w:t>Tableau 50</w:t>
      </w:r>
      <w:r w:rsidR="006405B4">
        <w:rPr>
          <w:lang w:val="fr-FR"/>
        </w:rPr>
        <w:br/>
      </w:r>
      <w:r w:rsidRPr="006405B4">
        <w:rPr>
          <w:b/>
          <w:lang w:val="fr-FR"/>
        </w:rPr>
        <w:t>Revenu principal des femmes actives dans le secteur agricole et des femmes rurales en général – pourcentages en fonction des revenus</w:t>
      </w:r>
    </w:p>
    <w:p w:rsidR="006405B4" w:rsidRPr="006405B4" w:rsidRDefault="006405B4" w:rsidP="006405B4">
      <w:pPr>
        <w:pStyle w:val="BodyText"/>
        <w:spacing w:line="120" w:lineRule="exact"/>
        <w:ind w:left="708" w:firstLine="708"/>
        <w:jc w:val="both"/>
        <w:rPr>
          <w:sz w:val="10"/>
          <w:szCs w:val="24"/>
          <w:lang w:val="fr-FR"/>
        </w:rPr>
      </w:pPr>
    </w:p>
    <w:tbl>
      <w:tblPr>
        <w:tblW w:w="0" w:type="auto"/>
        <w:tblInd w:w="160" w:type="dxa"/>
        <w:tblCellMar>
          <w:left w:w="70" w:type="dxa"/>
          <w:right w:w="70" w:type="dxa"/>
        </w:tblCellMar>
        <w:tblLook w:val="0000" w:firstRow="0" w:lastRow="0" w:firstColumn="0" w:lastColumn="0" w:noHBand="0" w:noVBand="0"/>
      </w:tblPr>
      <w:tblGrid>
        <w:gridCol w:w="5920"/>
        <w:gridCol w:w="876"/>
        <w:gridCol w:w="1440"/>
        <w:gridCol w:w="1402"/>
      </w:tblGrid>
      <w:tr w:rsidR="0073290F" w:rsidRPr="006A4084">
        <w:tblPrEx>
          <w:tblCellMar>
            <w:top w:w="0" w:type="dxa"/>
            <w:bottom w:w="0" w:type="dxa"/>
          </w:tblCellMar>
        </w:tblPrEx>
        <w:trPr>
          <w:tblHeader/>
        </w:trPr>
        <w:tc>
          <w:tcPr>
            <w:tcW w:w="5920" w:type="dxa"/>
            <w:tcBorders>
              <w:top w:val="single" w:sz="4" w:space="0" w:color="auto"/>
              <w:bottom w:val="single" w:sz="12" w:space="0" w:color="auto"/>
            </w:tcBorders>
            <w:shd w:val="clear" w:color="auto" w:fill="auto"/>
            <w:vAlign w:val="bottom"/>
          </w:tcPr>
          <w:p w:rsidR="0073290F" w:rsidRPr="006A4084" w:rsidRDefault="0073290F" w:rsidP="006A4084">
            <w:pPr>
              <w:pStyle w:val="BodyText"/>
              <w:suppressAutoHyphens/>
              <w:spacing w:before="80" w:after="80" w:line="160" w:lineRule="exact"/>
              <w:ind w:right="43"/>
              <w:jc w:val="both"/>
              <w:rPr>
                <w:b w:val="0"/>
                <w:i/>
                <w:sz w:val="14"/>
                <w:szCs w:val="24"/>
              </w:rPr>
            </w:pPr>
            <w:r w:rsidRPr="006A4084">
              <w:rPr>
                <w:b w:val="0"/>
                <w:i/>
                <w:sz w:val="14"/>
                <w:szCs w:val="24"/>
              </w:rPr>
              <w:t>Type de revenu</w:t>
            </w:r>
          </w:p>
        </w:tc>
        <w:tc>
          <w:tcPr>
            <w:tcW w:w="876" w:type="dxa"/>
            <w:tcBorders>
              <w:top w:val="single" w:sz="4" w:space="0" w:color="auto"/>
              <w:bottom w:val="single" w:sz="12" w:space="0" w:color="auto"/>
            </w:tcBorders>
            <w:shd w:val="clear" w:color="auto" w:fill="auto"/>
            <w:vAlign w:val="bottom"/>
          </w:tcPr>
          <w:p w:rsidR="0073290F" w:rsidRPr="006A4084" w:rsidRDefault="0073290F" w:rsidP="006A4084">
            <w:pPr>
              <w:pStyle w:val="BodyText"/>
              <w:suppressAutoHyphens/>
              <w:spacing w:before="80" w:after="80" w:line="160" w:lineRule="exact"/>
              <w:ind w:right="43"/>
              <w:jc w:val="right"/>
              <w:rPr>
                <w:i/>
                <w:sz w:val="14"/>
                <w:szCs w:val="24"/>
              </w:rPr>
            </w:pPr>
            <w:r w:rsidRPr="006A4084">
              <w:rPr>
                <w:i/>
                <w:sz w:val="14"/>
                <w:szCs w:val="24"/>
              </w:rPr>
              <w:t>Total</w:t>
            </w:r>
          </w:p>
        </w:tc>
        <w:tc>
          <w:tcPr>
            <w:tcW w:w="1440" w:type="dxa"/>
            <w:tcBorders>
              <w:top w:val="single" w:sz="4" w:space="0" w:color="auto"/>
              <w:bottom w:val="single" w:sz="12" w:space="0" w:color="auto"/>
            </w:tcBorders>
            <w:shd w:val="clear" w:color="auto" w:fill="auto"/>
            <w:vAlign w:val="bottom"/>
          </w:tcPr>
          <w:p w:rsidR="0073290F" w:rsidRPr="006A4084" w:rsidRDefault="0073290F" w:rsidP="006A4084">
            <w:pPr>
              <w:pStyle w:val="BodyText"/>
              <w:suppressAutoHyphens/>
              <w:spacing w:before="80" w:after="80" w:line="160" w:lineRule="exact"/>
              <w:ind w:right="43"/>
              <w:jc w:val="right"/>
              <w:rPr>
                <w:b w:val="0"/>
                <w:i/>
                <w:sz w:val="14"/>
                <w:szCs w:val="24"/>
                <w:lang w:val="fr-FR"/>
              </w:rPr>
            </w:pPr>
            <w:r w:rsidRPr="006A4084">
              <w:rPr>
                <w:b w:val="0"/>
                <w:i/>
                <w:sz w:val="14"/>
                <w:szCs w:val="24"/>
                <w:lang w:val="fr-FR"/>
              </w:rPr>
              <w:t>Femmes actives dans le secteur agricole</w:t>
            </w:r>
          </w:p>
        </w:tc>
        <w:tc>
          <w:tcPr>
            <w:tcW w:w="1402" w:type="dxa"/>
            <w:tcBorders>
              <w:top w:val="single" w:sz="4" w:space="0" w:color="auto"/>
              <w:bottom w:val="single" w:sz="12" w:space="0" w:color="auto"/>
            </w:tcBorders>
            <w:shd w:val="clear" w:color="auto" w:fill="auto"/>
            <w:vAlign w:val="bottom"/>
          </w:tcPr>
          <w:p w:rsidR="0073290F" w:rsidRPr="006A4084" w:rsidRDefault="0073290F" w:rsidP="006A4084">
            <w:pPr>
              <w:pStyle w:val="BodyText"/>
              <w:suppressAutoHyphens/>
              <w:spacing w:before="80" w:after="80" w:line="160" w:lineRule="exact"/>
              <w:ind w:right="43"/>
              <w:jc w:val="right"/>
              <w:rPr>
                <w:b w:val="0"/>
                <w:i/>
                <w:sz w:val="14"/>
                <w:szCs w:val="24"/>
              </w:rPr>
            </w:pPr>
            <w:r w:rsidRPr="006A4084">
              <w:rPr>
                <w:b w:val="0"/>
                <w:i/>
                <w:sz w:val="14"/>
                <w:szCs w:val="24"/>
              </w:rPr>
              <w:t>Femmes rurales</w:t>
            </w:r>
          </w:p>
        </w:tc>
      </w:tr>
      <w:tr w:rsidR="006A4084" w:rsidRPr="006A4084">
        <w:tblPrEx>
          <w:tblCellMar>
            <w:top w:w="0" w:type="dxa"/>
            <w:bottom w:w="0" w:type="dxa"/>
          </w:tblCellMar>
        </w:tblPrEx>
        <w:trPr>
          <w:trHeight w:hRule="exact" w:val="115"/>
          <w:tblHeader/>
        </w:trPr>
        <w:tc>
          <w:tcPr>
            <w:tcW w:w="5920" w:type="dxa"/>
            <w:tcBorders>
              <w:top w:val="single" w:sz="12" w:space="0" w:color="auto"/>
            </w:tcBorders>
            <w:shd w:val="clear" w:color="auto" w:fill="auto"/>
            <w:vAlign w:val="bottom"/>
          </w:tcPr>
          <w:p w:rsidR="006A4084" w:rsidRPr="006A4084" w:rsidRDefault="006A4084" w:rsidP="006A4084">
            <w:pPr>
              <w:pStyle w:val="BodyText"/>
              <w:suppressAutoHyphens/>
              <w:spacing w:before="40" w:after="40" w:line="210" w:lineRule="exact"/>
              <w:ind w:right="43"/>
              <w:rPr>
                <w:b w:val="0"/>
                <w:bCs/>
                <w:sz w:val="17"/>
                <w:szCs w:val="24"/>
              </w:rPr>
            </w:pPr>
          </w:p>
        </w:tc>
        <w:tc>
          <w:tcPr>
            <w:tcW w:w="876" w:type="dxa"/>
            <w:tcBorders>
              <w:top w:val="single" w:sz="12" w:space="0" w:color="auto"/>
            </w:tcBorders>
            <w:shd w:val="clear" w:color="auto" w:fill="auto"/>
            <w:vAlign w:val="bottom"/>
          </w:tcPr>
          <w:p w:rsidR="006A4084" w:rsidRPr="006A4084" w:rsidRDefault="006A4084" w:rsidP="006A4084">
            <w:pPr>
              <w:pStyle w:val="BodyText"/>
              <w:suppressAutoHyphens/>
              <w:spacing w:before="40" w:after="40" w:line="210" w:lineRule="exact"/>
              <w:ind w:right="43"/>
              <w:jc w:val="right"/>
              <w:rPr>
                <w:bCs/>
                <w:sz w:val="17"/>
                <w:szCs w:val="24"/>
              </w:rPr>
            </w:pPr>
          </w:p>
        </w:tc>
        <w:tc>
          <w:tcPr>
            <w:tcW w:w="1440" w:type="dxa"/>
            <w:tcBorders>
              <w:top w:val="single" w:sz="12" w:space="0" w:color="auto"/>
            </w:tcBorders>
            <w:shd w:val="clear" w:color="auto" w:fill="auto"/>
            <w:vAlign w:val="bottom"/>
          </w:tcPr>
          <w:p w:rsidR="006A4084" w:rsidRPr="006A4084" w:rsidRDefault="006A4084" w:rsidP="006A4084">
            <w:pPr>
              <w:pStyle w:val="BodyText"/>
              <w:suppressAutoHyphens/>
              <w:spacing w:before="40" w:after="40" w:line="210" w:lineRule="exact"/>
              <w:ind w:right="43"/>
              <w:jc w:val="right"/>
              <w:rPr>
                <w:b w:val="0"/>
                <w:bCs/>
                <w:sz w:val="17"/>
                <w:szCs w:val="24"/>
              </w:rPr>
            </w:pPr>
          </w:p>
        </w:tc>
        <w:tc>
          <w:tcPr>
            <w:tcW w:w="1402" w:type="dxa"/>
            <w:tcBorders>
              <w:top w:val="single" w:sz="12" w:space="0" w:color="auto"/>
            </w:tcBorders>
            <w:shd w:val="clear" w:color="auto" w:fill="auto"/>
            <w:vAlign w:val="bottom"/>
          </w:tcPr>
          <w:p w:rsidR="006A4084" w:rsidRPr="006A4084" w:rsidRDefault="006A4084" w:rsidP="006A4084">
            <w:pPr>
              <w:pStyle w:val="BodyText"/>
              <w:suppressAutoHyphens/>
              <w:spacing w:before="40" w:after="40" w:line="210" w:lineRule="exact"/>
              <w:ind w:right="43"/>
              <w:jc w:val="right"/>
              <w:rPr>
                <w:b w:val="0"/>
                <w:bCs/>
                <w:sz w:val="17"/>
                <w:szCs w:val="24"/>
              </w:rPr>
            </w:pPr>
          </w:p>
        </w:tc>
      </w:tr>
      <w:tr w:rsidR="0073290F" w:rsidRPr="006A4084">
        <w:tblPrEx>
          <w:tblCellMar>
            <w:top w:w="0" w:type="dxa"/>
            <w:bottom w:w="0" w:type="dxa"/>
          </w:tblCellMar>
        </w:tblPrEx>
        <w:tc>
          <w:tcPr>
            <w:tcW w:w="592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rPr>
                <w:b w:val="0"/>
                <w:bCs/>
                <w:sz w:val="17"/>
                <w:szCs w:val="24"/>
              </w:rPr>
            </w:pPr>
            <w:r w:rsidRPr="006A4084">
              <w:rPr>
                <w:b w:val="0"/>
                <w:bCs/>
                <w:sz w:val="17"/>
                <w:szCs w:val="24"/>
              </w:rPr>
              <w:t>Sans revenus</w:t>
            </w:r>
          </w:p>
        </w:tc>
        <w:tc>
          <w:tcPr>
            <w:tcW w:w="876"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Cs/>
                <w:sz w:val="17"/>
                <w:szCs w:val="24"/>
              </w:rPr>
            </w:pPr>
            <w:r w:rsidRPr="006A4084">
              <w:rPr>
                <w:bCs/>
                <w:sz w:val="17"/>
                <w:szCs w:val="24"/>
              </w:rPr>
              <w:t>12,9</w:t>
            </w:r>
          </w:p>
        </w:tc>
        <w:tc>
          <w:tcPr>
            <w:tcW w:w="144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12,8</w:t>
            </w:r>
          </w:p>
        </w:tc>
        <w:tc>
          <w:tcPr>
            <w:tcW w:w="1402"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13,0</w:t>
            </w:r>
          </w:p>
        </w:tc>
      </w:tr>
      <w:tr w:rsidR="0073290F" w:rsidRPr="006A4084">
        <w:tblPrEx>
          <w:tblCellMar>
            <w:top w:w="0" w:type="dxa"/>
            <w:bottom w:w="0" w:type="dxa"/>
          </w:tblCellMar>
        </w:tblPrEx>
        <w:tc>
          <w:tcPr>
            <w:tcW w:w="592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rPr>
                <w:b w:val="0"/>
                <w:bCs/>
                <w:sz w:val="17"/>
                <w:szCs w:val="24"/>
              </w:rPr>
            </w:pPr>
            <w:r w:rsidRPr="006A4084">
              <w:rPr>
                <w:b w:val="0"/>
                <w:bCs/>
                <w:sz w:val="17"/>
                <w:szCs w:val="24"/>
              </w:rPr>
              <w:t>Bourse/pension de réversion*</w:t>
            </w:r>
          </w:p>
        </w:tc>
        <w:tc>
          <w:tcPr>
            <w:tcW w:w="876"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Cs/>
                <w:sz w:val="17"/>
                <w:szCs w:val="24"/>
              </w:rPr>
            </w:pPr>
            <w:r w:rsidRPr="006A4084">
              <w:rPr>
                <w:bCs/>
                <w:sz w:val="17"/>
                <w:szCs w:val="24"/>
              </w:rPr>
              <w:t>4,4</w:t>
            </w:r>
          </w:p>
        </w:tc>
        <w:tc>
          <w:tcPr>
            <w:tcW w:w="144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7,1</w:t>
            </w:r>
          </w:p>
        </w:tc>
        <w:tc>
          <w:tcPr>
            <w:tcW w:w="1402"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2,5</w:t>
            </w:r>
          </w:p>
        </w:tc>
      </w:tr>
      <w:tr w:rsidR="0073290F" w:rsidRPr="006A4084">
        <w:tblPrEx>
          <w:tblCellMar>
            <w:top w:w="0" w:type="dxa"/>
            <w:bottom w:w="0" w:type="dxa"/>
          </w:tblCellMar>
        </w:tblPrEx>
        <w:tc>
          <w:tcPr>
            <w:tcW w:w="592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rPr>
                <w:b w:val="0"/>
                <w:bCs/>
                <w:sz w:val="17"/>
                <w:szCs w:val="24"/>
                <w:lang w:val="fr-FR"/>
              </w:rPr>
            </w:pPr>
            <w:r w:rsidRPr="006A4084">
              <w:rPr>
                <w:b w:val="0"/>
                <w:bCs/>
                <w:sz w:val="17"/>
                <w:szCs w:val="24"/>
                <w:lang w:val="fr-FR"/>
              </w:rPr>
              <w:t xml:space="preserve">Pension, pension d’invalidité, aide sociale aux personnes âgées ou liée à l’état de santé </w:t>
            </w:r>
          </w:p>
        </w:tc>
        <w:tc>
          <w:tcPr>
            <w:tcW w:w="876"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Cs/>
                <w:sz w:val="17"/>
                <w:szCs w:val="24"/>
              </w:rPr>
            </w:pPr>
            <w:r w:rsidRPr="006A4084">
              <w:rPr>
                <w:bCs/>
                <w:sz w:val="17"/>
                <w:szCs w:val="24"/>
              </w:rPr>
              <w:t>3,8</w:t>
            </w:r>
          </w:p>
        </w:tc>
        <w:tc>
          <w:tcPr>
            <w:tcW w:w="144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2,8</w:t>
            </w:r>
          </w:p>
        </w:tc>
        <w:tc>
          <w:tcPr>
            <w:tcW w:w="1402"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4,5</w:t>
            </w:r>
          </w:p>
        </w:tc>
      </w:tr>
      <w:tr w:rsidR="0073290F" w:rsidRPr="006A4084">
        <w:tblPrEx>
          <w:tblCellMar>
            <w:top w:w="0" w:type="dxa"/>
            <w:bottom w:w="0" w:type="dxa"/>
          </w:tblCellMar>
        </w:tblPrEx>
        <w:tc>
          <w:tcPr>
            <w:tcW w:w="592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rPr>
                <w:b w:val="0"/>
                <w:bCs/>
                <w:sz w:val="17"/>
                <w:szCs w:val="24"/>
                <w:lang w:val="fr-FR"/>
              </w:rPr>
            </w:pPr>
            <w:r w:rsidRPr="006A4084">
              <w:rPr>
                <w:b w:val="0"/>
                <w:bCs/>
                <w:sz w:val="17"/>
                <w:szCs w:val="24"/>
                <w:lang w:val="fr-FR"/>
              </w:rPr>
              <w:t xml:space="preserve">Agriculture – personnes ne percevant ni pension ni indemnité d’invalidité </w:t>
            </w:r>
          </w:p>
        </w:tc>
        <w:tc>
          <w:tcPr>
            <w:tcW w:w="876"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Cs/>
                <w:sz w:val="17"/>
                <w:szCs w:val="24"/>
              </w:rPr>
            </w:pPr>
            <w:r w:rsidRPr="006A4084">
              <w:rPr>
                <w:bCs/>
                <w:sz w:val="17"/>
                <w:szCs w:val="24"/>
              </w:rPr>
              <w:t>0,9</w:t>
            </w:r>
          </w:p>
        </w:tc>
        <w:tc>
          <w:tcPr>
            <w:tcW w:w="144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2,1</w:t>
            </w:r>
          </w:p>
        </w:tc>
        <w:tc>
          <w:tcPr>
            <w:tcW w:w="1402"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0,0</w:t>
            </w:r>
          </w:p>
        </w:tc>
      </w:tr>
      <w:tr w:rsidR="0073290F" w:rsidRPr="006A4084">
        <w:tblPrEx>
          <w:tblCellMar>
            <w:top w:w="0" w:type="dxa"/>
            <w:bottom w:w="0" w:type="dxa"/>
          </w:tblCellMar>
        </w:tblPrEx>
        <w:tc>
          <w:tcPr>
            <w:tcW w:w="592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rPr>
                <w:b w:val="0"/>
                <w:bCs/>
                <w:sz w:val="17"/>
                <w:szCs w:val="24"/>
                <w:lang w:val="fr-FR"/>
              </w:rPr>
            </w:pPr>
            <w:r w:rsidRPr="006A4084">
              <w:rPr>
                <w:b w:val="0"/>
                <w:bCs/>
                <w:sz w:val="17"/>
                <w:szCs w:val="24"/>
                <w:lang w:val="fr-FR"/>
              </w:rPr>
              <w:t>Agriculture - personnes percevant une pension ou une indemnité d’invalidité</w:t>
            </w:r>
          </w:p>
        </w:tc>
        <w:tc>
          <w:tcPr>
            <w:tcW w:w="876"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Cs/>
                <w:sz w:val="17"/>
                <w:szCs w:val="24"/>
              </w:rPr>
            </w:pPr>
            <w:r w:rsidRPr="006A4084">
              <w:rPr>
                <w:bCs/>
                <w:sz w:val="17"/>
                <w:szCs w:val="24"/>
              </w:rPr>
              <w:t>2,6</w:t>
            </w:r>
          </w:p>
        </w:tc>
        <w:tc>
          <w:tcPr>
            <w:tcW w:w="144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5,7</w:t>
            </w:r>
          </w:p>
        </w:tc>
        <w:tc>
          <w:tcPr>
            <w:tcW w:w="1402"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0,0</w:t>
            </w:r>
          </w:p>
        </w:tc>
      </w:tr>
      <w:tr w:rsidR="0073290F" w:rsidRPr="006A4084">
        <w:tblPrEx>
          <w:tblCellMar>
            <w:top w:w="0" w:type="dxa"/>
            <w:bottom w:w="0" w:type="dxa"/>
          </w:tblCellMar>
        </w:tblPrEx>
        <w:tc>
          <w:tcPr>
            <w:tcW w:w="592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rPr>
                <w:b w:val="0"/>
                <w:bCs/>
                <w:sz w:val="17"/>
                <w:szCs w:val="24"/>
              </w:rPr>
            </w:pPr>
            <w:r w:rsidRPr="006A4084">
              <w:rPr>
                <w:b w:val="0"/>
                <w:bCs/>
                <w:sz w:val="17"/>
                <w:szCs w:val="24"/>
              </w:rPr>
              <w:t>Emploi</w:t>
            </w:r>
          </w:p>
        </w:tc>
        <w:tc>
          <w:tcPr>
            <w:tcW w:w="876"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Cs/>
                <w:sz w:val="17"/>
                <w:szCs w:val="24"/>
              </w:rPr>
            </w:pPr>
            <w:r w:rsidRPr="006A4084">
              <w:rPr>
                <w:bCs/>
                <w:sz w:val="17"/>
                <w:szCs w:val="24"/>
              </w:rPr>
              <w:t>65,7</w:t>
            </w:r>
          </w:p>
        </w:tc>
        <w:tc>
          <w:tcPr>
            <w:tcW w:w="144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62,4</w:t>
            </w:r>
          </w:p>
        </w:tc>
        <w:tc>
          <w:tcPr>
            <w:tcW w:w="1402"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68,0</w:t>
            </w:r>
          </w:p>
        </w:tc>
      </w:tr>
      <w:tr w:rsidR="0073290F" w:rsidRPr="006A4084">
        <w:tblPrEx>
          <w:tblCellMar>
            <w:top w:w="0" w:type="dxa"/>
            <w:bottom w:w="0" w:type="dxa"/>
          </w:tblCellMar>
        </w:tblPrEx>
        <w:tc>
          <w:tcPr>
            <w:tcW w:w="592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rPr>
                <w:b w:val="0"/>
                <w:bCs/>
                <w:sz w:val="17"/>
                <w:szCs w:val="24"/>
                <w:lang w:val="fr-FR"/>
              </w:rPr>
            </w:pPr>
            <w:r w:rsidRPr="006A4084">
              <w:rPr>
                <w:b w:val="0"/>
                <w:bCs/>
                <w:sz w:val="17"/>
                <w:szCs w:val="24"/>
                <w:lang w:val="fr-FR"/>
              </w:rPr>
              <w:t xml:space="preserve">Travail indépendant rémunéré </w:t>
            </w:r>
          </w:p>
        </w:tc>
        <w:tc>
          <w:tcPr>
            <w:tcW w:w="876"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Cs/>
                <w:sz w:val="17"/>
                <w:szCs w:val="24"/>
              </w:rPr>
            </w:pPr>
            <w:r w:rsidRPr="006A4084">
              <w:rPr>
                <w:bCs/>
                <w:sz w:val="17"/>
                <w:szCs w:val="24"/>
              </w:rPr>
              <w:t>4,1</w:t>
            </w:r>
          </w:p>
        </w:tc>
        <w:tc>
          <w:tcPr>
            <w:tcW w:w="144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2,1</w:t>
            </w:r>
          </w:p>
        </w:tc>
        <w:tc>
          <w:tcPr>
            <w:tcW w:w="1402"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5,5</w:t>
            </w:r>
          </w:p>
        </w:tc>
      </w:tr>
      <w:tr w:rsidR="0073290F" w:rsidRPr="006A4084">
        <w:tblPrEx>
          <w:tblCellMar>
            <w:top w:w="0" w:type="dxa"/>
            <w:bottom w:w="0" w:type="dxa"/>
          </w:tblCellMar>
        </w:tblPrEx>
        <w:tc>
          <w:tcPr>
            <w:tcW w:w="592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rPr>
                <w:b w:val="0"/>
                <w:bCs/>
                <w:sz w:val="17"/>
                <w:szCs w:val="24"/>
              </w:rPr>
            </w:pPr>
            <w:r w:rsidRPr="006A4084">
              <w:rPr>
                <w:b w:val="0"/>
                <w:bCs/>
                <w:sz w:val="17"/>
                <w:szCs w:val="24"/>
              </w:rPr>
              <w:t>Activité complémentaire</w:t>
            </w:r>
          </w:p>
        </w:tc>
        <w:tc>
          <w:tcPr>
            <w:tcW w:w="876"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Cs/>
                <w:sz w:val="17"/>
                <w:szCs w:val="24"/>
              </w:rPr>
            </w:pPr>
            <w:r w:rsidRPr="006A4084">
              <w:rPr>
                <w:bCs/>
                <w:sz w:val="17"/>
                <w:szCs w:val="24"/>
              </w:rPr>
              <w:t>0,3</w:t>
            </w:r>
          </w:p>
        </w:tc>
        <w:tc>
          <w:tcPr>
            <w:tcW w:w="144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0,0</w:t>
            </w:r>
          </w:p>
        </w:tc>
        <w:tc>
          <w:tcPr>
            <w:tcW w:w="1402"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0,5</w:t>
            </w:r>
          </w:p>
        </w:tc>
      </w:tr>
      <w:tr w:rsidR="0073290F" w:rsidRPr="006A4084">
        <w:tblPrEx>
          <w:tblCellMar>
            <w:top w:w="0" w:type="dxa"/>
            <w:bottom w:w="0" w:type="dxa"/>
          </w:tblCellMar>
        </w:tblPrEx>
        <w:tc>
          <w:tcPr>
            <w:tcW w:w="5920" w:type="dxa"/>
            <w:tcBorders>
              <w:bottom w:val="single" w:sz="12" w:space="0" w:color="auto"/>
            </w:tcBorders>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rPr>
                <w:b w:val="0"/>
                <w:bCs/>
                <w:sz w:val="17"/>
                <w:szCs w:val="24"/>
                <w:lang w:val="fr-FR"/>
              </w:rPr>
            </w:pPr>
            <w:r w:rsidRPr="006A4084">
              <w:rPr>
                <w:b w:val="0"/>
                <w:bCs/>
                <w:sz w:val="17"/>
                <w:szCs w:val="24"/>
                <w:lang w:val="fr-FR"/>
              </w:rPr>
              <w:t xml:space="preserve">Diverses indemnités et allocations sociales </w:t>
            </w:r>
          </w:p>
        </w:tc>
        <w:tc>
          <w:tcPr>
            <w:tcW w:w="876" w:type="dxa"/>
            <w:tcBorders>
              <w:bottom w:val="single" w:sz="12" w:space="0" w:color="auto"/>
            </w:tcBorders>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Cs/>
                <w:sz w:val="17"/>
                <w:szCs w:val="24"/>
              </w:rPr>
            </w:pPr>
            <w:r w:rsidRPr="006A4084">
              <w:rPr>
                <w:bCs/>
                <w:sz w:val="17"/>
                <w:szCs w:val="24"/>
              </w:rPr>
              <w:t>5,3</w:t>
            </w:r>
          </w:p>
        </w:tc>
        <w:tc>
          <w:tcPr>
            <w:tcW w:w="1440" w:type="dxa"/>
            <w:tcBorders>
              <w:bottom w:val="single" w:sz="12" w:space="0" w:color="auto"/>
            </w:tcBorders>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5,0</w:t>
            </w:r>
          </w:p>
        </w:tc>
        <w:tc>
          <w:tcPr>
            <w:tcW w:w="1402" w:type="dxa"/>
            <w:tcBorders>
              <w:bottom w:val="single" w:sz="12" w:space="0" w:color="auto"/>
            </w:tcBorders>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5,5</w:t>
            </w:r>
          </w:p>
        </w:tc>
      </w:tr>
    </w:tbl>
    <w:p w:rsidR="006405B4" w:rsidRPr="006405B4" w:rsidRDefault="006405B4" w:rsidP="006405B4">
      <w:pPr>
        <w:spacing w:line="120" w:lineRule="exact"/>
        <w:jc w:val="both"/>
        <w:rPr>
          <w:b/>
          <w:sz w:val="10"/>
        </w:rPr>
      </w:pPr>
    </w:p>
    <w:p w:rsidR="0073290F" w:rsidRPr="00AE5ACF" w:rsidRDefault="0073290F" w:rsidP="006405B4">
      <w:pPr>
        <w:pStyle w:val="FootnoteText"/>
        <w:tabs>
          <w:tab w:val="clear" w:pos="418"/>
          <w:tab w:val="right" w:pos="1476"/>
          <w:tab w:val="left" w:pos="1548"/>
          <w:tab w:val="right" w:pos="1836"/>
          <w:tab w:val="left" w:pos="1908"/>
        </w:tabs>
        <w:ind w:left="1548" w:hanging="288"/>
      </w:pPr>
      <w:r w:rsidRPr="00AE5ACF">
        <w:rPr>
          <w:b/>
        </w:rPr>
        <w:t>*</w:t>
      </w:r>
      <w:r w:rsidR="006405B4">
        <w:rPr>
          <w:b/>
        </w:rPr>
        <w:tab/>
      </w:r>
      <w:r w:rsidR="006405B4">
        <w:rPr>
          <w:b/>
        </w:rPr>
        <w:tab/>
      </w:r>
      <w:r w:rsidRPr="00AE5ACF">
        <w:t>Pension de réversion</w:t>
      </w:r>
      <w:r w:rsidRPr="00AE5ACF">
        <w:rPr>
          <w:b/>
        </w:rPr>
        <w:t xml:space="preserve">: </w:t>
      </w:r>
      <w:r w:rsidRPr="00AE5ACF">
        <w:t xml:space="preserve">pension versée à un parent d’un retraité décédé ou d’une personne décédée ayant souscrit à une assurance, pour toute la période donnant droit à une retraite. </w:t>
      </w:r>
    </w:p>
    <w:p w:rsidR="006405B4" w:rsidRPr="006405B4" w:rsidRDefault="006405B4" w:rsidP="006405B4">
      <w:pPr>
        <w:pStyle w:val="FootnoteText"/>
        <w:tabs>
          <w:tab w:val="clear" w:pos="418"/>
          <w:tab w:val="right" w:pos="1476"/>
          <w:tab w:val="left" w:pos="1548"/>
          <w:tab w:val="right" w:pos="1836"/>
          <w:tab w:val="left" w:pos="1908"/>
        </w:tabs>
        <w:spacing w:line="120" w:lineRule="exact"/>
        <w:ind w:left="1548" w:hanging="288"/>
        <w:rPr>
          <w:b/>
          <w:sz w:val="10"/>
          <w:szCs w:val="24"/>
          <w:lang w:val="fr-FR"/>
        </w:rPr>
      </w:pPr>
    </w:p>
    <w:p w:rsidR="0073290F" w:rsidRPr="006405B4" w:rsidRDefault="0073290F" w:rsidP="006405B4">
      <w:pPr>
        <w:pStyle w:val="FootnoteText"/>
        <w:tabs>
          <w:tab w:val="clear" w:pos="418"/>
          <w:tab w:val="right" w:pos="1476"/>
          <w:tab w:val="left" w:pos="1548"/>
          <w:tab w:val="right" w:pos="1836"/>
          <w:tab w:val="left" w:pos="1908"/>
        </w:tabs>
        <w:ind w:left="1548" w:hanging="288"/>
        <w:rPr>
          <w:szCs w:val="17"/>
          <w:lang w:val="fr-FR"/>
        </w:rPr>
      </w:pPr>
      <w:r w:rsidRPr="006405B4">
        <w:rPr>
          <w:i/>
          <w:szCs w:val="17"/>
          <w:lang w:val="fr-FR"/>
        </w:rPr>
        <w:t>Source:</w:t>
      </w:r>
      <w:r w:rsidRPr="006405B4">
        <w:rPr>
          <w:szCs w:val="17"/>
          <w:lang w:val="fr-FR"/>
        </w:rPr>
        <w:t xml:space="preserve"> Etude relative aux femmes rurales slovènes, Faculté de Biotechnique, Université de Ljubljana, 2002.</w:t>
      </w:r>
    </w:p>
    <w:p w:rsidR="006405B4" w:rsidRPr="006405B4" w:rsidRDefault="006405B4" w:rsidP="006405B4">
      <w:pPr>
        <w:spacing w:line="120" w:lineRule="exact"/>
        <w:jc w:val="both"/>
        <w:rPr>
          <w:sz w:val="10"/>
        </w:rPr>
      </w:pPr>
    </w:p>
    <w:p w:rsidR="0073290F" w:rsidRDefault="0073290F" w:rsidP="006405B4">
      <w:pPr>
        <w:pStyle w:val="SingleTxt"/>
        <w:jc w:val="left"/>
        <w:rPr>
          <w:lang w:val="fr-FR"/>
        </w:rPr>
      </w:pPr>
      <w:r w:rsidRPr="00752616">
        <w:rPr>
          <w:lang w:val="fr-FR"/>
        </w:rPr>
        <w:t>Tableau 51</w:t>
      </w:r>
      <w:r w:rsidR="006405B4">
        <w:rPr>
          <w:lang w:val="fr-FR"/>
        </w:rPr>
        <w:br/>
      </w:r>
      <w:r w:rsidRPr="006405B4">
        <w:rPr>
          <w:b/>
          <w:lang w:val="fr-FR"/>
        </w:rPr>
        <w:t>Les familles, par nombre d’enfants et type de famille – Recensements 1991 et 2002</w:t>
      </w:r>
    </w:p>
    <w:p w:rsidR="006405B4" w:rsidRPr="00E30EA9" w:rsidRDefault="006405B4" w:rsidP="006405B4">
      <w:pPr>
        <w:pStyle w:val="BodyText"/>
        <w:spacing w:line="120" w:lineRule="exact"/>
        <w:ind w:left="708" w:firstLine="708"/>
        <w:jc w:val="both"/>
        <w:rPr>
          <w:sz w:val="10"/>
          <w:szCs w:val="24"/>
          <w:lang w:val="fr-FR"/>
        </w:rPr>
      </w:pPr>
    </w:p>
    <w:tbl>
      <w:tblPr>
        <w:tblW w:w="6903" w:type="dxa"/>
        <w:tblInd w:w="1267" w:type="dxa"/>
        <w:tblCellMar>
          <w:left w:w="70" w:type="dxa"/>
          <w:right w:w="70" w:type="dxa"/>
        </w:tblCellMar>
        <w:tblLook w:val="0000" w:firstRow="0" w:lastRow="0" w:firstColumn="0" w:lastColumn="0" w:noHBand="0" w:noVBand="0"/>
      </w:tblPr>
      <w:tblGrid>
        <w:gridCol w:w="3303"/>
        <w:gridCol w:w="1800"/>
        <w:gridCol w:w="1800"/>
      </w:tblGrid>
      <w:tr w:rsidR="0073290F" w:rsidRPr="006A4084">
        <w:tblPrEx>
          <w:tblCellMar>
            <w:top w:w="0" w:type="dxa"/>
            <w:bottom w:w="0" w:type="dxa"/>
          </w:tblCellMar>
        </w:tblPrEx>
        <w:trPr>
          <w:tblHeader/>
        </w:trPr>
        <w:tc>
          <w:tcPr>
            <w:tcW w:w="3303" w:type="dxa"/>
            <w:tcBorders>
              <w:top w:val="single" w:sz="4" w:space="0" w:color="auto"/>
              <w:bottom w:val="single" w:sz="12" w:space="0" w:color="auto"/>
            </w:tcBorders>
            <w:shd w:val="clear" w:color="auto" w:fill="auto"/>
            <w:vAlign w:val="bottom"/>
          </w:tcPr>
          <w:p w:rsidR="0073290F" w:rsidRPr="004077D8" w:rsidRDefault="0073290F" w:rsidP="006A4084">
            <w:pPr>
              <w:suppressAutoHyphens/>
              <w:spacing w:before="80" w:after="80" w:line="160" w:lineRule="exact"/>
              <w:ind w:right="43"/>
              <w:rPr>
                <w:bCs/>
                <w:i/>
                <w:sz w:val="14"/>
              </w:rPr>
            </w:pPr>
            <w:r w:rsidRPr="004077D8">
              <w:rPr>
                <w:bCs/>
                <w:i/>
                <w:sz w:val="14"/>
              </w:rPr>
              <w:t>Type de famille</w:t>
            </w:r>
          </w:p>
        </w:tc>
        <w:tc>
          <w:tcPr>
            <w:tcW w:w="1800" w:type="dxa"/>
            <w:tcBorders>
              <w:top w:val="single" w:sz="4" w:space="0" w:color="auto"/>
              <w:bottom w:val="single" w:sz="12" w:space="0" w:color="auto"/>
            </w:tcBorders>
            <w:shd w:val="clear" w:color="auto" w:fill="auto"/>
            <w:vAlign w:val="bottom"/>
          </w:tcPr>
          <w:p w:rsidR="0073290F" w:rsidRPr="004077D8" w:rsidRDefault="0073290F" w:rsidP="006A4084">
            <w:pPr>
              <w:suppressAutoHyphens/>
              <w:spacing w:before="80" w:after="80" w:line="160" w:lineRule="exact"/>
              <w:ind w:right="43"/>
              <w:jc w:val="right"/>
              <w:rPr>
                <w:bCs/>
                <w:i/>
                <w:sz w:val="14"/>
              </w:rPr>
            </w:pPr>
            <w:r w:rsidRPr="004077D8">
              <w:rPr>
                <w:bCs/>
                <w:i/>
                <w:sz w:val="14"/>
              </w:rPr>
              <w:t>Recensement 1991 (%)</w:t>
            </w:r>
          </w:p>
        </w:tc>
        <w:tc>
          <w:tcPr>
            <w:tcW w:w="1800" w:type="dxa"/>
            <w:tcBorders>
              <w:top w:val="single" w:sz="4" w:space="0" w:color="auto"/>
              <w:bottom w:val="single" w:sz="12" w:space="0" w:color="auto"/>
            </w:tcBorders>
            <w:shd w:val="clear" w:color="auto" w:fill="auto"/>
            <w:vAlign w:val="bottom"/>
          </w:tcPr>
          <w:p w:rsidR="0073290F" w:rsidRPr="004077D8" w:rsidRDefault="0073290F" w:rsidP="006A4084">
            <w:pPr>
              <w:suppressAutoHyphens/>
              <w:spacing w:before="80" w:after="80" w:line="160" w:lineRule="exact"/>
              <w:ind w:right="43"/>
              <w:jc w:val="right"/>
              <w:rPr>
                <w:bCs/>
                <w:i/>
                <w:sz w:val="14"/>
              </w:rPr>
            </w:pPr>
            <w:r w:rsidRPr="004077D8">
              <w:rPr>
                <w:bCs/>
                <w:i/>
                <w:sz w:val="14"/>
              </w:rPr>
              <w:t>Recensement 2002 ( %)</w:t>
            </w:r>
          </w:p>
        </w:tc>
      </w:tr>
      <w:tr w:rsidR="006A4084" w:rsidRPr="006A4084">
        <w:tblPrEx>
          <w:tblCellMar>
            <w:top w:w="0" w:type="dxa"/>
            <w:bottom w:w="0" w:type="dxa"/>
          </w:tblCellMar>
        </w:tblPrEx>
        <w:trPr>
          <w:trHeight w:hRule="exact" w:val="115"/>
          <w:tblHeader/>
        </w:trPr>
        <w:tc>
          <w:tcPr>
            <w:tcW w:w="3303" w:type="dxa"/>
            <w:tcBorders>
              <w:top w:val="single" w:sz="12" w:space="0" w:color="auto"/>
            </w:tcBorders>
            <w:shd w:val="clear" w:color="auto" w:fill="auto"/>
            <w:vAlign w:val="bottom"/>
          </w:tcPr>
          <w:p w:rsidR="006A4084" w:rsidRPr="006A4084" w:rsidRDefault="006A4084" w:rsidP="006A4084">
            <w:pPr>
              <w:pStyle w:val="BodyText22"/>
              <w:widowControl/>
              <w:suppressAutoHyphens/>
              <w:spacing w:before="40" w:after="40" w:line="210" w:lineRule="exact"/>
              <w:ind w:right="43"/>
              <w:rPr>
                <w:b w:val="0"/>
                <w:sz w:val="17"/>
              </w:rPr>
            </w:pPr>
          </w:p>
        </w:tc>
        <w:tc>
          <w:tcPr>
            <w:tcW w:w="1800" w:type="dxa"/>
            <w:tcBorders>
              <w:top w:val="single" w:sz="12" w:space="0" w:color="auto"/>
            </w:tcBorders>
            <w:shd w:val="clear" w:color="auto" w:fill="auto"/>
            <w:vAlign w:val="bottom"/>
          </w:tcPr>
          <w:p w:rsidR="006A4084" w:rsidRPr="006A4084" w:rsidRDefault="006A4084" w:rsidP="006A4084">
            <w:pPr>
              <w:suppressAutoHyphens/>
              <w:spacing w:before="40" w:after="40" w:line="210" w:lineRule="exact"/>
              <w:ind w:right="43"/>
              <w:jc w:val="right"/>
              <w:rPr>
                <w:sz w:val="17"/>
              </w:rPr>
            </w:pPr>
          </w:p>
        </w:tc>
        <w:tc>
          <w:tcPr>
            <w:tcW w:w="1800" w:type="dxa"/>
            <w:tcBorders>
              <w:top w:val="single" w:sz="12" w:space="0" w:color="auto"/>
            </w:tcBorders>
            <w:shd w:val="clear" w:color="auto" w:fill="auto"/>
            <w:vAlign w:val="bottom"/>
          </w:tcPr>
          <w:p w:rsidR="006A4084" w:rsidRPr="006A4084" w:rsidRDefault="006A4084" w:rsidP="006A4084">
            <w:pPr>
              <w:suppressAutoHyphens/>
              <w:spacing w:before="40" w:after="40" w:line="210" w:lineRule="exact"/>
              <w:ind w:right="43"/>
              <w:jc w:val="right"/>
              <w:rPr>
                <w:sz w:val="17"/>
              </w:rPr>
            </w:pPr>
          </w:p>
        </w:tc>
      </w:tr>
      <w:tr w:rsidR="0073290F" w:rsidRPr="006A4084">
        <w:tblPrEx>
          <w:tblCellMar>
            <w:top w:w="0" w:type="dxa"/>
            <w:bottom w:w="0" w:type="dxa"/>
          </w:tblCellMar>
        </w:tblPrEx>
        <w:tc>
          <w:tcPr>
            <w:tcW w:w="3303" w:type="dxa"/>
            <w:shd w:val="clear" w:color="auto" w:fill="auto"/>
            <w:vAlign w:val="bottom"/>
          </w:tcPr>
          <w:p w:rsidR="0073290F" w:rsidRPr="006A4084" w:rsidRDefault="0073290F" w:rsidP="006A4084">
            <w:pPr>
              <w:pStyle w:val="BodyText22"/>
              <w:widowControl/>
              <w:tabs>
                <w:tab w:val="left" w:pos="288"/>
                <w:tab w:val="left" w:pos="576"/>
                <w:tab w:val="left" w:pos="864"/>
                <w:tab w:val="left" w:pos="1152"/>
              </w:tabs>
              <w:suppressAutoHyphens/>
              <w:spacing w:before="40" w:after="40" w:line="210" w:lineRule="exact"/>
              <w:ind w:right="43"/>
              <w:rPr>
                <w:b w:val="0"/>
                <w:sz w:val="17"/>
              </w:rPr>
            </w:pPr>
            <w:r w:rsidRPr="006A4084">
              <w:rPr>
                <w:b w:val="0"/>
                <w:sz w:val="17"/>
              </w:rPr>
              <w:t>Couples mariés, total</w:t>
            </w:r>
          </w:p>
        </w:tc>
        <w:tc>
          <w:tcPr>
            <w:tcW w:w="1800"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sz w:val="17"/>
              </w:rPr>
            </w:pPr>
            <w:r w:rsidRPr="006A4084">
              <w:rPr>
                <w:sz w:val="17"/>
              </w:rPr>
              <w:t>82</w:t>
            </w:r>
          </w:p>
        </w:tc>
        <w:tc>
          <w:tcPr>
            <w:tcW w:w="1800"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sz w:val="17"/>
              </w:rPr>
            </w:pPr>
            <w:r w:rsidRPr="006A4084">
              <w:rPr>
                <w:sz w:val="17"/>
              </w:rPr>
              <w:t>81</w:t>
            </w:r>
          </w:p>
        </w:tc>
      </w:tr>
      <w:tr w:rsidR="0073290F" w:rsidRPr="006A4084">
        <w:tblPrEx>
          <w:tblCellMar>
            <w:top w:w="0" w:type="dxa"/>
            <w:bottom w:w="0" w:type="dxa"/>
          </w:tblCellMar>
        </w:tblPrEx>
        <w:tc>
          <w:tcPr>
            <w:tcW w:w="3303" w:type="dxa"/>
            <w:shd w:val="clear" w:color="auto" w:fill="auto"/>
            <w:vAlign w:val="bottom"/>
          </w:tcPr>
          <w:p w:rsidR="0073290F" w:rsidRPr="006A4084" w:rsidRDefault="0073290F" w:rsidP="006A4084">
            <w:pPr>
              <w:numPr>
                <w:ilvl w:val="0"/>
                <w:numId w:val="3"/>
              </w:numPr>
              <w:tabs>
                <w:tab w:val="left" w:pos="288"/>
                <w:tab w:val="left" w:pos="576"/>
                <w:tab w:val="left" w:pos="864"/>
                <w:tab w:val="left" w:pos="1152"/>
              </w:tabs>
              <w:suppressAutoHyphens/>
              <w:spacing w:before="40" w:after="40" w:line="210" w:lineRule="exact"/>
              <w:ind w:right="43"/>
              <w:rPr>
                <w:sz w:val="17"/>
              </w:rPr>
            </w:pPr>
            <w:r w:rsidRPr="006A4084">
              <w:rPr>
                <w:sz w:val="17"/>
              </w:rPr>
              <w:t>Couples mariés sans enfants</w:t>
            </w:r>
          </w:p>
        </w:tc>
        <w:tc>
          <w:tcPr>
            <w:tcW w:w="1800"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sz w:val="17"/>
              </w:rPr>
            </w:pPr>
            <w:r w:rsidRPr="006A4084">
              <w:rPr>
                <w:sz w:val="17"/>
              </w:rPr>
              <w:t>59</w:t>
            </w:r>
          </w:p>
        </w:tc>
        <w:tc>
          <w:tcPr>
            <w:tcW w:w="1800"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sz w:val="17"/>
              </w:rPr>
            </w:pPr>
            <w:r w:rsidRPr="006A4084">
              <w:rPr>
                <w:sz w:val="17"/>
              </w:rPr>
              <w:t>53</w:t>
            </w:r>
          </w:p>
        </w:tc>
      </w:tr>
      <w:tr w:rsidR="0073290F" w:rsidRPr="006A4084">
        <w:tblPrEx>
          <w:tblCellMar>
            <w:top w:w="0" w:type="dxa"/>
            <w:bottom w:w="0" w:type="dxa"/>
          </w:tblCellMar>
        </w:tblPrEx>
        <w:tc>
          <w:tcPr>
            <w:tcW w:w="3303" w:type="dxa"/>
            <w:shd w:val="clear" w:color="auto" w:fill="auto"/>
            <w:vAlign w:val="bottom"/>
          </w:tcPr>
          <w:p w:rsidR="0073290F" w:rsidRPr="006A4084" w:rsidRDefault="0073290F" w:rsidP="006A4084">
            <w:pPr>
              <w:numPr>
                <w:ilvl w:val="0"/>
                <w:numId w:val="3"/>
              </w:numPr>
              <w:tabs>
                <w:tab w:val="left" w:pos="288"/>
                <w:tab w:val="left" w:pos="576"/>
                <w:tab w:val="left" w:pos="864"/>
                <w:tab w:val="left" w:pos="1152"/>
              </w:tabs>
              <w:suppressAutoHyphens/>
              <w:spacing w:before="40" w:after="40" w:line="210" w:lineRule="exact"/>
              <w:ind w:right="43"/>
              <w:rPr>
                <w:sz w:val="17"/>
              </w:rPr>
            </w:pPr>
            <w:r w:rsidRPr="006A4084">
              <w:rPr>
                <w:sz w:val="17"/>
              </w:rPr>
              <w:t>Couples mariés avec enfants</w:t>
            </w:r>
          </w:p>
        </w:tc>
        <w:tc>
          <w:tcPr>
            <w:tcW w:w="1800"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sz w:val="17"/>
              </w:rPr>
            </w:pPr>
            <w:r w:rsidRPr="006A4084">
              <w:rPr>
                <w:sz w:val="17"/>
              </w:rPr>
              <w:t>20</w:t>
            </w:r>
          </w:p>
        </w:tc>
        <w:tc>
          <w:tcPr>
            <w:tcW w:w="1800"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sz w:val="17"/>
              </w:rPr>
            </w:pPr>
            <w:r w:rsidRPr="006A4084">
              <w:rPr>
                <w:sz w:val="17"/>
              </w:rPr>
              <w:t>21</w:t>
            </w:r>
          </w:p>
        </w:tc>
      </w:tr>
      <w:tr w:rsidR="0073290F" w:rsidRPr="006A4084">
        <w:tblPrEx>
          <w:tblCellMar>
            <w:top w:w="0" w:type="dxa"/>
            <w:bottom w:w="0" w:type="dxa"/>
          </w:tblCellMar>
        </w:tblPrEx>
        <w:tc>
          <w:tcPr>
            <w:tcW w:w="3303"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rPr>
                <w:sz w:val="17"/>
                <w:lang w:val="en-GB"/>
              </w:rPr>
            </w:pPr>
            <w:r w:rsidRPr="006A4084">
              <w:rPr>
                <w:sz w:val="17"/>
                <w:lang w:val="en-GB"/>
              </w:rPr>
              <w:t>Concubins avec enfants</w:t>
            </w:r>
          </w:p>
        </w:tc>
        <w:tc>
          <w:tcPr>
            <w:tcW w:w="1800"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sz w:val="17"/>
              </w:rPr>
            </w:pPr>
            <w:r w:rsidRPr="006A4084">
              <w:rPr>
                <w:sz w:val="17"/>
              </w:rPr>
              <w:t>2</w:t>
            </w:r>
          </w:p>
        </w:tc>
        <w:tc>
          <w:tcPr>
            <w:tcW w:w="1800"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sz w:val="17"/>
              </w:rPr>
            </w:pPr>
            <w:r w:rsidRPr="006A4084">
              <w:rPr>
                <w:sz w:val="17"/>
              </w:rPr>
              <w:t>5</w:t>
            </w:r>
          </w:p>
        </w:tc>
      </w:tr>
      <w:tr w:rsidR="0073290F" w:rsidRPr="006A4084">
        <w:tblPrEx>
          <w:tblCellMar>
            <w:top w:w="0" w:type="dxa"/>
            <w:bottom w:w="0" w:type="dxa"/>
          </w:tblCellMar>
        </w:tblPrEx>
        <w:tc>
          <w:tcPr>
            <w:tcW w:w="3303"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rPr>
                <w:sz w:val="17"/>
                <w:lang w:val="en-GB"/>
              </w:rPr>
            </w:pPr>
            <w:r w:rsidRPr="006A4084">
              <w:rPr>
                <w:sz w:val="17"/>
                <w:lang w:val="en-GB"/>
              </w:rPr>
              <w:t>Concubins sans enfants</w:t>
            </w:r>
          </w:p>
        </w:tc>
        <w:tc>
          <w:tcPr>
            <w:tcW w:w="1800"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sz w:val="17"/>
              </w:rPr>
            </w:pPr>
            <w:r w:rsidRPr="006A4084">
              <w:rPr>
                <w:sz w:val="17"/>
              </w:rPr>
              <w:t>1</w:t>
            </w:r>
          </w:p>
        </w:tc>
        <w:tc>
          <w:tcPr>
            <w:tcW w:w="1800"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sz w:val="17"/>
              </w:rPr>
            </w:pPr>
            <w:r w:rsidRPr="006A4084">
              <w:rPr>
                <w:sz w:val="17"/>
              </w:rPr>
              <w:t>2</w:t>
            </w:r>
          </w:p>
        </w:tc>
      </w:tr>
      <w:tr w:rsidR="0073290F" w:rsidRPr="006A4084">
        <w:tblPrEx>
          <w:tblCellMar>
            <w:top w:w="0" w:type="dxa"/>
            <w:bottom w:w="0" w:type="dxa"/>
          </w:tblCellMar>
        </w:tblPrEx>
        <w:tc>
          <w:tcPr>
            <w:tcW w:w="3303" w:type="dxa"/>
            <w:shd w:val="clear" w:color="auto" w:fill="auto"/>
            <w:vAlign w:val="bottom"/>
          </w:tcPr>
          <w:p w:rsidR="0073290F" w:rsidRPr="006A4084" w:rsidRDefault="0073290F" w:rsidP="006A4084">
            <w:pPr>
              <w:pStyle w:val="BodyText22"/>
              <w:widowControl/>
              <w:tabs>
                <w:tab w:val="left" w:pos="288"/>
                <w:tab w:val="left" w:pos="576"/>
                <w:tab w:val="left" w:pos="864"/>
                <w:tab w:val="left" w:pos="1152"/>
              </w:tabs>
              <w:suppressAutoHyphens/>
              <w:spacing w:before="40" w:after="40" w:line="210" w:lineRule="exact"/>
              <w:ind w:right="43"/>
              <w:rPr>
                <w:b w:val="0"/>
                <w:sz w:val="17"/>
              </w:rPr>
            </w:pPr>
            <w:r w:rsidRPr="006A4084">
              <w:rPr>
                <w:b w:val="0"/>
                <w:sz w:val="17"/>
              </w:rPr>
              <w:t>Familles monoparentales, total</w:t>
            </w:r>
          </w:p>
        </w:tc>
        <w:tc>
          <w:tcPr>
            <w:tcW w:w="1800"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sz w:val="17"/>
              </w:rPr>
            </w:pPr>
            <w:r w:rsidRPr="006A4084">
              <w:rPr>
                <w:sz w:val="17"/>
              </w:rPr>
              <w:t>18</w:t>
            </w:r>
          </w:p>
        </w:tc>
        <w:tc>
          <w:tcPr>
            <w:tcW w:w="1800"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sz w:val="17"/>
              </w:rPr>
            </w:pPr>
            <w:r w:rsidRPr="006A4084">
              <w:rPr>
                <w:sz w:val="17"/>
              </w:rPr>
              <w:t>19</w:t>
            </w:r>
          </w:p>
        </w:tc>
      </w:tr>
      <w:tr w:rsidR="0073290F" w:rsidRPr="006A4084">
        <w:tblPrEx>
          <w:tblCellMar>
            <w:top w:w="0" w:type="dxa"/>
            <w:bottom w:w="0" w:type="dxa"/>
          </w:tblCellMar>
        </w:tblPrEx>
        <w:tc>
          <w:tcPr>
            <w:tcW w:w="3303" w:type="dxa"/>
            <w:shd w:val="clear" w:color="auto" w:fill="auto"/>
            <w:vAlign w:val="bottom"/>
          </w:tcPr>
          <w:p w:rsidR="0073290F" w:rsidRPr="006A4084" w:rsidRDefault="0073290F" w:rsidP="006A4084">
            <w:pPr>
              <w:numPr>
                <w:ilvl w:val="0"/>
                <w:numId w:val="3"/>
              </w:numPr>
              <w:tabs>
                <w:tab w:val="left" w:pos="288"/>
                <w:tab w:val="left" w:pos="576"/>
                <w:tab w:val="left" w:pos="864"/>
                <w:tab w:val="left" w:pos="1152"/>
              </w:tabs>
              <w:suppressAutoHyphens/>
              <w:spacing w:before="40" w:after="40" w:line="210" w:lineRule="exact"/>
              <w:ind w:right="43"/>
              <w:rPr>
                <w:sz w:val="17"/>
              </w:rPr>
            </w:pPr>
            <w:r w:rsidRPr="006A4084">
              <w:rPr>
                <w:sz w:val="17"/>
              </w:rPr>
              <w:t>Mères avec enfants</w:t>
            </w:r>
          </w:p>
        </w:tc>
        <w:tc>
          <w:tcPr>
            <w:tcW w:w="1800"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sz w:val="17"/>
              </w:rPr>
            </w:pPr>
            <w:r w:rsidRPr="006A4084">
              <w:rPr>
                <w:sz w:val="17"/>
              </w:rPr>
              <w:t>15</w:t>
            </w:r>
          </w:p>
        </w:tc>
        <w:tc>
          <w:tcPr>
            <w:tcW w:w="1800"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sz w:val="17"/>
              </w:rPr>
            </w:pPr>
            <w:r w:rsidRPr="006A4084">
              <w:rPr>
                <w:sz w:val="17"/>
              </w:rPr>
              <w:t>16</w:t>
            </w:r>
          </w:p>
        </w:tc>
      </w:tr>
      <w:tr w:rsidR="0073290F" w:rsidRPr="006A4084">
        <w:tblPrEx>
          <w:tblCellMar>
            <w:top w:w="0" w:type="dxa"/>
            <w:bottom w:w="0" w:type="dxa"/>
          </w:tblCellMar>
        </w:tblPrEx>
        <w:tc>
          <w:tcPr>
            <w:tcW w:w="3303" w:type="dxa"/>
            <w:tcBorders>
              <w:bottom w:val="single" w:sz="12" w:space="0" w:color="auto"/>
            </w:tcBorders>
            <w:shd w:val="clear" w:color="auto" w:fill="auto"/>
            <w:vAlign w:val="bottom"/>
          </w:tcPr>
          <w:p w:rsidR="0073290F" w:rsidRPr="006A4084" w:rsidRDefault="0073290F" w:rsidP="006A4084">
            <w:pPr>
              <w:numPr>
                <w:ilvl w:val="0"/>
                <w:numId w:val="3"/>
              </w:numPr>
              <w:tabs>
                <w:tab w:val="left" w:pos="288"/>
                <w:tab w:val="left" w:pos="576"/>
                <w:tab w:val="left" w:pos="864"/>
                <w:tab w:val="left" w:pos="1152"/>
              </w:tabs>
              <w:suppressAutoHyphens/>
              <w:spacing w:before="40" w:after="40" w:line="210" w:lineRule="exact"/>
              <w:ind w:right="43"/>
              <w:rPr>
                <w:sz w:val="17"/>
              </w:rPr>
            </w:pPr>
            <w:r w:rsidRPr="006A4084">
              <w:rPr>
                <w:sz w:val="17"/>
              </w:rPr>
              <w:t>Pères avec enfants</w:t>
            </w:r>
          </w:p>
        </w:tc>
        <w:tc>
          <w:tcPr>
            <w:tcW w:w="1800" w:type="dxa"/>
            <w:tcBorders>
              <w:bottom w:val="single" w:sz="12" w:space="0" w:color="auto"/>
            </w:tcBorders>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sz w:val="17"/>
              </w:rPr>
            </w:pPr>
            <w:r w:rsidRPr="006A4084">
              <w:rPr>
                <w:sz w:val="17"/>
              </w:rPr>
              <w:t>2</w:t>
            </w:r>
          </w:p>
        </w:tc>
        <w:tc>
          <w:tcPr>
            <w:tcW w:w="1800" w:type="dxa"/>
            <w:tcBorders>
              <w:bottom w:val="single" w:sz="12" w:space="0" w:color="auto"/>
            </w:tcBorders>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sz w:val="17"/>
              </w:rPr>
            </w:pPr>
            <w:r w:rsidRPr="006A4084">
              <w:rPr>
                <w:sz w:val="17"/>
              </w:rPr>
              <w:t>3</w:t>
            </w:r>
          </w:p>
        </w:tc>
      </w:tr>
    </w:tbl>
    <w:p w:rsidR="004077D8" w:rsidRPr="004077D8" w:rsidRDefault="004077D8" w:rsidP="004077D8">
      <w:pPr>
        <w:spacing w:line="120" w:lineRule="exact"/>
        <w:rPr>
          <w:sz w:val="10"/>
        </w:rPr>
      </w:pPr>
    </w:p>
    <w:p w:rsidR="0073290F" w:rsidRPr="00AE5ACF" w:rsidRDefault="0073290F" w:rsidP="004077D8">
      <w:pPr>
        <w:pStyle w:val="FootnoteText"/>
        <w:tabs>
          <w:tab w:val="clear" w:pos="418"/>
          <w:tab w:val="right" w:pos="1476"/>
          <w:tab w:val="left" w:pos="1548"/>
          <w:tab w:val="right" w:pos="1836"/>
          <w:tab w:val="left" w:pos="1908"/>
        </w:tabs>
        <w:ind w:left="1548" w:hanging="288"/>
      </w:pPr>
      <w:r w:rsidRPr="004077D8">
        <w:rPr>
          <w:i/>
        </w:rPr>
        <w:t>Source</w:t>
      </w:r>
      <w:r w:rsidRPr="00AE5ACF">
        <w:t xml:space="preserve">: Annuaire statistique 2004, Institut de la Statistique de la République de Slovénie, et Recensement de la Population, des Ménages et des Habitations, 31.03.1991, Institut de la Statistique de la République de Slovénie. </w:t>
      </w:r>
    </w:p>
    <w:p w:rsidR="004077D8" w:rsidRPr="004077D8" w:rsidRDefault="004077D8" w:rsidP="004077D8">
      <w:pPr>
        <w:spacing w:line="120" w:lineRule="exact"/>
        <w:rPr>
          <w:b/>
          <w:bCs/>
          <w:sz w:val="10"/>
        </w:rPr>
      </w:pPr>
    </w:p>
    <w:p w:rsidR="0073290F" w:rsidRDefault="0073290F" w:rsidP="004077D8">
      <w:pPr>
        <w:pStyle w:val="SingleTxt"/>
        <w:jc w:val="left"/>
        <w:rPr>
          <w:b/>
          <w:bCs/>
          <w:sz w:val="24"/>
          <w:szCs w:val="24"/>
        </w:rPr>
      </w:pPr>
      <w:r w:rsidRPr="00752616">
        <w:rPr>
          <w:lang w:val="fr-FR"/>
        </w:rPr>
        <w:t>Tableau 52</w:t>
      </w:r>
      <w:r w:rsidR="004077D8">
        <w:rPr>
          <w:lang w:val="fr-FR"/>
        </w:rPr>
        <w:br/>
      </w:r>
      <w:r w:rsidRPr="004077D8">
        <w:rPr>
          <w:b/>
          <w:lang w:val="fr-FR"/>
        </w:rPr>
        <w:t>Naissances dans le cadre du mariage et hors mariage,</w:t>
      </w:r>
      <w:r w:rsidR="004077D8" w:rsidRPr="004077D8">
        <w:rPr>
          <w:b/>
          <w:lang w:val="fr-FR"/>
        </w:rPr>
        <w:t xml:space="preserve"> </w:t>
      </w:r>
      <w:r w:rsidRPr="004077D8">
        <w:rPr>
          <w:b/>
        </w:rPr>
        <w:t>2001 à 2004</w:t>
      </w:r>
      <w:r w:rsidRPr="004077D8">
        <w:rPr>
          <w:b/>
          <w:bCs/>
        </w:rPr>
        <w:t xml:space="preserve"> </w:t>
      </w:r>
    </w:p>
    <w:p w:rsidR="004077D8" w:rsidRPr="00E30EA9" w:rsidRDefault="004077D8" w:rsidP="004077D8">
      <w:pPr>
        <w:pStyle w:val="BodyText"/>
        <w:spacing w:line="120" w:lineRule="exact"/>
        <w:ind w:left="708" w:firstLine="708"/>
        <w:jc w:val="both"/>
        <w:rPr>
          <w:b w:val="0"/>
          <w:bCs/>
          <w:sz w:val="10"/>
          <w:szCs w:val="24"/>
          <w:lang w:val="fr-FR"/>
        </w:rPr>
      </w:pPr>
    </w:p>
    <w:tbl>
      <w:tblPr>
        <w:tblW w:w="7713" w:type="dxa"/>
        <w:tblInd w:w="1267" w:type="dxa"/>
        <w:tblCellMar>
          <w:left w:w="70" w:type="dxa"/>
          <w:right w:w="70" w:type="dxa"/>
        </w:tblCellMar>
        <w:tblLook w:val="0000" w:firstRow="0" w:lastRow="0" w:firstColumn="0" w:lastColumn="0" w:noHBand="0" w:noVBand="0"/>
      </w:tblPr>
      <w:tblGrid>
        <w:gridCol w:w="1053"/>
        <w:gridCol w:w="1620"/>
        <w:gridCol w:w="1620"/>
        <w:gridCol w:w="1620"/>
        <w:gridCol w:w="1800"/>
      </w:tblGrid>
      <w:tr w:rsidR="0073290F" w:rsidRPr="006A4084">
        <w:tblPrEx>
          <w:tblCellMar>
            <w:top w:w="0" w:type="dxa"/>
            <w:bottom w:w="0" w:type="dxa"/>
          </w:tblCellMar>
        </w:tblPrEx>
        <w:trPr>
          <w:tblHeader/>
        </w:trPr>
        <w:tc>
          <w:tcPr>
            <w:tcW w:w="1053" w:type="dxa"/>
            <w:tcBorders>
              <w:top w:val="single" w:sz="4" w:space="0" w:color="auto"/>
              <w:bottom w:val="single" w:sz="12" w:space="0" w:color="auto"/>
            </w:tcBorders>
            <w:shd w:val="clear" w:color="auto" w:fill="auto"/>
            <w:vAlign w:val="bottom"/>
          </w:tcPr>
          <w:p w:rsidR="0073290F" w:rsidRPr="006A4084" w:rsidRDefault="0073290F" w:rsidP="006A4084">
            <w:pPr>
              <w:pStyle w:val="BodyText"/>
              <w:suppressAutoHyphens/>
              <w:spacing w:before="80" w:after="80" w:line="160" w:lineRule="exact"/>
              <w:ind w:right="43"/>
              <w:jc w:val="both"/>
              <w:rPr>
                <w:b w:val="0"/>
                <w:bCs/>
                <w:i/>
                <w:sz w:val="14"/>
                <w:szCs w:val="24"/>
              </w:rPr>
            </w:pPr>
            <w:r w:rsidRPr="006A4084">
              <w:rPr>
                <w:b w:val="0"/>
                <w:bCs/>
                <w:i/>
                <w:sz w:val="14"/>
                <w:szCs w:val="24"/>
              </w:rPr>
              <w:t>Année</w:t>
            </w:r>
          </w:p>
        </w:tc>
        <w:tc>
          <w:tcPr>
            <w:tcW w:w="1620" w:type="dxa"/>
            <w:tcBorders>
              <w:top w:val="single" w:sz="4" w:space="0" w:color="auto"/>
              <w:bottom w:val="single" w:sz="12" w:space="0" w:color="auto"/>
            </w:tcBorders>
            <w:shd w:val="clear" w:color="auto" w:fill="auto"/>
            <w:vAlign w:val="bottom"/>
          </w:tcPr>
          <w:p w:rsidR="0073290F" w:rsidRPr="006A4084" w:rsidRDefault="0073290F" w:rsidP="006A4084">
            <w:pPr>
              <w:pStyle w:val="BodyText"/>
              <w:suppressAutoHyphens/>
              <w:spacing w:before="80" w:after="80" w:line="160" w:lineRule="exact"/>
              <w:ind w:right="43"/>
              <w:jc w:val="right"/>
              <w:rPr>
                <w:bCs/>
                <w:i/>
                <w:sz w:val="14"/>
                <w:szCs w:val="24"/>
              </w:rPr>
            </w:pPr>
            <w:r w:rsidRPr="006A4084">
              <w:rPr>
                <w:bCs/>
                <w:i/>
                <w:sz w:val="14"/>
                <w:szCs w:val="24"/>
              </w:rPr>
              <w:t>Total</w:t>
            </w:r>
          </w:p>
        </w:tc>
        <w:tc>
          <w:tcPr>
            <w:tcW w:w="1620" w:type="dxa"/>
            <w:tcBorders>
              <w:top w:val="single" w:sz="4" w:space="0" w:color="auto"/>
              <w:bottom w:val="single" w:sz="12" w:space="0" w:color="auto"/>
            </w:tcBorders>
            <w:shd w:val="clear" w:color="auto" w:fill="auto"/>
            <w:vAlign w:val="bottom"/>
          </w:tcPr>
          <w:p w:rsidR="0073290F" w:rsidRPr="006A4084" w:rsidRDefault="0073290F" w:rsidP="006A4084">
            <w:pPr>
              <w:pStyle w:val="BodyText"/>
              <w:suppressAutoHyphens/>
              <w:spacing w:before="80" w:after="80" w:line="160" w:lineRule="exact"/>
              <w:ind w:right="43"/>
              <w:jc w:val="right"/>
              <w:rPr>
                <w:b w:val="0"/>
                <w:bCs/>
                <w:i/>
                <w:sz w:val="14"/>
                <w:szCs w:val="24"/>
                <w:lang w:val="fr-FR"/>
              </w:rPr>
            </w:pPr>
            <w:r w:rsidRPr="006A4084">
              <w:rPr>
                <w:b w:val="0"/>
                <w:bCs/>
                <w:i/>
                <w:sz w:val="14"/>
                <w:szCs w:val="24"/>
                <w:lang w:val="fr-FR"/>
              </w:rPr>
              <w:t>Nombre d’enfants nés dans le cadre du mariage</w:t>
            </w:r>
          </w:p>
        </w:tc>
        <w:tc>
          <w:tcPr>
            <w:tcW w:w="1620" w:type="dxa"/>
            <w:tcBorders>
              <w:top w:val="single" w:sz="4" w:space="0" w:color="auto"/>
              <w:bottom w:val="single" w:sz="12" w:space="0" w:color="auto"/>
            </w:tcBorders>
            <w:shd w:val="clear" w:color="auto" w:fill="auto"/>
            <w:vAlign w:val="bottom"/>
          </w:tcPr>
          <w:p w:rsidR="0073290F" w:rsidRPr="00E30EA9" w:rsidRDefault="0073290F" w:rsidP="006A4084">
            <w:pPr>
              <w:pStyle w:val="BodyText"/>
              <w:suppressAutoHyphens/>
              <w:spacing w:before="80" w:after="80" w:line="160" w:lineRule="exact"/>
              <w:ind w:right="43"/>
              <w:jc w:val="right"/>
              <w:rPr>
                <w:b w:val="0"/>
                <w:bCs/>
                <w:i/>
                <w:sz w:val="14"/>
                <w:szCs w:val="24"/>
                <w:lang w:val="fr-FR"/>
              </w:rPr>
            </w:pPr>
            <w:r w:rsidRPr="00E30EA9">
              <w:rPr>
                <w:b w:val="0"/>
                <w:bCs/>
                <w:i/>
                <w:sz w:val="14"/>
                <w:szCs w:val="24"/>
                <w:lang w:val="fr-FR"/>
              </w:rPr>
              <w:t>Nombre d’enfants nés hors mariage</w:t>
            </w:r>
          </w:p>
        </w:tc>
        <w:tc>
          <w:tcPr>
            <w:tcW w:w="1800" w:type="dxa"/>
            <w:tcBorders>
              <w:top w:val="single" w:sz="4" w:space="0" w:color="auto"/>
              <w:bottom w:val="single" w:sz="12" w:space="0" w:color="auto"/>
            </w:tcBorders>
            <w:shd w:val="clear" w:color="auto" w:fill="auto"/>
            <w:vAlign w:val="bottom"/>
          </w:tcPr>
          <w:p w:rsidR="0073290F" w:rsidRPr="006A4084" w:rsidRDefault="0073290F" w:rsidP="006A4084">
            <w:pPr>
              <w:pStyle w:val="BodyText"/>
              <w:suppressAutoHyphens/>
              <w:spacing w:before="80" w:after="80" w:line="160" w:lineRule="exact"/>
              <w:ind w:right="43"/>
              <w:jc w:val="right"/>
              <w:rPr>
                <w:b w:val="0"/>
                <w:bCs/>
                <w:i/>
                <w:sz w:val="14"/>
                <w:szCs w:val="24"/>
                <w:lang w:val="fr-FR"/>
              </w:rPr>
            </w:pPr>
            <w:r w:rsidRPr="006A4084">
              <w:rPr>
                <w:b w:val="0"/>
                <w:bCs/>
                <w:i/>
                <w:sz w:val="14"/>
                <w:szCs w:val="24"/>
                <w:lang w:val="fr-FR"/>
              </w:rPr>
              <w:t>Pourcentage de naissances hors mariage (%)</w:t>
            </w:r>
          </w:p>
        </w:tc>
      </w:tr>
      <w:tr w:rsidR="006A4084" w:rsidRPr="006A4084">
        <w:tblPrEx>
          <w:tblCellMar>
            <w:top w:w="0" w:type="dxa"/>
            <w:bottom w:w="0" w:type="dxa"/>
          </w:tblCellMar>
        </w:tblPrEx>
        <w:trPr>
          <w:trHeight w:hRule="exact" w:val="115"/>
          <w:tblHeader/>
        </w:trPr>
        <w:tc>
          <w:tcPr>
            <w:tcW w:w="1053" w:type="dxa"/>
            <w:tcBorders>
              <w:top w:val="single" w:sz="12" w:space="0" w:color="auto"/>
            </w:tcBorders>
            <w:shd w:val="clear" w:color="auto" w:fill="auto"/>
            <w:vAlign w:val="bottom"/>
          </w:tcPr>
          <w:p w:rsidR="006A4084" w:rsidRPr="00E30EA9" w:rsidRDefault="006A4084" w:rsidP="006A4084">
            <w:pPr>
              <w:pStyle w:val="BodyText"/>
              <w:suppressAutoHyphens/>
              <w:spacing w:before="40" w:after="40" w:line="210" w:lineRule="exact"/>
              <w:ind w:right="43"/>
              <w:jc w:val="both"/>
              <w:rPr>
                <w:b w:val="0"/>
                <w:bCs/>
                <w:sz w:val="17"/>
                <w:szCs w:val="24"/>
                <w:lang w:val="fr-FR"/>
              </w:rPr>
            </w:pPr>
          </w:p>
        </w:tc>
        <w:tc>
          <w:tcPr>
            <w:tcW w:w="1620" w:type="dxa"/>
            <w:tcBorders>
              <w:top w:val="single" w:sz="12" w:space="0" w:color="auto"/>
            </w:tcBorders>
            <w:shd w:val="clear" w:color="auto" w:fill="auto"/>
            <w:vAlign w:val="bottom"/>
          </w:tcPr>
          <w:p w:rsidR="006A4084" w:rsidRPr="006A4084" w:rsidRDefault="006A4084" w:rsidP="006A4084">
            <w:pPr>
              <w:suppressAutoHyphens/>
              <w:spacing w:before="40" w:after="40" w:line="210" w:lineRule="exact"/>
              <w:ind w:right="43"/>
              <w:jc w:val="right"/>
              <w:rPr>
                <w:b/>
                <w:sz w:val="17"/>
              </w:rPr>
            </w:pPr>
          </w:p>
        </w:tc>
        <w:tc>
          <w:tcPr>
            <w:tcW w:w="1620" w:type="dxa"/>
            <w:tcBorders>
              <w:top w:val="single" w:sz="12" w:space="0" w:color="auto"/>
            </w:tcBorders>
            <w:shd w:val="clear" w:color="auto" w:fill="auto"/>
            <w:vAlign w:val="bottom"/>
          </w:tcPr>
          <w:p w:rsidR="006A4084" w:rsidRPr="00E30EA9" w:rsidRDefault="006A4084" w:rsidP="006A4084">
            <w:pPr>
              <w:pStyle w:val="BodyText"/>
              <w:suppressAutoHyphens/>
              <w:spacing w:before="40" w:after="40" w:line="210" w:lineRule="exact"/>
              <w:ind w:right="43"/>
              <w:jc w:val="right"/>
              <w:rPr>
                <w:b w:val="0"/>
                <w:bCs/>
                <w:sz w:val="17"/>
                <w:szCs w:val="24"/>
                <w:lang w:val="fr-FR"/>
              </w:rPr>
            </w:pPr>
          </w:p>
        </w:tc>
        <w:tc>
          <w:tcPr>
            <w:tcW w:w="1620" w:type="dxa"/>
            <w:tcBorders>
              <w:top w:val="single" w:sz="12" w:space="0" w:color="auto"/>
            </w:tcBorders>
            <w:shd w:val="clear" w:color="auto" w:fill="auto"/>
            <w:vAlign w:val="bottom"/>
          </w:tcPr>
          <w:p w:rsidR="006A4084" w:rsidRPr="00E30EA9" w:rsidRDefault="006A4084" w:rsidP="006A4084">
            <w:pPr>
              <w:pStyle w:val="BodyText"/>
              <w:suppressAutoHyphens/>
              <w:spacing w:before="40" w:after="40" w:line="210" w:lineRule="exact"/>
              <w:ind w:right="43"/>
              <w:jc w:val="right"/>
              <w:rPr>
                <w:b w:val="0"/>
                <w:bCs/>
                <w:sz w:val="17"/>
                <w:szCs w:val="24"/>
                <w:lang w:val="fr-FR"/>
              </w:rPr>
            </w:pPr>
          </w:p>
        </w:tc>
        <w:tc>
          <w:tcPr>
            <w:tcW w:w="1800" w:type="dxa"/>
            <w:tcBorders>
              <w:top w:val="single" w:sz="12" w:space="0" w:color="auto"/>
            </w:tcBorders>
            <w:shd w:val="clear" w:color="auto" w:fill="auto"/>
            <w:vAlign w:val="bottom"/>
          </w:tcPr>
          <w:p w:rsidR="006A4084" w:rsidRPr="00E30EA9" w:rsidRDefault="006A4084" w:rsidP="006A4084">
            <w:pPr>
              <w:pStyle w:val="BodyText"/>
              <w:suppressAutoHyphens/>
              <w:spacing w:before="40" w:after="40" w:line="210" w:lineRule="exact"/>
              <w:ind w:right="43"/>
              <w:jc w:val="right"/>
              <w:rPr>
                <w:b w:val="0"/>
                <w:bCs/>
                <w:sz w:val="17"/>
                <w:szCs w:val="24"/>
                <w:lang w:val="fr-FR"/>
              </w:rPr>
            </w:pPr>
          </w:p>
        </w:tc>
      </w:tr>
      <w:tr w:rsidR="0073290F" w:rsidRPr="006A4084">
        <w:tblPrEx>
          <w:tblCellMar>
            <w:top w:w="0" w:type="dxa"/>
            <w:bottom w:w="0" w:type="dxa"/>
          </w:tblCellMar>
        </w:tblPrEx>
        <w:tc>
          <w:tcPr>
            <w:tcW w:w="1053"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both"/>
              <w:rPr>
                <w:b w:val="0"/>
                <w:bCs/>
                <w:sz w:val="17"/>
                <w:szCs w:val="24"/>
              </w:rPr>
            </w:pPr>
            <w:r w:rsidRPr="006A4084">
              <w:rPr>
                <w:b w:val="0"/>
                <w:bCs/>
                <w:sz w:val="17"/>
                <w:szCs w:val="24"/>
              </w:rPr>
              <w:t>2001</w:t>
            </w:r>
          </w:p>
        </w:tc>
        <w:tc>
          <w:tcPr>
            <w:tcW w:w="1620"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b/>
                <w:sz w:val="17"/>
              </w:rPr>
            </w:pPr>
            <w:r w:rsidRPr="006A4084">
              <w:rPr>
                <w:b/>
                <w:sz w:val="17"/>
              </w:rPr>
              <w:t>17.477</w:t>
            </w:r>
          </w:p>
        </w:tc>
        <w:tc>
          <w:tcPr>
            <w:tcW w:w="162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10.596</w:t>
            </w:r>
          </w:p>
        </w:tc>
        <w:tc>
          <w:tcPr>
            <w:tcW w:w="162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6.881</w:t>
            </w:r>
          </w:p>
        </w:tc>
        <w:tc>
          <w:tcPr>
            <w:tcW w:w="180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39,4</w:t>
            </w:r>
          </w:p>
        </w:tc>
      </w:tr>
      <w:tr w:rsidR="0073290F" w:rsidRPr="006A4084">
        <w:tblPrEx>
          <w:tblCellMar>
            <w:top w:w="0" w:type="dxa"/>
            <w:bottom w:w="0" w:type="dxa"/>
          </w:tblCellMar>
        </w:tblPrEx>
        <w:tc>
          <w:tcPr>
            <w:tcW w:w="1053"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both"/>
              <w:rPr>
                <w:b w:val="0"/>
                <w:bCs/>
                <w:sz w:val="17"/>
                <w:szCs w:val="24"/>
              </w:rPr>
            </w:pPr>
            <w:r w:rsidRPr="006A4084">
              <w:rPr>
                <w:b w:val="0"/>
                <w:bCs/>
                <w:sz w:val="17"/>
                <w:szCs w:val="24"/>
              </w:rPr>
              <w:t>2002</w:t>
            </w:r>
          </w:p>
        </w:tc>
        <w:tc>
          <w:tcPr>
            <w:tcW w:w="1620"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b/>
                <w:sz w:val="17"/>
              </w:rPr>
            </w:pPr>
            <w:r w:rsidRPr="006A4084">
              <w:rPr>
                <w:b/>
                <w:sz w:val="17"/>
              </w:rPr>
              <w:t>17.501</w:t>
            </w:r>
          </w:p>
        </w:tc>
        <w:tc>
          <w:tcPr>
            <w:tcW w:w="162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10.464</w:t>
            </w:r>
          </w:p>
        </w:tc>
        <w:tc>
          <w:tcPr>
            <w:tcW w:w="162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7.037</w:t>
            </w:r>
          </w:p>
        </w:tc>
        <w:tc>
          <w:tcPr>
            <w:tcW w:w="180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40,2</w:t>
            </w:r>
          </w:p>
        </w:tc>
      </w:tr>
      <w:tr w:rsidR="0073290F" w:rsidRPr="006A4084">
        <w:tblPrEx>
          <w:tblCellMar>
            <w:top w:w="0" w:type="dxa"/>
            <w:bottom w:w="0" w:type="dxa"/>
          </w:tblCellMar>
        </w:tblPrEx>
        <w:tc>
          <w:tcPr>
            <w:tcW w:w="1053"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both"/>
              <w:rPr>
                <w:b w:val="0"/>
                <w:bCs/>
                <w:sz w:val="17"/>
                <w:szCs w:val="24"/>
              </w:rPr>
            </w:pPr>
            <w:r w:rsidRPr="006A4084">
              <w:rPr>
                <w:b w:val="0"/>
                <w:bCs/>
                <w:sz w:val="17"/>
                <w:szCs w:val="24"/>
              </w:rPr>
              <w:t>2003</w:t>
            </w:r>
          </w:p>
        </w:tc>
        <w:tc>
          <w:tcPr>
            <w:tcW w:w="1620" w:type="dxa"/>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b/>
                <w:sz w:val="17"/>
              </w:rPr>
            </w:pPr>
            <w:r w:rsidRPr="006A4084">
              <w:rPr>
                <w:b/>
                <w:sz w:val="17"/>
              </w:rPr>
              <w:t>17.321</w:t>
            </w:r>
          </w:p>
        </w:tc>
        <w:tc>
          <w:tcPr>
            <w:tcW w:w="162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9.967</w:t>
            </w:r>
          </w:p>
        </w:tc>
        <w:tc>
          <w:tcPr>
            <w:tcW w:w="162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7.354</w:t>
            </w:r>
          </w:p>
        </w:tc>
        <w:tc>
          <w:tcPr>
            <w:tcW w:w="1800" w:type="dxa"/>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42,5</w:t>
            </w:r>
          </w:p>
        </w:tc>
      </w:tr>
      <w:tr w:rsidR="0073290F" w:rsidRPr="006A4084">
        <w:tblPrEx>
          <w:tblCellMar>
            <w:top w:w="0" w:type="dxa"/>
            <w:bottom w:w="0" w:type="dxa"/>
          </w:tblCellMar>
        </w:tblPrEx>
        <w:tc>
          <w:tcPr>
            <w:tcW w:w="1053" w:type="dxa"/>
            <w:tcBorders>
              <w:bottom w:val="single" w:sz="12" w:space="0" w:color="auto"/>
            </w:tcBorders>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both"/>
              <w:rPr>
                <w:b w:val="0"/>
                <w:bCs/>
                <w:sz w:val="17"/>
                <w:szCs w:val="24"/>
              </w:rPr>
            </w:pPr>
            <w:r w:rsidRPr="006A4084">
              <w:rPr>
                <w:b w:val="0"/>
                <w:bCs/>
                <w:sz w:val="17"/>
                <w:szCs w:val="24"/>
              </w:rPr>
              <w:t>2004</w:t>
            </w:r>
          </w:p>
        </w:tc>
        <w:tc>
          <w:tcPr>
            <w:tcW w:w="1620" w:type="dxa"/>
            <w:tcBorders>
              <w:bottom w:val="single" w:sz="12" w:space="0" w:color="auto"/>
            </w:tcBorders>
            <w:shd w:val="clear" w:color="auto" w:fill="auto"/>
            <w:vAlign w:val="bottom"/>
          </w:tcPr>
          <w:p w:rsidR="0073290F" w:rsidRPr="006A4084" w:rsidRDefault="0073290F" w:rsidP="006A4084">
            <w:pPr>
              <w:tabs>
                <w:tab w:val="left" w:pos="288"/>
                <w:tab w:val="left" w:pos="576"/>
                <w:tab w:val="left" w:pos="864"/>
                <w:tab w:val="left" w:pos="1152"/>
              </w:tabs>
              <w:suppressAutoHyphens/>
              <w:spacing w:before="40" w:after="40" w:line="210" w:lineRule="exact"/>
              <w:ind w:right="43"/>
              <w:jc w:val="right"/>
              <w:rPr>
                <w:b/>
                <w:sz w:val="17"/>
              </w:rPr>
            </w:pPr>
            <w:r w:rsidRPr="006A4084">
              <w:rPr>
                <w:b/>
                <w:sz w:val="17"/>
              </w:rPr>
              <w:t>17.961</w:t>
            </w:r>
          </w:p>
        </w:tc>
        <w:tc>
          <w:tcPr>
            <w:tcW w:w="1620" w:type="dxa"/>
            <w:tcBorders>
              <w:bottom w:val="single" w:sz="12" w:space="0" w:color="auto"/>
            </w:tcBorders>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9.908</w:t>
            </w:r>
          </w:p>
        </w:tc>
        <w:tc>
          <w:tcPr>
            <w:tcW w:w="1620" w:type="dxa"/>
            <w:tcBorders>
              <w:bottom w:val="single" w:sz="12" w:space="0" w:color="auto"/>
            </w:tcBorders>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8.053</w:t>
            </w:r>
          </w:p>
        </w:tc>
        <w:tc>
          <w:tcPr>
            <w:tcW w:w="1800" w:type="dxa"/>
            <w:tcBorders>
              <w:bottom w:val="single" w:sz="12" w:space="0" w:color="auto"/>
            </w:tcBorders>
            <w:shd w:val="clear" w:color="auto" w:fill="auto"/>
            <w:vAlign w:val="bottom"/>
          </w:tcPr>
          <w:p w:rsidR="0073290F" w:rsidRPr="006A4084" w:rsidRDefault="0073290F" w:rsidP="006A4084">
            <w:pPr>
              <w:pStyle w:val="BodyText"/>
              <w:tabs>
                <w:tab w:val="left" w:pos="288"/>
                <w:tab w:val="left" w:pos="576"/>
                <w:tab w:val="left" w:pos="864"/>
                <w:tab w:val="left" w:pos="1152"/>
              </w:tabs>
              <w:suppressAutoHyphens/>
              <w:spacing w:before="40" w:after="40" w:line="210" w:lineRule="exact"/>
              <w:ind w:right="43"/>
              <w:jc w:val="right"/>
              <w:rPr>
                <w:b w:val="0"/>
                <w:bCs/>
                <w:sz w:val="17"/>
                <w:szCs w:val="24"/>
              </w:rPr>
            </w:pPr>
            <w:r w:rsidRPr="006A4084">
              <w:rPr>
                <w:b w:val="0"/>
                <w:bCs/>
                <w:sz w:val="17"/>
                <w:szCs w:val="24"/>
              </w:rPr>
              <w:t>44,8</w:t>
            </w:r>
          </w:p>
        </w:tc>
      </w:tr>
    </w:tbl>
    <w:p w:rsidR="004077D8" w:rsidRPr="004077D8" w:rsidRDefault="004077D8" w:rsidP="004077D8">
      <w:pPr>
        <w:pStyle w:val="Predoblikovano"/>
        <w:tabs>
          <w:tab w:val="clear" w:pos="9590"/>
        </w:tabs>
        <w:spacing w:line="120" w:lineRule="exact"/>
        <w:jc w:val="both"/>
        <w:rPr>
          <w:rFonts w:ascii="Times New Roman" w:hAnsi="Times New Roman" w:cs="Times New Roman"/>
          <w:sz w:val="10"/>
          <w:lang w:val="fr-FR"/>
        </w:rPr>
      </w:pPr>
    </w:p>
    <w:p w:rsidR="0073290F" w:rsidRPr="00AE5ACF" w:rsidRDefault="0073290F" w:rsidP="004077D8">
      <w:pPr>
        <w:pStyle w:val="FootnoteText"/>
        <w:tabs>
          <w:tab w:val="clear" w:pos="418"/>
          <w:tab w:val="right" w:pos="1476"/>
          <w:tab w:val="left" w:pos="1548"/>
          <w:tab w:val="right" w:pos="1836"/>
          <w:tab w:val="left" w:pos="1908"/>
        </w:tabs>
        <w:ind w:left="1548" w:hanging="288"/>
        <w:rPr>
          <w:lang w:val="fr-FR"/>
        </w:rPr>
      </w:pPr>
      <w:r w:rsidRPr="004077D8">
        <w:rPr>
          <w:i/>
          <w:lang w:val="fr-FR"/>
        </w:rPr>
        <w:t>Source</w:t>
      </w:r>
      <w:r w:rsidRPr="00AE5ACF">
        <w:rPr>
          <w:lang w:val="fr-FR"/>
        </w:rPr>
        <w:t xml:space="preserve">: Annuaire statistique 2005, Institut de la Statistique de la République de Slovénie. </w:t>
      </w:r>
    </w:p>
    <w:p w:rsidR="00164199" w:rsidRPr="004077D8" w:rsidRDefault="004077D8" w:rsidP="004077D8">
      <w:pPr>
        <w:spacing w:line="240" w:lineRule="auto"/>
        <w:jc w:val="both"/>
      </w:pPr>
      <w:r>
        <w:rPr>
          <w:noProof/>
          <w:w w:val="100"/>
          <w:lang w:val="en-US"/>
        </w:rPr>
        <w:pict>
          <v:line id="_x0000_s2397" style="position:absolute;left:0;text-align:left;z-index:2;mso-position-horizontal-relative:page" from="270pt,24pt" to="342pt,24pt" strokeweight=".25pt">
            <w10:wrap anchorx="page"/>
          </v:line>
        </w:pict>
      </w:r>
    </w:p>
    <w:sectPr w:rsidR="00164199" w:rsidRPr="004077D8">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06T14:36:00Z" w:initials="Start">
    <w:p w:rsidR="000460CB" w:rsidRPr="00E30EA9" w:rsidRDefault="000460CB">
      <w:pPr>
        <w:pStyle w:val="CommentText"/>
        <w:rPr>
          <w:lang w:val="en-CA"/>
        </w:rPr>
      </w:pPr>
      <w:r>
        <w:fldChar w:fldCharType="begin"/>
      </w:r>
      <w:r w:rsidRPr="00E30EA9">
        <w:rPr>
          <w:lang w:val="en-CA"/>
        </w:rPr>
        <w:instrText>PAGE \# "'Page: '#'</w:instrText>
      </w:r>
      <w:r w:rsidRPr="00E30EA9">
        <w:rPr>
          <w:lang w:val="en-CA"/>
        </w:rPr>
        <w:br/>
        <w:instrText>'"</w:instrText>
      </w:r>
      <w:r w:rsidRPr="00E30EA9">
        <w:rPr>
          <w:rStyle w:val="CommentReference"/>
          <w:lang w:val="en-CA"/>
        </w:rPr>
        <w:instrText xml:space="preserve">  </w:instrText>
      </w:r>
      <w:r>
        <w:fldChar w:fldCharType="end"/>
      </w:r>
      <w:r>
        <w:rPr>
          <w:rStyle w:val="CommentReference"/>
        </w:rPr>
        <w:annotationRef/>
      </w:r>
      <w:r w:rsidRPr="00E30EA9">
        <w:rPr>
          <w:lang w:val="en-CA"/>
        </w:rPr>
        <w:t>&lt;&lt;ODS JOB NO&gt;&gt;N0735130F&lt;&lt;ODS JOB NO&gt;&gt;</w:t>
      </w:r>
    </w:p>
    <w:p w:rsidR="000460CB" w:rsidRDefault="000460CB">
      <w:pPr>
        <w:pStyle w:val="CommentText"/>
      </w:pPr>
      <w:r>
        <w:t>&lt;&lt;ODS DOC SYMBOL1&gt;&gt;CEDAW/C/SVN/4&lt;&lt;ODS DOC SYMBOL1&gt;&gt;</w:t>
      </w:r>
    </w:p>
    <w:p w:rsidR="000460CB" w:rsidRDefault="000460C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43E" w:rsidRDefault="000D343E">
      <w:r>
        <w:separator/>
      </w:r>
    </w:p>
  </w:endnote>
  <w:endnote w:type="continuationSeparator" w:id="0">
    <w:p w:rsidR="000D343E" w:rsidRDefault="000D3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12cpi">
    <w:charset w:val="00"/>
    <w:family w:val="auto"/>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460CB">
      <w:tblPrEx>
        <w:tblCellMar>
          <w:top w:w="0" w:type="dxa"/>
          <w:bottom w:w="0" w:type="dxa"/>
        </w:tblCellMar>
      </w:tblPrEx>
      <w:tc>
        <w:tcPr>
          <w:tcW w:w="5033" w:type="dxa"/>
          <w:vAlign w:val="bottom"/>
        </w:tcPr>
        <w:p w:rsidR="000460CB" w:rsidRDefault="000460CB">
          <w:pPr>
            <w:pStyle w:val="Footer"/>
          </w:pPr>
          <w:r>
            <w:fldChar w:fldCharType="begin"/>
          </w:r>
          <w:r>
            <w:instrText xml:space="preserve"> PAGE  \* MERGEFORMAT </w:instrText>
          </w:r>
          <w:r>
            <w:fldChar w:fldCharType="separate"/>
          </w:r>
          <w:r w:rsidR="00E30EA9">
            <w:t>88</w:t>
          </w:r>
          <w:r>
            <w:fldChar w:fldCharType="end"/>
          </w:r>
        </w:p>
      </w:tc>
      <w:tc>
        <w:tcPr>
          <w:tcW w:w="5033" w:type="dxa"/>
          <w:vAlign w:val="bottom"/>
        </w:tcPr>
        <w:p w:rsidR="000460CB" w:rsidRDefault="000460CB">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E30EA9">
            <w:rPr>
              <w:b w:val="0"/>
              <w:sz w:val="14"/>
            </w:rPr>
            <w:t>0735130f.doc</w:t>
          </w:r>
          <w:r>
            <w:rPr>
              <w:b w:val="0"/>
              <w:sz w:val="14"/>
            </w:rPr>
            <w:fldChar w:fldCharType="end"/>
          </w:r>
        </w:p>
      </w:tc>
    </w:tr>
  </w:tbl>
  <w:p w:rsidR="000460CB" w:rsidRDefault="000460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460CB">
      <w:tblPrEx>
        <w:tblCellMar>
          <w:top w:w="0" w:type="dxa"/>
          <w:bottom w:w="0" w:type="dxa"/>
        </w:tblCellMar>
      </w:tblPrEx>
      <w:tc>
        <w:tcPr>
          <w:tcW w:w="5033" w:type="dxa"/>
          <w:vAlign w:val="bottom"/>
        </w:tcPr>
        <w:p w:rsidR="000460CB" w:rsidRDefault="000460CB">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E30EA9">
            <w:rPr>
              <w:b w:val="0"/>
              <w:sz w:val="14"/>
            </w:rPr>
            <w:t>0735130f.doc</w:t>
          </w:r>
          <w:r>
            <w:rPr>
              <w:b w:val="0"/>
              <w:sz w:val="14"/>
            </w:rPr>
            <w:fldChar w:fldCharType="end"/>
          </w:r>
        </w:p>
      </w:tc>
      <w:tc>
        <w:tcPr>
          <w:tcW w:w="5033" w:type="dxa"/>
          <w:vAlign w:val="bottom"/>
        </w:tcPr>
        <w:p w:rsidR="000460CB" w:rsidRDefault="000460CB">
          <w:pPr>
            <w:pStyle w:val="Footer"/>
            <w:jc w:val="right"/>
          </w:pPr>
          <w:r>
            <w:fldChar w:fldCharType="begin"/>
          </w:r>
          <w:r>
            <w:instrText xml:space="preserve"> PAGE  \* MERGEFORMAT </w:instrText>
          </w:r>
          <w:r>
            <w:fldChar w:fldCharType="separate"/>
          </w:r>
          <w:r w:rsidR="00E30EA9">
            <w:t>87</w:t>
          </w:r>
          <w:r>
            <w:fldChar w:fldCharType="end"/>
          </w:r>
        </w:p>
      </w:tc>
    </w:tr>
  </w:tbl>
  <w:p w:rsidR="000460CB" w:rsidRDefault="000460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0CB" w:rsidRDefault="000460CB">
    <w:pPr>
      <w:pStyle w:val="Footer"/>
    </w:pPr>
  </w:p>
  <w:p w:rsidR="000460CB" w:rsidRDefault="000460CB" w:rsidP="000460CB">
    <w:pPr>
      <w:spacing w:line="240" w:lineRule="auto"/>
    </w:pPr>
    <w:r>
      <w:t>07-35130 (F)</w:t>
    </w:r>
    <w:r w:rsidRPr="000460CB">
      <w:t xml:space="preserve">    0</w:t>
    </w:r>
    <w:r>
      <w:t>808</w:t>
    </w:r>
    <w:r w:rsidRPr="000460CB">
      <w:t xml:space="preserve">07    </w:t>
    </w:r>
    <w:r>
      <w:t>0808</w:t>
    </w:r>
    <w:r w:rsidRPr="000460CB">
      <w:t>07</w:t>
    </w:r>
  </w:p>
  <w:p w:rsidR="000460CB" w:rsidRPr="000460CB" w:rsidRDefault="000460CB" w:rsidP="000460CB">
    <w:pPr>
      <w:spacing w:before="80" w:line="210" w:lineRule="exact"/>
      <w:rPr>
        <w:rFonts w:ascii="Barcode 3 of 9 by request" w:hAnsi="Barcode 3 of 9 by request"/>
        <w:w w:val="100"/>
        <w:sz w:val="24"/>
      </w:rPr>
    </w:pPr>
    <w:r>
      <w:rPr>
        <w:rFonts w:ascii="Barcode 3 of 9 by request" w:hAnsi="Barcode 3 of 9 by request"/>
        <w:w w:val="100"/>
        <w:sz w:val="24"/>
      </w:rPr>
      <w:t>*0735130*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43E" w:rsidRPr="006A4785" w:rsidRDefault="000D343E" w:rsidP="006A4785">
      <w:pPr>
        <w:pStyle w:val="Footer"/>
        <w:spacing w:after="80"/>
        <w:ind w:left="792"/>
        <w:rPr>
          <w:sz w:val="16"/>
        </w:rPr>
      </w:pPr>
      <w:r w:rsidRPr="006A4785">
        <w:rPr>
          <w:sz w:val="16"/>
        </w:rPr>
        <w:t>__________________</w:t>
      </w:r>
    </w:p>
  </w:footnote>
  <w:footnote w:type="continuationSeparator" w:id="0">
    <w:p w:rsidR="000D343E" w:rsidRPr="006A4785" w:rsidRDefault="000D343E" w:rsidP="006A4785">
      <w:pPr>
        <w:pStyle w:val="Footer"/>
        <w:spacing w:after="80"/>
        <w:ind w:left="792"/>
        <w:rPr>
          <w:sz w:val="16"/>
        </w:rPr>
      </w:pPr>
      <w:r w:rsidRPr="006A4785">
        <w:rPr>
          <w:sz w:val="16"/>
        </w:rPr>
        <w:t>__________________</w:t>
      </w:r>
    </w:p>
  </w:footnote>
  <w:footnote w:id="1">
    <w:p w:rsidR="000460CB" w:rsidRDefault="000460CB" w:rsidP="006A4785">
      <w:pPr>
        <w:pStyle w:val="FootnoteText"/>
        <w:tabs>
          <w:tab w:val="clear" w:pos="418"/>
          <w:tab w:val="right" w:pos="1195"/>
          <w:tab w:val="left" w:pos="1267"/>
          <w:tab w:val="left" w:pos="1742"/>
          <w:tab w:val="left" w:pos="2218"/>
          <w:tab w:val="left" w:pos="2693"/>
        </w:tabs>
        <w:ind w:left="1267" w:right="1260" w:hanging="432"/>
      </w:pPr>
      <w:r>
        <w:rPr>
          <w:rStyle w:val="FootnoteReference"/>
        </w:rPr>
        <w:t>1</w:t>
      </w:r>
      <w:r>
        <w:t xml:space="preserve"> Cf. Annexe 2 – Tableaux 1, 2 et 3.</w:t>
      </w:r>
    </w:p>
  </w:footnote>
  <w:footnote w:id="2">
    <w:p w:rsidR="000460CB" w:rsidRDefault="000460CB" w:rsidP="006A4785">
      <w:pPr>
        <w:pStyle w:val="FootnoteText"/>
        <w:tabs>
          <w:tab w:val="clear" w:pos="418"/>
          <w:tab w:val="right" w:pos="1195"/>
          <w:tab w:val="left" w:pos="1267"/>
          <w:tab w:val="left" w:pos="1742"/>
          <w:tab w:val="left" w:pos="2218"/>
          <w:tab w:val="left" w:pos="2693"/>
        </w:tabs>
        <w:ind w:left="1267" w:right="1260" w:hanging="432"/>
      </w:pPr>
      <w:r>
        <w:rPr>
          <w:rStyle w:val="FootnoteReference"/>
        </w:rPr>
        <w:t>2</w:t>
      </w:r>
      <w:r>
        <w:t xml:space="preserve"> Cf. Annexe 2 – Tableaux 4 et 5.</w:t>
      </w:r>
    </w:p>
  </w:footnote>
  <w:footnote w:id="3">
    <w:p w:rsidR="000460CB" w:rsidRDefault="000460CB" w:rsidP="006A4785">
      <w:pPr>
        <w:pStyle w:val="FootnoteText"/>
        <w:tabs>
          <w:tab w:val="clear" w:pos="418"/>
          <w:tab w:val="right" w:pos="1195"/>
          <w:tab w:val="left" w:pos="1267"/>
          <w:tab w:val="left" w:pos="1742"/>
          <w:tab w:val="left" w:pos="2218"/>
          <w:tab w:val="left" w:pos="2693"/>
        </w:tabs>
        <w:ind w:left="1267" w:right="1260" w:hanging="432"/>
      </w:pPr>
      <w:r>
        <w:rPr>
          <w:rStyle w:val="FootnoteReference"/>
        </w:rPr>
        <w:t>3</w:t>
      </w:r>
      <w:r>
        <w:t xml:space="preserve"> Source : Annuaire statistique médical, 2002. Institut de la Santé publique de la République de Slovénie, 2004. </w:t>
      </w:r>
    </w:p>
  </w:footnote>
  <w:footnote w:id="4">
    <w:p w:rsidR="000460CB" w:rsidRDefault="000460CB" w:rsidP="006A4785">
      <w:pPr>
        <w:pStyle w:val="FootnoteText"/>
        <w:tabs>
          <w:tab w:val="clear" w:pos="418"/>
          <w:tab w:val="right" w:pos="1195"/>
          <w:tab w:val="left" w:pos="1267"/>
          <w:tab w:val="left" w:pos="1742"/>
          <w:tab w:val="left" w:pos="2218"/>
          <w:tab w:val="left" w:pos="2693"/>
        </w:tabs>
        <w:ind w:left="1267" w:right="1260" w:hanging="432"/>
      </w:pPr>
      <w:r>
        <w:rPr>
          <w:rStyle w:val="FootnoteReference"/>
        </w:rPr>
        <w:t>4</w:t>
      </w:r>
      <w:r>
        <w:t xml:space="preserve"> Cf. Annexe 2, Tableaux 6 et 7.</w:t>
      </w:r>
    </w:p>
  </w:footnote>
  <w:footnote w:id="5">
    <w:p w:rsidR="000460CB" w:rsidRDefault="000460CB" w:rsidP="006A4785">
      <w:pPr>
        <w:pStyle w:val="FootnoteText"/>
        <w:tabs>
          <w:tab w:val="clear" w:pos="418"/>
          <w:tab w:val="right" w:pos="1195"/>
          <w:tab w:val="left" w:pos="1267"/>
          <w:tab w:val="left" w:pos="1742"/>
          <w:tab w:val="left" w:pos="2218"/>
          <w:tab w:val="left" w:pos="2693"/>
        </w:tabs>
        <w:ind w:left="1267" w:right="1260" w:hanging="432"/>
      </w:pPr>
      <w:r>
        <w:rPr>
          <w:rStyle w:val="FootnoteReference"/>
        </w:rPr>
        <w:t>5</w:t>
      </w:r>
      <w:r>
        <w:t xml:space="preserve"> Cf. Annexe 2 – Tableau 8.</w:t>
      </w:r>
    </w:p>
  </w:footnote>
  <w:footnote w:id="6">
    <w:p w:rsidR="000460CB" w:rsidRDefault="000460CB" w:rsidP="006A4785">
      <w:pPr>
        <w:pStyle w:val="FootnoteText"/>
        <w:tabs>
          <w:tab w:val="clear" w:pos="418"/>
          <w:tab w:val="right" w:pos="1195"/>
          <w:tab w:val="left" w:pos="1267"/>
          <w:tab w:val="left" w:pos="1742"/>
          <w:tab w:val="left" w:pos="2218"/>
          <w:tab w:val="left" w:pos="2693"/>
        </w:tabs>
        <w:ind w:left="1267" w:right="1260" w:hanging="432"/>
      </w:pPr>
      <w:r>
        <w:rPr>
          <w:rStyle w:val="FootnoteReference"/>
        </w:rPr>
        <w:t>6</w:t>
      </w:r>
      <w:r>
        <w:t xml:space="preserve"> Cf. Annexe 2 – Tableaux 9 et 10.</w:t>
      </w:r>
    </w:p>
  </w:footnote>
  <w:footnote w:id="7">
    <w:p w:rsidR="000460CB" w:rsidRDefault="000460CB" w:rsidP="006A4785">
      <w:pPr>
        <w:pStyle w:val="FootnoteText"/>
        <w:tabs>
          <w:tab w:val="clear" w:pos="418"/>
          <w:tab w:val="right" w:pos="1195"/>
          <w:tab w:val="left" w:pos="1267"/>
          <w:tab w:val="left" w:pos="1742"/>
          <w:tab w:val="left" w:pos="2218"/>
          <w:tab w:val="left" w:pos="2693"/>
        </w:tabs>
        <w:ind w:left="1267" w:right="1260" w:hanging="432"/>
      </w:pPr>
      <w:r>
        <w:rPr>
          <w:rStyle w:val="FootnoteReference"/>
        </w:rPr>
        <w:t>7</w:t>
      </w:r>
      <w:r>
        <w:t xml:space="preserve"> Cf. Annexe 2 – Tableau 11.</w:t>
      </w:r>
    </w:p>
  </w:footnote>
  <w:footnote w:id="8">
    <w:p w:rsidR="000460CB" w:rsidRPr="009A14C9"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8</w:t>
      </w:r>
      <w:r>
        <w:t xml:space="preserve"> </w:t>
      </w:r>
      <w:r w:rsidRPr="009A14C9">
        <w:rPr>
          <w:sz w:val="18"/>
          <w:szCs w:val="18"/>
        </w:rPr>
        <w:t>adoptés à la Quatrième Conférence mondiale sur les femmes (Beijing, 4-15 septembre 1995).</w:t>
      </w:r>
    </w:p>
  </w:footnote>
  <w:footnote w:id="9">
    <w:p w:rsidR="000460CB" w:rsidRPr="009A14C9"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sidRPr="009A14C9">
        <w:rPr>
          <w:rStyle w:val="FootnoteReference"/>
          <w:sz w:val="18"/>
          <w:szCs w:val="18"/>
        </w:rPr>
        <w:t>9</w:t>
      </w:r>
      <w:r w:rsidRPr="009A14C9">
        <w:rPr>
          <w:sz w:val="18"/>
          <w:szCs w:val="18"/>
        </w:rPr>
        <w:t xml:space="preserve"> Résolution de l’Assemblée générale des Nations Unies, Documents des Nations Unies A/RES/S-23/2 et A/RES/S-23/3.</w:t>
      </w:r>
    </w:p>
  </w:footnote>
  <w:footnote w:id="10">
    <w:p w:rsidR="000460CB" w:rsidRPr="000603F2"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sidRPr="000603F2">
        <w:rPr>
          <w:rStyle w:val="FootnoteReference"/>
          <w:sz w:val="18"/>
          <w:szCs w:val="18"/>
        </w:rPr>
        <w:t>10</w:t>
      </w:r>
      <w:r w:rsidRPr="000603F2">
        <w:rPr>
          <w:sz w:val="18"/>
          <w:szCs w:val="18"/>
        </w:rPr>
        <w:t xml:space="preserve"> Les loisirs des Européens : la vie quotidienne des hommes et des femmes (Données pour la période 1998-2002). Eurostat, 2004.</w:t>
      </w:r>
    </w:p>
  </w:footnote>
  <w:footnote w:id="11">
    <w:p w:rsidR="000460CB" w:rsidRPr="000603F2"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sidRPr="000603F2">
        <w:rPr>
          <w:rStyle w:val="FootnoteReference"/>
          <w:sz w:val="18"/>
          <w:szCs w:val="18"/>
        </w:rPr>
        <w:t>11</w:t>
      </w:r>
      <w:r w:rsidRPr="000603F2">
        <w:rPr>
          <w:sz w:val="18"/>
          <w:szCs w:val="18"/>
        </w:rPr>
        <w:t xml:space="preserve"> Dans cette enquête européenne sur les activités rémunérées et les études désintéressées, les données concernent aussi bien l’emploi principal, les emplois parallèles et toute activité connexe que les périodes de pause ou de congés, les déplacements dans le cadre des horaires de travail, la recherche d’un emploi, le temps d’étude scolaire et pendant les loisirs.</w:t>
      </w:r>
    </w:p>
  </w:footnote>
  <w:footnote w:id="12">
    <w:p w:rsidR="000460CB" w:rsidRPr="00351070"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12</w:t>
      </w:r>
      <w:r>
        <w:t xml:space="preserve"> </w:t>
      </w:r>
      <w:r w:rsidRPr="00351070">
        <w:rPr>
          <w:sz w:val="18"/>
          <w:szCs w:val="18"/>
        </w:rPr>
        <w:t xml:space="preserve">Dans cette même enquête européenne, la formule « travaux domestiques » englobe aussi bien les tâches ménagères, que les soins apportés aux enfants, à des adultes ou à des animaux de compagnie, les travaux de construction ou de réparation, les courses à l’extérieur et le recours à certains services, ou encore la gestion du logement à proprement parler. </w:t>
      </w:r>
    </w:p>
  </w:footnote>
  <w:footnote w:id="13">
    <w:p w:rsidR="000460CB" w:rsidRPr="00A907C4"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sidRPr="00351070">
        <w:rPr>
          <w:rStyle w:val="FootnoteReference"/>
          <w:sz w:val="18"/>
          <w:szCs w:val="18"/>
        </w:rPr>
        <w:t>13</w:t>
      </w:r>
      <w:r w:rsidRPr="00351070">
        <w:rPr>
          <w:sz w:val="18"/>
          <w:szCs w:val="18"/>
        </w:rPr>
        <w:t xml:space="preserve"> </w:t>
      </w:r>
      <w:r>
        <w:rPr>
          <w:sz w:val="18"/>
          <w:szCs w:val="18"/>
        </w:rPr>
        <w:t>Rapport sur l’action de l’Inspection du Travail de la République de Slovénie en 2004 (juillet 2005).</w:t>
      </w:r>
    </w:p>
  </w:footnote>
  <w:footnote w:id="14">
    <w:p w:rsidR="000460CB" w:rsidRPr="00BC47D5"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14</w:t>
      </w:r>
      <w:r>
        <w:t xml:space="preserve"> </w:t>
      </w:r>
      <w:r>
        <w:rPr>
          <w:sz w:val="18"/>
          <w:szCs w:val="18"/>
        </w:rPr>
        <w:t>Source : Ministère de l’Intérieur, 2005.</w:t>
      </w:r>
    </w:p>
  </w:footnote>
  <w:footnote w:id="15">
    <w:p w:rsidR="000460CB" w:rsidRPr="008C5963"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15</w:t>
      </w:r>
      <w:r>
        <w:t xml:space="preserve"> </w:t>
      </w:r>
      <w:r>
        <w:rPr>
          <w:sz w:val="18"/>
          <w:szCs w:val="18"/>
        </w:rPr>
        <w:t>Cf. Annexe 2, Tableau 13.</w:t>
      </w:r>
    </w:p>
  </w:footnote>
  <w:footnote w:id="16">
    <w:p w:rsidR="000460CB" w:rsidRPr="008C5963" w:rsidRDefault="000460CB" w:rsidP="006A4785">
      <w:pPr>
        <w:pStyle w:val="FootnoteText"/>
        <w:tabs>
          <w:tab w:val="clear" w:pos="418"/>
          <w:tab w:val="right" w:pos="1195"/>
          <w:tab w:val="left" w:pos="1267"/>
          <w:tab w:val="left" w:pos="1742"/>
          <w:tab w:val="left" w:pos="2218"/>
          <w:tab w:val="left" w:pos="2693"/>
        </w:tabs>
        <w:ind w:left="1267" w:right="1260" w:hanging="432"/>
      </w:pPr>
      <w:r>
        <w:rPr>
          <w:rStyle w:val="FootnoteReference"/>
        </w:rPr>
        <w:t>16</w:t>
      </w:r>
      <w:r>
        <w:t xml:space="preserve"> </w:t>
      </w:r>
      <w:r>
        <w:rPr>
          <w:sz w:val="18"/>
          <w:szCs w:val="18"/>
        </w:rPr>
        <w:t xml:space="preserve">Cf. Annexe 2, Tableau 14. </w:t>
      </w:r>
    </w:p>
  </w:footnote>
  <w:footnote w:id="17">
    <w:p w:rsidR="000460CB" w:rsidRPr="0024337C"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sidRPr="0024337C">
        <w:rPr>
          <w:rStyle w:val="FootnoteReference"/>
        </w:rPr>
        <w:t>17</w:t>
      </w:r>
      <w:r w:rsidRPr="0024337C">
        <w:t xml:space="preserve"> </w:t>
      </w:r>
      <w:r w:rsidRPr="0024337C">
        <w:rPr>
          <w:sz w:val="18"/>
          <w:szCs w:val="18"/>
        </w:rPr>
        <w:t xml:space="preserve">S. Robnik, T. Skornsek – Ples, S. Veselic et le Conseil d’Experts traitant de la question de la violence à l’égard des femmes, </w:t>
      </w:r>
      <w:r>
        <w:rPr>
          <w:i/>
          <w:iCs/>
          <w:sz w:val="18"/>
          <w:szCs w:val="18"/>
        </w:rPr>
        <w:t>La violence familiale à l’égard des femmes : analyse de la situation</w:t>
      </w:r>
      <w:r>
        <w:rPr>
          <w:sz w:val="18"/>
          <w:szCs w:val="18"/>
        </w:rPr>
        <w:t>, 2003.</w:t>
      </w:r>
    </w:p>
  </w:footnote>
  <w:footnote w:id="18">
    <w:p w:rsidR="000460CB" w:rsidRPr="00B07DF5"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18</w:t>
      </w:r>
      <w:r>
        <w:t xml:space="preserve"> </w:t>
      </w:r>
      <w:r>
        <w:rPr>
          <w:sz w:val="18"/>
          <w:szCs w:val="18"/>
        </w:rPr>
        <w:t>Source : Ministère de l’Intérieur, 2005.</w:t>
      </w:r>
    </w:p>
  </w:footnote>
  <w:footnote w:id="19">
    <w:p w:rsidR="000460CB" w:rsidRPr="004C1FBF"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19</w:t>
      </w:r>
      <w:r>
        <w:t xml:space="preserve"> </w:t>
      </w:r>
      <w:r>
        <w:rPr>
          <w:sz w:val="18"/>
          <w:szCs w:val="18"/>
        </w:rPr>
        <w:t>Source : Rapport sur l’action de l’Inspection du Travail de la République de Slovénie pour l’année 2004, 2005.</w:t>
      </w:r>
    </w:p>
  </w:footnote>
  <w:footnote w:id="20">
    <w:p w:rsidR="000460CB" w:rsidRPr="00187A74"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20</w:t>
      </w:r>
      <w:r>
        <w:t xml:space="preserve"> </w:t>
      </w:r>
      <w:r>
        <w:rPr>
          <w:sz w:val="18"/>
          <w:szCs w:val="18"/>
        </w:rPr>
        <w:t>Source : Rapport sur les activités, en 2004, du Groupe de travail interministériel de lutte contre la traite des êtres humains.</w:t>
      </w:r>
    </w:p>
  </w:footnote>
  <w:footnote w:id="21">
    <w:p w:rsidR="000460CB" w:rsidRPr="002D082E"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21</w:t>
      </w:r>
      <w:r>
        <w:t xml:space="preserve"> </w:t>
      </w:r>
      <w:r>
        <w:rPr>
          <w:sz w:val="18"/>
          <w:szCs w:val="18"/>
        </w:rPr>
        <w:t>Cf. Annexe 2, Tableaux 15 et 16.</w:t>
      </w:r>
    </w:p>
  </w:footnote>
  <w:footnote w:id="22">
    <w:p w:rsidR="000460CB" w:rsidRPr="00407013"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22</w:t>
      </w:r>
      <w:r>
        <w:t xml:space="preserve"> </w:t>
      </w:r>
      <w:r>
        <w:rPr>
          <w:sz w:val="18"/>
          <w:szCs w:val="18"/>
        </w:rPr>
        <w:t>Cf. Annexe 2, Tableau 17.</w:t>
      </w:r>
    </w:p>
  </w:footnote>
  <w:footnote w:id="23">
    <w:p w:rsidR="000460CB" w:rsidRPr="0057426E"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23</w:t>
      </w:r>
      <w:r>
        <w:t xml:space="preserve"> </w:t>
      </w:r>
      <w:r>
        <w:rPr>
          <w:sz w:val="18"/>
          <w:szCs w:val="18"/>
        </w:rPr>
        <w:t>Source : Ministère de la Fonction publique, 2005. A la date du 31 décembre 2004.</w:t>
      </w:r>
    </w:p>
  </w:footnote>
  <w:footnote w:id="24">
    <w:p w:rsidR="000460CB" w:rsidRPr="00FE255B"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24</w:t>
      </w:r>
      <w:r>
        <w:t xml:space="preserve"> </w:t>
      </w:r>
      <w:r>
        <w:rPr>
          <w:sz w:val="18"/>
          <w:szCs w:val="18"/>
        </w:rPr>
        <w:t xml:space="preserve">Source : </w:t>
      </w:r>
      <w:hyperlink r:id="rId1" w:history="1">
        <w:r w:rsidRPr="003A2459">
          <w:rPr>
            <w:rStyle w:val="Hyperlink"/>
            <w:sz w:val="18"/>
            <w:szCs w:val="18"/>
          </w:rPr>
          <w:t>http://interispo.sigov.si/delounatelesa/</w:t>
        </w:r>
      </w:hyperlink>
      <w:r>
        <w:rPr>
          <w:sz w:val="18"/>
          <w:szCs w:val="18"/>
        </w:rPr>
        <w:t xml:space="preserve">. A la date du 17 mars 2004. </w:t>
      </w:r>
    </w:p>
  </w:footnote>
  <w:footnote w:id="25">
    <w:p w:rsidR="000460CB" w:rsidRPr="00C633E7"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25</w:t>
      </w:r>
      <w:r>
        <w:t xml:space="preserve"> </w:t>
      </w:r>
      <w:r>
        <w:rPr>
          <w:sz w:val="18"/>
          <w:szCs w:val="18"/>
        </w:rPr>
        <w:t xml:space="preserve">Source : </w:t>
      </w:r>
      <w:hyperlink r:id="rId2" w:history="1">
        <w:r w:rsidRPr="003A2459">
          <w:rPr>
            <w:rStyle w:val="Hyperlink"/>
            <w:sz w:val="18"/>
            <w:szCs w:val="18"/>
          </w:rPr>
          <w:t>http://www.sodisce.si/vsrs/default.asp?idall=1254&amp;showin=all</w:t>
        </w:r>
      </w:hyperlink>
      <w:r>
        <w:rPr>
          <w:sz w:val="18"/>
          <w:szCs w:val="18"/>
        </w:rPr>
        <w:t xml:space="preserve">. A la date du 12 juillet 2005. Cf. Annexe 2, Tableau 18. </w:t>
      </w:r>
    </w:p>
  </w:footnote>
  <w:footnote w:id="26">
    <w:p w:rsidR="000460CB"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26</w:t>
      </w:r>
      <w:r>
        <w:t xml:space="preserve"> </w:t>
      </w:r>
      <w:r>
        <w:rPr>
          <w:sz w:val="18"/>
          <w:szCs w:val="18"/>
        </w:rPr>
        <w:t>Source : Base de données – Les femmes et les hommes au niveau de la prise de décisions, 2005.</w:t>
      </w:r>
    </w:p>
    <w:p w:rsidR="000460CB" w:rsidRPr="00DA4171"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hyperlink r:id="rId3" w:history="1">
        <w:r w:rsidRPr="00DE022A">
          <w:rPr>
            <w:rStyle w:val="Hyperlink"/>
            <w:sz w:val="18"/>
            <w:szCs w:val="18"/>
          </w:rPr>
          <w:t>http://www.europa.eu.int/comm/employment_social/women_men_stats/index_en.htm</w:t>
        </w:r>
      </w:hyperlink>
      <w:r>
        <w:rPr>
          <w:sz w:val="18"/>
          <w:szCs w:val="18"/>
        </w:rPr>
        <w:t xml:space="preserve"> </w:t>
      </w:r>
    </w:p>
  </w:footnote>
  <w:footnote w:id="27">
    <w:p w:rsidR="000460CB" w:rsidRPr="00DA4171"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27</w:t>
      </w:r>
      <w:r>
        <w:t xml:space="preserve"> </w:t>
      </w:r>
      <w:r>
        <w:rPr>
          <w:sz w:val="18"/>
          <w:szCs w:val="18"/>
        </w:rPr>
        <w:t>Chacune de ces entreprises a en fait deux Directeurs généraux, et tous deux sont des hommes. Source : Chambre de Commerce et d’Industrie de Slovénie. Données datant du 2 février 2004.</w:t>
      </w:r>
    </w:p>
  </w:footnote>
  <w:footnote w:id="28">
    <w:p w:rsidR="000460CB" w:rsidRPr="00B92030"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28</w:t>
      </w:r>
      <w:r>
        <w:t xml:space="preserve"> </w:t>
      </w:r>
      <w:r>
        <w:rPr>
          <w:sz w:val="18"/>
          <w:szCs w:val="18"/>
        </w:rPr>
        <w:t xml:space="preserve">Source : Association des Employeurs de Slovénie – données propres, 2004. </w:t>
      </w:r>
      <w:hyperlink r:id="rId4" w:history="1">
        <w:r w:rsidRPr="00DE022A">
          <w:rPr>
            <w:rStyle w:val="Hyperlink"/>
            <w:sz w:val="18"/>
            <w:szCs w:val="18"/>
          </w:rPr>
          <w:t>www.zds.si</w:t>
        </w:r>
      </w:hyperlink>
      <w:r>
        <w:rPr>
          <w:sz w:val="18"/>
          <w:szCs w:val="18"/>
        </w:rPr>
        <w:t xml:space="preserve"> </w:t>
      </w:r>
    </w:p>
  </w:footnote>
  <w:footnote w:id="29">
    <w:p w:rsidR="000460CB" w:rsidRPr="00B92030"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29</w:t>
      </w:r>
      <w:r>
        <w:t xml:space="preserve"> </w:t>
      </w:r>
      <w:r>
        <w:rPr>
          <w:sz w:val="18"/>
          <w:szCs w:val="18"/>
        </w:rPr>
        <w:t xml:space="preserve">Source : Chambre de Commerce et d’Industrie de Slovénie – données propres, 2004. </w:t>
      </w:r>
      <w:hyperlink r:id="rId5" w:history="1">
        <w:r w:rsidRPr="00DE022A">
          <w:rPr>
            <w:rStyle w:val="Hyperlink"/>
            <w:sz w:val="18"/>
            <w:szCs w:val="18"/>
          </w:rPr>
          <w:t>www.gzs.si</w:t>
        </w:r>
      </w:hyperlink>
      <w:r>
        <w:rPr>
          <w:sz w:val="18"/>
          <w:szCs w:val="18"/>
        </w:rPr>
        <w:t xml:space="preserve"> </w:t>
      </w:r>
    </w:p>
  </w:footnote>
  <w:footnote w:id="30">
    <w:p w:rsidR="000460CB" w:rsidRPr="005D4C77"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30</w:t>
      </w:r>
      <w:r>
        <w:t xml:space="preserve"> </w:t>
      </w:r>
      <w:r>
        <w:rPr>
          <w:sz w:val="18"/>
          <w:szCs w:val="18"/>
        </w:rPr>
        <w:t xml:space="preserve">Source : Chambre des Métiers de Slovénie – données propres, 2004. </w:t>
      </w:r>
      <w:hyperlink r:id="rId6" w:history="1">
        <w:r w:rsidRPr="00DE022A">
          <w:rPr>
            <w:rStyle w:val="Hyperlink"/>
            <w:sz w:val="18"/>
            <w:szCs w:val="18"/>
          </w:rPr>
          <w:t>www.ozs.si</w:t>
        </w:r>
      </w:hyperlink>
      <w:r>
        <w:rPr>
          <w:sz w:val="18"/>
          <w:szCs w:val="18"/>
        </w:rPr>
        <w:t xml:space="preserve"> </w:t>
      </w:r>
    </w:p>
  </w:footnote>
  <w:footnote w:id="31">
    <w:p w:rsidR="000460CB" w:rsidRPr="004573CF"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31</w:t>
      </w:r>
      <w:r>
        <w:t xml:space="preserve"> </w:t>
      </w:r>
      <w:r>
        <w:rPr>
          <w:sz w:val="18"/>
          <w:szCs w:val="18"/>
        </w:rPr>
        <w:t xml:space="preserve">Source : Ministère des Affaires étrangères, 2004. A la date du 18 novembre 2004. Cf. Annexe 2, Tableau 19. </w:t>
      </w:r>
    </w:p>
  </w:footnote>
  <w:footnote w:id="32">
    <w:p w:rsidR="000460CB" w:rsidRPr="00C5414F"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32</w:t>
      </w:r>
      <w:r>
        <w:t xml:space="preserve"> </w:t>
      </w:r>
      <w:r>
        <w:rPr>
          <w:sz w:val="18"/>
          <w:szCs w:val="18"/>
        </w:rPr>
        <w:t>Cf. Annexe 2, Tableau 20.</w:t>
      </w:r>
    </w:p>
  </w:footnote>
  <w:footnote w:id="33">
    <w:p w:rsidR="000460CB" w:rsidRPr="00546C54"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33</w:t>
      </w:r>
      <w:r>
        <w:t xml:space="preserve"> </w:t>
      </w:r>
      <w:r>
        <w:rPr>
          <w:sz w:val="18"/>
          <w:szCs w:val="18"/>
        </w:rPr>
        <w:t>Cf. Annexe 2, Tableau 21.</w:t>
      </w:r>
    </w:p>
  </w:footnote>
  <w:footnote w:id="34">
    <w:p w:rsidR="000460CB" w:rsidRPr="00873669"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34</w:t>
      </w:r>
      <w:r>
        <w:t xml:space="preserve"> </w:t>
      </w:r>
      <w:r>
        <w:rPr>
          <w:sz w:val="18"/>
          <w:szCs w:val="18"/>
        </w:rPr>
        <w:t>Cf. Annexe 2, Tableau 22.</w:t>
      </w:r>
    </w:p>
  </w:footnote>
  <w:footnote w:id="35">
    <w:p w:rsidR="000460CB" w:rsidRPr="00873669"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35</w:t>
      </w:r>
      <w:r>
        <w:t xml:space="preserve"> </w:t>
      </w:r>
      <w:r>
        <w:rPr>
          <w:sz w:val="18"/>
          <w:szCs w:val="18"/>
        </w:rPr>
        <w:t>Cf. Annexe 2, Tableau 24.</w:t>
      </w:r>
    </w:p>
  </w:footnote>
  <w:footnote w:id="36">
    <w:p w:rsidR="000460CB" w:rsidRPr="00D90FED"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36</w:t>
      </w:r>
      <w:r>
        <w:t xml:space="preserve"> </w:t>
      </w:r>
      <w:r>
        <w:rPr>
          <w:sz w:val="18"/>
          <w:szCs w:val="18"/>
        </w:rPr>
        <w:t>Cf. Annexe 2, Tableaux 25 et 26.</w:t>
      </w:r>
    </w:p>
  </w:footnote>
  <w:footnote w:id="37">
    <w:p w:rsidR="000460CB" w:rsidRPr="00794ED6"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37</w:t>
      </w:r>
      <w:r>
        <w:t xml:space="preserve"> </w:t>
      </w:r>
      <w:r>
        <w:rPr>
          <w:sz w:val="18"/>
          <w:szCs w:val="18"/>
        </w:rPr>
        <w:t>Cf. Annexe 2, Tableau 27.</w:t>
      </w:r>
    </w:p>
  </w:footnote>
  <w:footnote w:id="38">
    <w:p w:rsidR="000460CB" w:rsidRPr="001F032D"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38</w:t>
      </w:r>
      <w:r>
        <w:t xml:space="preserve"> </w:t>
      </w:r>
      <w:r>
        <w:rPr>
          <w:sz w:val="18"/>
          <w:szCs w:val="18"/>
        </w:rPr>
        <w:t>Cf. Annexe 2, Tableau 28.</w:t>
      </w:r>
    </w:p>
  </w:footnote>
  <w:footnote w:id="39">
    <w:p w:rsidR="000460CB" w:rsidRPr="00C66C1F"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39</w:t>
      </w:r>
      <w:r>
        <w:t xml:space="preserve"> </w:t>
      </w:r>
      <w:r>
        <w:rPr>
          <w:sz w:val="18"/>
          <w:szCs w:val="18"/>
        </w:rPr>
        <w:t>Source : SORS – Informations statistiques No 118/2004 (28 avril 2004). Cf. Annexe 2, Tableaux 29, 30 et 31.</w:t>
      </w:r>
    </w:p>
  </w:footnote>
  <w:footnote w:id="40">
    <w:p w:rsidR="000460CB" w:rsidRPr="000426A5"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40</w:t>
      </w:r>
      <w:r>
        <w:t xml:space="preserve"> </w:t>
      </w:r>
      <w:r>
        <w:rPr>
          <w:sz w:val="18"/>
          <w:szCs w:val="18"/>
        </w:rPr>
        <w:t>Source : SORS – Première Publication statistique, 13 avril 2004, No 48. Cf. Annexe 2, Tableau 32.</w:t>
      </w:r>
    </w:p>
  </w:footnote>
  <w:footnote w:id="41">
    <w:p w:rsidR="000460CB" w:rsidRPr="00F4185F"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41</w:t>
      </w:r>
      <w:r>
        <w:t xml:space="preserve"> </w:t>
      </w:r>
      <w:r>
        <w:rPr>
          <w:sz w:val="18"/>
          <w:szCs w:val="18"/>
        </w:rPr>
        <w:t>Source : Inspection du Travail de la République de Slovénie, juillet 2005.</w:t>
      </w:r>
    </w:p>
  </w:footnote>
  <w:footnote w:id="42">
    <w:p w:rsidR="000460CB" w:rsidRPr="00E20D7A"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42</w:t>
      </w:r>
      <w:r>
        <w:t xml:space="preserve"> </w:t>
      </w:r>
      <w:r>
        <w:rPr>
          <w:sz w:val="18"/>
          <w:szCs w:val="18"/>
        </w:rPr>
        <w:t>Rapport sur l’action de l’Inspection du travail de la République de Slovénie – juillet 2005.</w:t>
      </w:r>
    </w:p>
  </w:footnote>
  <w:footnote w:id="43">
    <w:p w:rsidR="000460CB" w:rsidRPr="00A4203E"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43</w:t>
      </w:r>
      <w:r>
        <w:t xml:space="preserve"> </w:t>
      </w:r>
      <w:r>
        <w:rPr>
          <w:sz w:val="18"/>
          <w:szCs w:val="18"/>
        </w:rPr>
        <w:t xml:space="preserve">Enregistrement des cas d’absentéisme dus à la maladie, à une blessure, au fait de s’occuper d’un proche ou à toute autre raison – 2003. Institut de la Santé publique de la République de Slovénie, 2004. </w:t>
      </w:r>
    </w:p>
  </w:footnote>
  <w:footnote w:id="44">
    <w:p w:rsidR="000460CB" w:rsidRPr="00EE1116"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44</w:t>
      </w:r>
      <w:r>
        <w:t xml:space="preserve"> </w:t>
      </w:r>
      <w:r>
        <w:rPr>
          <w:sz w:val="18"/>
          <w:szCs w:val="18"/>
        </w:rPr>
        <w:t>Cf. Annexe 2, Tableaux 32 et 33.</w:t>
      </w:r>
    </w:p>
  </w:footnote>
  <w:footnote w:id="45">
    <w:p w:rsidR="000460CB" w:rsidRPr="00EE1116"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45</w:t>
      </w:r>
      <w:r>
        <w:t xml:space="preserve"> </w:t>
      </w:r>
      <w:r>
        <w:rPr>
          <w:sz w:val="18"/>
          <w:szCs w:val="18"/>
        </w:rPr>
        <w:t>Rapport annuel de 2004 – Bureau national de l’Emploi.</w:t>
      </w:r>
    </w:p>
  </w:footnote>
  <w:footnote w:id="46">
    <w:p w:rsidR="000460CB" w:rsidRPr="00E6357C"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46</w:t>
      </w:r>
      <w:r>
        <w:t xml:space="preserve"> </w:t>
      </w:r>
      <w:r>
        <w:rPr>
          <w:sz w:val="18"/>
          <w:szCs w:val="18"/>
        </w:rPr>
        <w:t>Source : Population active (sur la base d’une Etude relative à la main-d’œuvre). « Information statistique » Nos 225/2004 et 185/2005 – 15 juillet 2005. Institut de la Statistique de la République de Slovénie – 2004, 2005.</w:t>
      </w:r>
    </w:p>
  </w:footnote>
  <w:footnote w:id="47">
    <w:p w:rsidR="000460CB" w:rsidRPr="00E6357C"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47</w:t>
      </w:r>
      <w:r>
        <w:t xml:space="preserve"> </w:t>
      </w:r>
      <w:r>
        <w:rPr>
          <w:sz w:val="18"/>
          <w:szCs w:val="18"/>
        </w:rPr>
        <w:t>Source : Population active (sur la base d’une Etude relative à la main-d’œuvre). « Information statistique » No 85/2005. Institut de la Statistique de la République de Slovénie – 2004,2005.</w:t>
      </w:r>
    </w:p>
  </w:footnote>
  <w:footnote w:id="48">
    <w:p w:rsidR="000460CB" w:rsidRPr="009E1C3B"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48</w:t>
      </w:r>
      <w:r>
        <w:t xml:space="preserve"> </w:t>
      </w:r>
      <w:r>
        <w:rPr>
          <w:sz w:val="18"/>
          <w:szCs w:val="18"/>
        </w:rPr>
        <w:t>Cf. également « </w:t>
      </w:r>
      <w:r>
        <w:rPr>
          <w:i/>
          <w:iCs/>
          <w:sz w:val="18"/>
          <w:szCs w:val="18"/>
        </w:rPr>
        <w:t>Le travail et l’emploi en fonction du sexe dans dix pays candidats d’Europe centrale et orientale. Rapport fina – La Slovéniel »</w:t>
      </w:r>
      <w:r>
        <w:rPr>
          <w:sz w:val="18"/>
          <w:szCs w:val="18"/>
        </w:rPr>
        <w:t xml:space="preserve"> de A. Kanjuo Mrcela et N. Cernigoj Sadar. Etude sur la Slovénie. Fondation européenne, 2004. </w:t>
      </w:r>
    </w:p>
  </w:footnote>
  <w:footnote w:id="49">
    <w:p w:rsidR="000460CB" w:rsidRPr="00E01D8E"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49</w:t>
      </w:r>
      <w:r>
        <w:t xml:space="preserve"> </w:t>
      </w:r>
      <w:r>
        <w:rPr>
          <w:sz w:val="18"/>
          <w:szCs w:val="18"/>
        </w:rPr>
        <w:t>Cf. Annexe 2, Tableau 34.</w:t>
      </w:r>
    </w:p>
  </w:footnote>
  <w:footnote w:id="50">
    <w:p w:rsidR="000460CB" w:rsidRPr="00E01D8E"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50</w:t>
      </w:r>
      <w:r>
        <w:t xml:space="preserve"> </w:t>
      </w:r>
      <w:r>
        <w:rPr>
          <w:sz w:val="18"/>
          <w:szCs w:val="18"/>
        </w:rPr>
        <w:t>On a eu recours aux classifications traditionnelles des activités et emplois. Source : Population active (sur la base d’une Etude relative à la main-d’œuvre). « Information statistique » No 225/2004. Institut de la Statistique de la République de Slovénie, 2004. Cf. Annexe 2, Tableau 35.</w:t>
      </w:r>
    </w:p>
  </w:footnote>
  <w:footnote w:id="51">
    <w:p w:rsidR="000460CB" w:rsidRPr="001031EA"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51</w:t>
      </w:r>
      <w:r>
        <w:t xml:space="preserve"> </w:t>
      </w:r>
      <w:r>
        <w:rPr>
          <w:sz w:val="18"/>
          <w:szCs w:val="18"/>
        </w:rPr>
        <w:t>Cf. Annexe 2, Tableau 36.</w:t>
      </w:r>
    </w:p>
  </w:footnote>
  <w:footnote w:id="52">
    <w:p w:rsidR="000460CB" w:rsidRPr="00B9751E"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52</w:t>
      </w:r>
      <w:r>
        <w:t xml:space="preserve"> </w:t>
      </w:r>
      <w:r>
        <w:rPr>
          <w:sz w:val="18"/>
          <w:szCs w:val="18"/>
        </w:rPr>
        <w:t xml:space="preserve">Rapports annuels du Bureau national de l’Emploi pour les années 2000, 2001, 2002, 2003 et 2004. Cf. Annexe 2, Tableau 37. </w:t>
      </w:r>
    </w:p>
  </w:footnote>
  <w:footnote w:id="53">
    <w:p w:rsidR="000460CB" w:rsidRPr="00645010"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53</w:t>
      </w:r>
      <w:r>
        <w:t xml:space="preserve"> </w:t>
      </w:r>
      <w:r>
        <w:rPr>
          <w:sz w:val="18"/>
          <w:szCs w:val="18"/>
        </w:rPr>
        <w:t>Cf. Annexe 2, Tableau 38.</w:t>
      </w:r>
    </w:p>
  </w:footnote>
  <w:footnote w:id="54">
    <w:p w:rsidR="000460CB" w:rsidRPr="00645010"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54</w:t>
      </w:r>
      <w:r>
        <w:t xml:space="preserve"> </w:t>
      </w:r>
      <w:r>
        <w:rPr>
          <w:sz w:val="18"/>
          <w:szCs w:val="18"/>
        </w:rPr>
        <w:t>Cf. annexe 2, Tableau 39.</w:t>
      </w:r>
    </w:p>
  </w:footnote>
  <w:footnote w:id="55">
    <w:p w:rsidR="000460CB" w:rsidRPr="007145A5"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55</w:t>
      </w:r>
      <w:r>
        <w:t xml:space="preserve"> </w:t>
      </w:r>
      <w:r>
        <w:rPr>
          <w:sz w:val="18"/>
          <w:szCs w:val="18"/>
        </w:rPr>
        <w:t>Source : Rapport sur la mise en œuvre des politiques actives de l’emploi pour 2003.</w:t>
      </w:r>
    </w:p>
  </w:footnote>
  <w:footnote w:id="56">
    <w:p w:rsidR="000460CB" w:rsidRPr="005442C5"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56</w:t>
      </w:r>
      <w:r>
        <w:t xml:space="preserve"> </w:t>
      </w:r>
      <w:r>
        <w:rPr>
          <w:sz w:val="18"/>
          <w:szCs w:val="18"/>
        </w:rPr>
        <w:t xml:space="preserve">Source : Rapport sur la mise en œuvre des politiques actives de l’emploi pour 2004.  </w:t>
      </w:r>
    </w:p>
  </w:footnote>
  <w:footnote w:id="57">
    <w:p w:rsidR="000460CB" w:rsidRPr="005D1BE8"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57</w:t>
      </w:r>
      <w:r>
        <w:t xml:space="preserve"> </w:t>
      </w:r>
      <w:r>
        <w:rPr>
          <w:sz w:val="18"/>
          <w:szCs w:val="18"/>
        </w:rPr>
        <w:t>D’après certaines données, le taux de mortalité maternelle varie en fait considérablement – cela étant dû à une natalité assez faible (en moyenne, 17 000 à 18 000 naissances par an), mais également aux méthodes appliquées, puisque, outre les cas de décès de mères au cours des périodes prénatales et périnatales, on compte également l’ensemble de la période postnatale. Par conséquent, on considère qu’un taux moyen sur cinq ans constituerait un indicateur plus fiable que des données annuelles.</w:t>
      </w:r>
    </w:p>
  </w:footnote>
  <w:footnote w:id="58">
    <w:p w:rsidR="000460CB" w:rsidRPr="00762C95"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58</w:t>
      </w:r>
      <w:r>
        <w:t xml:space="preserve"> </w:t>
      </w:r>
      <w:r>
        <w:rPr>
          <w:sz w:val="18"/>
          <w:szCs w:val="18"/>
        </w:rPr>
        <w:t xml:space="preserve">Source : Rapport d’activité sur le Programme national « ZORA », pour 2003 et 2004. Institut d’Oncologie, Ljubljana, 2004. </w:t>
      </w:r>
    </w:p>
  </w:footnote>
  <w:footnote w:id="59">
    <w:p w:rsidR="000460CB" w:rsidRPr="004A4D24"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59</w:t>
      </w:r>
      <w:r>
        <w:t xml:space="preserve"> </w:t>
      </w:r>
      <w:r>
        <w:rPr>
          <w:sz w:val="18"/>
          <w:szCs w:val="18"/>
        </w:rPr>
        <w:t xml:space="preserve">Source : Annuaire statistique médical, 2002. Institut de Santé publique de la République de Slovénie. </w:t>
      </w:r>
    </w:p>
  </w:footnote>
  <w:footnote w:id="60">
    <w:p w:rsidR="000460CB" w:rsidRPr="00285A03"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60</w:t>
      </w:r>
      <w:r>
        <w:t xml:space="preserve"> </w:t>
      </w:r>
      <w:r>
        <w:rPr>
          <w:sz w:val="18"/>
          <w:szCs w:val="18"/>
        </w:rPr>
        <w:t xml:space="preserve">Cf. B. Pinter dans l’étude de A. Pretnar-Darovec </w:t>
      </w:r>
      <w:r>
        <w:rPr>
          <w:i/>
          <w:iCs/>
          <w:sz w:val="18"/>
          <w:szCs w:val="18"/>
        </w:rPr>
        <w:t>S.kontracepcijo proti nezeleni zanositvi (La contraception en cas de grossesse non désirée)</w:t>
      </w:r>
      <w:r>
        <w:rPr>
          <w:sz w:val="18"/>
          <w:szCs w:val="18"/>
        </w:rPr>
        <w:t xml:space="preserve">. Pinter et Pretnar-Darovec, responsables de la publication. Cf. également </w:t>
      </w:r>
      <w:r>
        <w:rPr>
          <w:i/>
          <w:iCs/>
          <w:sz w:val="18"/>
          <w:szCs w:val="18"/>
        </w:rPr>
        <w:t>Umetna prekinitev nosecnosti v Sloveniji</w:t>
      </w:r>
      <w:r>
        <w:rPr>
          <w:sz w:val="18"/>
          <w:szCs w:val="18"/>
        </w:rPr>
        <w:t xml:space="preserve"> </w:t>
      </w:r>
      <w:r>
        <w:rPr>
          <w:i/>
          <w:iCs/>
          <w:sz w:val="18"/>
          <w:szCs w:val="18"/>
        </w:rPr>
        <w:t>(Avortements provoqués, en Slovénie)</w:t>
      </w:r>
      <w:r>
        <w:rPr>
          <w:sz w:val="18"/>
          <w:szCs w:val="18"/>
        </w:rPr>
        <w:t>. Zbornik. Unité d’obstétrique et de gynécologie, Centre médical universitaire de Ljubljana, 2004.</w:t>
      </w:r>
    </w:p>
  </w:footnote>
  <w:footnote w:id="61">
    <w:p w:rsidR="000460CB" w:rsidRPr="006223C6"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61</w:t>
      </w:r>
      <w:r>
        <w:t xml:space="preserve"> </w:t>
      </w:r>
      <w:r>
        <w:rPr>
          <w:sz w:val="18"/>
          <w:szCs w:val="18"/>
        </w:rPr>
        <w:t xml:space="preserve">Source : Programme et enregistrement de séances de dépistage d’affections précancéreuses de l’utérus, </w:t>
      </w:r>
      <w:r>
        <w:rPr>
          <w:i/>
          <w:iCs/>
          <w:sz w:val="18"/>
          <w:szCs w:val="18"/>
        </w:rPr>
        <w:t>ZORA</w:t>
      </w:r>
      <w:r>
        <w:rPr>
          <w:sz w:val="18"/>
          <w:szCs w:val="18"/>
        </w:rPr>
        <w:t xml:space="preserve">. Institut d’Oncologie, Ljubljana. </w:t>
      </w:r>
    </w:p>
  </w:footnote>
  <w:footnote w:id="62">
    <w:p w:rsidR="000460CB" w:rsidRPr="006223C6"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62</w:t>
      </w:r>
      <w:r>
        <w:t xml:space="preserve"> </w:t>
      </w:r>
      <w:r>
        <w:rPr>
          <w:sz w:val="18"/>
          <w:szCs w:val="18"/>
        </w:rPr>
        <w:t xml:space="preserve">Source : Registre slovène du Cancer. Institut d’Oncologie, Ljubljana. </w:t>
      </w:r>
    </w:p>
  </w:footnote>
  <w:footnote w:id="63">
    <w:p w:rsidR="000460CB" w:rsidRPr="00703F83"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63</w:t>
      </w:r>
      <w:r>
        <w:t xml:space="preserve"> </w:t>
      </w:r>
      <w:r>
        <w:rPr>
          <w:sz w:val="18"/>
          <w:szCs w:val="18"/>
        </w:rPr>
        <w:t xml:space="preserve">Source : Prescriptions médicales dans les cliniques externes de Slovénie, conformément à la Classification ATC de 2002. Institut de la Santé publique de la République de Slovénie, 2003. </w:t>
      </w:r>
    </w:p>
  </w:footnote>
  <w:footnote w:id="64">
    <w:p w:rsidR="000460CB" w:rsidRPr="003A09D9"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64</w:t>
      </w:r>
      <w:r>
        <w:t xml:space="preserve"> </w:t>
      </w:r>
      <w:r>
        <w:rPr>
          <w:sz w:val="18"/>
          <w:szCs w:val="18"/>
        </w:rPr>
        <w:t xml:space="preserve">Source : Rapport sur le « développement humain » - Slovénie 2002/2003. Institut slovène d’études et de développement macroéconomiques, 2004. </w:t>
      </w:r>
    </w:p>
  </w:footnote>
  <w:footnote w:id="65">
    <w:p w:rsidR="000460CB" w:rsidRPr="00F20477"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65</w:t>
      </w:r>
      <w:r>
        <w:t xml:space="preserve"> </w:t>
      </w:r>
      <w:r>
        <w:rPr>
          <w:sz w:val="18"/>
          <w:szCs w:val="18"/>
        </w:rPr>
        <w:t>Source : Annuaire statistique médical, 2002. Institut de la Santé publique de la République de Slovénie, 2004.</w:t>
      </w:r>
    </w:p>
  </w:footnote>
  <w:footnote w:id="66">
    <w:p w:rsidR="000460CB" w:rsidRPr="005F39DC"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66</w:t>
      </w:r>
      <w:r>
        <w:t xml:space="preserve"> </w:t>
      </w:r>
      <w:r>
        <w:rPr>
          <w:sz w:val="18"/>
          <w:szCs w:val="18"/>
        </w:rPr>
        <w:t>Source : Association de conseil aux femmes.</w:t>
      </w:r>
    </w:p>
  </w:footnote>
  <w:footnote w:id="67">
    <w:p w:rsidR="000460CB" w:rsidRPr="00561083"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67</w:t>
      </w:r>
      <w:r>
        <w:t xml:space="preserve"> </w:t>
      </w:r>
      <w:r>
        <w:rPr>
          <w:sz w:val="18"/>
          <w:szCs w:val="18"/>
        </w:rPr>
        <w:t xml:space="preserve">Source : Centre des maladies contagieuses – Unité du sida et des maladies sexuellement transmissibles. Institut de la Santé publique de la République de Slovénie. </w:t>
      </w:r>
    </w:p>
  </w:footnote>
  <w:footnote w:id="68">
    <w:p w:rsidR="000460CB" w:rsidRPr="00FE6BAC"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68</w:t>
      </w:r>
      <w:r>
        <w:t xml:space="preserve"> </w:t>
      </w:r>
      <w:r>
        <w:rPr>
          <w:sz w:val="18"/>
          <w:szCs w:val="18"/>
        </w:rPr>
        <w:t xml:space="preserve">Source : Centre des maladies contagieuses – Unité du sida et des maladies sexuellement transmissibles. Institut de la Santé publique de la République de Slovénie, juillet 2005. Cf. Annexe 2, Tableau 44. </w:t>
      </w:r>
    </w:p>
  </w:footnote>
  <w:footnote w:id="69">
    <w:p w:rsidR="000460CB" w:rsidRPr="00597937"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69</w:t>
      </w:r>
      <w:r>
        <w:t xml:space="preserve"> </w:t>
      </w:r>
      <w:r>
        <w:rPr>
          <w:sz w:val="18"/>
          <w:szCs w:val="18"/>
        </w:rPr>
        <w:t>Cf. Annexe 2, Tableau 45.</w:t>
      </w:r>
    </w:p>
  </w:footnote>
  <w:footnote w:id="70">
    <w:p w:rsidR="000460CB" w:rsidRPr="00C60361"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70</w:t>
      </w:r>
      <w:r>
        <w:t xml:space="preserve"> </w:t>
      </w:r>
      <w:r>
        <w:rPr>
          <w:sz w:val="18"/>
          <w:szCs w:val="18"/>
        </w:rPr>
        <w:t>Source : Ministère du Travail, de la Famille et des Affaires sociales, mai 2005.</w:t>
      </w:r>
    </w:p>
  </w:footnote>
  <w:footnote w:id="71">
    <w:p w:rsidR="000460CB" w:rsidRPr="00C60361"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71</w:t>
      </w:r>
      <w:r>
        <w:t xml:space="preserve"> </w:t>
      </w:r>
      <w:r>
        <w:rPr>
          <w:sz w:val="18"/>
          <w:szCs w:val="18"/>
        </w:rPr>
        <w:t xml:space="preserve">C’est-à-dire le pourcentage de personnes membres de foyers disposant d’un revenu net susceptible de les faire passer en dessous du seuil de pauvreté. Données sur le niveau du risque de pauvreté en termes de revenus (financiers ou en nature). </w:t>
      </w:r>
    </w:p>
  </w:footnote>
  <w:footnote w:id="72">
    <w:p w:rsidR="000460CB" w:rsidRPr="00D57527"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72</w:t>
      </w:r>
      <w:r>
        <w:t xml:space="preserve"> </w:t>
      </w:r>
      <w:r>
        <w:rPr>
          <w:sz w:val="18"/>
          <w:szCs w:val="18"/>
        </w:rPr>
        <w:t>Cf. Annexe 2, Tableau 46.</w:t>
      </w:r>
    </w:p>
  </w:footnote>
  <w:footnote w:id="73">
    <w:p w:rsidR="000460CB" w:rsidRPr="00D57527"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73</w:t>
      </w:r>
      <w:r>
        <w:t xml:space="preserve"> </w:t>
      </w:r>
      <w:r>
        <w:rPr>
          <w:sz w:val="18"/>
          <w:szCs w:val="18"/>
        </w:rPr>
        <w:t>Cf. Annexe 2, Tableau 47.</w:t>
      </w:r>
    </w:p>
  </w:footnote>
  <w:footnote w:id="74">
    <w:p w:rsidR="000460CB" w:rsidRPr="0097193E"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74</w:t>
      </w:r>
      <w:r>
        <w:t xml:space="preserve"> </w:t>
      </w:r>
      <w:r>
        <w:rPr>
          <w:sz w:val="18"/>
          <w:szCs w:val="18"/>
        </w:rPr>
        <w:t xml:space="preserve">A quoi les Européens consacrent-ils leur temps ? La vie quotidienne des hommes et des femmes en Europe (Données 1998-2002). Eurostat, 2004. Cf. Annexe 2, Tableaux 48 et 49. </w:t>
      </w:r>
    </w:p>
  </w:footnote>
  <w:footnote w:id="75">
    <w:p w:rsidR="000460CB" w:rsidRPr="00430FE7"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75</w:t>
      </w:r>
      <w:r>
        <w:t xml:space="preserve"> </w:t>
      </w:r>
      <w:r>
        <w:rPr>
          <w:sz w:val="18"/>
          <w:szCs w:val="18"/>
        </w:rPr>
        <w:t>Cette étude distinguait deux échantillons représentatifs des femmes rurales : 1) celles vivant au sein d’une exploitation agricole ; 2) celles vivant ailleurs que dans l’exploitation agricole.</w:t>
      </w:r>
    </w:p>
  </w:footnote>
  <w:footnote w:id="76">
    <w:p w:rsidR="000460CB" w:rsidRPr="00A55A6F"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76</w:t>
      </w:r>
      <w:r>
        <w:t xml:space="preserve"> </w:t>
      </w:r>
      <w:r>
        <w:rPr>
          <w:sz w:val="18"/>
          <w:szCs w:val="18"/>
        </w:rPr>
        <w:t xml:space="preserve">Source : Université de Ljubljana, Faculté de Biotechnique. Etude relative aux femmes rurales en Slovénie, 2002. Cf. Annexe 2, Tableau 50. </w:t>
      </w:r>
    </w:p>
  </w:footnote>
  <w:footnote w:id="77">
    <w:p w:rsidR="000460CB" w:rsidRPr="000D3EA2"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77</w:t>
      </w:r>
      <w:r>
        <w:t xml:space="preserve"> </w:t>
      </w:r>
      <w:r>
        <w:rPr>
          <w:sz w:val="18"/>
          <w:szCs w:val="18"/>
        </w:rPr>
        <w:t>Source : Institut de la Statistique de la République de Slovénie – « Les femmes rurales en Slovénie », 14 octobre 2005.</w:t>
      </w:r>
    </w:p>
  </w:footnote>
  <w:footnote w:id="78">
    <w:p w:rsidR="000460CB" w:rsidRPr="002349A8"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78</w:t>
      </w:r>
      <w:r>
        <w:t xml:space="preserve"> </w:t>
      </w:r>
      <w:r>
        <w:rPr>
          <w:sz w:val="18"/>
          <w:szCs w:val="18"/>
        </w:rPr>
        <w:t>Source : Rapport sur la condition des Roms en République de Slovénie (2004), Office gouvernemental des nationalités, 2004.</w:t>
      </w:r>
    </w:p>
  </w:footnote>
  <w:footnote w:id="79">
    <w:p w:rsidR="000460CB" w:rsidRPr="0070391B"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79</w:t>
      </w:r>
      <w:r>
        <w:t xml:space="preserve"> </w:t>
      </w:r>
      <w:r>
        <w:rPr>
          <w:sz w:val="18"/>
          <w:szCs w:val="18"/>
        </w:rPr>
        <w:t>Cf. Annexe 2, Tableau 51.</w:t>
      </w:r>
    </w:p>
  </w:footnote>
  <w:footnote w:id="80">
    <w:p w:rsidR="000460CB" w:rsidRPr="00E254E4"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80</w:t>
      </w:r>
      <w:r>
        <w:t xml:space="preserve"> </w:t>
      </w:r>
      <w:r>
        <w:rPr>
          <w:sz w:val="18"/>
          <w:szCs w:val="18"/>
        </w:rPr>
        <w:t>Cf. annexe 2, Tableau 52.</w:t>
      </w:r>
    </w:p>
  </w:footnote>
  <w:footnote w:id="81">
    <w:p w:rsidR="000460CB" w:rsidRPr="004C458E" w:rsidRDefault="000460CB" w:rsidP="006A4785">
      <w:pPr>
        <w:pStyle w:val="FootnoteText"/>
        <w:tabs>
          <w:tab w:val="clear" w:pos="418"/>
          <w:tab w:val="right" w:pos="1195"/>
          <w:tab w:val="left" w:pos="1267"/>
          <w:tab w:val="left" w:pos="1742"/>
          <w:tab w:val="left" w:pos="2218"/>
          <w:tab w:val="left" w:pos="2693"/>
        </w:tabs>
        <w:ind w:left="1267" w:right="1260" w:hanging="432"/>
        <w:rPr>
          <w:sz w:val="18"/>
          <w:szCs w:val="18"/>
        </w:rPr>
      </w:pPr>
      <w:r>
        <w:rPr>
          <w:rStyle w:val="FootnoteReference"/>
        </w:rPr>
        <w:t>81</w:t>
      </w:r>
      <w:r>
        <w:t xml:space="preserve"> </w:t>
      </w:r>
      <w:r>
        <w:rPr>
          <w:sz w:val="18"/>
          <w:szCs w:val="18"/>
        </w:rPr>
        <w:t>Source : Ministère du Travail, de la Famille et des Affaires sociales,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460CB">
      <w:tblPrEx>
        <w:tblCellMar>
          <w:top w:w="0" w:type="dxa"/>
          <w:bottom w:w="0" w:type="dxa"/>
        </w:tblCellMar>
      </w:tblPrEx>
      <w:trPr>
        <w:trHeight w:hRule="exact" w:val="864"/>
      </w:trPr>
      <w:tc>
        <w:tcPr>
          <w:tcW w:w="4838" w:type="dxa"/>
          <w:shd w:val="clear" w:color="auto" w:fill="auto"/>
          <w:vAlign w:val="bottom"/>
        </w:tcPr>
        <w:p w:rsidR="000460CB" w:rsidRPr="00C908D7" w:rsidRDefault="000460CB" w:rsidP="00C908D7">
          <w:pPr>
            <w:pStyle w:val="Header"/>
            <w:spacing w:after="80"/>
            <w:rPr>
              <w:b/>
            </w:rPr>
          </w:pPr>
          <w:r>
            <w:rPr>
              <w:b/>
            </w:rPr>
            <w:fldChar w:fldCharType="begin"/>
          </w:r>
          <w:r>
            <w:rPr>
              <w:b/>
            </w:rPr>
            <w:instrText xml:space="preserve"> DOCVARIABLE "sss1" \* MERGEFORMAT </w:instrText>
          </w:r>
          <w:r>
            <w:rPr>
              <w:b/>
            </w:rPr>
            <w:fldChar w:fldCharType="separate"/>
          </w:r>
          <w:r w:rsidR="00E30EA9">
            <w:rPr>
              <w:b/>
            </w:rPr>
            <w:t>CEDAW/C/SVN/4</w:t>
          </w:r>
          <w:r>
            <w:rPr>
              <w:b/>
            </w:rPr>
            <w:fldChar w:fldCharType="end"/>
          </w:r>
        </w:p>
      </w:tc>
      <w:tc>
        <w:tcPr>
          <w:tcW w:w="5033" w:type="dxa"/>
          <w:shd w:val="clear" w:color="auto" w:fill="auto"/>
          <w:vAlign w:val="bottom"/>
        </w:tcPr>
        <w:p w:rsidR="000460CB" w:rsidRDefault="000460CB" w:rsidP="00C908D7">
          <w:pPr>
            <w:pStyle w:val="Header"/>
          </w:pPr>
        </w:p>
      </w:tc>
    </w:tr>
  </w:tbl>
  <w:p w:rsidR="000460CB" w:rsidRPr="00C908D7" w:rsidRDefault="000460CB" w:rsidP="00C908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460CB">
      <w:tblPrEx>
        <w:tblCellMar>
          <w:top w:w="0" w:type="dxa"/>
          <w:bottom w:w="0" w:type="dxa"/>
        </w:tblCellMar>
      </w:tblPrEx>
      <w:trPr>
        <w:trHeight w:hRule="exact" w:val="864"/>
      </w:trPr>
      <w:tc>
        <w:tcPr>
          <w:tcW w:w="4838" w:type="dxa"/>
          <w:shd w:val="clear" w:color="auto" w:fill="auto"/>
          <w:vAlign w:val="bottom"/>
        </w:tcPr>
        <w:p w:rsidR="000460CB" w:rsidRDefault="000460CB" w:rsidP="00C908D7">
          <w:pPr>
            <w:pStyle w:val="Header"/>
          </w:pPr>
        </w:p>
      </w:tc>
      <w:tc>
        <w:tcPr>
          <w:tcW w:w="5033" w:type="dxa"/>
          <w:shd w:val="clear" w:color="auto" w:fill="auto"/>
          <w:vAlign w:val="bottom"/>
        </w:tcPr>
        <w:p w:rsidR="000460CB" w:rsidRPr="00C908D7" w:rsidRDefault="000460CB" w:rsidP="00C908D7">
          <w:pPr>
            <w:pStyle w:val="Header"/>
            <w:spacing w:after="80"/>
            <w:jc w:val="right"/>
            <w:rPr>
              <w:b/>
            </w:rPr>
          </w:pPr>
          <w:r>
            <w:rPr>
              <w:b/>
            </w:rPr>
            <w:fldChar w:fldCharType="begin"/>
          </w:r>
          <w:r>
            <w:rPr>
              <w:b/>
            </w:rPr>
            <w:instrText xml:space="preserve"> DOCVARIABLE "sss1" \* MERGEFORMAT </w:instrText>
          </w:r>
          <w:r>
            <w:rPr>
              <w:b/>
            </w:rPr>
            <w:fldChar w:fldCharType="separate"/>
          </w:r>
          <w:r w:rsidR="00E30EA9">
            <w:rPr>
              <w:b/>
            </w:rPr>
            <w:t>CEDAW/C/SVN/4</w:t>
          </w:r>
          <w:r>
            <w:rPr>
              <w:b/>
            </w:rPr>
            <w:fldChar w:fldCharType="end"/>
          </w:r>
        </w:p>
      </w:tc>
    </w:tr>
  </w:tbl>
  <w:p w:rsidR="000460CB" w:rsidRPr="00C908D7" w:rsidRDefault="000460CB" w:rsidP="00C908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460CB">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460CB" w:rsidRDefault="000460CB">
          <w:pPr>
            <w:pStyle w:val="Header"/>
            <w:spacing w:after="120"/>
          </w:pPr>
        </w:p>
      </w:tc>
      <w:tc>
        <w:tcPr>
          <w:tcW w:w="1872" w:type="dxa"/>
          <w:tcBorders>
            <w:top w:val="nil"/>
            <w:left w:val="nil"/>
            <w:bottom w:val="nil"/>
            <w:right w:val="nil"/>
          </w:tcBorders>
          <w:vAlign w:val="bottom"/>
        </w:tcPr>
        <w:p w:rsidR="000460CB" w:rsidRDefault="000460CB">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460CB" w:rsidRDefault="000460CB">
          <w:pPr>
            <w:pStyle w:val="Header"/>
            <w:spacing w:after="120"/>
          </w:pPr>
        </w:p>
      </w:tc>
      <w:tc>
        <w:tcPr>
          <w:tcW w:w="6523" w:type="dxa"/>
          <w:gridSpan w:val="3"/>
          <w:tcBorders>
            <w:top w:val="nil"/>
            <w:left w:val="nil"/>
            <w:bottom w:val="nil"/>
            <w:right w:val="nil"/>
          </w:tcBorders>
          <w:vAlign w:val="bottom"/>
        </w:tcPr>
        <w:p w:rsidR="000460CB" w:rsidRPr="00C908D7" w:rsidRDefault="000460CB" w:rsidP="00C908D7">
          <w:pPr>
            <w:spacing w:after="80" w:line="240" w:lineRule="auto"/>
            <w:jc w:val="right"/>
            <w:rPr>
              <w:position w:val="-4"/>
            </w:rPr>
          </w:pPr>
          <w:r>
            <w:rPr>
              <w:position w:val="-4"/>
              <w:sz w:val="40"/>
            </w:rPr>
            <w:t>CEDAW</w:t>
          </w:r>
          <w:r>
            <w:rPr>
              <w:position w:val="-4"/>
            </w:rPr>
            <w:t>/C/SVN/4</w:t>
          </w:r>
        </w:p>
      </w:tc>
    </w:tr>
    <w:tr w:rsidR="000460CB">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460CB" w:rsidRDefault="000460CB">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460CB" w:rsidRDefault="000460CB">
          <w:pPr>
            <w:pStyle w:val="Header"/>
            <w:spacing w:before="880"/>
            <w:ind w:left="-72"/>
          </w:pPr>
        </w:p>
      </w:tc>
      <w:tc>
        <w:tcPr>
          <w:tcW w:w="5227" w:type="dxa"/>
          <w:gridSpan w:val="3"/>
          <w:tcBorders>
            <w:left w:val="nil"/>
            <w:bottom w:val="single" w:sz="12" w:space="0" w:color="auto"/>
            <w:right w:val="nil"/>
          </w:tcBorders>
        </w:tcPr>
        <w:p w:rsidR="000460CB" w:rsidRDefault="000460C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460CB" w:rsidRPr="00E30EA9" w:rsidRDefault="000460CB">
          <w:pPr>
            <w:pStyle w:val="Header"/>
            <w:spacing w:before="109"/>
            <w:rPr>
              <w:lang w:val="fr-FR"/>
            </w:rPr>
          </w:pPr>
        </w:p>
      </w:tc>
      <w:tc>
        <w:tcPr>
          <w:tcW w:w="3180" w:type="dxa"/>
          <w:gridSpan w:val="2"/>
          <w:tcBorders>
            <w:left w:val="nil"/>
            <w:bottom w:val="single" w:sz="12" w:space="0" w:color="auto"/>
            <w:right w:val="nil"/>
          </w:tcBorders>
        </w:tcPr>
        <w:p w:rsidR="000460CB" w:rsidRDefault="000460CB">
          <w:pPr>
            <w:spacing w:before="240"/>
          </w:pPr>
          <w:r>
            <w:t>Distr. générale</w:t>
          </w:r>
        </w:p>
        <w:p w:rsidR="000460CB" w:rsidRDefault="000460CB">
          <w:r>
            <w:t>8 mai 2007</w:t>
          </w:r>
        </w:p>
        <w:p w:rsidR="000460CB" w:rsidRDefault="000460CB">
          <w:r>
            <w:t>Français</w:t>
          </w:r>
        </w:p>
        <w:p w:rsidR="000460CB" w:rsidRDefault="000460CB">
          <w:r>
            <w:t>Original: anglais</w:t>
          </w:r>
        </w:p>
      </w:tc>
    </w:tr>
  </w:tbl>
  <w:p w:rsidR="000460CB" w:rsidRPr="00E30EA9" w:rsidRDefault="000460CB">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35C8E"/>
    <w:multiLevelType w:val="hybridMultilevel"/>
    <w:tmpl w:val="00005226"/>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5E60425C"/>
    <w:multiLevelType w:val="hybridMultilevel"/>
    <w:tmpl w:val="142C3BFA"/>
    <w:lvl w:ilvl="0" w:tplc="C8DAF60E">
      <w:start w:val="1"/>
      <w:numFmt w:val="bullet"/>
      <w:lvlText w:val="-"/>
      <w:lvlJc w:val="left"/>
      <w:pPr>
        <w:tabs>
          <w:tab w:val="num" w:pos="420"/>
        </w:tabs>
        <w:ind w:left="400" w:hanging="340"/>
      </w:pPr>
      <w:rPr>
        <w:rFonts w:ascii="Times New Roman" w:eastAsia="Times New Roman" w:hAnsi="Times New Roman" w:cs="Times New Roman" w:hint="default"/>
      </w:rPr>
    </w:lvl>
    <w:lvl w:ilvl="1" w:tplc="04240003" w:tentative="1">
      <w:start w:val="1"/>
      <w:numFmt w:val="bullet"/>
      <w:lvlText w:val="o"/>
      <w:lvlJc w:val="left"/>
      <w:pPr>
        <w:tabs>
          <w:tab w:val="num" w:pos="1500"/>
        </w:tabs>
        <w:ind w:left="1500" w:hanging="360"/>
      </w:pPr>
      <w:rPr>
        <w:rFonts w:ascii="Courier New" w:hAnsi="Courier New" w:hint="default"/>
      </w:rPr>
    </w:lvl>
    <w:lvl w:ilvl="2" w:tplc="04240005" w:tentative="1">
      <w:start w:val="1"/>
      <w:numFmt w:val="bullet"/>
      <w:lvlText w:val=""/>
      <w:lvlJc w:val="left"/>
      <w:pPr>
        <w:tabs>
          <w:tab w:val="num" w:pos="2220"/>
        </w:tabs>
        <w:ind w:left="2220" w:hanging="360"/>
      </w:pPr>
      <w:rPr>
        <w:rFonts w:ascii="Wingdings" w:hAnsi="Wingdings" w:hint="default"/>
      </w:rPr>
    </w:lvl>
    <w:lvl w:ilvl="3" w:tplc="04240001" w:tentative="1">
      <w:start w:val="1"/>
      <w:numFmt w:val="bullet"/>
      <w:lvlText w:val=""/>
      <w:lvlJc w:val="left"/>
      <w:pPr>
        <w:tabs>
          <w:tab w:val="num" w:pos="2940"/>
        </w:tabs>
        <w:ind w:left="2940" w:hanging="360"/>
      </w:pPr>
      <w:rPr>
        <w:rFonts w:ascii="Symbol" w:hAnsi="Symbol" w:hint="default"/>
      </w:rPr>
    </w:lvl>
    <w:lvl w:ilvl="4" w:tplc="04240003" w:tentative="1">
      <w:start w:val="1"/>
      <w:numFmt w:val="bullet"/>
      <w:lvlText w:val="o"/>
      <w:lvlJc w:val="left"/>
      <w:pPr>
        <w:tabs>
          <w:tab w:val="num" w:pos="3660"/>
        </w:tabs>
        <w:ind w:left="3660" w:hanging="360"/>
      </w:pPr>
      <w:rPr>
        <w:rFonts w:ascii="Courier New" w:hAnsi="Courier New" w:hint="default"/>
      </w:rPr>
    </w:lvl>
    <w:lvl w:ilvl="5" w:tplc="04240005" w:tentative="1">
      <w:start w:val="1"/>
      <w:numFmt w:val="bullet"/>
      <w:lvlText w:val=""/>
      <w:lvlJc w:val="left"/>
      <w:pPr>
        <w:tabs>
          <w:tab w:val="num" w:pos="4380"/>
        </w:tabs>
        <w:ind w:left="4380" w:hanging="360"/>
      </w:pPr>
      <w:rPr>
        <w:rFonts w:ascii="Wingdings" w:hAnsi="Wingdings" w:hint="default"/>
      </w:rPr>
    </w:lvl>
    <w:lvl w:ilvl="6" w:tplc="04240001" w:tentative="1">
      <w:start w:val="1"/>
      <w:numFmt w:val="bullet"/>
      <w:lvlText w:val=""/>
      <w:lvlJc w:val="left"/>
      <w:pPr>
        <w:tabs>
          <w:tab w:val="num" w:pos="5100"/>
        </w:tabs>
        <w:ind w:left="5100" w:hanging="360"/>
      </w:pPr>
      <w:rPr>
        <w:rFonts w:ascii="Symbol" w:hAnsi="Symbol" w:hint="default"/>
      </w:rPr>
    </w:lvl>
    <w:lvl w:ilvl="7" w:tplc="04240003" w:tentative="1">
      <w:start w:val="1"/>
      <w:numFmt w:val="bullet"/>
      <w:lvlText w:val="o"/>
      <w:lvlJc w:val="left"/>
      <w:pPr>
        <w:tabs>
          <w:tab w:val="num" w:pos="5820"/>
        </w:tabs>
        <w:ind w:left="5820" w:hanging="360"/>
      </w:pPr>
      <w:rPr>
        <w:rFonts w:ascii="Courier New" w:hAnsi="Courier New" w:hint="default"/>
      </w:rPr>
    </w:lvl>
    <w:lvl w:ilvl="8" w:tplc="04240005" w:tentative="1">
      <w:start w:val="1"/>
      <w:numFmt w:val="bullet"/>
      <w:lvlText w:val=""/>
      <w:lvlJc w:val="left"/>
      <w:pPr>
        <w:tabs>
          <w:tab w:val="num" w:pos="6540"/>
        </w:tabs>
        <w:ind w:left="6540" w:hanging="360"/>
      </w:pPr>
      <w:rPr>
        <w:rFonts w:ascii="Wingdings" w:hAnsi="Wingdings" w:hint="default"/>
      </w:rPr>
    </w:lvl>
  </w:abstractNum>
  <w:abstractNum w:abstractNumId="2">
    <w:nsid w:val="723528BF"/>
    <w:multiLevelType w:val="singleLevel"/>
    <w:tmpl w:val="4F78198E"/>
    <w:lvl w:ilvl="0">
      <w:start w:val="5"/>
      <w:numFmt w:val="decimal"/>
      <w:lvlRestart w:val="0"/>
      <w:lvlText w:val="%1."/>
      <w:lvlJc w:val="left"/>
      <w:pPr>
        <w:tabs>
          <w:tab w:val="num" w:pos="1742"/>
        </w:tabs>
        <w:ind w:left="1267" w:firstLine="0"/>
      </w:pPr>
      <w:rPr>
        <w:w w:val="100"/>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130"/>
    <w:docVar w:name="CreationDt" w:val="7/4/07 12:15 PM"/>
    <w:docVar w:name="DocCategory" w:val="Doc"/>
    <w:docVar w:name="DocType" w:val="Final"/>
    <w:docVar w:name="FooterJN" w:val="07-35130"/>
    <w:docVar w:name="jobn" w:val="07-35130 (F)"/>
    <w:docVar w:name="jobnDT" w:val="07-35130 (F)      "/>
    <w:docVar w:name="jobnDTDT" w:val="07-35130 (F)      060807"/>
    <w:docVar w:name="JobNo" w:val="0735130F"/>
    <w:docVar w:name="OandT" w:val=" "/>
    <w:docVar w:name="sss1" w:val="CEDAW/C/SVN/4"/>
    <w:docVar w:name="Symbol1" w:val="CEDAW/C/SVN/4"/>
    <w:docVar w:name="Symbol2" w:val="-"/>
  </w:docVars>
  <w:rsids>
    <w:rsidRoot w:val="00CF5B1B"/>
    <w:rsid w:val="00011F33"/>
    <w:rsid w:val="000460CB"/>
    <w:rsid w:val="00065BFA"/>
    <w:rsid w:val="00073890"/>
    <w:rsid w:val="0008640F"/>
    <w:rsid w:val="000A347D"/>
    <w:rsid w:val="000A3D87"/>
    <w:rsid w:val="000B70C6"/>
    <w:rsid w:val="000C5527"/>
    <w:rsid w:val="000D2AA5"/>
    <w:rsid w:val="000D343E"/>
    <w:rsid w:val="0011032F"/>
    <w:rsid w:val="001126B0"/>
    <w:rsid w:val="00113A64"/>
    <w:rsid w:val="001178F2"/>
    <w:rsid w:val="0012256D"/>
    <w:rsid w:val="00125E4B"/>
    <w:rsid w:val="0015391B"/>
    <w:rsid w:val="00164199"/>
    <w:rsid w:val="00170214"/>
    <w:rsid w:val="0018387B"/>
    <w:rsid w:val="001A076E"/>
    <w:rsid w:val="001A0A96"/>
    <w:rsid w:val="001E4E36"/>
    <w:rsid w:val="001F0F00"/>
    <w:rsid w:val="00201186"/>
    <w:rsid w:val="002150CF"/>
    <w:rsid w:val="00221C8A"/>
    <w:rsid w:val="00223AA4"/>
    <w:rsid w:val="00224799"/>
    <w:rsid w:val="00226C63"/>
    <w:rsid w:val="002310F2"/>
    <w:rsid w:val="00234E8F"/>
    <w:rsid w:val="002375F5"/>
    <w:rsid w:val="00237EEA"/>
    <w:rsid w:val="00247191"/>
    <w:rsid w:val="0025170B"/>
    <w:rsid w:val="00255149"/>
    <w:rsid w:val="00270E40"/>
    <w:rsid w:val="0027746F"/>
    <w:rsid w:val="002A4387"/>
    <w:rsid w:val="002B0141"/>
    <w:rsid w:val="002B0972"/>
    <w:rsid w:val="002D5B1A"/>
    <w:rsid w:val="00306BA7"/>
    <w:rsid w:val="003158AC"/>
    <w:rsid w:val="003221F3"/>
    <w:rsid w:val="00325A01"/>
    <w:rsid w:val="0032664C"/>
    <w:rsid w:val="00342F79"/>
    <w:rsid w:val="00385997"/>
    <w:rsid w:val="003A6412"/>
    <w:rsid w:val="003A6F57"/>
    <w:rsid w:val="003E72A3"/>
    <w:rsid w:val="003F4A03"/>
    <w:rsid w:val="004077D8"/>
    <w:rsid w:val="00407999"/>
    <w:rsid w:val="004079AB"/>
    <w:rsid w:val="00417986"/>
    <w:rsid w:val="00430042"/>
    <w:rsid w:val="004330E9"/>
    <w:rsid w:val="00467423"/>
    <w:rsid w:val="00476BA3"/>
    <w:rsid w:val="00497747"/>
    <w:rsid w:val="004A14DA"/>
    <w:rsid w:val="004F7CE0"/>
    <w:rsid w:val="005054FC"/>
    <w:rsid w:val="00507382"/>
    <w:rsid w:val="00521818"/>
    <w:rsid w:val="00525D53"/>
    <w:rsid w:val="00527026"/>
    <w:rsid w:val="00587198"/>
    <w:rsid w:val="005A4B82"/>
    <w:rsid w:val="005B0CE2"/>
    <w:rsid w:val="005C21F3"/>
    <w:rsid w:val="005D71E6"/>
    <w:rsid w:val="005F5CDB"/>
    <w:rsid w:val="00605A86"/>
    <w:rsid w:val="0061676D"/>
    <w:rsid w:val="00620C41"/>
    <w:rsid w:val="00621401"/>
    <w:rsid w:val="00627247"/>
    <w:rsid w:val="006405B4"/>
    <w:rsid w:val="00650792"/>
    <w:rsid w:val="00671934"/>
    <w:rsid w:val="00673639"/>
    <w:rsid w:val="0067628B"/>
    <w:rsid w:val="006A4084"/>
    <w:rsid w:val="006A4785"/>
    <w:rsid w:val="006A6C6B"/>
    <w:rsid w:val="006B0220"/>
    <w:rsid w:val="006B05BA"/>
    <w:rsid w:val="006C7981"/>
    <w:rsid w:val="006D3FC4"/>
    <w:rsid w:val="006E5F32"/>
    <w:rsid w:val="006E710C"/>
    <w:rsid w:val="007051F6"/>
    <w:rsid w:val="00705A50"/>
    <w:rsid w:val="00711E21"/>
    <w:rsid w:val="00717C94"/>
    <w:rsid w:val="0073290F"/>
    <w:rsid w:val="00740CA4"/>
    <w:rsid w:val="00750330"/>
    <w:rsid w:val="007651C9"/>
    <w:rsid w:val="007C13FD"/>
    <w:rsid w:val="007D4FA7"/>
    <w:rsid w:val="007F19FF"/>
    <w:rsid w:val="008379A5"/>
    <w:rsid w:val="00846B6F"/>
    <w:rsid w:val="00851D7A"/>
    <w:rsid w:val="00855655"/>
    <w:rsid w:val="00863960"/>
    <w:rsid w:val="008724C4"/>
    <w:rsid w:val="00877CB0"/>
    <w:rsid w:val="00880781"/>
    <w:rsid w:val="00885E80"/>
    <w:rsid w:val="008A265D"/>
    <w:rsid w:val="008B0DF6"/>
    <w:rsid w:val="008B63DF"/>
    <w:rsid w:val="008B6D2B"/>
    <w:rsid w:val="008D662A"/>
    <w:rsid w:val="00903601"/>
    <w:rsid w:val="009121C1"/>
    <w:rsid w:val="00940485"/>
    <w:rsid w:val="009546E1"/>
    <w:rsid w:val="00961E22"/>
    <w:rsid w:val="00962950"/>
    <w:rsid w:val="009704E7"/>
    <w:rsid w:val="00985B76"/>
    <w:rsid w:val="009A2C2B"/>
    <w:rsid w:val="009B5AAD"/>
    <w:rsid w:val="009C26B5"/>
    <w:rsid w:val="009D597F"/>
    <w:rsid w:val="009E67B3"/>
    <w:rsid w:val="00A05C4E"/>
    <w:rsid w:val="00A708A8"/>
    <w:rsid w:val="00A838F9"/>
    <w:rsid w:val="00AA2F8C"/>
    <w:rsid w:val="00AC2642"/>
    <w:rsid w:val="00AE044A"/>
    <w:rsid w:val="00AE0B41"/>
    <w:rsid w:val="00AF0600"/>
    <w:rsid w:val="00B0068A"/>
    <w:rsid w:val="00B11001"/>
    <w:rsid w:val="00B12AFA"/>
    <w:rsid w:val="00B240BA"/>
    <w:rsid w:val="00B2732B"/>
    <w:rsid w:val="00B43003"/>
    <w:rsid w:val="00B43E8B"/>
    <w:rsid w:val="00B61313"/>
    <w:rsid w:val="00B72F42"/>
    <w:rsid w:val="00B73EE5"/>
    <w:rsid w:val="00B86B1D"/>
    <w:rsid w:val="00B908B6"/>
    <w:rsid w:val="00B91F8B"/>
    <w:rsid w:val="00BA4F2E"/>
    <w:rsid w:val="00BB02C6"/>
    <w:rsid w:val="00BB7CFC"/>
    <w:rsid w:val="00BC2C76"/>
    <w:rsid w:val="00C11BEA"/>
    <w:rsid w:val="00C46625"/>
    <w:rsid w:val="00C63FDC"/>
    <w:rsid w:val="00C64681"/>
    <w:rsid w:val="00C64878"/>
    <w:rsid w:val="00C66CCC"/>
    <w:rsid w:val="00C81A3C"/>
    <w:rsid w:val="00C908D7"/>
    <w:rsid w:val="00CB5BF8"/>
    <w:rsid w:val="00CB6561"/>
    <w:rsid w:val="00CD1FF8"/>
    <w:rsid w:val="00CE0D20"/>
    <w:rsid w:val="00CF5B1B"/>
    <w:rsid w:val="00CF72DF"/>
    <w:rsid w:val="00D008C9"/>
    <w:rsid w:val="00D17E6C"/>
    <w:rsid w:val="00D200A9"/>
    <w:rsid w:val="00D32F3D"/>
    <w:rsid w:val="00D36D29"/>
    <w:rsid w:val="00D60783"/>
    <w:rsid w:val="00D6669E"/>
    <w:rsid w:val="00D70E8E"/>
    <w:rsid w:val="00D9134C"/>
    <w:rsid w:val="00D926D4"/>
    <w:rsid w:val="00DF45EE"/>
    <w:rsid w:val="00E15507"/>
    <w:rsid w:val="00E20682"/>
    <w:rsid w:val="00E30EA9"/>
    <w:rsid w:val="00E6532D"/>
    <w:rsid w:val="00EA484A"/>
    <w:rsid w:val="00EB32E2"/>
    <w:rsid w:val="00EB3EA9"/>
    <w:rsid w:val="00F06017"/>
    <w:rsid w:val="00F209C2"/>
    <w:rsid w:val="00F575D8"/>
    <w:rsid w:val="00F67DD1"/>
    <w:rsid w:val="00F80145"/>
    <w:rsid w:val="00F812B7"/>
    <w:rsid w:val="00F84ADB"/>
    <w:rsid w:val="00FA45D6"/>
    <w:rsid w:val="00FB04C8"/>
    <w:rsid w:val="00FB684D"/>
    <w:rsid w:val="00FC38C0"/>
    <w:rsid w:val="00FC5255"/>
    <w:rsid w:val="00FE07AD"/>
    <w:rsid w:val="00FE11A8"/>
    <w:rsid w:val="00FE42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21C1"/>
    <w:pPr>
      <w:spacing w:line="240" w:lineRule="exact"/>
    </w:pPr>
    <w:rPr>
      <w:spacing w:val="4"/>
      <w:w w:val="103"/>
      <w:kern w:val="14"/>
      <w:lang w:val="fr-CA" w:eastAsia="en-US"/>
    </w:rPr>
  </w:style>
  <w:style w:type="paragraph" w:styleId="Heading1">
    <w:name w:val="heading 1"/>
    <w:basedOn w:val="Normal"/>
    <w:next w:val="Normal"/>
    <w:qFormat/>
    <w:rsid w:val="00B0068A"/>
    <w:pPr>
      <w:keepNext/>
      <w:tabs>
        <w:tab w:val="center" w:pos="4680"/>
      </w:tabs>
      <w:spacing w:line="240" w:lineRule="auto"/>
      <w:outlineLvl w:val="0"/>
    </w:pPr>
    <w:rPr>
      <w:spacing w:val="0"/>
      <w:w w:val="100"/>
      <w:kern w:val="0"/>
      <w:sz w:val="40"/>
      <w:lang w:val="en-GB"/>
    </w:rPr>
  </w:style>
  <w:style w:type="paragraph" w:styleId="Heading2">
    <w:name w:val="heading 2"/>
    <w:basedOn w:val="Normal"/>
    <w:next w:val="Normal"/>
    <w:qFormat/>
    <w:rsid w:val="00B0068A"/>
    <w:pPr>
      <w:keepNext/>
      <w:spacing w:line="240" w:lineRule="auto"/>
      <w:jc w:val="right"/>
      <w:outlineLvl w:val="1"/>
    </w:pPr>
    <w:rPr>
      <w:b/>
      <w:spacing w:val="0"/>
      <w:w w:val="100"/>
      <w:kern w:val="0"/>
      <w:sz w:val="24"/>
      <w:lang w:val="en-GB"/>
    </w:rPr>
  </w:style>
  <w:style w:type="paragraph" w:styleId="Heading3">
    <w:name w:val="heading 3"/>
    <w:basedOn w:val="Normal"/>
    <w:next w:val="Normal"/>
    <w:qFormat/>
    <w:rsid w:val="00B0068A"/>
    <w:pPr>
      <w:keepNext/>
      <w:spacing w:line="240" w:lineRule="auto"/>
      <w:jc w:val="right"/>
      <w:outlineLvl w:val="2"/>
    </w:pPr>
    <w:rPr>
      <w:spacing w:val="0"/>
      <w:w w:val="100"/>
      <w:kern w:val="0"/>
      <w:sz w:val="24"/>
      <w:lang w:val="en-US"/>
    </w:rPr>
  </w:style>
  <w:style w:type="paragraph" w:styleId="Heading4">
    <w:name w:val="heading 4"/>
    <w:basedOn w:val="Normal"/>
    <w:next w:val="Normal"/>
    <w:qFormat/>
    <w:rsid w:val="00B0068A"/>
    <w:pPr>
      <w:keepNext/>
      <w:spacing w:line="240" w:lineRule="auto"/>
      <w:outlineLvl w:val="3"/>
    </w:pPr>
    <w:rPr>
      <w:spacing w:val="0"/>
      <w:w w:val="100"/>
      <w:kern w:val="0"/>
      <w:sz w:val="24"/>
      <w:lang w:val="en-GB"/>
    </w:rPr>
  </w:style>
  <w:style w:type="paragraph" w:styleId="Heading5">
    <w:name w:val="heading 5"/>
    <w:basedOn w:val="Normal"/>
    <w:next w:val="Normal"/>
    <w:qFormat/>
    <w:rsid w:val="00B0068A"/>
    <w:pPr>
      <w:keepNext/>
      <w:tabs>
        <w:tab w:val="left" w:pos="-720"/>
        <w:tab w:val="left" w:pos="1"/>
        <w:tab w:val="left" w:pos="576"/>
        <w:tab w:val="left" w:pos="1152"/>
        <w:tab w:val="left" w:pos="1728"/>
        <w:tab w:val="left" w:pos="6480"/>
      </w:tabs>
      <w:jc w:val="center"/>
      <w:outlineLvl w:val="4"/>
    </w:pPr>
    <w:rPr>
      <w:rFonts w:ascii="Courier 12cpi" w:hAnsi="Courier 12cpi"/>
      <w:spacing w:val="0"/>
      <w:w w:val="100"/>
      <w:kern w:val="0"/>
      <w:sz w:val="24"/>
      <w:lang w:val="en-US"/>
    </w:rPr>
  </w:style>
  <w:style w:type="paragraph" w:styleId="Heading6">
    <w:name w:val="heading 6"/>
    <w:basedOn w:val="Normal"/>
    <w:next w:val="Normal"/>
    <w:qFormat/>
    <w:rsid w:val="00B0068A"/>
    <w:pPr>
      <w:keepNext/>
      <w:tabs>
        <w:tab w:val="left" w:pos="-720"/>
        <w:tab w:val="left" w:pos="1"/>
        <w:tab w:val="left" w:pos="576"/>
        <w:tab w:val="left" w:pos="1152"/>
        <w:tab w:val="left" w:pos="1728"/>
        <w:tab w:val="left" w:pos="6480"/>
      </w:tabs>
      <w:jc w:val="center"/>
      <w:outlineLvl w:val="5"/>
    </w:pPr>
    <w:rPr>
      <w:spacing w:val="0"/>
      <w:w w:val="100"/>
      <w:kern w:val="0"/>
      <w:sz w:val="24"/>
      <w:u w:val="single"/>
      <w:effect w:val="antsRed"/>
      <w:lang w:val="en-US"/>
    </w:rPr>
  </w:style>
  <w:style w:type="paragraph" w:styleId="Heading7">
    <w:name w:val="heading 7"/>
    <w:basedOn w:val="Normal"/>
    <w:next w:val="Normal"/>
    <w:qFormat/>
    <w:rsid w:val="00B0068A"/>
    <w:pPr>
      <w:keepNext/>
      <w:tabs>
        <w:tab w:val="left" w:pos="-720"/>
        <w:tab w:val="left" w:pos="1"/>
        <w:tab w:val="left" w:pos="576"/>
        <w:tab w:val="left" w:pos="1152"/>
        <w:tab w:val="left" w:pos="1728"/>
        <w:tab w:val="left" w:pos="6480"/>
      </w:tabs>
      <w:jc w:val="center"/>
      <w:outlineLvl w:val="6"/>
    </w:pPr>
    <w:rPr>
      <w:b/>
      <w:spacing w:val="0"/>
      <w:w w:val="100"/>
      <w:kern w:val="0"/>
      <w:sz w:val="24"/>
      <w:effect w:val="antsRed"/>
      <w:lang w:val="en-US"/>
    </w:rPr>
  </w:style>
  <w:style w:type="paragraph" w:styleId="Heading8">
    <w:name w:val="heading 8"/>
    <w:basedOn w:val="Normal"/>
    <w:next w:val="Normal"/>
    <w:qFormat/>
    <w:rsid w:val="00B0068A"/>
    <w:pPr>
      <w:spacing w:before="240" w:after="60" w:line="240" w:lineRule="auto"/>
      <w:jc w:val="both"/>
      <w:outlineLvl w:val="7"/>
    </w:pPr>
    <w:rPr>
      <w:i/>
      <w:iCs/>
      <w:spacing w:val="0"/>
      <w:w w:val="100"/>
      <w:kern w:val="0"/>
      <w:sz w:val="24"/>
      <w:szCs w:val="24"/>
      <w:lang w:val="en-US"/>
    </w:rPr>
  </w:style>
  <w:style w:type="paragraph" w:styleId="Heading9">
    <w:name w:val="heading 9"/>
    <w:basedOn w:val="Normal"/>
    <w:next w:val="Normal"/>
    <w:qFormat/>
    <w:rsid w:val="00B0068A"/>
    <w:pPr>
      <w:tabs>
        <w:tab w:val="num" w:pos="1584"/>
      </w:tabs>
      <w:spacing w:before="240" w:after="60" w:line="240" w:lineRule="auto"/>
      <w:ind w:left="1584" w:hanging="1584"/>
      <w:outlineLvl w:val="8"/>
    </w:pPr>
    <w:rPr>
      <w:rFonts w:ascii="Arial" w:hAnsi="Arial" w:cs="Arial"/>
      <w:spacing w:val="0"/>
      <w:w w:val="100"/>
      <w:kern w:val="0"/>
      <w:sz w:val="22"/>
      <w:szCs w:val="22"/>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CF5B1B"/>
    <w:rPr>
      <w:rFonts w:ascii="Tahoma" w:hAnsi="Tahoma" w:cs="Tahoma"/>
      <w:sz w:val="16"/>
      <w:szCs w:val="16"/>
    </w:rPr>
  </w:style>
  <w:style w:type="paragraph" w:styleId="BodyText">
    <w:name w:val="Body Text"/>
    <w:basedOn w:val="Normal"/>
    <w:rsid w:val="00B0068A"/>
    <w:pPr>
      <w:spacing w:line="240" w:lineRule="auto"/>
    </w:pPr>
    <w:rPr>
      <w:b/>
      <w:spacing w:val="0"/>
      <w:w w:val="100"/>
      <w:kern w:val="0"/>
      <w:sz w:val="28"/>
      <w:lang w:val="en-US"/>
    </w:rPr>
  </w:style>
  <w:style w:type="paragraph" w:styleId="BodyText2">
    <w:name w:val="Body Text 2"/>
    <w:basedOn w:val="Normal"/>
    <w:rsid w:val="00B0068A"/>
    <w:pPr>
      <w:tabs>
        <w:tab w:val="left" w:pos="-720"/>
        <w:tab w:val="left" w:pos="1"/>
        <w:tab w:val="left" w:pos="576"/>
        <w:tab w:val="left" w:pos="1152"/>
        <w:tab w:val="left" w:pos="1728"/>
        <w:tab w:val="left" w:pos="6480"/>
      </w:tabs>
    </w:pPr>
    <w:rPr>
      <w:spacing w:val="0"/>
      <w:w w:val="100"/>
      <w:kern w:val="0"/>
      <w:sz w:val="22"/>
      <w:lang w:val="en-US"/>
    </w:rPr>
  </w:style>
  <w:style w:type="paragraph" w:styleId="BodyText3">
    <w:name w:val="Body Text 3"/>
    <w:basedOn w:val="Normal"/>
    <w:rsid w:val="00B0068A"/>
    <w:pPr>
      <w:spacing w:after="120" w:line="240" w:lineRule="auto"/>
    </w:pPr>
    <w:rPr>
      <w:spacing w:val="0"/>
      <w:w w:val="100"/>
      <w:kern w:val="0"/>
      <w:sz w:val="16"/>
      <w:szCs w:val="16"/>
      <w:lang w:val="en-US"/>
    </w:rPr>
  </w:style>
  <w:style w:type="paragraph" w:customStyle="1" w:styleId="Style2">
    <w:name w:val="Style2"/>
    <w:basedOn w:val="TOC2"/>
    <w:autoRedefine/>
    <w:rsid w:val="00B0068A"/>
    <w:pPr>
      <w:tabs>
        <w:tab w:val="left" w:pos="960"/>
        <w:tab w:val="right" w:leader="dot" w:pos="9592"/>
      </w:tabs>
      <w:ind w:left="720" w:hanging="720"/>
    </w:pPr>
    <w:rPr>
      <w:noProof/>
    </w:rPr>
  </w:style>
  <w:style w:type="paragraph" w:styleId="TOC2">
    <w:name w:val="toc 2"/>
    <w:basedOn w:val="Normal"/>
    <w:next w:val="Normal"/>
    <w:autoRedefine/>
    <w:semiHidden/>
    <w:rsid w:val="00B0068A"/>
    <w:pPr>
      <w:spacing w:after="120" w:line="240" w:lineRule="auto"/>
      <w:ind w:left="240"/>
      <w:jc w:val="both"/>
    </w:pPr>
    <w:rPr>
      <w:spacing w:val="0"/>
      <w:w w:val="100"/>
      <w:kern w:val="0"/>
      <w:sz w:val="24"/>
      <w:szCs w:val="24"/>
      <w:lang w:val="en-US"/>
    </w:rPr>
  </w:style>
  <w:style w:type="paragraph" w:styleId="TOC1">
    <w:name w:val="toc 1"/>
    <w:basedOn w:val="Normal"/>
    <w:next w:val="Normal"/>
    <w:autoRedefine/>
    <w:semiHidden/>
    <w:rsid w:val="00AA2F8C"/>
    <w:pPr>
      <w:spacing w:line="480" w:lineRule="auto"/>
      <w:ind w:left="720" w:hanging="720"/>
    </w:pPr>
    <w:rPr>
      <w:spacing w:val="0"/>
      <w:w w:val="100"/>
      <w:kern w:val="0"/>
      <w:sz w:val="14"/>
      <w:szCs w:val="24"/>
      <w:lang w:val="fr-FR"/>
    </w:rPr>
  </w:style>
  <w:style w:type="paragraph" w:customStyle="1" w:styleId="Style1">
    <w:name w:val="Style1"/>
    <w:basedOn w:val="TOC1"/>
    <w:rsid w:val="00B0068A"/>
    <w:pPr>
      <w:tabs>
        <w:tab w:val="right" w:leader="dot" w:pos="9019"/>
      </w:tabs>
    </w:pPr>
    <w:rPr>
      <w:b/>
    </w:rPr>
  </w:style>
  <w:style w:type="paragraph" w:styleId="Title">
    <w:name w:val="Title"/>
    <w:basedOn w:val="Normal"/>
    <w:qFormat/>
    <w:rsid w:val="00B0068A"/>
    <w:pPr>
      <w:spacing w:after="120" w:line="240" w:lineRule="auto"/>
      <w:jc w:val="center"/>
    </w:pPr>
    <w:rPr>
      <w:b/>
      <w:spacing w:val="0"/>
      <w:w w:val="100"/>
      <w:kern w:val="0"/>
      <w:sz w:val="24"/>
      <w:szCs w:val="24"/>
      <w:u w:val="single"/>
      <w:lang w:val="en-GB" w:eastAsia="en-GB"/>
    </w:rPr>
  </w:style>
  <w:style w:type="paragraph" w:customStyle="1" w:styleId="Style3">
    <w:name w:val="Style3"/>
    <w:basedOn w:val="Normal"/>
    <w:rsid w:val="00B0068A"/>
    <w:pPr>
      <w:spacing w:after="120" w:line="240" w:lineRule="auto"/>
      <w:jc w:val="both"/>
    </w:pPr>
    <w:rPr>
      <w:spacing w:val="0"/>
      <w:w w:val="100"/>
      <w:kern w:val="0"/>
      <w:sz w:val="22"/>
      <w:szCs w:val="22"/>
      <w:lang w:val="en-US"/>
    </w:rPr>
  </w:style>
  <w:style w:type="paragraph" w:customStyle="1" w:styleId="Style5">
    <w:name w:val="Style5"/>
    <w:basedOn w:val="Normal"/>
    <w:rsid w:val="00B0068A"/>
    <w:pPr>
      <w:spacing w:after="120" w:line="240" w:lineRule="auto"/>
      <w:jc w:val="both"/>
    </w:pPr>
    <w:rPr>
      <w:spacing w:val="0"/>
      <w:w w:val="100"/>
      <w:kern w:val="0"/>
      <w:sz w:val="22"/>
      <w:szCs w:val="22"/>
      <w:lang w:val="en-US"/>
    </w:rPr>
  </w:style>
  <w:style w:type="paragraph" w:customStyle="1" w:styleId="Style6">
    <w:name w:val="Style6"/>
    <w:basedOn w:val="Normal"/>
    <w:rsid w:val="00B0068A"/>
    <w:pPr>
      <w:spacing w:after="120" w:line="240" w:lineRule="auto"/>
      <w:jc w:val="both"/>
    </w:pPr>
    <w:rPr>
      <w:spacing w:val="0"/>
      <w:w w:val="100"/>
      <w:kern w:val="0"/>
      <w:sz w:val="22"/>
      <w:szCs w:val="22"/>
      <w:lang w:val="en-US"/>
    </w:rPr>
  </w:style>
  <w:style w:type="paragraph" w:customStyle="1" w:styleId="Style7">
    <w:name w:val="Style7"/>
    <w:basedOn w:val="Normal"/>
    <w:rsid w:val="00B0068A"/>
    <w:pPr>
      <w:framePr w:wrap="around" w:vAnchor="text" w:hAnchor="text" w:y="1"/>
      <w:spacing w:after="120" w:line="240" w:lineRule="auto"/>
      <w:jc w:val="both"/>
    </w:pPr>
    <w:rPr>
      <w:spacing w:val="0"/>
      <w:w w:val="100"/>
      <w:kern w:val="0"/>
      <w:sz w:val="22"/>
      <w:szCs w:val="22"/>
      <w:lang w:val="en-US"/>
    </w:rPr>
  </w:style>
  <w:style w:type="paragraph" w:customStyle="1" w:styleId="sha">
    <w:name w:val="sha"/>
    <w:basedOn w:val="Normal"/>
    <w:rsid w:val="00B0068A"/>
    <w:pPr>
      <w:spacing w:line="240" w:lineRule="auto"/>
    </w:pPr>
    <w:rPr>
      <w:rFonts w:ascii="Arial" w:hAnsi="Arial"/>
      <w:spacing w:val="0"/>
      <w:w w:val="100"/>
      <w:kern w:val="0"/>
      <w:sz w:val="24"/>
      <w:szCs w:val="24"/>
      <w:lang w:val="en-US"/>
    </w:rPr>
  </w:style>
  <w:style w:type="paragraph" w:customStyle="1" w:styleId="level54">
    <w:name w:val="_level54"/>
    <w:basedOn w:val="Normal"/>
    <w:rsid w:val="00B006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auto"/>
      <w:ind w:left="1800" w:hanging="360"/>
    </w:pPr>
    <w:rPr>
      <w:spacing w:val="0"/>
      <w:w w:val="100"/>
      <w:kern w:val="0"/>
      <w:sz w:val="24"/>
      <w:lang w:val="en-US"/>
    </w:rPr>
  </w:style>
  <w:style w:type="paragraph" w:customStyle="1" w:styleId="body">
    <w:name w:val="body"/>
    <w:basedOn w:val="Normal"/>
    <w:rsid w:val="00B0068A"/>
    <w:pPr>
      <w:spacing w:before="100" w:beforeAutospacing="1" w:after="100" w:afterAutospacing="1" w:line="240" w:lineRule="auto"/>
      <w:ind w:right="200"/>
      <w:jc w:val="both"/>
    </w:pPr>
    <w:rPr>
      <w:rFonts w:ascii="Verdana" w:hAnsi="Verdana"/>
      <w:color w:val="333333"/>
      <w:spacing w:val="0"/>
      <w:w w:val="100"/>
      <w:kern w:val="0"/>
      <w:lang w:val="en-GB" w:eastAsia="en-GB"/>
    </w:rPr>
  </w:style>
  <w:style w:type="paragraph" w:customStyle="1" w:styleId="Tables">
    <w:name w:val="Tables"/>
    <w:basedOn w:val="Normal"/>
    <w:rsid w:val="00B0068A"/>
    <w:pPr>
      <w:spacing w:after="120" w:line="240" w:lineRule="auto"/>
      <w:jc w:val="center"/>
    </w:pPr>
    <w:rPr>
      <w:b/>
      <w:i/>
      <w:spacing w:val="0"/>
      <w:w w:val="100"/>
      <w:kern w:val="0"/>
      <w:sz w:val="24"/>
      <w:szCs w:val="24"/>
      <w:lang w:val="en-US"/>
    </w:rPr>
  </w:style>
  <w:style w:type="paragraph" w:customStyle="1" w:styleId="Figures">
    <w:name w:val="Figures"/>
    <w:basedOn w:val="Normal"/>
    <w:rsid w:val="00B0068A"/>
    <w:pPr>
      <w:spacing w:after="120" w:line="240" w:lineRule="auto"/>
      <w:jc w:val="center"/>
    </w:pPr>
    <w:rPr>
      <w:b/>
      <w:i/>
      <w:spacing w:val="0"/>
      <w:w w:val="100"/>
      <w:kern w:val="0"/>
      <w:sz w:val="24"/>
      <w:szCs w:val="24"/>
      <w:lang w:val="en-US"/>
    </w:rPr>
  </w:style>
  <w:style w:type="paragraph" w:styleId="NormalWeb">
    <w:name w:val="Normal (Web)"/>
    <w:basedOn w:val="Normal"/>
    <w:rsid w:val="00B0068A"/>
    <w:pPr>
      <w:spacing w:before="100" w:beforeAutospacing="1" w:after="100" w:afterAutospacing="1" w:line="240" w:lineRule="auto"/>
    </w:pPr>
    <w:rPr>
      <w:spacing w:val="0"/>
      <w:w w:val="100"/>
      <w:kern w:val="0"/>
      <w:sz w:val="24"/>
      <w:szCs w:val="24"/>
      <w:lang w:val="en-GB" w:eastAsia="en-GB"/>
    </w:rPr>
  </w:style>
  <w:style w:type="paragraph" w:customStyle="1" w:styleId="xl27">
    <w:name w:val="xl27"/>
    <w:basedOn w:val="Normal"/>
    <w:rsid w:val="00B0068A"/>
    <w:pPr>
      <w:spacing w:before="100" w:beforeAutospacing="1" w:after="100" w:afterAutospacing="1" w:line="240" w:lineRule="auto"/>
      <w:textAlignment w:val="top"/>
    </w:pPr>
    <w:rPr>
      <w:rFonts w:ascii="Arial" w:eastAsia="Arial Unicode MS" w:hAnsi="Arial" w:cs="Arial"/>
      <w:b/>
      <w:bCs/>
      <w:spacing w:val="0"/>
      <w:w w:val="100"/>
      <w:kern w:val="0"/>
      <w:sz w:val="24"/>
      <w:szCs w:val="24"/>
      <w:lang w:val="en-US"/>
    </w:rPr>
  </w:style>
  <w:style w:type="character" w:styleId="PageNumber">
    <w:name w:val="page number"/>
    <w:basedOn w:val="DefaultParagraphFont"/>
    <w:rsid w:val="00B0068A"/>
  </w:style>
  <w:style w:type="paragraph" w:styleId="BodyTextIndent">
    <w:name w:val="Body Text Indent"/>
    <w:basedOn w:val="Normal"/>
    <w:rsid w:val="00B0068A"/>
    <w:pPr>
      <w:spacing w:after="120" w:line="240" w:lineRule="auto"/>
      <w:ind w:left="360"/>
      <w:jc w:val="both"/>
    </w:pPr>
    <w:rPr>
      <w:spacing w:val="0"/>
      <w:w w:val="100"/>
      <w:kern w:val="0"/>
      <w:sz w:val="24"/>
      <w:szCs w:val="24"/>
      <w:lang w:val="en-US"/>
    </w:rPr>
  </w:style>
  <w:style w:type="paragraph" w:styleId="BodyTextIndent2">
    <w:name w:val="Body Text Indent 2"/>
    <w:basedOn w:val="Normal"/>
    <w:rsid w:val="00B0068A"/>
    <w:pPr>
      <w:spacing w:after="120" w:line="480" w:lineRule="auto"/>
      <w:ind w:left="360"/>
      <w:jc w:val="both"/>
    </w:pPr>
    <w:rPr>
      <w:spacing w:val="0"/>
      <w:w w:val="100"/>
      <w:kern w:val="0"/>
      <w:sz w:val="24"/>
      <w:szCs w:val="24"/>
      <w:lang w:val="en-US"/>
    </w:rPr>
  </w:style>
  <w:style w:type="paragraph" w:styleId="BodyTextIndent3">
    <w:name w:val="Body Text Indent 3"/>
    <w:basedOn w:val="Normal"/>
    <w:rsid w:val="00B0068A"/>
    <w:pPr>
      <w:spacing w:after="120" w:line="240" w:lineRule="auto"/>
      <w:ind w:left="360"/>
      <w:jc w:val="both"/>
    </w:pPr>
    <w:rPr>
      <w:spacing w:val="0"/>
      <w:w w:val="100"/>
      <w:kern w:val="0"/>
      <w:sz w:val="16"/>
      <w:szCs w:val="16"/>
      <w:lang w:val="en-US"/>
    </w:rPr>
  </w:style>
  <w:style w:type="paragraph" w:customStyle="1" w:styleId="cedaw">
    <w:name w:val="cedaw"/>
    <w:basedOn w:val="Heading1"/>
    <w:rsid w:val="00B0068A"/>
    <w:pPr>
      <w:pBdr>
        <w:top w:val="single" w:sz="4" w:space="1" w:color="auto" w:shadow="1"/>
        <w:left w:val="single" w:sz="4" w:space="4" w:color="auto" w:shadow="1"/>
        <w:bottom w:val="single" w:sz="4" w:space="1" w:color="auto" w:shadow="1"/>
        <w:right w:val="single" w:sz="4" w:space="4" w:color="auto" w:shadow="1"/>
      </w:pBdr>
      <w:tabs>
        <w:tab w:val="clear" w:pos="4680"/>
        <w:tab w:val="num" w:pos="720"/>
      </w:tabs>
      <w:spacing w:before="240" w:after="60"/>
      <w:ind w:left="720" w:hanging="720"/>
    </w:pPr>
    <w:rPr>
      <w:rFonts w:ascii="Arial" w:hAnsi="Arial" w:cs="Arial"/>
      <w:b/>
      <w:bCs/>
      <w:kern w:val="32"/>
      <w:sz w:val="32"/>
      <w:szCs w:val="32"/>
      <w:lang w:val="en-US"/>
    </w:rPr>
  </w:style>
  <w:style w:type="paragraph" w:customStyle="1" w:styleId="Style8">
    <w:name w:val="Style8"/>
    <w:basedOn w:val="Normal"/>
    <w:rsid w:val="00B0068A"/>
    <w:pPr>
      <w:spacing w:after="120" w:line="240" w:lineRule="auto"/>
      <w:jc w:val="both"/>
    </w:pPr>
    <w:rPr>
      <w:spacing w:val="0"/>
      <w:w w:val="100"/>
      <w:kern w:val="0"/>
      <w:sz w:val="22"/>
      <w:szCs w:val="22"/>
      <w:lang w:val="en-US"/>
    </w:rPr>
  </w:style>
  <w:style w:type="paragraph" w:customStyle="1" w:styleId="Style9">
    <w:name w:val="Style9"/>
    <w:basedOn w:val="Normal"/>
    <w:rsid w:val="00B0068A"/>
    <w:pPr>
      <w:spacing w:after="120" w:line="240" w:lineRule="auto"/>
      <w:jc w:val="both"/>
    </w:pPr>
    <w:rPr>
      <w:spacing w:val="0"/>
      <w:w w:val="100"/>
      <w:kern w:val="0"/>
      <w:sz w:val="22"/>
      <w:szCs w:val="22"/>
      <w:lang w:val="en-US"/>
    </w:rPr>
  </w:style>
  <w:style w:type="paragraph" w:styleId="Date">
    <w:name w:val="Date"/>
    <w:basedOn w:val="Normal"/>
    <w:next w:val="Normal"/>
    <w:rsid w:val="00B0068A"/>
    <w:pPr>
      <w:spacing w:after="120" w:line="240" w:lineRule="auto"/>
      <w:jc w:val="both"/>
    </w:pPr>
    <w:rPr>
      <w:spacing w:val="0"/>
      <w:w w:val="100"/>
      <w:kern w:val="0"/>
      <w:sz w:val="24"/>
      <w:szCs w:val="24"/>
      <w:lang w:val="en-US"/>
    </w:rPr>
  </w:style>
  <w:style w:type="paragraph" w:styleId="Caption">
    <w:name w:val="caption"/>
    <w:basedOn w:val="Normal"/>
    <w:next w:val="Normal"/>
    <w:qFormat/>
    <w:rsid w:val="00B0068A"/>
    <w:pPr>
      <w:spacing w:after="120" w:line="240" w:lineRule="auto"/>
      <w:jc w:val="both"/>
    </w:pPr>
    <w:rPr>
      <w:b/>
      <w:bCs/>
      <w:i/>
      <w:iCs/>
      <w:spacing w:val="0"/>
      <w:w w:val="100"/>
      <w:kern w:val="0"/>
      <w:szCs w:val="24"/>
      <w:lang w:val="en-GB" w:eastAsia="en-GB"/>
    </w:rPr>
  </w:style>
  <w:style w:type="paragraph" w:customStyle="1" w:styleId="DefaultText">
    <w:name w:val="Default Text"/>
    <w:basedOn w:val="Normal"/>
    <w:rsid w:val="00B0068A"/>
    <w:pPr>
      <w:overflowPunct w:val="0"/>
      <w:autoSpaceDE w:val="0"/>
      <w:autoSpaceDN w:val="0"/>
      <w:adjustRightInd w:val="0"/>
      <w:spacing w:line="240" w:lineRule="auto"/>
      <w:textAlignment w:val="baseline"/>
    </w:pPr>
    <w:rPr>
      <w:noProof/>
      <w:spacing w:val="0"/>
      <w:w w:val="100"/>
      <w:kern w:val="0"/>
      <w:sz w:val="24"/>
      <w:lang w:val="en-US"/>
    </w:rPr>
  </w:style>
  <w:style w:type="paragraph" w:styleId="PlainText">
    <w:name w:val="Plain Text"/>
    <w:basedOn w:val="Normal"/>
    <w:rsid w:val="00B0068A"/>
    <w:pPr>
      <w:spacing w:line="240" w:lineRule="auto"/>
    </w:pPr>
    <w:rPr>
      <w:rFonts w:ascii="Courier New" w:hAnsi="Courier New" w:cs="Courier New"/>
      <w:spacing w:val="0"/>
      <w:w w:val="100"/>
      <w:kern w:val="0"/>
      <w:lang w:val="en-GB"/>
    </w:rPr>
  </w:style>
  <w:style w:type="paragraph" w:customStyle="1" w:styleId="BT1">
    <w:name w:val="BT 1"/>
    <w:basedOn w:val="Normal"/>
    <w:rsid w:val="00B0068A"/>
    <w:pPr>
      <w:tabs>
        <w:tab w:val="num" w:pos="720"/>
      </w:tabs>
      <w:spacing w:after="120" w:line="240" w:lineRule="auto"/>
      <w:ind w:left="720" w:hanging="360"/>
      <w:jc w:val="both"/>
    </w:pPr>
    <w:rPr>
      <w:spacing w:val="0"/>
      <w:w w:val="100"/>
      <w:kern w:val="0"/>
      <w:sz w:val="24"/>
      <w:szCs w:val="24"/>
      <w:lang w:val="en-US"/>
    </w:rPr>
  </w:style>
  <w:style w:type="character" w:styleId="Hyperlink">
    <w:name w:val="Hyperlink"/>
    <w:rsid w:val="00B0068A"/>
    <w:rPr>
      <w:color w:val="0000FF"/>
      <w:u w:val="single"/>
    </w:rPr>
  </w:style>
  <w:style w:type="character" w:styleId="FollowedHyperlink">
    <w:name w:val="FollowedHyperlink"/>
    <w:rsid w:val="00B0068A"/>
    <w:rPr>
      <w:color w:val="800080"/>
      <w:u w:val="single"/>
    </w:rPr>
  </w:style>
  <w:style w:type="paragraph" w:customStyle="1" w:styleId="BodyText22">
    <w:name w:val="Body Text 22"/>
    <w:basedOn w:val="Normal"/>
    <w:rsid w:val="00164199"/>
    <w:pPr>
      <w:widowControl w:val="0"/>
      <w:spacing w:line="240" w:lineRule="auto"/>
    </w:pPr>
    <w:rPr>
      <w:b/>
      <w:bCs/>
      <w:snapToGrid w:val="0"/>
      <w:spacing w:val="0"/>
      <w:w w:val="100"/>
      <w:kern w:val="0"/>
      <w:sz w:val="24"/>
      <w:szCs w:val="24"/>
      <w:lang w:val="en-GB"/>
    </w:rPr>
  </w:style>
  <w:style w:type="paragraph" w:customStyle="1" w:styleId="telo">
    <w:name w:val="telo"/>
    <w:basedOn w:val="Normal"/>
    <w:rsid w:val="00164199"/>
    <w:pPr>
      <w:spacing w:after="100" w:afterAutospacing="1" w:line="288" w:lineRule="auto"/>
    </w:pPr>
    <w:rPr>
      <w:rFonts w:ascii="Tahoma" w:eastAsia="Arial Unicode MS" w:hAnsi="Tahoma"/>
      <w:snapToGrid w:val="0"/>
      <w:color w:val="000000"/>
      <w:spacing w:val="0"/>
      <w:w w:val="100"/>
      <w:kern w:val="0"/>
      <w:lang w:val="en-GB"/>
    </w:rPr>
  </w:style>
  <w:style w:type="paragraph" w:customStyle="1" w:styleId="Predoblikovano">
    <w:name w:val="Predoblikovano"/>
    <w:basedOn w:val="Normal"/>
    <w:rsid w:val="00164199"/>
    <w:pPr>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pPr>
    <w:rPr>
      <w:rFonts w:ascii="Courier New" w:hAnsi="Courier New" w:cs="Courier New"/>
      <w:spacing w:val="0"/>
      <w:w w:val="100"/>
      <w:kern w:val="0"/>
      <w:lang w:val="en-GB"/>
    </w:rPr>
  </w:style>
  <w:style w:type="paragraph" w:customStyle="1" w:styleId="Heading11">
    <w:name w:val="Heading 11"/>
    <w:basedOn w:val="Normal"/>
    <w:next w:val="Normal"/>
    <w:rsid w:val="00164199"/>
    <w:pPr>
      <w:keepNext/>
      <w:widowControl w:val="0"/>
      <w:spacing w:line="240" w:lineRule="auto"/>
      <w:jc w:val="center"/>
    </w:pPr>
    <w:rPr>
      <w:b/>
      <w:bCs/>
      <w:snapToGrid w:val="0"/>
      <w:spacing w:val="0"/>
      <w:w w:val="100"/>
      <w:kern w:val="0"/>
      <w:lang w:val="en-GB"/>
    </w:rPr>
  </w:style>
  <w:style w:type="paragraph" w:customStyle="1" w:styleId="nastabelaslo">
    <w:name w:val="nastabelaslo"/>
    <w:basedOn w:val="Normal"/>
    <w:rsid w:val="00164199"/>
    <w:pPr>
      <w:spacing w:before="100" w:beforeAutospacing="1" w:after="100" w:afterAutospacing="1" w:line="240" w:lineRule="auto"/>
    </w:pPr>
    <w:rPr>
      <w:rFonts w:ascii="Arial Unicode MS" w:eastAsia="Arial Unicode MS" w:hAnsi="Arial Unicode MS"/>
      <w:snapToGrid w:val="0"/>
      <w:spacing w:val="0"/>
      <w:w w:val="100"/>
      <w:kern w:val="0"/>
      <w:sz w:val="24"/>
      <w:szCs w:val="24"/>
      <w:lang w:val="en-GB"/>
    </w:rPr>
  </w:style>
  <w:style w:type="paragraph" w:customStyle="1" w:styleId="PlainText1">
    <w:name w:val="Plain Text1"/>
    <w:basedOn w:val="Normal"/>
    <w:rsid w:val="00164199"/>
    <w:pPr>
      <w:widowControl w:val="0"/>
      <w:spacing w:line="240" w:lineRule="auto"/>
    </w:pPr>
    <w:rPr>
      <w:rFonts w:ascii="Courier New" w:hAnsi="Courier New" w:cs="Courier New"/>
      <w:snapToGrid w:val="0"/>
      <w:spacing w:val="0"/>
      <w:w w:val="100"/>
      <w:kern w:val="0"/>
      <w:lang w:val="en-GB"/>
    </w:rPr>
  </w:style>
  <w:style w:type="paragraph" w:customStyle="1" w:styleId="PlainText2">
    <w:name w:val="Plain Text2"/>
    <w:basedOn w:val="Normal"/>
    <w:rsid w:val="00164199"/>
    <w:pPr>
      <w:widowControl w:val="0"/>
      <w:spacing w:line="240" w:lineRule="auto"/>
    </w:pPr>
    <w:rPr>
      <w:rFonts w:ascii="Courier New" w:hAnsi="Courier New"/>
      <w:spacing w:val="0"/>
      <w:w w:val="100"/>
      <w:kern w:val="0"/>
      <w:lang w:val="sl-SI" w:eastAsia="sl-SI"/>
    </w:rPr>
  </w:style>
  <w:style w:type="paragraph" w:customStyle="1" w:styleId="NasTtabelaAng">
    <w:name w:val="NasTtabelaAng"/>
    <w:basedOn w:val="Normal"/>
    <w:rsid w:val="00164199"/>
    <w:pPr>
      <w:keepNext/>
      <w:tabs>
        <w:tab w:val="left" w:pos="340"/>
        <w:tab w:val="right" w:pos="9923"/>
      </w:tabs>
      <w:spacing w:before="40" w:after="60" w:line="180" w:lineRule="exact"/>
      <w:ind w:left="340"/>
      <w:jc w:val="both"/>
    </w:pPr>
    <w:rPr>
      <w:rFonts w:ascii="Arial" w:hAnsi="Arial" w:cs="Arial"/>
      <w:spacing w:val="0"/>
      <w:w w:val="100"/>
      <w:kern w:val="0"/>
      <w:sz w:val="18"/>
      <w:szCs w:val="18"/>
      <w:lang w:val="sv-SE"/>
    </w:rPr>
  </w:style>
  <w:style w:type="paragraph" w:customStyle="1" w:styleId="tabnas">
    <w:name w:val="tabnas"/>
    <w:basedOn w:val="Normal"/>
    <w:rsid w:val="00164199"/>
    <w:pPr>
      <w:widowControl w:val="0"/>
      <w:spacing w:after="120" w:line="240" w:lineRule="auto"/>
      <w:ind w:left="851" w:hanging="851"/>
    </w:pPr>
    <w:rPr>
      <w:b/>
      <w:bCs/>
      <w:snapToGrid w:val="0"/>
      <w:spacing w:val="0"/>
      <w:w w:val="100"/>
      <w:kern w:val="0"/>
      <w:lang w:val="en-GB"/>
    </w:rPr>
  </w:style>
  <w:style w:type="paragraph" w:customStyle="1" w:styleId="GLavaSlo">
    <w:name w:val="GLavaSlo"/>
    <w:basedOn w:val="Normal"/>
    <w:rsid w:val="00164199"/>
    <w:pPr>
      <w:suppressAutoHyphens/>
      <w:spacing w:before="60" w:after="40" w:line="160" w:lineRule="exact"/>
      <w:ind w:left="57" w:right="57"/>
      <w:jc w:val="center"/>
    </w:pPr>
    <w:rPr>
      <w:rFonts w:ascii="Arial" w:hAnsi="Arial" w:cs="Arial"/>
      <w:snapToGrid w:val="0"/>
      <w:spacing w:val="0"/>
      <w:w w:val="100"/>
      <w:kern w:val="0"/>
      <w:sz w:val="16"/>
      <w:szCs w:val="16"/>
      <w:lang w:val="en-US"/>
    </w:rPr>
  </w:style>
  <w:style w:type="paragraph" w:customStyle="1" w:styleId="CeloAng">
    <w:name w:val="CeloAng"/>
    <w:basedOn w:val="Normal"/>
    <w:rsid w:val="00164199"/>
    <w:pPr>
      <w:suppressAutoHyphens/>
      <w:spacing w:before="20" w:after="10" w:line="240" w:lineRule="auto"/>
    </w:pPr>
    <w:rPr>
      <w:rFonts w:ascii="Arial" w:hAnsi="Arial" w:cs="Arial"/>
      <w:snapToGrid w:val="0"/>
      <w:spacing w:val="0"/>
      <w:w w:val="100"/>
      <w:kern w:val="0"/>
      <w:sz w:val="16"/>
      <w:szCs w:val="16"/>
      <w:lang w:val="en-US"/>
    </w:rPr>
  </w:style>
  <w:style w:type="paragraph" w:customStyle="1" w:styleId="Num">
    <w:name w:val="Num"/>
    <w:basedOn w:val="Normal"/>
    <w:rsid w:val="00164199"/>
    <w:pPr>
      <w:spacing w:before="20" w:after="10" w:line="240" w:lineRule="auto"/>
      <w:jc w:val="right"/>
    </w:pPr>
    <w:rPr>
      <w:rFonts w:ascii="Arial" w:hAnsi="Arial" w:cs="Arial"/>
      <w:snapToGrid w:val="0"/>
      <w:spacing w:val="0"/>
      <w:w w:val="100"/>
      <w:kern w:val="0"/>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europa.eu.int/comm/employment_social/women_men_stats/index_en.htm" TargetMode="External"/><Relationship Id="rId2" Type="http://schemas.openxmlformats.org/officeDocument/2006/relationships/hyperlink" Target="http://www.sodisce.si/vsrs/default.asp?idall=1254&amp;showin=all" TargetMode="External"/><Relationship Id="rId1" Type="http://schemas.openxmlformats.org/officeDocument/2006/relationships/hyperlink" Target="http://interispo.sigov.si/delounatelesa/" TargetMode="External"/><Relationship Id="rId6" Type="http://schemas.openxmlformats.org/officeDocument/2006/relationships/hyperlink" Target="http://www.ozs.si" TargetMode="External"/><Relationship Id="rId5" Type="http://schemas.openxmlformats.org/officeDocument/2006/relationships/hyperlink" Target="http://www.gzs.si" TargetMode="External"/><Relationship Id="rId4" Type="http://schemas.openxmlformats.org/officeDocument/2006/relationships/hyperlink" Target="http://www.zds.si"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38098</Words>
  <Characters>200782</Characters>
  <Application>Microsoft Office Word</Application>
  <DocSecurity>4</DocSecurity>
  <Lines>6692</Lines>
  <Paragraphs>3791</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 </Company>
  <LinksUpToDate>false</LinksUpToDate>
  <CharactersWithSpaces>235089</CharactersWithSpaces>
  <SharedDoc>false</SharedDoc>
  <HLinks>
    <vt:vector size="36" baseType="variant">
      <vt:variant>
        <vt:i4>7012461</vt:i4>
      </vt:variant>
      <vt:variant>
        <vt:i4>15</vt:i4>
      </vt:variant>
      <vt:variant>
        <vt:i4>0</vt:i4>
      </vt:variant>
      <vt:variant>
        <vt:i4>5</vt:i4>
      </vt:variant>
      <vt:variant>
        <vt:lpwstr>http://www.ozs.si/</vt:lpwstr>
      </vt:variant>
      <vt:variant>
        <vt:lpwstr/>
      </vt:variant>
      <vt:variant>
        <vt:i4>6488173</vt:i4>
      </vt:variant>
      <vt:variant>
        <vt:i4>12</vt:i4>
      </vt:variant>
      <vt:variant>
        <vt:i4>0</vt:i4>
      </vt:variant>
      <vt:variant>
        <vt:i4>5</vt:i4>
      </vt:variant>
      <vt:variant>
        <vt:lpwstr>http://www.gzs.si/</vt:lpwstr>
      </vt:variant>
      <vt:variant>
        <vt:lpwstr/>
      </vt:variant>
      <vt:variant>
        <vt:i4>8257651</vt:i4>
      </vt:variant>
      <vt:variant>
        <vt:i4>9</vt:i4>
      </vt:variant>
      <vt:variant>
        <vt:i4>0</vt:i4>
      </vt:variant>
      <vt:variant>
        <vt:i4>5</vt:i4>
      </vt:variant>
      <vt:variant>
        <vt:lpwstr>http://www.zds.si/</vt:lpwstr>
      </vt:variant>
      <vt:variant>
        <vt:lpwstr/>
      </vt:variant>
      <vt:variant>
        <vt:i4>6488115</vt:i4>
      </vt:variant>
      <vt:variant>
        <vt:i4>6</vt:i4>
      </vt:variant>
      <vt:variant>
        <vt:i4>0</vt:i4>
      </vt:variant>
      <vt:variant>
        <vt:i4>5</vt:i4>
      </vt:variant>
      <vt:variant>
        <vt:lpwstr>http://www.europa.eu.int/comm/employment_social/women_men_stats/index_en.htm</vt:lpwstr>
      </vt:variant>
      <vt:variant>
        <vt:lpwstr/>
      </vt:variant>
      <vt:variant>
        <vt:i4>6160452</vt:i4>
      </vt:variant>
      <vt:variant>
        <vt:i4>3</vt:i4>
      </vt:variant>
      <vt:variant>
        <vt:i4>0</vt:i4>
      </vt:variant>
      <vt:variant>
        <vt:i4>5</vt:i4>
      </vt:variant>
      <vt:variant>
        <vt:lpwstr>http://www.sodisce.si/vsrs/default.asp?idall=1254&amp;showin=all</vt:lpwstr>
      </vt:variant>
      <vt:variant>
        <vt:lpwstr/>
      </vt:variant>
      <vt:variant>
        <vt:i4>4587529</vt:i4>
      </vt:variant>
      <vt:variant>
        <vt:i4>0</vt:i4>
      </vt:variant>
      <vt:variant>
        <vt:i4>0</vt:i4>
      </vt:variant>
      <vt:variant>
        <vt:i4>5</vt:i4>
      </vt:variant>
      <vt:variant>
        <vt:lpwstr>http://interispo.sigov.si/delounatelesa/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Jacqueline Smagacz</dc:creator>
  <cp:keywords/>
  <dc:description/>
  <cp:lastModifiedBy>Dominique Leroy</cp:lastModifiedBy>
  <cp:revision>4</cp:revision>
  <cp:lastPrinted>2007-08-08T16:53:00Z</cp:lastPrinted>
  <dcterms:created xsi:type="dcterms:W3CDTF">2007-08-08T16:47:00Z</dcterms:created>
  <dcterms:modified xsi:type="dcterms:W3CDTF">2007-08-08T16:57:00Z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0735130F</vt:lpwstr>
  </property>
  <property fmtid="{D5CDD505-2E9C-101B-9397-08002B2CF9AE}" pid="5" name="Symbol1">
    <vt:lpwstr>CEDAW/C/SVN/4</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