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tl/>
        </w:rPr>
        <w:commentReference w:id="0"/>
      </w:r>
    </w:p>
    <w:p w:rsidR="00000000" w:rsidRDefault="00000000">
      <w:pPr>
        <w:pStyle w:val="Heading1"/>
        <w:rPr>
          <w:sz w:val="19"/>
          <w:szCs w:val="31"/>
          <w:rtl/>
        </w:rPr>
      </w:pPr>
      <w:r>
        <w:rPr>
          <w:b/>
          <w:bCs/>
          <w:sz w:val="35"/>
          <w:szCs w:val="40"/>
        </w:rPr>
        <w:t>CEDAW</w:t>
      </w:r>
      <w:r>
        <w:rPr>
          <w:sz w:val="19"/>
          <w:szCs w:val="39"/>
          <w:rtl/>
        </w:rPr>
        <w:tab/>
      </w:r>
      <w:r>
        <w:rPr>
          <w:sz w:val="19"/>
          <w:szCs w:val="31"/>
          <w:rtl/>
        </w:rPr>
        <w:tab/>
      </w:r>
      <w:r>
        <w:rPr>
          <w:sz w:val="19"/>
          <w:szCs w:val="31"/>
        </w:rPr>
        <w:tab/>
      </w:r>
      <w:r>
        <w:rPr>
          <w:sz w:val="19"/>
          <w:szCs w:val="31"/>
        </w:rPr>
        <w:tab/>
      </w:r>
      <w:r>
        <w:rPr>
          <w:sz w:val="19"/>
          <w:szCs w:val="31"/>
          <w:rtl/>
        </w:rPr>
        <w:tab/>
      </w:r>
      <w:r>
        <w:rPr>
          <w:sz w:val="19"/>
          <w:szCs w:val="31"/>
          <w:rtl/>
        </w:rPr>
        <w:tab/>
      </w:r>
      <w:r>
        <w:rPr>
          <w:sz w:val="19"/>
          <w:szCs w:val="31"/>
          <w:rtl/>
        </w:rPr>
        <w:tab/>
      </w:r>
      <w:r>
        <w:rPr>
          <w:sz w:val="19"/>
          <w:szCs w:val="31"/>
          <w:rtl/>
        </w:rPr>
        <w:tab/>
      </w:r>
      <w:r>
        <w:rPr>
          <w:sz w:val="19"/>
          <w:szCs w:val="31"/>
        </w:rPr>
        <w:t xml:space="preserve">         </w:t>
      </w:r>
      <w:r>
        <w:rPr>
          <w:b/>
          <w:bCs/>
          <w:sz w:val="35"/>
          <w:szCs w:val="40"/>
          <w:rtl/>
        </w:rPr>
        <w:t>الأمم المتحدة</w:t>
      </w:r>
      <w:r>
        <w:rPr>
          <w:sz w:val="19"/>
          <w:szCs w:val="31"/>
          <w:rtl/>
        </w:rPr>
        <w:t xml:space="preserve">                 </w:t>
      </w:r>
    </w:p>
    <w:tbl>
      <w:tblPr>
        <w:tblW w:w="0" w:type="auto"/>
        <w:tblInd w:w="-225" w:type="dxa"/>
        <w:tblLayout w:type="fixed"/>
        <w:tblCellMar>
          <w:left w:w="227" w:type="dxa"/>
          <w:right w:w="227" w:type="dxa"/>
        </w:tblCellMar>
        <w:tblLook w:val="0000" w:firstRow="0" w:lastRow="0" w:firstColumn="0" w:lastColumn="0" w:noHBand="0" w:noVBand="0"/>
      </w:tblPr>
      <w:tblGrid>
        <w:gridCol w:w="4082"/>
        <w:gridCol w:w="4139"/>
        <w:gridCol w:w="1701"/>
      </w:tblGrid>
      <w:tr w:rsidR="00000000">
        <w:tblPrEx>
          <w:tblCellMar>
            <w:top w:w="0" w:type="dxa"/>
            <w:bottom w:w="0" w:type="dxa"/>
          </w:tblCellMar>
        </w:tblPrEx>
        <w:trPr>
          <w:trHeight w:val="20"/>
        </w:trPr>
        <w:tc>
          <w:tcPr>
            <w:tcW w:w="4082" w:type="dxa"/>
          </w:tcPr>
          <w:p w:rsidR="00000000" w:rsidRDefault="00000000">
            <w:pPr>
              <w:rPr>
                <w:sz w:val="19"/>
                <w:szCs w:val="23"/>
                <w:lang w:eastAsia="en-US"/>
              </w:rPr>
            </w:pPr>
          </w:p>
          <w:p w:rsidR="00000000" w:rsidRDefault="00000000">
            <w:pPr>
              <w:rPr>
                <w:rFonts w:ascii="Arial" w:hAnsi="Arial" w:cs="Simplified Arabic"/>
                <w:szCs w:val="28"/>
                <w:lang w:eastAsia="en-US"/>
              </w:rPr>
            </w:pPr>
            <w:r>
              <w:rPr>
                <w:rFonts w:ascii="Arial" w:hAnsi="Arial" w:cs="Simplified Arabic"/>
                <w:szCs w:val="28"/>
                <w:lang w:eastAsia="en-US"/>
              </w:rPr>
              <w:t>Distr.</w:t>
            </w:r>
          </w:p>
          <w:p w:rsidR="00000000" w:rsidRDefault="00000000">
            <w:pPr>
              <w:rPr>
                <w:rFonts w:ascii="Arial" w:hAnsi="Arial" w:cs="Simplified Arabic"/>
                <w:szCs w:val="28"/>
                <w:lang w:eastAsia="en-US"/>
              </w:rPr>
            </w:pPr>
            <w:r>
              <w:rPr>
                <w:rFonts w:ascii="Arial" w:hAnsi="Arial" w:cs="Simplified Arabic"/>
                <w:szCs w:val="28"/>
                <w:lang w:eastAsia="en-US"/>
              </w:rPr>
              <w:t>GENERAL</w:t>
            </w:r>
          </w:p>
          <w:p w:rsidR="00000000" w:rsidRDefault="00000000">
            <w:pPr>
              <w:rPr>
                <w:rFonts w:ascii="Arial" w:hAnsi="Arial" w:cs="Simplified Arabic"/>
                <w:szCs w:val="28"/>
                <w:lang w:eastAsia="en-US"/>
              </w:rPr>
            </w:pPr>
            <w:r>
              <w:rPr>
                <w:rFonts w:ascii="Arial" w:hAnsi="Arial" w:cs="Simplified Arabic"/>
                <w:szCs w:val="28"/>
                <w:lang w:eastAsia="en-US"/>
              </w:rPr>
              <w:t>CEDAW/C/SR.351</w:t>
            </w:r>
          </w:p>
          <w:p w:rsidR="00000000" w:rsidRDefault="00000000">
            <w:pPr>
              <w:rPr>
                <w:rFonts w:ascii="Arial" w:hAnsi="Arial" w:cs="Simplified Arabic"/>
                <w:szCs w:val="28"/>
                <w:lang w:eastAsia="en-US"/>
              </w:rPr>
            </w:pPr>
            <w:r>
              <w:rPr>
                <w:rFonts w:ascii="Arial" w:hAnsi="Arial" w:cs="Simplified Arabic"/>
                <w:szCs w:val="28"/>
                <w:lang w:eastAsia="en-US"/>
              </w:rPr>
              <w:t xml:space="preserve">31 May    1998 </w:t>
            </w:r>
          </w:p>
          <w:p w:rsidR="00000000" w:rsidRDefault="00000000">
            <w:pPr>
              <w:rPr>
                <w:rFonts w:ascii="Arial" w:hAnsi="Arial" w:cs="Simplified Arabic"/>
                <w:szCs w:val="28"/>
                <w:lang w:eastAsia="en-US"/>
              </w:rPr>
            </w:pPr>
            <w:r>
              <w:rPr>
                <w:rFonts w:ascii="Arial" w:hAnsi="Arial" w:cs="Simplified Arabic"/>
                <w:szCs w:val="28"/>
                <w:lang w:eastAsia="en-US"/>
              </w:rPr>
              <w:t>ARABIC</w:t>
            </w:r>
          </w:p>
          <w:p w:rsidR="00000000" w:rsidRDefault="00000000">
            <w:pPr>
              <w:rPr>
                <w:sz w:val="23"/>
                <w:szCs w:val="23"/>
                <w:lang w:eastAsia="en-US"/>
              </w:rPr>
            </w:pPr>
            <w:r>
              <w:rPr>
                <w:rFonts w:ascii="Arial" w:hAnsi="Arial" w:cs="Simplified Arabic"/>
                <w:szCs w:val="28"/>
                <w:lang w:eastAsia="en-US"/>
              </w:rPr>
              <w:t>ORIGINAL: ENGLISH</w:t>
            </w:r>
            <w:r>
              <w:rPr>
                <w:rFonts w:cs="Simplified Arabic"/>
                <w:sz w:val="19"/>
                <w:szCs w:val="28"/>
                <w:rtl/>
                <w:lang w:eastAsia="en-US"/>
              </w:rPr>
              <w:t>‏</w:t>
            </w:r>
          </w:p>
        </w:tc>
        <w:tc>
          <w:tcPr>
            <w:tcW w:w="4139" w:type="dxa"/>
          </w:tcPr>
          <w:p w:rsidR="00000000" w:rsidRDefault="00000000">
            <w:pPr>
              <w:pStyle w:val="Header"/>
              <w:tabs>
                <w:tab w:val="clear" w:pos="4153"/>
                <w:tab w:val="clear" w:pos="8306"/>
              </w:tabs>
              <w:spacing w:line="380" w:lineRule="exact"/>
              <w:jc w:val="right"/>
              <w:rPr>
                <w:rFonts w:cs="Akhbar MT"/>
                <w:b/>
                <w:bCs/>
                <w:sz w:val="2"/>
                <w:szCs w:val="32"/>
                <w:rtl/>
              </w:rPr>
            </w:pPr>
          </w:p>
          <w:p w:rsidR="00000000" w:rsidRDefault="00000000">
            <w:pPr>
              <w:pStyle w:val="Header"/>
              <w:tabs>
                <w:tab w:val="clear" w:pos="4153"/>
                <w:tab w:val="clear" w:pos="8306"/>
              </w:tabs>
              <w:spacing w:line="460" w:lineRule="exact"/>
              <w:jc w:val="right"/>
              <w:rPr>
                <w:rFonts w:cs="Akhbar MT"/>
                <w:b/>
                <w:bCs/>
                <w:szCs w:val="52"/>
              </w:rPr>
            </w:pPr>
            <w:r>
              <w:rPr>
                <w:rFonts w:cs="Akhbar MT"/>
                <w:b/>
                <w:bCs/>
                <w:szCs w:val="52"/>
                <w:rtl/>
              </w:rPr>
              <w:t>اتفاقيـة القضــاء علــى</w:t>
            </w:r>
          </w:p>
          <w:p w:rsidR="00000000" w:rsidRDefault="00000000">
            <w:pPr>
              <w:pStyle w:val="Header"/>
              <w:tabs>
                <w:tab w:val="clear" w:pos="4153"/>
                <w:tab w:val="clear" w:pos="8306"/>
              </w:tabs>
              <w:spacing w:line="460" w:lineRule="exact"/>
              <w:jc w:val="right"/>
              <w:rPr>
                <w:rFonts w:cs="Akhbar MT"/>
                <w:b/>
                <w:bCs/>
                <w:szCs w:val="52"/>
                <w:rtl/>
              </w:rPr>
            </w:pPr>
            <w:r>
              <w:rPr>
                <w:rFonts w:cs="Akhbar MT"/>
                <w:b/>
                <w:bCs/>
                <w:szCs w:val="52"/>
                <w:rtl/>
              </w:rPr>
              <w:t>جميـع أشـكال التمييـز</w:t>
            </w:r>
          </w:p>
          <w:p w:rsidR="00000000" w:rsidRDefault="00000000">
            <w:pPr>
              <w:pStyle w:val="Header"/>
              <w:tabs>
                <w:tab w:val="clear" w:pos="4153"/>
                <w:tab w:val="clear" w:pos="8306"/>
              </w:tabs>
              <w:spacing w:line="460" w:lineRule="exact"/>
              <w:jc w:val="right"/>
              <w:rPr>
                <w:rFonts w:cs="Akhbar MT"/>
                <w:szCs w:val="32"/>
              </w:rPr>
            </w:pPr>
            <w:r>
              <w:rPr>
                <w:rFonts w:cs="Akhbar MT"/>
                <w:b/>
                <w:bCs/>
                <w:szCs w:val="52"/>
                <w:rtl/>
              </w:rPr>
              <w:t>ضـد الـمرأة</w:t>
            </w:r>
          </w:p>
        </w:tc>
        <w:tc>
          <w:tcPr>
            <w:tcW w:w="1701" w:type="dxa"/>
          </w:tcPr>
          <w:p w:rsidR="00000000" w:rsidRDefault="00000000">
            <w:pPr>
              <w:jc w:val="right"/>
              <w:rPr>
                <w:rFonts w:ascii="Garamond" w:hAnsi="Garamond"/>
                <w:spacing w:val="-2"/>
                <w:sz w:val="8"/>
                <w:szCs w:val="19"/>
              </w:rPr>
            </w:pPr>
          </w:p>
          <w:p w:rsidR="00000000" w:rsidRDefault="00000000">
            <w:pPr>
              <w:jc w:val="right"/>
              <w:rPr>
                <w:sz w:val="19"/>
                <w:szCs w:val="23"/>
                <w:lang w:eastAsia="en-US"/>
              </w:rPr>
            </w:pPr>
            <w:r>
              <w:rPr>
                <w:rFonts w:ascii="Garamond" w:hAnsi="Garamond"/>
                <w:spacing w:val="-2"/>
                <w:sz w:val="19"/>
                <w:szCs w:val="19"/>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1.75pt" fillcolor="window">
                  <v:imagedata r:id="rId7" o:title=""/>
                </v:shape>
              </w:pict>
            </w:r>
          </w:p>
        </w:tc>
      </w:tr>
      <w:tr w:rsidR="00000000">
        <w:tblPrEx>
          <w:tblCellMar>
            <w:top w:w="0" w:type="dxa"/>
            <w:bottom w:w="0" w:type="dxa"/>
          </w:tblCellMar>
        </w:tblPrEx>
        <w:trPr>
          <w:trHeight w:val="20"/>
        </w:trPr>
        <w:tc>
          <w:tcPr>
            <w:tcW w:w="4082" w:type="dxa"/>
          </w:tcPr>
          <w:p w:rsidR="00000000" w:rsidRDefault="00000000">
            <w:pPr>
              <w:rPr>
                <w:sz w:val="19"/>
                <w:szCs w:val="23"/>
                <w:lang w:eastAsia="en-US"/>
              </w:rPr>
            </w:pPr>
          </w:p>
        </w:tc>
        <w:tc>
          <w:tcPr>
            <w:tcW w:w="4139" w:type="dxa"/>
          </w:tcPr>
          <w:p w:rsidR="00000000" w:rsidRDefault="00000000">
            <w:pPr>
              <w:pStyle w:val="Header"/>
              <w:tabs>
                <w:tab w:val="clear" w:pos="4153"/>
                <w:tab w:val="clear" w:pos="8306"/>
              </w:tabs>
              <w:spacing w:line="380" w:lineRule="exact"/>
              <w:jc w:val="right"/>
              <w:rPr>
                <w:rFonts w:cs="Akhbar MT"/>
                <w:b/>
                <w:bCs/>
                <w:sz w:val="2"/>
                <w:szCs w:val="32"/>
                <w:rtl/>
              </w:rPr>
            </w:pPr>
          </w:p>
        </w:tc>
        <w:tc>
          <w:tcPr>
            <w:tcW w:w="1701" w:type="dxa"/>
          </w:tcPr>
          <w:p w:rsidR="00000000" w:rsidRDefault="00000000">
            <w:pPr>
              <w:jc w:val="right"/>
              <w:rPr>
                <w:rFonts w:ascii="Garamond" w:hAnsi="Garamond"/>
                <w:spacing w:val="-2"/>
                <w:sz w:val="8"/>
                <w:szCs w:val="19"/>
              </w:rPr>
            </w:pPr>
          </w:p>
        </w:tc>
      </w:tr>
    </w:tbl>
    <w:p w:rsidR="00000000" w:rsidRDefault="00000000">
      <w:pPr>
        <w:pBdr>
          <w:top w:val="single" w:sz="12" w:space="1" w:color="auto"/>
        </w:pBdr>
        <w:bidi/>
        <w:rPr>
          <w:b/>
          <w:bCs/>
          <w:sz w:val="19"/>
          <w:rtl/>
          <w:lang w:eastAsia="en-US"/>
        </w:rPr>
      </w:pPr>
    </w:p>
    <w:p w:rsidR="00000000" w:rsidRDefault="00000000">
      <w:pPr>
        <w:pStyle w:val="BodyText2"/>
        <w:bidi/>
        <w:spacing w:line="400" w:lineRule="exact"/>
        <w:jc w:val="center"/>
        <w:outlineLvl w:val="0"/>
        <w:rPr>
          <w:rFonts w:cs="Akhbar MT"/>
          <w:b/>
          <w:bCs/>
          <w:szCs w:val="32"/>
          <w:rtl/>
        </w:rPr>
      </w:pPr>
      <w:r>
        <w:rPr>
          <w:rFonts w:cs="Akhbar MT"/>
          <w:b/>
          <w:bCs/>
          <w:szCs w:val="32"/>
          <w:rtl/>
        </w:rPr>
        <w:t>اللجنة المعنية بالقضاء على التمييز ضد المرأة</w:t>
      </w:r>
    </w:p>
    <w:p w:rsidR="00000000" w:rsidRDefault="00000000">
      <w:pPr>
        <w:pStyle w:val="BodyText2"/>
        <w:bidi/>
        <w:spacing w:line="400" w:lineRule="exact"/>
        <w:jc w:val="center"/>
        <w:rPr>
          <w:rFonts w:cs="Akhbar MT"/>
          <w:szCs w:val="32"/>
          <w:rtl/>
        </w:rPr>
      </w:pPr>
      <w:r>
        <w:rPr>
          <w:rFonts w:cs="Akhbar MT"/>
          <w:szCs w:val="32"/>
          <w:rtl/>
        </w:rPr>
        <w:t>الدورة السابعة عشرة</w:t>
      </w:r>
    </w:p>
    <w:p w:rsidR="00000000" w:rsidRDefault="00000000">
      <w:pPr>
        <w:pStyle w:val="BodyText2"/>
        <w:bidi/>
        <w:spacing w:line="400" w:lineRule="exact"/>
        <w:jc w:val="center"/>
        <w:rPr>
          <w:rFonts w:cs="Akhbar MT"/>
          <w:b/>
          <w:bCs/>
          <w:szCs w:val="32"/>
          <w:rtl/>
        </w:rPr>
      </w:pPr>
      <w:r>
        <w:rPr>
          <w:rFonts w:cs="Akhbar MT"/>
          <w:b/>
          <w:bCs/>
          <w:szCs w:val="32"/>
          <w:rtl/>
        </w:rPr>
        <w:t>محضر موجز للجلسة 351</w:t>
      </w:r>
    </w:p>
    <w:p w:rsidR="00000000" w:rsidRDefault="00000000">
      <w:pPr>
        <w:pStyle w:val="BodyText2"/>
        <w:bidi/>
        <w:spacing w:line="400" w:lineRule="exact"/>
        <w:jc w:val="center"/>
        <w:rPr>
          <w:rFonts w:cs="Akhbar MT"/>
          <w:szCs w:val="32"/>
          <w:rtl/>
        </w:rPr>
      </w:pPr>
      <w:r>
        <w:rPr>
          <w:rFonts w:cs="Akhbar MT"/>
          <w:szCs w:val="32"/>
          <w:rtl/>
        </w:rPr>
        <w:t>المعقودة في المقر، نيويورك،</w:t>
      </w:r>
    </w:p>
    <w:p w:rsidR="00000000" w:rsidRDefault="00000000">
      <w:pPr>
        <w:pStyle w:val="BodyText2"/>
        <w:bidi/>
        <w:spacing w:line="400" w:lineRule="exact"/>
        <w:jc w:val="center"/>
        <w:rPr>
          <w:rFonts w:cs="Akhbar MT"/>
          <w:szCs w:val="32"/>
          <w:rtl/>
        </w:rPr>
      </w:pPr>
      <w:r>
        <w:rPr>
          <w:rFonts w:cs="Akhbar MT"/>
          <w:szCs w:val="32"/>
          <w:rtl/>
        </w:rPr>
        <w:t>يوم الخميس، 17 تموز/يوليه 1997، الساعة 00/15</w:t>
      </w:r>
    </w:p>
    <w:p w:rsidR="00000000" w:rsidRDefault="00000000">
      <w:pPr>
        <w:pStyle w:val="BodyText2"/>
        <w:bidi/>
        <w:spacing w:line="400" w:lineRule="exact"/>
        <w:jc w:val="center"/>
        <w:rPr>
          <w:rFonts w:cs="Akhbar MT"/>
          <w:b/>
          <w:bCs/>
          <w:szCs w:val="32"/>
          <w:rtl/>
        </w:rPr>
      </w:pPr>
      <w:r>
        <w:rPr>
          <w:rFonts w:cs="Akhbar MT"/>
          <w:b/>
          <w:bCs/>
          <w:szCs w:val="32"/>
          <w:rtl/>
        </w:rPr>
        <w:t>الرئيسة:  السيدة خان</w:t>
      </w:r>
    </w:p>
    <w:p w:rsidR="00000000" w:rsidRDefault="00000000">
      <w:pPr>
        <w:pStyle w:val="BodyText2"/>
        <w:bidi/>
        <w:spacing w:line="400" w:lineRule="exact"/>
        <w:jc w:val="center"/>
        <w:rPr>
          <w:rFonts w:cs="Akhbar MT"/>
          <w:b/>
          <w:bCs/>
          <w:szCs w:val="32"/>
        </w:rPr>
      </w:pPr>
      <w:r>
        <w:rPr>
          <w:rFonts w:cs="Akhbar MT"/>
          <w:b/>
          <w:bCs/>
          <w:szCs w:val="32"/>
          <w:rtl/>
        </w:rPr>
        <w:t>المحتويات</w:t>
      </w:r>
    </w:p>
    <w:p w:rsidR="00000000" w:rsidRDefault="00000000">
      <w:pPr>
        <w:pStyle w:val="BodyText2"/>
        <w:bidi/>
        <w:spacing w:line="400" w:lineRule="exact"/>
        <w:jc w:val="lowKashida"/>
        <w:rPr>
          <w:rFonts w:cs="Akhbar MT"/>
          <w:szCs w:val="32"/>
          <w:rtl/>
        </w:rPr>
      </w:pPr>
      <w:r>
        <w:rPr>
          <w:rFonts w:cs="Akhbar MT"/>
          <w:b/>
          <w:bCs/>
          <w:szCs w:val="32"/>
          <w:rtl/>
        </w:rPr>
        <w:t xml:space="preserve">النظر في التقارير المقدمة من الدول الأطراف بموجب المادة 18 من اتفاقية القضاء على جميع أشكال التمييز ضد المرأة </w:t>
      </w:r>
      <w:r>
        <w:rPr>
          <w:rFonts w:cs="Akhbar MT"/>
          <w:szCs w:val="32"/>
          <w:rtl/>
        </w:rPr>
        <w:t>(تابع)</w:t>
      </w:r>
    </w:p>
    <w:p w:rsidR="00000000" w:rsidRDefault="00000000">
      <w:pPr>
        <w:pStyle w:val="BodyText2"/>
        <w:pBdr>
          <w:bottom w:val="single" w:sz="12" w:space="1" w:color="auto"/>
        </w:pBdr>
        <w:bidi/>
        <w:spacing w:line="400" w:lineRule="exact"/>
        <w:jc w:val="lowKashida"/>
        <w:outlineLvl w:val="0"/>
        <w:rPr>
          <w:rFonts w:cs="Akhbar MT"/>
          <w:szCs w:val="32"/>
        </w:rPr>
      </w:pPr>
      <w:r>
        <w:rPr>
          <w:rFonts w:cs="Akhbar MT"/>
          <w:szCs w:val="32"/>
          <w:rtl/>
        </w:rPr>
        <w:tab/>
        <w:t>التقريران الدوريان الأولي والثاني لإسرائيل (تابع)</w:t>
      </w:r>
    </w:p>
    <w:p w:rsidR="00000000" w:rsidRDefault="00000000">
      <w:pPr>
        <w:pStyle w:val="BodyText2"/>
        <w:bidi/>
        <w:spacing w:line="240" w:lineRule="exact"/>
        <w:ind w:firstLine="720"/>
        <w:jc w:val="lowKashida"/>
        <w:rPr>
          <w:rFonts w:cs="Akhbar MT"/>
          <w:szCs w:val="24"/>
        </w:rPr>
      </w:pPr>
      <w:r>
        <w:rPr>
          <w:rFonts w:cs="Akhbar MT"/>
          <w:szCs w:val="24"/>
          <w:rtl/>
        </w:rPr>
        <w:t>هذا المحضر قابل للتصويب. ويجب إدراج التصويبات بإحدى لغات العمل، كما ينبغي تبيانها في مذكرة وإدخالها على  نسخة من المحضر. وينبغـي إرسالـها في غضـون أسبـوع واحـد مـن تاريخ هـذه الوثيقة إلى:</w:t>
      </w:r>
      <w:r>
        <w:rPr>
          <w:rFonts w:cs="Akhbar MT"/>
          <w:szCs w:val="24"/>
        </w:rPr>
        <w:t xml:space="preserve"> Chief of the Official Records Editing Section, room DC2-794, 2 United Nations Plaza</w:t>
      </w:r>
      <w:r>
        <w:rPr>
          <w:rFonts w:cs="Akhbar MT"/>
          <w:szCs w:val="24"/>
          <w:rtl/>
        </w:rPr>
        <w:t>.</w:t>
      </w:r>
    </w:p>
    <w:p w:rsidR="00000000" w:rsidRDefault="00000000">
      <w:pPr>
        <w:pStyle w:val="BodyText2"/>
        <w:bidi/>
        <w:spacing w:line="240" w:lineRule="exact"/>
        <w:jc w:val="lowKashida"/>
        <w:rPr>
          <w:rFonts w:cs="Akhbar MT"/>
          <w:szCs w:val="24"/>
        </w:rPr>
      </w:pPr>
      <w:r>
        <w:rPr>
          <w:rFonts w:cs="Akhbar MT"/>
          <w:szCs w:val="24"/>
        </w:rPr>
        <w:tab/>
      </w:r>
      <w:r>
        <w:rPr>
          <w:rFonts w:cs="Akhbar MT"/>
          <w:szCs w:val="24"/>
          <w:rtl/>
        </w:rPr>
        <w:t>وستصدر أي تصويبات لمحاضر جلسات هذه الدورة في كراسة تصويب واحدة، تصدر عقب نهاية الدورة بفترة وجيزة.</w:t>
      </w:r>
    </w:p>
    <w:p w:rsidR="00000000" w:rsidRDefault="00000000">
      <w:pPr>
        <w:pStyle w:val="BodyText2"/>
        <w:spacing w:line="240" w:lineRule="exact"/>
        <w:jc w:val="right"/>
        <w:rPr>
          <w:rFonts w:cs="Akhbar MT"/>
          <w:sz w:val="22"/>
          <w:szCs w:val="24"/>
        </w:rPr>
      </w:pPr>
      <w:r>
        <w:rPr>
          <w:rFonts w:cs="Akhbar MT"/>
          <w:sz w:val="22"/>
          <w:szCs w:val="24"/>
        </w:rPr>
        <w:t>../..</w:t>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t>97-81712</w:t>
      </w:r>
    </w:p>
    <w:p w:rsidR="00000000" w:rsidRDefault="00000000">
      <w:pPr>
        <w:pStyle w:val="BodyText2"/>
        <w:spacing w:line="240" w:lineRule="exact"/>
        <w:jc w:val="right"/>
        <w:rPr>
          <w:rFonts w:ascii="Code 3of9 4.6" w:hAnsi="Code 3of9 4.6" w:cs="Akhbar MT"/>
          <w:sz w:val="24"/>
          <w:szCs w:val="24"/>
          <w:rtl/>
        </w:rPr>
      </w:pP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cs="Akhbar MT"/>
          <w:sz w:val="22"/>
          <w:szCs w:val="24"/>
        </w:rPr>
        <w:tab/>
      </w:r>
      <w:r>
        <w:rPr>
          <w:rFonts w:ascii="Code 3of9 4.6" w:hAnsi="Code 3of9 4.6" w:cs="Akhbar MT"/>
          <w:b/>
          <w:bCs/>
          <w:sz w:val="24"/>
          <w:szCs w:val="24"/>
        </w:rPr>
        <w:t>*9781712</w:t>
      </w:r>
      <w:r>
        <w:rPr>
          <w:rFonts w:ascii="Code 3of9 4.6" w:hAnsi="Code 3of9 4.6" w:cs="Akhbar MT"/>
          <w:sz w:val="24"/>
          <w:szCs w:val="24"/>
        </w:rPr>
        <w:t>*</w:t>
      </w:r>
    </w:p>
    <w:p w:rsidR="00000000" w:rsidRDefault="00000000">
      <w:pPr>
        <w:pStyle w:val="BodyText2"/>
        <w:bidi/>
        <w:spacing w:before="0" w:after="0" w:line="380" w:lineRule="exact"/>
        <w:jc w:val="center"/>
        <w:outlineLvl w:val="0"/>
        <w:rPr>
          <w:rFonts w:cs="Simplified Arabic"/>
          <w:b/>
          <w:bCs/>
        </w:rPr>
      </w:pPr>
      <w:r>
        <w:rPr>
          <w:rFonts w:cs="Akhbar MT"/>
          <w:szCs w:val="24"/>
          <w:rtl/>
        </w:rPr>
        <w:br w:type="page"/>
      </w:r>
      <w:r>
        <w:rPr>
          <w:rFonts w:cs="Simplified Arabic"/>
          <w:b/>
          <w:bCs/>
          <w:rtl/>
        </w:rPr>
        <w:t>افتتحت الجلسة الساعة 05/15</w:t>
      </w:r>
    </w:p>
    <w:p w:rsidR="00000000" w:rsidRDefault="00000000">
      <w:pPr>
        <w:pStyle w:val="BodyText2"/>
        <w:bidi/>
        <w:spacing w:before="0" w:after="0" w:line="380" w:lineRule="exact"/>
        <w:jc w:val="lowKashida"/>
        <w:rPr>
          <w:rFonts w:cs="Akhbar MT"/>
          <w:b/>
          <w:bCs/>
          <w:szCs w:val="32"/>
          <w:rtl/>
        </w:rPr>
      </w:pPr>
    </w:p>
    <w:p w:rsidR="00000000" w:rsidRDefault="00000000">
      <w:pPr>
        <w:pStyle w:val="BodyText2"/>
        <w:bidi/>
        <w:spacing w:before="0" w:after="0" w:line="380" w:lineRule="exact"/>
        <w:jc w:val="lowKashida"/>
        <w:rPr>
          <w:rFonts w:cs="Akhbar MT"/>
          <w:b/>
          <w:bCs/>
          <w:szCs w:val="32"/>
          <w:rtl/>
        </w:rPr>
        <w:sectPr w:rsidR="00000000">
          <w:headerReference w:type="even" r:id="rId8"/>
          <w:headerReference w:type="default" r:id="rId9"/>
          <w:footerReference w:type="even" r:id="rId10"/>
          <w:footerReference w:type="default" r:id="rId11"/>
          <w:pgSz w:w="11909" w:h="16834" w:code="9"/>
          <w:pgMar w:top="1134" w:right="1134" w:bottom="1701" w:left="1134" w:header="1134" w:footer="1418" w:gutter="0"/>
          <w:cols w:space="720"/>
          <w:titlePg/>
          <w:rtlGutter/>
        </w:sectPr>
      </w:pPr>
    </w:p>
    <w:p w:rsidR="00000000" w:rsidRDefault="00000000">
      <w:pPr>
        <w:pStyle w:val="BodyText2"/>
        <w:bidi/>
        <w:spacing w:before="0" w:line="300" w:lineRule="exact"/>
        <w:jc w:val="lowKashida"/>
        <w:rPr>
          <w:rFonts w:cs="Simplified Arabic"/>
          <w:szCs w:val="24"/>
          <w:rtl/>
        </w:rPr>
      </w:pPr>
      <w:r>
        <w:rPr>
          <w:rFonts w:cs="Simplified Arabic"/>
          <w:b/>
          <w:bCs/>
          <w:szCs w:val="24"/>
          <w:rtl/>
        </w:rPr>
        <w:t>النظر في التقارير المقدمة من الدول الأطـراف بموجب 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tl/>
        </w:rPr>
      </w:pP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tl/>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lowKashida"/>
        <w:rPr>
          <w:rFonts w:cs="Simplified Arabic"/>
          <w:szCs w:val="24"/>
          <w:rtl/>
        </w:rPr>
      </w:pPr>
      <w:r>
        <w:rPr>
          <w:rFonts w:cs="Simplified Arabic"/>
          <w:b/>
          <w:bCs/>
          <w:szCs w:val="24"/>
          <w:rtl/>
        </w:rPr>
        <w:t>المـادة 18 من اتفاقية القضاء علـى جميع أشكال التمييز ضد المرأة</w:t>
      </w:r>
      <w:r>
        <w:rPr>
          <w:rFonts w:cs="Simplified Arabic"/>
          <w:szCs w:val="24"/>
          <w:rtl/>
        </w:rPr>
        <w:t xml:space="preserve"> (تابع)</w:t>
      </w:r>
    </w:p>
    <w:p w:rsidR="00000000" w:rsidRDefault="00000000">
      <w:pPr>
        <w:pStyle w:val="BodyText2"/>
        <w:bidi/>
        <w:spacing w:before="0" w:line="300" w:lineRule="exact"/>
        <w:jc w:val="lowKashida"/>
        <w:rPr>
          <w:rFonts w:cs="Simplified Arabic"/>
          <w:szCs w:val="24"/>
          <w:rtl/>
        </w:rPr>
      </w:pPr>
      <w:r>
        <w:rPr>
          <w:rFonts w:cs="Simplified Arabic"/>
          <w:szCs w:val="24"/>
          <w:rtl/>
        </w:rPr>
        <w:tab/>
      </w:r>
      <w:r>
        <w:rPr>
          <w:rFonts w:cs="Simplified Arabic"/>
          <w:b/>
          <w:bCs/>
          <w:szCs w:val="24"/>
          <w:rtl/>
        </w:rPr>
        <w:t xml:space="preserve">التقريران الدوريان الأولي والثاني لإسرائيل (تابع) </w:t>
      </w:r>
      <w:r>
        <w:rPr>
          <w:rFonts w:cs="Simplified Arabic"/>
          <w:b/>
          <w:bCs/>
          <w:szCs w:val="24"/>
        </w:rPr>
        <w:t>(CEDAW/C/ISR/1-2</w:t>
      </w:r>
      <w:r>
        <w:rPr>
          <w:rFonts w:cs="Simplified Arabic"/>
          <w:szCs w:val="24"/>
        </w:rPr>
        <w:t>)</w:t>
      </w:r>
    </w:p>
    <w:p w:rsidR="00000000" w:rsidRDefault="00000000">
      <w:pPr>
        <w:pStyle w:val="BodyText2"/>
        <w:bidi/>
        <w:spacing w:before="0" w:line="300" w:lineRule="exact"/>
        <w:jc w:val="lowKashida"/>
        <w:rPr>
          <w:rFonts w:cs="Simplified Arabic"/>
          <w:b/>
          <w:bCs/>
          <w:szCs w:val="24"/>
          <w:rtl/>
        </w:rPr>
      </w:pPr>
      <w:r>
        <w:rPr>
          <w:rFonts w:cs="Simplified Arabic"/>
          <w:szCs w:val="24"/>
          <w:rtl/>
        </w:rPr>
        <w:t>1 -</w:t>
      </w:r>
      <w:r>
        <w:rPr>
          <w:rFonts w:cs="Simplified Arabic"/>
          <w:szCs w:val="24"/>
          <w:rtl/>
        </w:rPr>
        <w:tab/>
      </w:r>
      <w:r>
        <w:rPr>
          <w:rFonts w:cs="Simplified Arabic"/>
          <w:b/>
          <w:bCs/>
          <w:szCs w:val="24"/>
          <w:rtl/>
        </w:rPr>
        <w:t>بدعوة من الرئيسة، أخذت السيدة أراد والسيدة هالبرين-كاداري (إسرائيل) مكانا لهما على طاولة اللجنة.</w:t>
      </w:r>
    </w:p>
    <w:p w:rsidR="00000000" w:rsidRDefault="00000000">
      <w:pPr>
        <w:pStyle w:val="BodyText2"/>
        <w:bidi/>
        <w:spacing w:before="0" w:line="300" w:lineRule="exact"/>
        <w:jc w:val="lowKashida"/>
        <w:outlineLvl w:val="0"/>
        <w:rPr>
          <w:rFonts w:cs="Simplified Arabic"/>
          <w:b/>
          <w:bCs/>
          <w:szCs w:val="24"/>
        </w:rPr>
      </w:pPr>
      <w:r>
        <w:rPr>
          <w:rFonts w:cs="Simplified Arabic"/>
          <w:b/>
          <w:bCs/>
          <w:szCs w:val="24"/>
          <w:rtl/>
        </w:rPr>
        <w:t>المادة 2 (تابع)</w:t>
      </w:r>
    </w:p>
    <w:p w:rsidR="00000000" w:rsidRDefault="00000000">
      <w:pPr>
        <w:pStyle w:val="BodyText2"/>
        <w:bidi/>
        <w:spacing w:before="0" w:line="300" w:lineRule="exact"/>
        <w:jc w:val="lowKashida"/>
        <w:rPr>
          <w:rFonts w:cs="Simplified Arabic"/>
          <w:szCs w:val="24"/>
        </w:rPr>
      </w:pPr>
      <w:r>
        <w:rPr>
          <w:rFonts w:cs="Simplified Arabic"/>
          <w:szCs w:val="24"/>
          <w:rtl/>
        </w:rPr>
        <w:t>2 -</w:t>
      </w:r>
      <w:r>
        <w:rPr>
          <w:rFonts w:cs="Simplified Arabic"/>
          <w:szCs w:val="24"/>
          <w:rtl/>
        </w:rPr>
        <w:tab/>
      </w:r>
      <w:r>
        <w:rPr>
          <w:rFonts w:cs="Simplified Arabic"/>
          <w:b/>
          <w:bCs/>
          <w:szCs w:val="24"/>
          <w:rtl/>
        </w:rPr>
        <w:t>السيدة غونزاليس</w:t>
      </w:r>
      <w:r>
        <w:rPr>
          <w:rFonts w:cs="Simplified Arabic"/>
          <w:szCs w:val="24"/>
          <w:rtl/>
        </w:rPr>
        <w:t>: سألت عما إذا كانت الاتفاقية قد ترجمت ووزعت بالعبرية واللغات الأخرى، وما هي التدابير التي اتخذت للتوعيـة بالاتفاقية في أوسـاط الأميـين، وما إذا كانـت القوانـين والممارسـات التي تميز ضد المرأة لا تزال قائمة. كما سألت عن رأي الحكومة في سبب الانخفاض النسبي لعدد قضايا انتهاكات حقوق المرأة المعروضة على المحاكم وما هي التدابير التي تعتزم اتخاذها لضمان توعية المرأة بحقوقها بموجب الاتفاقية. وأخيرا، طلبت المزيد من المعلومات عن قانون محاكم الأسرة لعام 1955، المشار إليه في الصفحة 29.</w:t>
      </w:r>
    </w:p>
    <w:p w:rsidR="00000000" w:rsidRDefault="00000000">
      <w:pPr>
        <w:pStyle w:val="BodyText2"/>
        <w:bidi/>
        <w:spacing w:before="0" w:line="300" w:lineRule="exact"/>
        <w:jc w:val="lowKashida"/>
        <w:rPr>
          <w:rFonts w:cs="Simplified Arabic"/>
          <w:szCs w:val="24"/>
        </w:rPr>
      </w:pPr>
      <w:r>
        <w:rPr>
          <w:rFonts w:cs="Simplified Arabic"/>
          <w:szCs w:val="24"/>
          <w:rtl/>
        </w:rPr>
        <w:t>3 -</w:t>
      </w:r>
      <w:r>
        <w:rPr>
          <w:rFonts w:cs="Simplified Arabic"/>
          <w:szCs w:val="24"/>
          <w:rtl/>
        </w:rPr>
        <w:tab/>
      </w:r>
      <w:r>
        <w:rPr>
          <w:rFonts w:cs="Simplified Arabic"/>
          <w:b/>
          <w:bCs/>
          <w:szCs w:val="24"/>
          <w:rtl/>
        </w:rPr>
        <w:t>السيدة فيرير</w:t>
      </w:r>
      <w:r>
        <w:rPr>
          <w:rFonts w:cs="Simplified Arabic"/>
          <w:szCs w:val="24"/>
          <w:rtl/>
        </w:rPr>
        <w:t>: تساءلت عما إذا كانت القوانين الأساسية في إسرائيل تضمن حماية المرأة المنتمية إلى الأقليات، وما إذا كانت ثمة خطط لتنفيذ برامج ترتكز على نوع الجنس في الأراضي المحتلة.</w:t>
      </w:r>
    </w:p>
    <w:p w:rsidR="00000000" w:rsidRDefault="00000000">
      <w:pPr>
        <w:pStyle w:val="BodyText2"/>
        <w:bidi/>
        <w:spacing w:before="0" w:line="300" w:lineRule="exact"/>
        <w:jc w:val="lowKashida"/>
        <w:rPr>
          <w:rFonts w:cs="Simplified Arabic"/>
          <w:szCs w:val="24"/>
        </w:rPr>
      </w:pPr>
      <w:r>
        <w:rPr>
          <w:rFonts w:cs="Simplified Arabic"/>
          <w:szCs w:val="24"/>
          <w:rtl/>
        </w:rPr>
        <w:t>4 -</w:t>
      </w:r>
      <w:r>
        <w:rPr>
          <w:rFonts w:cs="Simplified Arabic"/>
          <w:szCs w:val="24"/>
          <w:rtl/>
        </w:rPr>
        <w:tab/>
      </w:r>
      <w:r>
        <w:rPr>
          <w:rFonts w:cs="Simplified Arabic"/>
          <w:b/>
          <w:bCs/>
          <w:szCs w:val="24"/>
          <w:rtl/>
        </w:rPr>
        <w:t>السيدة عويج:</w:t>
      </w:r>
      <w:r>
        <w:rPr>
          <w:rFonts w:cs="Simplified Arabic"/>
          <w:szCs w:val="24"/>
          <w:rtl/>
        </w:rPr>
        <w:t xml:space="preserve"> لاحظت أنه إذا كان القانون الإسرائيلي يكرس المساواة، فإن المحكمة العليا الإسرائيلية ترجح الممارسات الدينية عندما تتعارض مع ذلك المبدأ. وعلاوة على ذلك، صنفت المرأة العربية والفلسطينية بشكل مجحف في عداد الأقليات الإثنية والدينية لا الأقليات القومية، وطلبت المزيد من المعلومات عن هذه المرأة وعن الجهود التي تبذلها الحكومة لحمايتها. وأخيرا سألت عن مدى التشاور مع المنظمات غير الحكومية الفلسطينية في إعداد التقرير.</w:t>
      </w:r>
    </w:p>
    <w:p w:rsidR="00000000" w:rsidRDefault="00000000">
      <w:pPr>
        <w:pStyle w:val="BodyText2"/>
        <w:bidi/>
        <w:spacing w:before="0" w:line="300" w:lineRule="exact"/>
        <w:jc w:val="lowKashida"/>
        <w:rPr>
          <w:rFonts w:cs="Simplified Arabic"/>
          <w:szCs w:val="24"/>
        </w:rPr>
      </w:pPr>
      <w:r>
        <w:rPr>
          <w:rFonts w:cs="Simplified Arabic"/>
          <w:szCs w:val="24"/>
          <w:rtl/>
        </w:rPr>
        <w:t>5 -</w:t>
      </w:r>
      <w:r>
        <w:rPr>
          <w:rFonts w:cs="Simplified Arabic"/>
          <w:szCs w:val="24"/>
          <w:rtl/>
        </w:rPr>
        <w:tab/>
      </w:r>
      <w:r>
        <w:rPr>
          <w:rFonts w:cs="Simplified Arabic"/>
          <w:b/>
          <w:bCs/>
          <w:szCs w:val="24"/>
          <w:rtl/>
        </w:rPr>
        <w:t>السيدة بوستيلو غارسيا ديل ريال:</w:t>
      </w:r>
      <w:r>
        <w:rPr>
          <w:rFonts w:cs="Simplified Arabic"/>
          <w:szCs w:val="24"/>
          <w:rtl/>
        </w:rPr>
        <w:t xml:space="preserve"> قالت إنها تأسف لافتقار التقرير إلى معلومات بشأن خطط الحكومة لتحقيق تكافؤ الفرص بين الرجل والمرأة وتتمنى أن تسحب الحكومة تحفظيها الرئيسيين اللذين أدلت بهما عند تصديقها على الاتفاقية.</w:t>
      </w:r>
    </w:p>
    <w:p w:rsidR="00000000" w:rsidRDefault="00000000">
      <w:pPr>
        <w:pStyle w:val="BodyText2"/>
        <w:bidi/>
        <w:spacing w:before="0" w:line="300" w:lineRule="exact"/>
        <w:jc w:val="lowKashida"/>
        <w:rPr>
          <w:rFonts w:cs="Simplified Arabic"/>
          <w:szCs w:val="24"/>
        </w:rPr>
      </w:pPr>
      <w:r>
        <w:rPr>
          <w:rFonts w:cs="Simplified Arabic"/>
          <w:szCs w:val="24"/>
          <w:rtl/>
        </w:rPr>
        <w:t>6 -</w:t>
      </w:r>
      <w:r>
        <w:rPr>
          <w:rFonts w:cs="Simplified Arabic"/>
          <w:szCs w:val="24"/>
          <w:rtl/>
        </w:rPr>
        <w:tab/>
      </w:r>
      <w:r>
        <w:rPr>
          <w:rFonts w:cs="Simplified Arabic"/>
          <w:b/>
          <w:bCs/>
          <w:szCs w:val="24"/>
          <w:rtl/>
        </w:rPr>
        <w:t>السيدة كارترايت:</w:t>
      </w:r>
      <w:r>
        <w:rPr>
          <w:rFonts w:cs="Simplified Arabic"/>
          <w:szCs w:val="24"/>
          <w:rtl/>
        </w:rPr>
        <w:t xml:space="preserve"> طلبت تأكيد ما إذا كانت المحاكم الإسرائيلية قد أقرت حظر التمييز المتوخى أو الفعلي ضد المرأة، وسألت عما إذا كانت تلك المحاكم تقر بأولوية القانون الدولي فيما يتعلق بتنفيذ الاتفاقية مثلا. ولاحظت التناقض بين وعد المرأة بالمساواة بموجب القوانين الأساسية والإخفاق الحالي للنظام القضائي في تطبيق تلك المساواة، كما يتضح ذلك من تحفظ الحكومة على المادة 16 من الاتفاقية وإبقائها للمحاكم الدينية. ونظرا للأهمية البالغة لجعل مبدأ المساواة يتخلل كل مستويات المجتمع الإسرائيلي، فإنها تحث الحكومة على رفع القيود التي تفرضها المحاكم الدينية على المرأة وسحب تحفظها على المادة 16 من الاتفاقية.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3</w:t>
      </w:r>
    </w:p>
    <w:p w:rsidR="00000000" w:rsidRDefault="00000000">
      <w:pPr>
        <w:pStyle w:val="BodyText2"/>
        <w:bidi/>
        <w:spacing w:before="0" w:line="300" w:lineRule="exact"/>
        <w:jc w:val="lowKashida"/>
        <w:rPr>
          <w:rFonts w:cs="Simplified Arabic"/>
          <w:szCs w:val="24"/>
        </w:rPr>
      </w:pPr>
      <w:r>
        <w:rPr>
          <w:rFonts w:cs="Simplified Arabic"/>
          <w:szCs w:val="24"/>
          <w:rtl/>
        </w:rPr>
        <w:t>7 -</w:t>
      </w:r>
      <w:r>
        <w:rPr>
          <w:rFonts w:cs="Simplified Arabic"/>
          <w:szCs w:val="24"/>
          <w:rtl/>
        </w:rPr>
        <w:tab/>
      </w:r>
      <w:r>
        <w:rPr>
          <w:rFonts w:cs="Simplified Arabic"/>
          <w:b/>
          <w:bCs/>
          <w:szCs w:val="24"/>
          <w:rtl/>
        </w:rPr>
        <w:t xml:space="preserve">السيدة فيرير: </w:t>
      </w:r>
      <w:r>
        <w:rPr>
          <w:rFonts w:cs="Simplified Arabic"/>
          <w:szCs w:val="24"/>
          <w:rtl/>
        </w:rPr>
        <w:t xml:space="preserve"> طلبت المزيد من المعلومات عن الخطط الرامية إلى إقامة آلية وطنية للنهوض بالمرأة.</w:t>
      </w:r>
    </w:p>
    <w:p w:rsidR="00000000" w:rsidRDefault="00000000">
      <w:pPr>
        <w:pStyle w:val="BodyText2"/>
        <w:bidi/>
        <w:spacing w:before="0" w:line="300" w:lineRule="exact"/>
        <w:jc w:val="lowKashida"/>
        <w:rPr>
          <w:rFonts w:cs="Simplified Arabic"/>
          <w:szCs w:val="24"/>
        </w:rPr>
      </w:pPr>
      <w:r>
        <w:rPr>
          <w:rFonts w:cs="Simplified Arabic"/>
          <w:szCs w:val="24"/>
          <w:rtl/>
        </w:rPr>
        <w:t>8 -</w:t>
      </w:r>
      <w:r>
        <w:rPr>
          <w:rFonts w:cs="Simplified Arabic"/>
          <w:szCs w:val="24"/>
          <w:rtl/>
        </w:rPr>
        <w:tab/>
      </w:r>
      <w:r>
        <w:rPr>
          <w:rFonts w:cs="Simplified Arabic"/>
          <w:b/>
          <w:bCs/>
          <w:szCs w:val="24"/>
          <w:rtl/>
        </w:rPr>
        <w:t>السيدة يونغ تشانغ كيم:</w:t>
      </w:r>
      <w:r>
        <w:rPr>
          <w:rFonts w:cs="Simplified Arabic"/>
          <w:szCs w:val="24"/>
          <w:rtl/>
        </w:rPr>
        <w:t xml:space="preserve"> طلبت المزيد من المعلومات بشأن مدى التعاون بين المنظمات النسائية اليهودية والعربية.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 xml:space="preserve">المادتان 4 و 5 </w:t>
      </w:r>
    </w:p>
    <w:p w:rsidR="00000000" w:rsidRDefault="00000000">
      <w:pPr>
        <w:pStyle w:val="BodyText2"/>
        <w:bidi/>
        <w:spacing w:before="0" w:line="300" w:lineRule="exact"/>
        <w:jc w:val="lowKashida"/>
        <w:rPr>
          <w:rFonts w:cs="Simplified Arabic"/>
          <w:szCs w:val="24"/>
        </w:rPr>
      </w:pPr>
      <w:r>
        <w:rPr>
          <w:rFonts w:cs="Simplified Arabic"/>
          <w:szCs w:val="24"/>
          <w:rtl/>
        </w:rPr>
        <w:t>9 -</w:t>
      </w:r>
      <w:r>
        <w:rPr>
          <w:rFonts w:cs="Simplified Arabic"/>
          <w:szCs w:val="24"/>
          <w:rtl/>
        </w:rPr>
        <w:tab/>
      </w:r>
      <w:r>
        <w:rPr>
          <w:rFonts w:cs="Simplified Arabic"/>
          <w:b/>
          <w:bCs/>
          <w:szCs w:val="24"/>
          <w:rtl/>
        </w:rPr>
        <w:t xml:space="preserve">السيدة أكار: </w:t>
      </w:r>
      <w:r>
        <w:rPr>
          <w:rFonts w:cs="Simplified Arabic"/>
          <w:szCs w:val="24"/>
          <w:rtl/>
        </w:rPr>
        <w:t>بعد أن أكدت  التزام الحكومة بتعديل السلوك الاجتماعي والثقافي بغية القضاء على القوالب النمطية المؤذية، حثت على اتخاذ تدابير أكثر فعالية للقضاء على العوائق ذات الأسس الثقافية التي تعاني منها المرأة العربية والفلسطينية، وقالت إنه ستكون موضع تقدير لديها أي معلومات إضافية عن التغيرات الأخيرة في الرأي العام الإسرائيلي بشأن العمل الإيجابي.</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5</w:t>
      </w:r>
    </w:p>
    <w:p w:rsidR="00000000" w:rsidRDefault="00000000">
      <w:pPr>
        <w:pStyle w:val="BodyText2"/>
        <w:bidi/>
        <w:spacing w:before="0" w:line="300" w:lineRule="exact"/>
        <w:jc w:val="lowKashida"/>
        <w:rPr>
          <w:rFonts w:cs="Simplified Arabic"/>
          <w:szCs w:val="24"/>
        </w:rPr>
      </w:pPr>
      <w:r>
        <w:rPr>
          <w:rFonts w:cs="Simplified Arabic"/>
          <w:szCs w:val="24"/>
          <w:rtl/>
        </w:rPr>
        <w:t>10 -</w:t>
      </w:r>
      <w:r>
        <w:rPr>
          <w:rFonts w:cs="Simplified Arabic"/>
          <w:szCs w:val="24"/>
          <w:rtl/>
        </w:rPr>
        <w:tab/>
      </w:r>
      <w:r>
        <w:rPr>
          <w:rFonts w:cs="Simplified Arabic"/>
          <w:b/>
          <w:bCs/>
          <w:szCs w:val="24"/>
          <w:rtl/>
        </w:rPr>
        <w:t xml:space="preserve">السيدة عويج: </w:t>
      </w:r>
      <w:r>
        <w:rPr>
          <w:rFonts w:cs="Simplified Arabic"/>
          <w:szCs w:val="24"/>
          <w:rtl/>
        </w:rPr>
        <w:t>قالت إن التقرير استفاض كثيرا في معالجته لموضوع العنف الموجه ضد المرأة. وينبغي أن تواصل الحكومة والمنظمات غير الحكومية التزام أقصى قدر من اليقظة تجاه هذه الجرائم.</w:t>
      </w:r>
    </w:p>
    <w:p w:rsidR="00000000" w:rsidRDefault="00000000">
      <w:pPr>
        <w:pStyle w:val="BodyText2"/>
        <w:bidi/>
        <w:spacing w:before="0" w:line="300" w:lineRule="exact"/>
        <w:jc w:val="lowKashida"/>
        <w:rPr>
          <w:rFonts w:cs="Simplified Arabic"/>
          <w:szCs w:val="24"/>
        </w:rPr>
      </w:pPr>
      <w:r>
        <w:rPr>
          <w:rFonts w:cs="Simplified Arabic"/>
          <w:szCs w:val="24"/>
          <w:rtl/>
        </w:rPr>
        <w:t>11 -</w:t>
      </w:r>
      <w:r>
        <w:rPr>
          <w:rFonts w:cs="Simplified Arabic"/>
          <w:szCs w:val="24"/>
          <w:rtl/>
        </w:rPr>
        <w:tab/>
      </w:r>
      <w:r>
        <w:rPr>
          <w:rFonts w:cs="Simplified Arabic"/>
          <w:b/>
          <w:bCs/>
          <w:szCs w:val="24"/>
          <w:rtl/>
        </w:rPr>
        <w:t xml:space="preserve">السيدة غونزاليس: </w:t>
      </w:r>
      <w:r>
        <w:rPr>
          <w:rFonts w:cs="Simplified Arabic"/>
          <w:szCs w:val="24"/>
          <w:rtl/>
        </w:rPr>
        <w:t>لاحظت معالجة التقرير الشاملة للعنف الموجه ضد المرأة، وسألت عما إذا كانت الحماية توفر لجميع النساء على قدم المساواة، أيا كانت جماعاتهن الإثنية، وما إذا كان يقدم لهن نفس التوجيه والتربية فيما يتعلق بالعنف الموجه ضد المرأة. كما طلبت معلومات عن تشجيع تقاسم مسؤوليات البيت بين الأزواج، وحالات العنف الجنسي في شتى فئات المجتمع، وطبيعة العقوبات المفردة للعنف الموجه ضد أفراد  الأسرة والعنف الجنسي، وتوزيع الصور الخليعة عبر الحواسيب. وأخيرا، سألت عما إذا كانت ثمة عقوبات تفرض على الاغتصاب في إطار الزواج أو الإتيان من الدبر، وما إذا القوانين تعترف بأن المرأة قادرة هي أيضا على ارتكاب الاعتداء والعنف الجنسيين.</w:t>
      </w:r>
    </w:p>
    <w:p w:rsidR="00000000" w:rsidRDefault="00000000">
      <w:pPr>
        <w:pStyle w:val="BodyText2"/>
        <w:bidi/>
        <w:spacing w:before="0" w:line="300" w:lineRule="exact"/>
        <w:jc w:val="lowKashida"/>
        <w:rPr>
          <w:rFonts w:cs="Simplified Arabic"/>
          <w:szCs w:val="24"/>
        </w:rPr>
      </w:pPr>
      <w:r>
        <w:rPr>
          <w:rFonts w:cs="Simplified Arabic"/>
          <w:szCs w:val="24"/>
          <w:rtl/>
        </w:rPr>
        <w:t>12 -</w:t>
      </w:r>
      <w:r>
        <w:rPr>
          <w:rFonts w:cs="Simplified Arabic"/>
          <w:szCs w:val="24"/>
          <w:rtl/>
        </w:rPr>
        <w:tab/>
      </w:r>
      <w:r>
        <w:rPr>
          <w:rFonts w:cs="Simplified Arabic"/>
          <w:b/>
          <w:bCs/>
          <w:szCs w:val="24"/>
          <w:rtl/>
        </w:rPr>
        <w:t xml:space="preserve">السيدة جافاتي دي ديوس: </w:t>
      </w:r>
      <w:r>
        <w:rPr>
          <w:rFonts w:cs="Simplified Arabic"/>
          <w:szCs w:val="24"/>
          <w:rtl/>
        </w:rPr>
        <w:t xml:space="preserve"> أثنت على معالجة التقرير الشاملة لموضوع المرأة في وسائط الإعلام، فسألت عما إذا كانت ثمة برامج لاستخدام وسائط الإعلام في إعادة توجيه المواقف الاجتماعية. وأعربت عن قلقها حيال ارتفاع مستويات العنف الموجه ضد المرأة استنادا إلى التقرير، فحثت الحكومة على النظر في الأسباب الدفينة لهذه الظاهرة. وطلبت المزيد من المعلومات عن محتوى ونطاق المبادرات المرتكزة على المجتمع المحلي والرامية إلى مكافحة العنف الموجه ضد المرأة، وكيف يتم تدريب الشرطة على التصدي لهذا العنف، وما إذا كانت تضمن حرمة الحياة الخاصة للضحايا، وما هي الأحكام التي يتم توقيعها على مرتكبي هذه الجرائم. ولاحظت عدم مساواة ضحايا العنف لدى جماعات الأقلية مع غيرهم  في الحصول على الخدمات، وطلبت المزيد من المعلومات عن الروابط الممكنة بين انبعاث الأصولية الدينية وتزايد حوادث مضايقة المرأة.</w:t>
      </w:r>
    </w:p>
    <w:p w:rsidR="00000000" w:rsidRDefault="00000000">
      <w:pPr>
        <w:pStyle w:val="BodyText2"/>
        <w:bidi/>
        <w:spacing w:before="0" w:line="300" w:lineRule="exact"/>
        <w:jc w:val="lowKashida"/>
        <w:rPr>
          <w:rFonts w:cs="Simplified Arabic"/>
          <w:szCs w:val="24"/>
        </w:rPr>
      </w:pPr>
      <w:r>
        <w:rPr>
          <w:rFonts w:cs="Simplified Arabic"/>
          <w:szCs w:val="24"/>
          <w:rtl/>
        </w:rPr>
        <w:t>13 -</w:t>
      </w:r>
      <w:r>
        <w:rPr>
          <w:rFonts w:cs="Simplified Arabic"/>
          <w:szCs w:val="24"/>
          <w:rtl/>
        </w:rPr>
        <w:tab/>
      </w:r>
      <w:r>
        <w:rPr>
          <w:rFonts w:cs="Simplified Arabic"/>
          <w:b/>
          <w:bCs/>
          <w:szCs w:val="24"/>
          <w:rtl/>
        </w:rPr>
        <w:t xml:space="preserve">السيدة كاستيو: </w:t>
      </w:r>
      <w:r>
        <w:rPr>
          <w:rFonts w:cs="Simplified Arabic"/>
          <w:szCs w:val="24"/>
          <w:rtl/>
        </w:rPr>
        <w:t xml:space="preserve"> طلبت المزيد من المعلومات عن البرامج الرامية إلى القضاء على القوالب النمطية السائدة لدى الجماعات الدينية، وسألت عما إذا كانت للحكومة إرادة سياسية لإقامة تمييز واضح بين السلطة السياسية والسلطة الدينية، ولا سيما في الحالات التي تلحق فيها هذه القوالب النمطية والأعراف أشد الأذى بالمرأة.</w:t>
      </w:r>
    </w:p>
    <w:p w:rsidR="00000000" w:rsidRDefault="00000000">
      <w:pPr>
        <w:pStyle w:val="BodyText2"/>
        <w:bidi/>
        <w:spacing w:before="0" w:line="300" w:lineRule="exact"/>
        <w:jc w:val="lowKashida"/>
        <w:rPr>
          <w:rFonts w:cs="Simplified Arabic"/>
          <w:szCs w:val="24"/>
        </w:rPr>
      </w:pPr>
      <w:r>
        <w:rPr>
          <w:rFonts w:cs="Simplified Arabic"/>
          <w:szCs w:val="24"/>
          <w:rtl/>
        </w:rPr>
        <w:t>14 -</w:t>
      </w:r>
      <w:r>
        <w:rPr>
          <w:rFonts w:cs="Simplified Arabic"/>
          <w:szCs w:val="24"/>
          <w:rtl/>
        </w:rPr>
        <w:tab/>
        <w:t>وعلمت اللجنة من مصادر غير حكومية أن حوالي 000 400 امرأة فلسطينية تعيش في إسرائيل في ظروف صعبة للغاية. وقالت إنها تود أن تعرف ما هي الإجراءات التي اتخذتها الحكومة لإدماج هؤلاء النساء في تنمية المجتمع الإسرائيلي. كما قالت إنها ستكون ممتنة لو تلقت تفسيرا واضحا لسبب الإشارة إلى نساء الأقليات بعبارة "فلسطينيات".</w:t>
      </w:r>
    </w:p>
    <w:p w:rsidR="00000000" w:rsidRDefault="00000000">
      <w:pPr>
        <w:pStyle w:val="BodyText2"/>
        <w:bidi/>
        <w:spacing w:before="0" w:line="300" w:lineRule="exact"/>
        <w:jc w:val="lowKashida"/>
        <w:rPr>
          <w:rFonts w:cs="Simplified Arabic"/>
          <w:szCs w:val="24"/>
        </w:rPr>
      </w:pPr>
      <w:r>
        <w:rPr>
          <w:rFonts w:cs="Simplified Arabic"/>
          <w:szCs w:val="24"/>
          <w:rtl/>
        </w:rPr>
        <w:t>15 -</w:t>
      </w:r>
      <w:r>
        <w:rPr>
          <w:rFonts w:cs="Simplified Arabic"/>
          <w:szCs w:val="24"/>
          <w:rtl/>
        </w:rPr>
        <w:tab/>
      </w:r>
      <w:r>
        <w:rPr>
          <w:rFonts w:cs="Simplified Arabic"/>
          <w:b/>
          <w:bCs/>
          <w:szCs w:val="24"/>
          <w:rtl/>
        </w:rPr>
        <w:t xml:space="preserve">الرئيسة: </w:t>
      </w:r>
      <w:r>
        <w:rPr>
          <w:rFonts w:cs="Simplified Arabic"/>
          <w:szCs w:val="24"/>
          <w:rtl/>
        </w:rPr>
        <w:t>أعربت عن قلقها الكبير من عدم إدراج الحق في المساواة في القوانين الأساسية لإسرائيل، لأسباب دينية، ولعدم ضمان المساواة في الحقوق في الشؤون الخاصة على الرغم من ضمانها في المجالات العامة.</w:t>
      </w:r>
    </w:p>
    <w:p w:rsidR="00000000" w:rsidRDefault="00000000">
      <w:pPr>
        <w:pStyle w:val="BodyText2"/>
        <w:bidi/>
        <w:spacing w:before="0" w:line="300" w:lineRule="exact"/>
        <w:jc w:val="lowKashida"/>
        <w:rPr>
          <w:rFonts w:cs="Simplified Arabic"/>
          <w:szCs w:val="24"/>
        </w:rPr>
      </w:pPr>
      <w:r>
        <w:rPr>
          <w:rFonts w:cs="Simplified Arabic"/>
          <w:szCs w:val="24"/>
          <w:rtl/>
        </w:rPr>
        <w:t>16 -</w:t>
      </w:r>
      <w:r>
        <w:rPr>
          <w:rFonts w:cs="Simplified Arabic"/>
          <w:szCs w:val="24"/>
          <w:rtl/>
        </w:rPr>
        <w:tab/>
        <w:t>وأضافت قولها إنه من غير المقبول إقامة نظام قانوني على أساس الممارسات الدينية أو الثقافية أو التقليدية لأي جماعة إثنية داخل البلد. فالمعلومات التي قدمتها المنظمات غير الحكومية تشير إلى أن تعدد الزوجات، وخناث الإناث والقتل دفاعا عن الشرف تمارسها بعض الأقليات في إسرائيل وطلبت إيراد التفاصيل بما فيها الإحصاءات.</w:t>
      </w:r>
    </w:p>
    <w:p w:rsidR="00000000" w:rsidRDefault="00000000">
      <w:pPr>
        <w:pStyle w:val="BodyText2"/>
        <w:bidi/>
        <w:spacing w:before="0" w:line="300" w:lineRule="exact"/>
        <w:jc w:val="lowKashida"/>
        <w:rPr>
          <w:rFonts w:cs="Simplified Arabic"/>
          <w:szCs w:val="24"/>
        </w:rPr>
      </w:pPr>
      <w:r>
        <w:rPr>
          <w:rFonts w:cs="Simplified Arabic"/>
          <w:szCs w:val="24"/>
          <w:rtl/>
        </w:rPr>
        <w:t>17 -</w:t>
      </w:r>
      <w:r>
        <w:rPr>
          <w:rFonts w:cs="Simplified Arabic"/>
          <w:szCs w:val="24"/>
          <w:rtl/>
        </w:rPr>
        <w:tab/>
      </w:r>
      <w:r>
        <w:rPr>
          <w:rFonts w:cs="Simplified Arabic"/>
          <w:b/>
          <w:bCs/>
          <w:szCs w:val="24"/>
          <w:rtl/>
        </w:rPr>
        <w:t xml:space="preserve">السيدة التلاوي: </w:t>
      </w:r>
      <w:r>
        <w:rPr>
          <w:rFonts w:cs="Simplified Arabic"/>
          <w:szCs w:val="24"/>
          <w:rtl/>
        </w:rPr>
        <w:t xml:space="preserve"> سألت عما تعمله الحكومة لوقف الاتجار بالأفلام وأشرطة الفيديو الخليعة التي تساهم في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6</w:t>
      </w:r>
    </w:p>
    <w:p w:rsidR="00000000" w:rsidRDefault="00000000">
      <w:pPr>
        <w:pStyle w:val="BodyText2"/>
        <w:bidi/>
        <w:spacing w:before="0" w:line="300" w:lineRule="exact"/>
        <w:jc w:val="lowKashida"/>
        <w:rPr>
          <w:rFonts w:cs="Simplified Arabic"/>
          <w:szCs w:val="24"/>
        </w:rPr>
      </w:pPr>
      <w:r>
        <w:rPr>
          <w:rFonts w:cs="Simplified Arabic"/>
          <w:szCs w:val="24"/>
          <w:rtl/>
        </w:rPr>
        <w:t>18 -</w:t>
      </w:r>
      <w:r>
        <w:rPr>
          <w:rFonts w:cs="Simplified Arabic"/>
          <w:szCs w:val="24"/>
          <w:rtl/>
        </w:rPr>
        <w:tab/>
      </w:r>
      <w:r>
        <w:rPr>
          <w:rFonts w:cs="Simplified Arabic"/>
          <w:b/>
          <w:bCs/>
          <w:szCs w:val="24"/>
          <w:rtl/>
        </w:rPr>
        <w:t>السيدة</w:t>
      </w:r>
      <w:r>
        <w:rPr>
          <w:rFonts w:cs="Simplified Arabic"/>
          <w:szCs w:val="24"/>
          <w:rtl/>
        </w:rPr>
        <w:t xml:space="preserve"> </w:t>
      </w:r>
      <w:r>
        <w:rPr>
          <w:rFonts w:cs="Simplified Arabic"/>
          <w:b/>
          <w:bCs/>
          <w:szCs w:val="24"/>
          <w:rtl/>
        </w:rPr>
        <w:t xml:space="preserve">كورتي: </w:t>
      </w:r>
      <w:r>
        <w:rPr>
          <w:rFonts w:cs="Simplified Arabic"/>
          <w:szCs w:val="24"/>
          <w:rtl/>
        </w:rPr>
        <w:t>استفسرت عما إذا كان المتاجرون العاملون في إسرائيل يوظفون المهاجرات الروسيات للعمل كمومسات. وقالت إنها تود أن تعرف كيف تتصدى الحكومة لهؤلاء المتاجرين.</w:t>
      </w:r>
    </w:p>
    <w:p w:rsidR="00000000" w:rsidRDefault="00000000">
      <w:pPr>
        <w:pStyle w:val="BodyText2"/>
        <w:bidi/>
        <w:spacing w:before="0" w:line="300" w:lineRule="exact"/>
        <w:jc w:val="lowKashida"/>
        <w:rPr>
          <w:rFonts w:cs="Simplified Arabic"/>
          <w:szCs w:val="24"/>
        </w:rPr>
      </w:pPr>
      <w:r>
        <w:rPr>
          <w:rFonts w:cs="Simplified Arabic"/>
          <w:szCs w:val="24"/>
          <w:rtl/>
        </w:rPr>
        <w:t>19 -</w:t>
      </w:r>
      <w:r>
        <w:rPr>
          <w:rFonts w:cs="Simplified Arabic"/>
          <w:szCs w:val="24"/>
          <w:rtl/>
        </w:rPr>
        <w:tab/>
      </w:r>
      <w:r>
        <w:rPr>
          <w:rFonts w:cs="Simplified Arabic"/>
          <w:b/>
          <w:bCs/>
          <w:szCs w:val="24"/>
          <w:rtl/>
        </w:rPr>
        <w:t xml:space="preserve">السيدة جافاتي دي ليوس: </w:t>
      </w:r>
      <w:r>
        <w:rPr>
          <w:rFonts w:cs="Simplified Arabic"/>
          <w:szCs w:val="24"/>
          <w:rtl/>
        </w:rPr>
        <w:t xml:space="preserve"> لاحظت أن البغاء يتزايد في إسرائيل وأن إنفاذ التشريع لمكافحته لم يحقق النجاح المطلوب. ولعله من المهم معرفة السلطات التي تحدد الظروف التي تشكل جرائم تفسر بكونها أعمال بغاء؛ وما هي هذه الظروف. واستفسرت عما إذا كانت المراسيم المستند إليها للقبض على النساء بدعوى البغاء تستخدم لتقييد حرياتهن المدنية أو تؤدي إلى مضايقتهن سياسيا، وما إذا كان زبائن المومسات يعاقبون هم أيضا. وأعربت عن أملها في أن يتضمن التقرير القادم بيانات عن الاتجار بالنساء ومعلومات عما يقدم للمومسات من رعاية صحية ومعالجة للصدمات.</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7</w:t>
      </w:r>
    </w:p>
    <w:p w:rsidR="00000000" w:rsidRDefault="00000000">
      <w:pPr>
        <w:pStyle w:val="BodyText2"/>
        <w:bidi/>
        <w:spacing w:before="0" w:line="300" w:lineRule="exact"/>
        <w:jc w:val="lowKashida"/>
        <w:rPr>
          <w:rFonts w:cs="Simplified Arabic"/>
          <w:szCs w:val="24"/>
          <w:rtl/>
        </w:rPr>
      </w:pPr>
      <w:r>
        <w:rPr>
          <w:rFonts w:cs="Simplified Arabic"/>
          <w:szCs w:val="24"/>
          <w:rtl/>
        </w:rPr>
        <w:t>20 -</w:t>
      </w:r>
      <w:r>
        <w:rPr>
          <w:rFonts w:cs="Simplified Arabic"/>
          <w:szCs w:val="24"/>
          <w:rtl/>
        </w:rPr>
        <w:tab/>
      </w:r>
      <w:r>
        <w:rPr>
          <w:rFonts w:cs="Simplified Arabic"/>
          <w:b/>
          <w:bCs/>
          <w:szCs w:val="24"/>
          <w:rtl/>
        </w:rPr>
        <w:t>السيدة كورتي</w:t>
      </w:r>
      <w:r>
        <w:rPr>
          <w:rFonts w:cs="Simplified Arabic"/>
          <w:szCs w:val="24"/>
          <w:rtl/>
        </w:rPr>
        <w:t>: أعربت عن اندهاشها للنقص الجلي في تمثيل المرأة في الحياة السياسية والوظيفة العامة في البلد، على الرغم من أن ثمة عددا كبيرا من النساء من ذوات المهارات العالية والدرجات التعليمية الرفيعة. وتساءلت عما إذا كان النقص في تمثيل المرأة في الوظائف العليا في الوظيفة العامة يعزى جزئيا إلى عدم وجود  المرافق الملائمة لمساعدة الأمهات. كما تساءلت عن سبب عدم الإشارة في التقرير إلى مشاركة المرأة الفلسطينية في الحياة السياسية.</w:t>
      </w:r>
    </w:p>
    <w:p w:rsidR="00000000" w:rsidRDefault="00000000">
      <w:pPr>
        <w:pStyle w:val="BodyText2"/>
        <w:bidi/>
        <w:spacing w:before="0" w:line="300" w:lineRule="exact"/>
        <w:jc w:val="lowKashida"/>
        <w:rPr>
          <w:rFonts w:cs="Simplified Arabic"/>
          <w:szCs w:val="24"/>
        </w:rPr>
      </w:pPr>
      <w:r>
        <w:rPr>
          <w:rFonts w:cs="Simplified Arabic"/>
          <w:szCs w:val="24"/>
          <w:rtl/>
        </w:rPr>
        <w:t>21 -</w:t>
      </w:r>
      <w:r>
        <w:rPr>
          <w:rFonts w:cs="Simplified Arabic"/>
          <w:szCs w:val="24"/>
          <w:rtl/>
        </w:rPr>
        <w:tab/>
        <w:t>وعلى الرغم من ترحيبها بتأييد المحكمة العليا لمشاركة المرأة في المجالس الدينية والمؤسسات الحكومية، فإنها تعتقد أنه كان على المحكمة عند تبريرها لاستخدام العمل الإيجابي لمكافحة المظاهر الجلية لعدم المساواة في تمثيل المرأة في المؤسسات الحكومية، أن تستند على وجه التحديد إلى التمييز بدل أن تقتصر على القول بأن "المساواة ميزة أصيلة في كرامة الشخص" (الفرع 10). فلو فعلت المحكمة ذلك لمهدت السبيل للتشريع الرامي إلى مكافحة التمييز.</w:t>
      </w:r>
    </w:p>
    <w:p w:rsidR="00000000" w:rsidRDefault="00000000">
      <w:pPr>
        <w:pStyle w:val="BodyText2"/>
        <w:bidi/>
        <w:spacing w:before="0" w:line="300" w:lineRule="exact"/>
        <w:jc w:val="lowKashida"/>
        <w:rPr>
          <w:rFonts w:cs="Simplified Arabic"/>
          <w:szCs w:val="24"/>
        </w:rPr>
      </w:pPr>
      <w:r>
        <w:rPr>
          <w:rFonts w:cs="Simplified Arabic"/>
          <w:szCs w:val="24"/>
          <w:rtl/>
        </w:rPr>
        <w:t>22 -</w:t>
      </w:r>
      <w:r>
        <w:rPr>
          <w:rFonts w:cs="Simplified Arabic"/>
          <w:szCs w:val="24"/>
          <w:rtl/>
        </w:rPr>
        <w:tab/>
        <w:t>وقالت إنها ترغب في أن تعرف ما هي الإجراءات التي تتخذها الحكومة لمكافحة التمييز ضد المرأة في الجيش. ولاحظت أن السياسة تتمثل عموما في عدم تشجيع وتحريم تشغيل الجنديات في المواقع القتالية. وفي نظرها، فإن هذه الخدمة يمكن إما عدم تشجيعها أو تحريمها، لكن لا يمكن عدم تشجيعها وتحريمها في آن واحد.</w:t>
      </w:r>
    </w:p>
    <w:p w:rsidR="00000000" w:rsidRDefault="00000000">
      <w:pPr>
        <w:pStyle w:val="BodyText2"/>
        <w:bidi/>
        <w:spacing w:before="0" w:line="300" w:lineRule="exact"/>
        <w:jc w:val="lowKashida"/>
        <w:rPr>
          <w:rFonts w:cs="Simplified Arabic"/>
          <w:szCs w:val="24"/>
        </w:rPr>
      </w:pPr>
      <w:r>
        <w:rPr>
          <w:rFonts w:cs="Simplified Arabic"/>
          <w:szCs w:val="24"/>
          <w:rtl/>
        </w:rPr>
        <w:t>23 -</w:t>
      </w:r>
      <w:r>
        <w:rPr>
          <w:rFonts w:cs="Simplified Arabic"/>
          <w:szCs w:val="24"/>
          <w:rtl/>
        </w:rPr>
        <w:tab/>
        <w:t>وأعربت عن سرورها للتقدم الذي يجري إحرازه في القضاء على التحرش الجنسي في الجيش. وسيكون موضع تقدير لديها أن تحصل على المزيد من المعلومات بشأن الإعفاءات من الخدمة العسكرية المتاحة للنساء الراغبات في متابعة دراستهن في الأكاديميات الدينية، فضلا عن أرقام عن هذه الاعفاءات مقسمة حسب نوع الجنس. وأخيرا، تود أن تعرف ما إذا كانت الفلسطينيات الحاملات للجنسية الإسرائيلية يشاركن في الجيش.</w:t>
      </w:r>
    </w:p>
    <w:p w:rsidR="00000000" w:rsidRDefault="00000000">
      <w:pPr>
        <w:pStyle w:val="BodyText2"/>
        <w:bidi/>
        <w:spacing w:before="0" w:line="300" w:lineRule="exact"/>
        <w:jc w:val="lowKashida"/>
        <w:rPr>
          <w:rFonts w:cs="Simplified Arabic"/>
          <w:szCs w:val="24"/>
        </w:rPr>
      </w:pPr>
      <w:r>
        <w:rPr>
          <w:rFonts w:cs="Simplified Arabic"/>
          <w:szCs w:val="24"/>
          <w:rtl/>
        </w:rPr>
        <w:t>24 -</w:t>
      </w:r>
      <w:r>
        <w:rPr>
          <w:rFonts w:cs="Simplified Arabic"/>
          <w:szCs w:val="24"/>
          <w:rtl/>
        </w:rPr>
        <w:tab/>
      </w:r>
      <w:r>
        <w:rPr>
          <w:rFonts w:cs="Simplified Arabic"/>
          <w:b/>
          <w:bCs/>
          <w:szCs w:val="24"/>
          <w:rtl/>
        </w:rPr>
        <w:t>السيدة يونغ تشانغ كيم</w:t>
      </w:r>
      <w:r>
        <w:rPr>
          <w:rFonts w:cs="Simplified Arabic"/>
          <w:szCs w:val="24"/>
          <w:rtl/>
        </w:rPr>
        <w:t>: ذكرت بالدور الرئيسي للنضال السياسي للجماعات النسائية الداعية للسلام في تشجيع الحكومة الإسرائيلية على اتخاذ مبادرة السلام في 1993. وحثت على المزيد من التعاون بين المرأة الإسرائيلية والمرأة الفلسطينية في قضية السلام.</w:t>
      </w:r>
    </w:p>
    <w:p w:rsidR="00000000" w:rsidRDefault="00000000">
      <w:pPr>
        <w:pStyle w:val="BodyText2"/>
        <w:bidi/>
        <w:spacing w:before="0" w:line="300" w:lineRule="exact"/>
        <w:jc w:val="lowKashida"/>
        <w:rPr>
          <w:rFonts w:cs="Simplified Arabic"/>
          <w:szCs w:val="24"/>
        </w:rPr>
      </w:pPr>
      <w:r>
        <w:rPr>
          <w:rFonts w:cs="Simplified Arabic"/>
          <w:szCs w:val="24"/>
          <w:rtl/>
        </w:rPr>
        <w:t>25 -</w:t>
      </w:r>
      <w:r>
        <w:rPr>
          <w:rFonts w:cs="Simplified Arabic"/>
          <w:szCs w:val="24"/>
          <w:rtl/>
        </w:rPr>
        <w:tab/>
      </w:r>
      <w:r>
        <w:rPr>
          <w:rFonts w:cs="Simplified Arabic"/>
          <w:b/>
          <w:bCs/>
          <w:szCs w:val="24"/>
          <w:rtl/>
        </w:rPr>
        <w:t xml:space="preserve">السيدة عويج: </w:t>
      </w:r>
      <w:r>
        <w:rPr>
          <w:rFonts w:cs="Simplified Arabic"/>
          <w:szCs w:val="24"/>
          <w:rtl/>
        </w:rPr>
        <w:t>أثنت على المنظمات غير الحكومية النسائية في إسرائيل التي قامت بدور رئيسي في تعزيز النهوض بالمرأة في جميع المجالات، لا سيما، في الحياة السياسية في البلد، على الرغم من المعارضة الشديدة للجماعات الدينية والراديكالية والأصولية. ويجب أن يكون استئناف عملية السلام أولوية لدى الجميع.</w:t>
      </w:r>
    </w:p>
    <w:p w:rsidR="00000000" w:rsidRDefault="00000000">
      <w:pPr>
        <w:pStyle w:val="BodyText2"/>
        <w:bidi/>
        <w:spacing w:before="0" w:line="300" w:lineRule="exact"/>
        <w:jc w:val="lowKashida"/>
        <w:rPr>
          <w:rFonts w:cs="Simplified Arabic"/>
          <w:szCs w:val="24"/>
        </w:rPr>
      </w:pPr>
      <w:r>
        <w:rPr>
          <w:rFonts w:cs="Simplified Arabic"/>
          <w:szCs w:val="24"/>
          <w:rtl/>
        </w:rPr>
        <w:t>26 -</w:t>
      </w:r>
      <w:r>
        <w:rPr>
          <w:rFonts w:cs="Simplified Arabic"/>
          <w:szCs w:val="24"/>
          <w:rtl/>
        </w:rPr>
        <w:tab/>
      </w:r>
      <w:r>
        <w:rPr>
          <w:rFonts w:cs="Simplified Arabic"/>
          <w:b/>
          <w:bCs/>
          <w:szCs w:val="24"/>
          <w:rtl/>
        </w:rPr>
        <w:t>السيدة التلاوي</w:t>
      </w:r>
      <w:r>
        <w:rPr>
          <w:rFonts w:cs="Simplified Arabic"/>
          <w:szCs w:val="24"/>
          <w:rtl/>
        </w:rPr>
        <w:t>: أعربت عن أملها في أن يقدم التقرير القادم للحكومة الإسرائيلية معلومات عن الخطوات المتخذة لضمان المشاركة المتكافئة للنساء الفلسطينيات في المجتمع بما يتناسب وأعدادهن. وينبغي توفير الموارد، بما في ذلك تشجيع المرأة على المشاركة في الحياة السياسية. وعلى الحكومة الإسرائيلية أن تتخذ إجراءات لضمان عدم تقويض الديمقراطية التي تعتز بها بفعل الجماعات الأصولية التي تعارض مساواة  المرأة في الحقوق.</w:t>
      </w:r>
    </w:p>
    <w:p w:rsidR="00000000" w:rsidRDefault="00000000">
      <w:pPr>
        <w:pStyle w:val="BodyText2"/>
        <w:bidi/>
        <w:spacing w:before="0" w:line="300" w:lineRule="exact"/>
        <w:jc w:val="lowKashida"/>
        <w:rPr>
          <w:rFonts w:cs="Simplified Arabic"/>
          <w:szCs w:val="24"/>
        </w:rPr>
      </w:pPr>
      <w:r>
        <w:rPr>
          <w:rFonts w:cs="Simplified Arabic"/>
          <w:szCs w:val="24"/>
          <w:rtl/>
        </w:rPr>
        <w:t>27 -</w:t>
      </w:r>
      <w:r>
        <w:rPr>
          <w:rFonts w:cs="Simplified Arabic"/>
          <w:szCs w:val="24"/>
          <w:rtl/>
        </w:rPr>
        <w:tab/>
      </w:r>
      <w:r>
        <w:rPr>
          <w:rFonts w:cs="Simplified Arabic"/>
          <w:b/>
          <w:bCs/>
          <w:szCs w:val="24"/>
          <w:rtl/>
        </w:rPr>
        <w:t xml:space="preserve">السيدة بوستيلو غارسيا ديل ريال: </w:t>
      </w:r>
      <w:r>
        <w:rPr>
          <w:rFonts w:cs="Simplified Arabic"/>
          <w:szCs w:val="24"/>
          <w:rtl/>
        </w:rPr>
        <w:t>قالت إنه سيكون موضع تقدير لديها توفير معلومات إضافية عن مشاركة المرأة في الأحزاب السياسية. وتساءلت عن سبب عدم تمثيل المرأة على نحو أفضل في البرلمان، ما دامت الأحزاب تخصص حصص الحد الأدنى للمرأة في القوائم الانتخابية. وقالت  إنها تود معرفة رأي المرأة في هذا الوضع وما إذا كانت ثمة حملة منسقة لزيادة مشاركتها في السياسة. وأخيرا، استفسرت عما إذا كانت ثمة أي علاقة بين انخفاض تمثيل المرأة في الحياة السياسية ودورها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8</w:t>
      </w:r>
    </w:p>
    <w:p w:rsidR="00000000" w:rsidRDefault="00000000">
      <w:pPr>
        <w:pStyle w:val="BodyText2"/>
        <w:bidi/>
        <w:spacing w:before="0" w:line="300" w:lineRule="exact"/>
        <w:jc w:val="lowKashida"/>
        <w:rPr>
          <w:rFonts w:cs="Simplified Arabic"/>
          <w:szCs w:val="24"/>
        </w:rPr>
      </w:pPr>
      <w:r>
        <w:rPr>
          <w:rFonts w:cs="Simplified Arabic"/>
          <w:szCs w:val="24"/>
          <w:rtl/>
        </w:rPr>
        <w:t>28 -</w:t>
      </w:r>
      <w:r>
        <w:rPr>
          <w:rFonts w:cs="Simplified Arabic"/>
          <w:szCs w:val="24"/>
          <w:rtl/>
        </w:rPr>
        <w:tab/>
      </w:r>
      <w:r>
        <w:rPr>
          <w:rFonts w:cs="Simplified Arabic"/>
          <w:b/>
          <w:bCs/>
          <w:szCs w:val="24"/>
          <w:rtl/>
        </w:rPr>
        <w:t xml:space="preserve">السيدة أكار: </w:t>
      </w:r>
      <w:r>
        <w:rPr>
          <w:rFonts w:cs="Simplified Arabic"/>
          <w:szCs w:val="24"/>
          <w:rtl/>
        </w:rPr>
        <w:t>قالت إن المعلومات التي قدمتها الممثلة الإسرائيلية التي تشير إلى أن المرأة تتمتع بفرص أكبر للترقي في الجيش يدعوها إلى القلق، لأنها توحي بتزايد تجنيد المرأة بدل الحد من أهمية تجربتها العسكرية بالمقارنة مع ترقيها في الحياة العامة والسياسية. وهذا ما يولد بدوره موقفا ملازما في المجتمع. وقالت إنها تـود أن تعـرف كيف ترى المرأة والمنظمات المناصرة لقضايا المرأة والمنظمات غير الحكومية وعامة الجمهور تزايد إدماج  المرأة في الجيش.</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10</w:t>
      </w:r>
    </w:p>
    <w:p w:rsidR="00000000" w:rsidRDefault="00000000">
      <w:pPr>
        <w:pStyle w:val="BodyText2"/>
        <w:bidi/>
        <w:spacing w:before="0" w:line="300" w:lineRule="exact"/>
        <w:jc w:val="lowKashida"/>
        <w:rPr>
          <w:rFonts w:cs="Simplified Arabic"/>
          <w:szCs w:val="24"/>
        </w:rPr>
      </w:pPr>
      <w:r>
        <w:rPr>
          <w:rFonts w:cs="Simplified Arabic"/>
          <w:szCs w:val="24"/>
          <w:rtl/>
        </w:rPr>
        <w:t>29 -</w:t>
      </w:r>
      <w:r>
        <w:rPr>
          <w:rFonts w:cs="Simplified Arabic"/>
          <w:szCs w:val="24"/>
          <w:rtl/>
        </w:rPr>
        <w:tab/>
      </w:r>
      <w:r>
        <w:rPr>
          <w:rFonts w:cs="Simplified Arabic"/>
          <w:b/>
          <w:bCs/>
          <w:szCs w:val="24"/>
          <w:rtl/>
        </w:rPr>
        <w:t xml:space="preserve">السيدة بار: </w:t>
      </w:r>
      <w:r>
        <w:rPr>
          <w:rFonts w:cs="Simplified Arabic"/>
          <w:szCs w:val="24"/>
          <w:rtl/>
        </w:rPr>
        <w:t xml:space="preserve"> سألت عما إذا كان برنامج وزارة التعليم لعام 1993 الرامي إلى التصدي إلى القوالب النمطية القائمة على الجنس قد غير مواقف المدرسين والتلاميذ. وتساءلت عما إذا كان ثمة برنامج محدد لتعليم المرأة الفلسطينية، ولا سيما الفتاة الفلسطينية التي قد تعاني من التمييز بسبب قيمها الثقافية. كما أعربت عن رغبتها في معرفة ما إذا كان ثمة برنامج لتكافؤ الفرص يرمي إلى تسهيل ترقية المرأة إلى المناصب الإدارية لأنه، استنادا إلى التقرير، بقدر ما يعلو المنصب في المؤسسة التعليمية بقدر ما ينخفض مستوى مشاركة المرأة.</w:t>
      </w:r>
    </w:p>
    <w:p w:rsidR="00000000" w:rsidRDefault="00000000">
      <w:pPr>
        <w:pStyle w:val="BodyText2"/>
        <w:bidi/>
        <w:spacing w:before="0" w:line="300" w:lineRule="exact"/>
        <w:jc w:val="lowKashida"/>
        <w:rPr>
          <w:rFonts w:cs="Simplified Arabic"/>
          <w:szCs w:val="24"/>
        </w:rPr>
      </w:pPr>
      <w:r>
        <w:rPr>
          <w:rFonts w:cs="Simplified Arabic"/>
          <w:szCs w:val="24"/>
          <w:rtl/>
        </w:rPr>
        <w:t>30 -</w:t>
      </w:r>
      <w:r>
        <w:rPr>
          <w:rFonts w:cs="Simplified Arabic"/>
          <w:szCs w:val="24"/>
          <w:rtl/>
        </w:rPr>
        <w:tab/>
      </w:r>
      <w:r>
        <w:rPr>
          <w:rFonts w:cs="Simplified Arabic"/>
          <w:b/>
          <w:bCs/>
          <w:szCs w:val="24"/>
          <w:rtl/>
        </w:rPr>
        <w:t xml:space="preserve">السيدة كورتي: </w:t>
      </w:r>
      <w:r>
        <w:rPr>
          <w:rFonts w:cs="Simplified Arabic"/>
          <w:szCs w:val="24"/>
          <w:rtl/>
        </w:rPr>
        <w:t>طلبت توضيحا للقول الوارد في الصفحة 118 والذي يفيد بأن المدارس المستقلة "المعترف بها" تعمل كمنظمات لا تبغي الربح، وتمول من الحكومة، وسألت عما إذا كانت برامج المدارس التي يحددها قانون التعليم الحكومي لعام 1953 الذي يؤكد على الثقافة والقيم اليهودية يفرض على المدارس الفلسطينية. كما أنه من المفيد معرفة ما إذا كان الكنيست أو وزارة التعليم هي التي حددت محتوى برامج التعليم الحكومي وما إذا كانت هذه البرامج موحدة بالنسبة لليهود والفلسطينيين على السواء.</w:t>
      </w:r>
    </w:p>
    <w:p w:rsidR="00000000" w:rsidRDefault="00000000">
      <w:pPr>
        <w:pStyle w:val="BodyText2"/>
        <w:bidi/>
        <w:spacing w:before="0" w:line="300" w:lineRule="exact"/>
        <w:jc w:val="lowKashida"/>
        <w:rPr>
          <w:rFonts w:cs="Simplified Arabic"/>
          <w:szCs w:val="24"/>
        </w:rPr>
      </w:pPr>
      <w:r>
        <w:rPr>
          <w:rFonts w:cs="Simplified Arabic"/>
          <w:szCs w:val="24"/>
          <w:rtl/>
        </w:rPr>
        <w:t>31 -</w:t>
      </w:r>
      <w:r>
        <w:rPr>
          <w:rFonts w:cs="Simplified Arabic"/>
          <w:szCs w:val="24"/>
          <w:rtl/>
        </w:rPr>
        <w:tab/>
        <w:t>وتساءلت عما إذا كانت الحكومة تنوي تخصيص المزيد من الموارد للتعليم، لأن معدل 8.5 في المائة الحالي يبدو منخفضا إلى حد ما، وقالت إنه من غير الواضح ما إذا كان التعليم الفلسطيني مستقلا، ومن يقرر بشأن الأهداف والمناهج الدراسية والمدرسين والبرامج والمحتوى والميزانية وما هو مستوى التمويل بالمقارنة مع مستوى تمويل المدارس اليهودية.</w:t>
      </w:r>
    </w:p>
    <w:p w:rsidR="00000000" w:rsidRDefault="00000000">
      <w:pPr>
        <w:pStyle w:val="BodyText2"/>
        <w:bidi/>
        <w:spacing w:before="0" w:line="300" w:lineRule="exact"/>
        <w:jc w:val="lowKashida"/>
        <w:rPr>
          <w:rFonts w:cs="Simplified Arabic"/>
          <w:szCs w:val="24"/>
        </w:rPr>
      </w:pPr>
      <w:r>
        <w:rPr>
          <w:rFonts w:cs="Simplified Arabic"/>
          <w:szCs w:val="24"/>
          <w:rtl/>
        </w:rPr>
        <w:t>32 -</w:t>
      </w:r>
      <w:r>
        <w:rPr>
          <w:rFonts w:cs="Simplified Arabic"/>
          <w:szCs w:val="24"/>
          <w:rtl/>
        </w:rPr>
        <w:tab/>
      </w:r>
      <w:r>
        <w:rPr>
          <w:rFonts w:cs="Simplified Arabic"/>
          <w:b/>
          <w:bCs/>
          <w:szCs w:val="24"/>
          <w:rtl/>
        </w:rPr>
        <w:t xml:space="preserve">السيدة التلاوي: </w:t>
      </w:r>
      <w:r>
        <w:rPr>
          <w:rFonts w:cs="Simplified Arabic"/>
          <w:szCs w:val="24"/>
          <w:rtl/>
        </w:rPr>
        <w:t>قالت إنها تأمل أن يبين التقرير القادم التدابير التي اتخذتها الحكومة لمعالجة حالة تتمثل في أن 44 في  المائة من الفلسطينيات لا يتممن تعليمهن الابتدائي. فمن واجب الحكومة أن تشجع الفتيات على مواصلة تعليمهن. وأعربت عما يساورها من قلق تجاه انخفاض نسبة المدرسات في المستوى الجامعي وعدم وجود سوى أستاذة جامعية واحدة، على الرغم من أن في الفلسطينيات نساء يحملن شهادة الدكتوراة. وأخيرا اقترحت اعتماد ميزانية تفضيلية للحد من الفوارق القائمة في مستوى التعليم بين المدارس اليهودية والمدارس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33 -</w:t>
      </w:r>
      <w:r>
        <w:rPr>
          <w:rFonts w:cs="Simplified Arabic"/>
          <w:szCs w:val="24"/>
          <w:rtl/>
        </w:rPr>
        <w:tab/>
      </w:r>
      <w:r>
        <w:rPr>
          <w:rFonts w:cs="Simplified Arabic"/>
          <w:b/>
          <w:bCs/>
          <w:szCs w:val="24"/>
          <w:rtl/>
        </w:rPr>
        <w:t xml:space="preserve">الرئيسة: </w:t>
      </w:r>
      <w:r>
        <w:rPr>
          <w:rFonts w:cs="Simplified Arabic"/>
          <w:szCs w:val="24"/>
          <w:rtl/>
        </w:rPr>
        <w:t>قالت إنها منـزعجة للنظام الشديد التفرقة المخصص للمرأة العربية والفلسطينية وللانخفاض الشديد لمستوى أدائه. وتساءلت عن الكيفية التي تؤثر بها هذه العوامل السالفة الذكر على فرص العمل.</w:t>
      </w:r>
    </w:p>
    <w:p w:rsidR="00000000" w:rsidRDefault="00000000">
      <w:pPr>
        <w:pStyle w:val="BodyText2"/>
        <w:bidi/>
        <w:spacing w:before="0" w:line="300" w:lineRule="exact"/>
        <w:jc w:val="lowKashida"/>
        <w:rPr>
          <w:rFonts w:cs="Simplified Arabic"/>
          <w:szCs w:val="24"/>
        </w:rPr>
      </w:pPr>
      <w:r>
        <w:rPr>
          <w:rFonts w:cs="Simplified Arabic"/>
          <w:szCs w:val="24"/>
          <w:rtl/>
        </w:rPr>
        <w:t>34 -</w:t>
      </w:r>
      <w:r>
        <w:rPr>
          <w:rFonts w:cs="Simplified Arabic"/>
          <w:szCs w:val="24"/>
          <w:rtl/>
        </w:rPr>
        <w:tab/>
        <w:t>وأضافت قائلة إن التعليم أداة أساسية لتغيير المواقف الثقافية. ولذلك فإنها تأمل أن تتم مستقبلا دراسة التاريخ والثقافة الفلسطينيين في المدارس اليهودية، بنفس الطريقة التي يدرس بها التاريخ والثقافة اليهوديين في الوقت الحالي في المدارس الفلسطينية.</w:t>
      </w:r>
    </w:p>
    <w:p w:rsidR="00000000" w:rsidRDefault="00000000">
      <w:pPr>
        <w:pStyle w:val="BodyText2"/>
        <w:bidi/>
        <w:spacing w:before="0" w:line="300" w:lineRule="exact"/>
        <w:jc w:val="lowKashida"/>
        <w:rPr>
          <w:rFonts w:cs="Simplified Arabic"/>
          <w:szCs w:val="24"/>
        </w:rPr>
      </w:pPr>
      <w:r>
        <w:rPr>
          <w:rFonts w:cs="Simplified Arabic"/>
          <w:szCs w:val="24"/>
          <w:rtl/>
        </w:rPr>
        <w:t>35 -</w:t>
      </w:r>
      <w:r>
        <w:rPr>
          <w:rFonts w:cs="Simplified Arabic"/>
          <w:szCs w:val="24"/>
          <w:rtl/>
        </w:rPr>
        <w:tab/>
        <w:t>وطلبت تقديم المزيد من المعلومات عن حالة التعليم المخصص للفلسطينيين. فيبدو أن ثمة فوارق خطيرة بين النظامين تحتاج إلى معالجة. وعلاوة على ذلك، لم يبذل أي جهد لتغيير القوالب النمطية القائمة على نوع الجنس في الكتب المدرسية الفلسطينية ولم تقدم أي منح لتمكين المرأة الفلسطينية من مواصلة تعليمها.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11</w:t>
      </w:r>
    </w:p>
    <w:p w:rsidR="00000000" w:rsidRDefault="00000000">
      <w:pPr>
        <w:pStyle w:val="BodyText2"/>
        <w:bidi/>
        <w:spacing w:before="0" w:line="300" w:lineRule="exact"/>
        <w:jc w:val="lowKashida"/>
        <w:rPr>
          <w:rFonts w:cs="Simplified Arabic"/>
          <w:szCs w:val="24"/>
        </w:rPr>
      </w:pPr>
      <w:r>
        <w:rPr>
          <w:rFonts w:cs="Simplified Arabic"/>
          <w:szCs w:val="24"/>
          <w:rtl/>
        </w:rPr>
        <w:t>36 -</w:t>
      </w:r>
      <w:r>
        <w:rPr>
          <w:rFonts w:cs="Simplified Arabic"/>
          <w:szCs w:val="24"/>
          <w:rtl/>
        </w:rPr>
        <w:tab/>
      </w:r>
      <w:r>
        <w:rPr>
          <w:rFonts w:cs="Simplified Arabic"/>
          <w:b/>
          <w:bCs/>
          <w:szCs w:val="24"/>
          <w:rtl/>
        </w:rPr>
        <w:t xml:space="preserve">السيدة فيرير: </w:t>
      </w:r>
      <w:r>
        <w:rPr>
          <w:rFonts w:cs="Simplified Arabic"/>
          <w:szCs w:val="24"/>
          <w:rtl/>
        </w:rPr>
        <w:t xml:space="preserve"> سألت عما إذا اتخذت تدابير قانونية لإنفاذ القانون الذي ينص على أجر المثل لعمل المثل. فمنذ 1995، عين  في كل وزارة مشرف مدرب على شؤون المرأة. ومن المهم معرفة نتائج أعمالهم. وفي التقرير القادم، سيكون من المفيد الاطلاع على تشكيل المجلس المكون من 34 شخصا تحت إشراف مستشار رئيس الوزراء بشأن مركز المرأة وإنجازات المفوضة  المقبلة لشؤون المرأة.</w:t>
      </w:r>
    </w:p>
    <w:p w:rsidR="00000000" w:rsidRDefault="00000000">
      <w:pPr>
        <w:pStyle w:val="BodyText2"/>
        <w:bidi/>
        <w:spacing w:before="0" w:line="300" w:lineRule="exact"/>
        <w:jc w:val="lowKashida"/>
        <w:rPr>
          <w:rFonts w:cs="Simplified Arabic"/>
          <w:szCs w:val="24"/>
        </w:rPr>
      </w:pPr>
      <w:r>
        <w:rPr>
          <w:rFonts w:cs="Simplified Arabic"/>
          <w:szCs w:val="24"/>
          <w:rtl/>
        </w:rPr>
        <w:t>37 -</w:t>
      </w:r>
      <w:r>
        <w:rPr>
          <w:rFonts w:cs="Simplified Arabic"/>
          <w:szCs w:val="24"/>
          <w:rtl/>
        </w:rPr>
        <w:tab/>
      </w:r>
      <w:r>
        <w:rPr>
          <w:rFonts w:cs="Simplified Arabic"/>
          <w:b/>
          <w:bCs/>
          <w:szCs w:val="24"/>
          <w:rtl/>
        </w:rPr>
        <w:t xml:space="preserve">السيدة  أكار: </w:t>
      </w:r>
      <w:r>
        <w:rPr>
          <w:rFonts w:cs="Simplified Arabic"/>
          <w:szCs w:val="24"/>
          <w:rtl/>
        </w:rPr>
        <w:t xml:space="preserve"> طلبت المزيد من المعلومات عن مساهمة المرأة في القطاع غير الرسمي وعما يتخذ من تدابير لتنظيم هذا القطاع. فالمرأة العاملة في القطاع غير الرسمي شديدة الضعف وتحتاج إلى حماية خاصة. ومن غير الواضح ما إذا كانت الأرقام المتعلقة بعمالة المرأة الفلسطينية تدرج القطاع غير الرسمي في الحساب.</w:t>
      </w:r>
    </w:p>
    <w:p w:rsidR="00000000" w:rsidRDefault="00000000">
      <w:pPr>
        <w:pStyle w:val="BodyText2"/>
        <w:bidi/>
        <w:spacing w:before="0" w:line="300" w:lineRule="exact"/>
        <w:jc w:val="lowKashida"/>
        <w:rPr>
          <w:rFonts w:cs="Simplified Arabic"/>
          <w:szCs w:val="24"/>
        </w:rPr>
      </w:pPr>
      <w:r>
        <w:rPr>
          <w:rFonts w:cs="Simplified Arabic"/>
          <w:szCs w:val="24"/>
          <w:rtl/>
        </w:rPr>
        <w:t>38 -</w:t>
      </w:r>
      <w:r>
        <w:rPr>
          <w:rFonts w:cs="Simplified Arabic"/>
          <w:szCs w:val="24"/>
          <w:rtl/>
        </w:rPr>
        <w:tab/>
      </w:r>
      <w:r>
        <w:rPr>
          <w:rFonts w:cs="Simplified Arabic"/>
          <w:b/>
          <w:bCs/>
          <w:szCs w:val="24"/>
          <w:rtl/>
        </w:rPr>
        <w:t xml:space="preserve">السيدة كارترايت: </w:t>
      </w:r>
      <w:r>
        <w:rPr>
          <w:rFonts w:cs="Simplified Arabic"/>
          <w:szCs w:val="24"/>
          <w:rtl/>
        </w:rPr>
        <w:t xml:space="preserve"> لاحظت أن أجر المثل لعمل المثل يقتصر على الأجراء العاملين عند نفس رب العمل، وتساءلت عما إذا كان يدل على اتجاه عام لقصر بعض التدابير على الأجراء في مكان عمل واحد.</w:t>
      </w:r>
    </w:p>
    <w:p w:rsidR="00000000" w:rsidRDefault="00000000">
      <w:pPr>
        <w:pStyle w:val="BodyText2"/>
        <w:bidi/>
        <w:spacing w:before="0" w:line="300" w:lineRule="exact"/>
        <w:jc w:val="lowKashida"/>
        <w:rPr>
          <w:rFonts w:cs="Simplified Arabic"/>
          <w:szCs w:val="24"/>
        </w:rPr>
      </w:pPr>
      <w:r>
        <w:rPr>
          <w:rFonts w:cs="Simplified Arabic"/>
          <w:szCs w:val="24"/>
          <w:rtl/>
        </w:rPr>
        <w:t>39 -</w:t>
      </w:r>
      <w:r>
        <w:rPr>
          <w:rFonts w:cs="Simplified Arabic"/>
          <w:szCs w:val="24"/>
          <w:rtl/>
        </w:rPr>
        <w:tab/>
      </w:r>
      <w:r>
        <w:rPr>
          <w:rFonts w:cs="Simplified Arabic"/>
          <w:b/>
          <w:bCs/>
          <w:szCs w:val="24"/>
          <w:rtl/>
        </w:rPr>
        <w:t>السيدة بوستيلو غارسيا ديل ريال</w:t>
      </w:r>
      <w:r>
        <w:rPr>
          <w:rFonts w:cs="Simplified Arabic"/>
          <w:szCs w:val="24"/>
          <w:rtl/>
        </w:rPr>
        <w:t>: قالت إنها تود أن تعرف ما إذا كانت المرأة تتقاضى أجرا كاملا خلال فترة إجازة الأمومة الإجبارية البالغ مدتها 12 أسبوعا وقالت إنها ترحب بأي معلومات إضافية عن حقوق الآباء وما إذا كانت ثمة تدابير ترمي إلى تشجيع الرجال على المشاركة في تحمل أعباء رعاية الأطفال. ولعله من المفيد إجراء دراسات عن استعمال الرجل والمرأة للزمن وعن العمل غير المأجور، بغية الحصول على معلومات عن توزيع المسؤوليات.</w:t>
      </w:r>
    </w:p>
    <w:p w:rsidR="00000000" w:rsidRDefault="00000000">
      <w:pPr>
        <w:pStyle w:val="BodyText2"/>
        <w:bidi/>
        <w:spacing w:before="0" w:line="300" w:lineRule="exact"/>
        <w:jc w:val="lowKashida"/>
        <w:rPr>
          <w:rFonts w:cs="Simplified Arabic"/>
          <w:szCs w:val="24"/>
        </w:rPr>
      </w:pPr>
      <w:r>
        <w:rPr>
          <w:rFonts w:cs="Simplified Arabic"/>
          <w:szCs w:val="24"/>
          <w:rtl/>
        </w:rPr>
        <w:t>40 -</w:t>
      </w:r>
      <w:r>
        <w:rPr>
          <w:rFonts w:cs="Simplified Arabic"/>
          <w:szCs w:val="24"/>
          <w:rtl/>
        </w:rPr>
        <w:tab/>
        <w:t>وسألت عما إذا كان التشريع الإسرائيلي يكافح التمييز غير المباشر ولماذا تم التخلي عن لجنة استشارية مفيدة فيما يبدو كانت مرتبطة بوزارة العمل. وقالت إنه ستكون موضع تقدير لديها  أي معلومات تقدم بشأن حالة المرأة المعوقة فيما يتعلق بالتعليم والعمل والخدمات الاجتماعية وأي تفسير لسبب ارتفاع نسبة من يتقاضون من الرجال والنساء مرتبات دون الحد الأدنى للأجور.</w:t>
      </w:r>
    </w:p>
    <w:p w:rsidR="00000000" w:rsidRDefault="00000000">
      <w:pPr>
        <w:pStyle w:val="BodyText2"/>
        <w:bidi/>
        <w:spacing w:before="0" w:line="300" w:lineRule="exact"/>
        <w:jc w:val="lowKashida"/>
        <w:rPr>
          <w:rFonts w:cs="Simplified Arabic"/>
          <w:szCs w:val="24"/>
        </w:rPr>
      </w:pPr>
      <w:r>
        <w:rPr>
          <w:rFonts w:cs="Simplified Arabic"/>
          <w:szCs w:val="24"/>
          <w:rtl/>
        </w:rPr>
        <w:t>41 -</w:t>
      </w:r>
      <w:r>
        <w:rPr>
          <w:rFonts w:cs="Simplified Arabic"/>
          <w:szCs w:val="24"/>
          <w:rtl/>
        </w:rPr>
        <w:tab/>
      </w:r>
      <w:r>
        <w:rPr>
          <w:rFonts w:cs="Simplified Arabic"/>
          <w:b/>
          <w:bCs/>
          <w:szCs w:val="24"/>
          <w:rtl/>
        </w:rPr>
        <w:t xml:space="preserve">السيدة برنارد: </w:t>
      </w:r>
      <w:r>
        <w:rPr>
          <w:rFonts w:cs="Simplified Arabic"/>
          <w:szCs w:val="24"/>
          <w:rtl/>
        </w:rPr>
        <w:t>لاحظت أنه يجري تقييم العمل بغية تسوية أجر الموظفين الذين لا يحق لهم الإضراب عن العمل، فسألت عما إذا كانت ثمة أية أحكام في التشريع الإسرائيلي تسمح للموظفين باللجوء إلى الإضراب كآخر وسيلة. وتساءلت عن سبب تزايد عدد النساء العاملات لبعض الوقت وما إذا كان ذلك راجعا إلى النقص في مرافق رعاية الأطفال.</w:t>
      </w:r>
    </w:p>
    <w:p w:rsidR="00000000" w:rsidRDefault="00000000">
      <w:pPr>
        <w:pStyle w:val="BodyText2"/>
        <w:bidi/>
        <w:spacing w:before="0" w:line="300" w:lineRule="exact"/>
        <w:jc w:val="lowKashida"/>
        <w:rPr>
          <w:rFonts w:cs="Simplified Arabic"/>
          <w:szCs w:val="24"/>
        </w:rPr>
      </w:pPr>
      <w:r>
        <w:rPr>
          <w:rFonts w:cs="Simplified Arabic"/>
          <w:szCs w:val="24"/>
          <w:rtl/>
        </w:rPr>
        <w:t>42 -</w:t>
      </w:r>
      <w:r>
        <w:rPr>
          <w:rFonts w:cs="Simplified Arabic"/>
          <w:szCs w:val="24"/>
          <w:rtl/>
        </w:rPr>
        <w:tab/>
      </w:r>
      <w:r>
        <w:rPr>
          <w:rFonts w:cs="Simplified Arabic"/>
          <w:b/>
          <w:bCs/>
          <w:szCs w:val="24"/>
          <w:rtl/>
        </w:rPr>
        <w:t xml:space="preserve">الرئيسة: </w:t>
      </w:r>
      <w:r>
        <w:rPr>
          <w:rFonts w:cs="Simplified Arabic"/>
          <w:szCs w:val="24"/>
          <w:rtl/>
        </w:rPr>
        <w:t xml:space="preserve"> أشارت إلى أنه نظرا لأسباب ثقافية، فإنه لا يعمل من النساء الفلسطينيات إلا القلة القليلة نسبيا. ولاحظت أن كلا من المرأة اليهودية والمرأة غير اليهودية تعملان في القطاع غير الرسمي واستفسرت عما إذا كان الحد الأدنى للأجور يطبق على ذلك القطاع وما إذا كان الفرق البالغ 55 في المائة تقريبا بين أجر الرجل وأجر المرأة ينطبق أيضا على هذا القطاع.</w:t>
      </w:r>
    </w:p>
    <w:p w:rsidR="00000000" w:rsidRDefault="00000000">
      <w:pPr>
        <w:pStyle w:val="BodyText2"/>
        <w:bidi/>
        <w:spacing w:before="0" w:line="300" w:lineRule="exact"/>
        <w:jc w:val="lowKashida"/>
        <w:rPr>
          <w:rFonts w:cs="Simplified Arabic"/>
          <w:szCs w:val="24"/>
        </w:rPr>
      </w:pPr>
      <w:r>
        <w:rPr>
          <w:rFonts w:cs="Simplified Arabic"/>
          <w:szCs w:val="24"/>
          <w:rtl/>
        </w:rPr>
        <w:t>43 -</w:t>
      </w:r>
      <w:r>
        <w:rPr>
          <w:rFonts w:cs="Simplified Arabic"/>
          <w:szCs w:val="24"/>
          <w:rtl/>
        </w:rPr>
        <w:tab/>
      </w:r>
      <w:r>
        <w:rPr>
          <w:rFonts w:cs="Simplified Arabic"/>
          <w:b/>
          <w:bCs/>
          <w:szCs w:val="24"/>
          <w:rtl/>
        </w:rPr>
        <w:t xml:space="preserve">السيدة التلاوي: </w:t>
      </w:r>
      <w:r>
        <w:rPr>
          <w:rFonts w:cs="Simplified Arabic"/>
          <w:szCs w:val="24"/>
          <w:rtl/>
        </w:rPr>
        <w:t>طلبت معلومات عن الآليات التي تستخدمها إسرائيل لمراقبة قوانين العمل المتعلقة بالضمان الاجتماعي وظروف العمل بالنسبة للمرأة عموما والمرأة الفلسطينية بصفة خاصة. وقالت إنها تود أن تعرف ما إذا كانت ثمة خطة لخلق فرص عمل جديدة للفلسطينيات وتوظيف خريجات الجامعات والمعاهد العليا في الوظيفة العامة. وتساءلت عما إذا كانت إسرائيل تخطط لتحسين رياض الأطفال ومراكز الرعاية النهارية لتشجيع المرأة على العثور على عمل مجز.</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12</w:t>
      </w:r>
    </w:p>
    <w:p w:rsidR="00000000" w:rsidRDefault="00000000">
      <w:pPr>
        <w:pStyle w:val="BodyText2"/>
        <w:bidi/>
        <w:spacing w:before="0" w:line="300" w:lineRule="exact"/>
        <w:jc w:val="lowKashida"/>
        <w:rPr>
          <w:rFonts w:cs="Simplified Arabic"/>
          <w:szCs w:val="24"/>
        </w:rPr>
      </w:pPr>
      <w:r>
        <w:rPr>
          <w:rFonts w:cs="Simplified Arabic"/>
          <w:szCs w:val="24"/>
          <w:rtl/>
        </w:rPr>
        <w:t>44 -</w:t>
      </w:r>
      <w:r>
        <w:rPr>
          <w:rFonts w:cs="Simplified Arabic"/>
          <w:szCs w:val="24"/>
          <w:rtl/>
        </w:rPr>
        <w:tab/>
      </w:r>
      <w:r>
        <w:rPr>
          <w:rFonts w:cs="Simplified Arabic"/>
          <w:b/>
          <w:bCs/>
          <w:szCs w:val="24"/>
          <w:rtl/>
        </w:rPr>
        <w:t xml:space="preserve">السيدة أباكا: </w:t>
      </w:r>
      <w:r>
        <w:rPr>
          <w:rFonts w:cs="Simplified Arabic"/>
          <w:szCs w:val="24"/>
          <w:rtl/>
        </w:rPr>
        <w:t>قالت إن التشريع الصحي الوطني الجديد قد يكون عائقا أمام الأمومة المأمونة، لأن العديد من الخدمات الضرورية لصحة المرأة لم تعد تمول في إطاره. وأشارت على وجه التحديد إلى الرعاية السابقة للولادة والرعاية اللاحقة للولادة، والإجهاض، ووسائل منع الحمل، ومعالجة ترقق العظام. فقد تم التركيز على رعاية الأطفال وخصصت موارد مفرطة لزيادة الخصوبة، بينما أهملت نسبيا مجالات أخرى من مجالات صحة المرأة وتنظيم الأسرة.</w:t>
      </w:r>
    </w:p>
    <w:p w:rsidR="00000000" w:rsidRDefault="00000000">
      <w:pPr>
        <w:pStyle w:val="BodyText2"/>
        <w:bidi/>
        <w:spacing w:before="0" w:line="300" w:lineRule="exact"/>
        <w:jc w:val="lowKashida"/>
        <w:rPr>
          <w:rFonts w:cs="Simplified Arabic"/>
          <w:szCs w:val="24"/>
        </w:rPr>
      </w:pPr>
      <w:r>
        <w:rPr>
          <w:rFonts w:cs="Simplified Arabic"/>
          <w:szCs w:val="24"/>
          <w:rtl/>
        </w:rPr>
        <w:t>45 -</w:t>
      </w:r>
      <w:r>
        <w:rPr>
          <w:rFonts w:cs="Simplified Arabic"/>
          <w:szCs w:val="24"/>
          <w:rtl/>
        </w:rPr>
        <w:tab/>
        <w:t>وارتأت أنه يتبين من التقرير أن ثمة ميلا نحو إدامة التمييز ضد المرأة والفتاة لأسباب ثقافية. وعلى سبيل المثال، يبدو أن الحكومة تتخلى عن مسؤوليتها في ضمان حق المرأة في الصحة عندما تقول إن ختان الإناث ممارسة ثقافية عادية في مناطق من جنوب إسرائيل. وقد اتخذت اللجنة موقفا متشددا ضد ختان الإناث وتأمل أن يرد في التقرير القادم ما يفيد بأن الحكومة قد اتخذت تدابير للقضاء على تلك الممارسة. كما يجب اتخاذ خطوات لسد الفجوة بين البلدات في شمال إسرائيل والبلدات في جنوبها أو البلدات التي تسكنها الأقليات.</w:t>
      </w:r>
    </w:p>
    <w:p w:rsidR="00000000" w:rsidRDefault="00000000">
      <w:pPr>
        <w:pStyle w:val="BodyText2"/>
        <w:bidi/>
        <w:spacing w:before="0" w:line="300" w:lineRule="exact"/>
        <w:jc w:val="lowKashida"/>
        <w:rPr>
          <w:rFonts w:cs="Simplified Arabic"/>
          <w:szCs w:val="24"/>
        </w:rPr>
      </w:pPr>
      <w:r>
        <w:rPr>
          <w:rFonts w:cs="Simplified Arabic"/>
          <w:szCs w:val="24"/>
          <w:rtl/>
        </w:rPr>
        <w:t>46 -</w:t>
      </w:r>
      <w:r>
        <w:rPr>
          <w:rFonts w:cs="Simplified Arabic"/>
          <w:szCs w:val="24"/>
          <w:rtl/>
        </w:rPr>
        <w:tab/>
        <w:t>وقالت إنه سيكون موضع تقدير لديها أن تحصل على المزيد من المعلومات بشأن صحة المرأة عموما، لا سيما صحة المرأة المنتمية إلى الأقليات. كما تود أن تعرف ما إذا كانت ثمة برامج لتزويد الأطباء والمساعدين الطبيين بمعلومات عن حقوق الإنسان، لا سيما في حالة ضحايا العنف من النساء.</w:t>
      </w:r>
    </w:p>
    <w:p w:rsidR="00000000" w:rsidRDefault="00000000">
      <w:pPr>
        <w:pStyle w:val="BodyText2"/>
        <w:bidi/>
        <w:spacing w:before="0" w:line="300" w:lineRule="exact"/>
        <w:jc w:val="lowKashida"/>
        <w:rPr>
          <w:rFonts w:cs="Simplified Arabic"/>
          <w:szCs w:val="24"/>
        </w:rPr>
      </w:pPr>
      <w:r>
        <w:rPr>
          <w:rFonts w:cs="Simplified Arabic"/>
          <w:szCs w:val="24"/>
          <w:rtl/>
        </w:rPr>
        <w:t>47 -</w:t>
      </w:r>
      <w:r>
        <w:rPr>
          <w:rFonts w:cs="Simplified Arabic"/>
          <w:szCs w:val="24"/>
          <w:rtl/>
        </w:rPr>
        <w:tab/>
      </w:r>
      <w:r>
        <w:rPr>
          <w:rFonts w:cs="Simplified Arabic"/>
          <w:b/>
          <w:bCs/>
          <w:szCs w:val="24"/>
          <w:rtl/>
        </w:rPr>
        <w:t>السيدة كارترايت:</w:t>
      </w:r>
      <w:r>
        <w:rPr>
          <w:rFonts w:cs="Simplified Arabic"/>
          <w:szCs w:val="24"/>
          <w:rtl/>
        </w:rPr>
        <w:t xml:space="preserve"> قالت إن الموارد المستخدمة حاليا في معالجة الخصوبة يمكن بكل تأكيد استخدامها في توفير الخدمات الطبية الأساسية، من قبيل تدابير الوقاية الأولية، ولا سيما لفائدة المرأة الفلسطينية في المناطق الريفية. كما اقترحت مراجعة الخدمات الصحية المقدمة للمسنين، لأن فترات الاستشفاء الطويلة غير مشمولة بالوعاء الأساسي للخدمات الصحية المجانية.</w:t>
      </w:r>
    </w:p>
    <w:p w:rsidR="00000000" w:rsidRDefault="00000000">
      <w:pPr>
        <w:pStyle w:val="BodyText2"/>
        <w:bidi/>
        <w:spacing w:before="0" w:line="300" w:lineRule="exact"/>
        <w:jc w:val="lowKashida"/>
        <w:rPr>
          <w:rFonts w:cs="Simplified Arabic"/>
          <w:szCs w:val="24"/>
        </w:rPr>
      </w:pPr>
      <w:r>
        <w:rPr>
          <w:rFonts w:cs="Simplified Arabic"/>
          <w:szCs w:val="24"/>
          <w:rtl/>
        </w:rPr>
        <w:t>48 -</w:t>
      </w:r>
      <w:r>
        <w:rPr>
          <w:rFonts w:cs="Simplified Arabic"/>
          <w:szCs w:val="24"/>
          <w:rtl/>
        </w:rPr>
        <w:tab/>
      </w:r>
      <w:r>
        <w:rPr>
          <w:rFonts w:cs="Simplified Arabic"/>
          <w:b/>
          <w:bCs/>
          <w:szCs w:val="24"/>
          <w:rtl/>
        </w:rPr>
        <w:t xml:space="preserve">السيدة التلاوي: </w:t>
      </w:r>
      <w:r>
        <w:rPr>
          <w:rFonts w:cs="Simplified Arabic"/>
          <w:szCs w:val="24"/>
          <w:rtl/>
        </w:rPr>
        <w:t>قالت إن ثمة 120 جماعة محلية فلسطينية لم تعترف بها الحكومة الإسرائيلية. فعشرات الآلاف من الفلسطينيين الذين يعيشون في تلك المناطق لا تتوفر لهم فرص الحصول على الخدمات الصحية، ولا توجد أي هياكل أساسية في مجال النظافة أو مياه الشرب أو المدارس. وتؤثر هذه الحالة تأثيرا سلبيا على صحة المرأة والطفل اللذين يعيشان هناك. وقالت إنها تود أن تعرف ما تقوم به إسرائيل لتحسين حال تلك الجماعات المحلية وما إذا كانت ثمة أي خطط لتوفير الخدمات الأساسية لها، لأنه إذا لم يتخذ أي إجراء، فإن الفلسيطينين سيبدأون في الرحيل عن المنطقة. وتساءلت عما إذا كانت تلك هي نية إسرائيل في سياستها المتبعة تجاه تلك الجماعات المحلية.</w:t>
      </w:r>
    </w:p>
    <w:p w:rsidR="00000000" w:rsidRDefault="00000000">
      <w:pPr>
        <w:pStyle w:val="BodyText2"/>
        <w:bidi/>
        <w:spacing w:before="0" w:line="300" w:lineRule="exact"/>
        <w:jc w:val="lowKashida"/>
        <w:rPr>
          <w:rFonts w:cs="Simplified Arabic"/>
          <w:szCs w:val="24"/>
        </w:rPr>
      </w:pPr>
      <w:r>
        <w:rPr>
          <w:rFonts w:cs="Simplified Arabic"/>
          <w:szCs w:val="24"/>
          <w:rtl/>
        </w:rPr>
        <w:t>49 -</w:t>
      </w:r>
      <w:r>
        <w:rPr>
          <w:rFonts w:cs="Simplified Arabic"/>
          <w:szCs w:val="24"/>
          <w:rtl/>
        </w:rPr>
        <w:tab/>
      </w:r>
      <w:r>
        <w:rPr>
          <w:rFonts w:cs="Simplified Arabic"/>
          <w:b/>
          <w:bCs/>
          <w:szCs w:val="24"/>
          <w:rtl/>
        </w:rPr>
        <w:t xml:space="preserve">السيدة غونزاليس: </w:t>
      </w:r>
      <w:r>
        <w:rPr>
          <w:rFonts w:cs="Simplified Arabic"/>
          <w:szCs w:val="24"/>
          <w:rtl/>
        </w:rPr>
        <w:t xml:space="preserve"> قالت إن التقرير لا يشير إلى الكيفية التي تحدد بها تكاليف الرعاية السابقة للولادة وما إذا كانت تلك التكاليف واحدة بالنسبة لجميع الفئات الاجتماعية في إسرائيل. فالجدول 6 الوارد في الصفحة 210 يقدم إحصاءات عن وفيات الرضع حسب الفئة السكانية وسبب الوفاة، ولاحظت أن وفيات الرضع لدى "العرب وغيرهم من السكان"  أعلى بضعفين من وفيات الرضع لدى اليهود. وتساءلت عما إذا كانت حكومة إسرائيل تنفذ أي برامج ترمي إلى تخفيض معدل الوفيات المرتفع لدى الرضع من غير اليهود. وطلبت في هذا الصدد جدولا توزيعيا مفصلا لجميع الفئات المندرجة في فئة " العرب وغيرهم من السكان".</w:t>
      </w:r>
    </w:p>
    <w:p w:rsidR="00000000" w:rsidRDefault="00000000">
      <w:pPr>
        <w:pStyle w:val="BodyText2"/>
        <w:bidi/>
        <w:spacing w:before="0" w:line="300" w:lineRule="exact"/>
        <w:jc w:val="lowKashida"/>
        <w:rPr>
          <w:rFonts w:cs="Simplified Arabic"/>
          <w:szCs w:val="24"/>
        </w:rPr>
      </w:pPr>
      <w:r>
        <w:rPr>
          <w:rFonts w:cs="Simplified Arabic"/>
          <w:szCs w:val="24"/>
          <w:rtl/>
        </w:rPr>
        <w:t>50 -</w:t>
      </w:r>
      <w:r>
        <w:rPr>
          <w:rFonts w:cs="Simplified Arabic"/>
          <w:szCs w:val="24"/>
          <w:rtl/>
        </w:rPr>
        <w:tab/>
        <w:t>وفيما يتعلق بالإنجاب وتنظيم الأسرة، قال إنها تود أن تعرف سبب عدم توفير وسائل منع الحمل مجانا، وسبب عدم وجود أي برنامج للتربية الجنسية لفائدة سكان إسرائيل من اليهود وغير اليهود. وقد أشار التقرير إلى استئصال الرحم كشكل من أشكال التعقيم، وتود أن تعرف ما إذا كانت ثمة أي خطط لإدخال أساليب تنظيم خصوبة الذكور. وطلبت معلومات إحصائية عن عدد عمليات قطع القنوات المنوية التي تجري في إسرائيل؛ وإذا كان قطع القنوات المنوية لا يتم تشجيعه كوسيلة للتعقيم، فإن ذلك سيكون شكلا من أشكال التمييز ضد المرأة، لأنه ليس من الإنصاف تشجيع التعقيم لدى النساء فقط.</w:t>
      </w:r>
    </w:p>
    <w:p w:rsidR="00000000" w:rsidRDefault="00000000">
      <w:pPr>
        <w:pStyle w:val="BodyText2"/>
        <w:bidi/>
        <w:spacing w:before="0" w:line="300" w:lineRule="exact"/>
        <w:jc w:val="lowKashida"/>
        <w:rPr>
          <w:rFonts w:cs="Simplified Arabic"/>
          <w:szCs w:val="24"/>
        </w:rPr>
      </w:pPr>
      <w:r>
        <w:rPr>
          <w:rFonts w:cs="Simplified Arabic"/>
          <w:szCs w:val="24"/>
          <w:rtl/>
        </w:rPr>
        <w:t>51 -</w:t>
      </w:r>
      <w:r>
        <w:rPr>
          <w:rFonts w:cs="Simplified Arabic"/>
          <w:szCs w:val="24"/>
          <w:rtl/>
        </w:rPr>
        <w:tab/>
        <w:t>واستنادا إلى التقرير، يكون الإجهاض قانونيا إذا أذنت به لجنة الموافقة على إنهاء حالات الحمل وفقا للمواد 312 إلى 321 من قانون العقوبات. ولاحظت أنه يمكن السماح بإجهاض قانوني إذا كان الحمل نتيجة لعلاقات جنسية يحـرمها قانـون العقـوبات الإسرائيلي أو نتيجة لسفاح المحارم أو لعلاقات جنسية خارج إطار الزواج، وتود أن تعرف ما هي تلك العلاقات الجنسية المحرمة. ولاحظت ارتفاع عدد عمليات الإجهاض غير القانونية، والإقرار بأن العديد من المهاجرات كن نسبيا على غير علم بتحديد النسل ومتعودات على الإجهاض بناء على الطلب. فينبغي ألا يكون الإجهاض شكلا من أشكال تحديد النسل، وأشارت إلى أحكام خطة عمل  المؤتمر الدولي للسكان والتنمية المعقود في القاهرة في 1994. وإذا كان تحديد النسل هو السبب الذي تلتمس من أجله المرأة الإجهاض، فإن ثمة خللا في برامج تنظيم الأسرة. وينبغي التأكيد على تفادي الحمل عن طريق استخدام وسائل منع الحمل والوسائل الأخرى.</w:t>
      </w:r>
    </w:p>
    <w:p w:rsidR="00000000" w:rsidRDefault="00000000">
      <w:pPr>
        <w:pStyle w:val="BodyText2"/>
        <w:bidi/>
        <w:spacing w:before="0" w:line="300" w:lineRule="exact"/>
        <w:jc w:val="lowKashida"/>
        <w:rPr>
          <w:rFonts w:cs="Simplified Arabic"/>
          <w:szCs w:val="24"/>
        </w:rPr>
      </w:pPr>
      <w:r>
        <w:rPr>
          <w:rFonts w:cs="Simplified Arabic"/>
          <w:szCs w:val="24"/>
          <w:rtl/>
        </w:rPr>
        <w:t>52 -</w:t>
      </w:r>
      <w:r>
        <w:rPr>
          <w:rFonts w:cs="Simplified Arabic"/>
          <w:szCs w:val="24"/>
          <w:rtl/>
        </w:rPr>
        <w:tab/>
      </w:r>
      <w:r>
        <w:rPr>
          <w:rFonts w:cs="Simplified Arabic"/>
          <w:b/>
          <w:bCs/>
          <w:szCs w:val="24"/>
          <w:rtl/>
        </w:rPr>
        <w:t xml:space="preserve">السيدة جافاتي دي ديوس: </w:t>
      </w:r>
      <w:r>
        <w:rPr>
          <w:rFonts w:cs="Simplified Arabic"/>
          <w:szCs w:val="24"/>
          <w:rtl/>
        </w:rPr>
        <w:t>قالت إنه ينبغي أن توفر لجميع الجماعات المحلية في إسرائيل الخدمات الصحية، بما فيها خدمات الصحة الإنجابية، وأعربت عن قلقها لكون الجماعات المحلية الفلسطينية لا تحصل على الخدمات إلا نادرا. ونظرا لارتفاع العمر المتوقع للمرأة في إسرائيل، فإنها تود أن تعرف كيف تعالج احتياجات المسنات. فالمسنات الفلسطينيات الفقيرات يواجهن في معظمهن احتمال تزايد المصاعب: لعدم توفر المسكن والنظافة الصحية والمعاش التقاعدي. ونظرا لارتفاع مستوى العنف الموجه ضد  المرأة، فإنه ينبغي أن توفر الحكومة  الإسرائيلية التمويل الكافي للمراكز النسائية لمعالجة الأزمات العائلية. ورحبت بالقرار الأخير الذي اتخذته لجنة برلمانية والقاضي بإدراج مسألة العنف الموجه ضد المرأة في الفحص الذي يقوم به المجلس الطبي في إسرائيل، واقترحت توفير التدريب لموظفي القطاع الطبي بشأن مسألة العنف الموجه ضد المرأة.</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14</w:t>
      </w:r>
    </w:p>
    <w:p w:rsidR="00000000" w:rsidRDefault="00000000">
      <w:pPr>
        <w:pStyle w:val="BodyText2"/>
        <w:bidi/>
        <w:spacing w:before="0" w:line="300" w:lineRule="exact"/>
        <w:jc w:val="lowKashida"/>
        <w:rPr>
          <w:rFonts w:cs="Simplified Arabic"/>
          <w:szCs w:val="24"/>
        </w:rPr>
      </w:pPr>
      <w:r>
        <w:rPr>
          <w:rFonts w:cs="Simplified Arabic"/>
          <w:szCs w:val="24"/>
          <w:rtl/>
        </w:rPr>
        <w:t>53 -</w:t>
      </w:r>
      <w:r>
        <w:rPr>
          <w:rFonts w:cs="Simplified Arabic"/>
          <w:szCs w:val="24"/>
          <w:rtl/>
        </w:rPr>
        <w:tab/>
      </w:r>
      <w:r>
        <w:rPr>
          <w:rFonts w:cs="Simplified Arabic"/>
          <w:b/>
          <w:bCs/>
          <w:szCs w:val="24"/>
          <w:rtl/>
        </w:rPr>
        <w:t xml:space="preserve">السيدة ويدراوغو: </w:t>
      </w:r>
      <w:r>
        <w:rPr>
          <w:rFonts w:cs="Simplified Arabic"/>
          <w:szCs w:val="24"/>
          <w:rtl/>
        </w:rPr>
        <w:t>طلبت معلومات بشأن المشاكل التي تعاني منها المرأة الريفية. فالحالة الاجتماعية والاقتصادية للبدويات ينقصها الشيء الكثير، وتود أن تعرف لماذا لم يتحقق تقدم كبير في التربية الاجتماعية للبدويات. فمن الضروري اعتماد سياسات واستراتيجيات لتحسين حالة البدويات وتشجيعهن على التخلي عن بعض ممارساتهن التقليدية. وتساءلت عما إذا كان عدم معالجة إسرائيل للمشكل ينم عن عدم وجود إرادة سياسية. وتساءلت عما إذا أجريت دراسات لتحديد ما إذا كانت المرأة التي تعيش في الكيبوتز اختارت العيش فيه لعدم وجود فرص أخرى أم لأنها تحب العيش فيه. وأعربت عن قلقها من أن المرأة في الكيبوتز لا تستطيع تربية أولادها.</w:t>
      </w:r>
    </w:p>
    <w:p w:rsidR="00000000" w:rsidRDefault="00000000">
      <w:pPr>
        <w:pStyle w:val="BodyText2"/>
        <w:bidi/>
        <w:spacing w:before="0" w:line="300" w:lineRule="exact"/>
        <w:jc w:val="lowKashida"/>
        <w:outlineLvl w:val="0"/>
        <w:rPr>
          <w:rFonts w:cs="Simplified Arabic"/>
          <w:b/>
          <w:bCs/>
          <w:szCs w:val="24"/>
          <w:rtl/>
        </w:rPr>
      </w:pPr>
      <w:r>
        <w:rPr>
          <w:rFonts w:cs="Simplified Arabic"/>
          <w:b/>
          <w:bCs/>
          <w:szCs w:val="24"/>
          <w:rtl/>
        </w:rPr>
        <w:t>المادة 16</w:t>
      </w:r>
    </w:p>
    <w:p w:rsidR="00000000" w:rsidRDefault="00000000">
      <w:pPr>
        <w:pStyle w:val="BodyText2"/>
        <w:bidi/>
        <w:spacing w:before="0" w:line="300" w:lineRule="exact"/>
        <w:jc w:val="lowKashida"/>
        <w:rPr>
          <w:rFonts w:cs="Simplified Arabic"/>
          <w:szCs w:val="24"/>
        </w:rPr>
      </w:pPr>
      <w:r>
        <w:rPr>
          <w:rFonts w:cs="Simplified Arabic"/>
          <w:szCs w:val="24"/>
          <w:rtl/>
        </w:rPr>
        <w:t>54 -</w:t>
      </w:r>
      <w:r>
        <w:rPr>
          <w:rFonts w:cs="Simplified Arabic"/>
          <w:szCs w:val="24"/>
          <w:rtl/>
        </w:rPr>
        <w:tab/>
      </w:r>
      <w:r>
        <w:rPr>
          <w:rFonts w:cs="Simplified Arabic"/>
          <w:b/>
          <w:bCs/>
          <w:szCs w:val="24"/>
          <w:rtl/>
        </w:rPr>
        <w:t xml:space="preserve">السيدة برنارد: </w:t>
      </w:r>
      <w:r>
        <w:rPr>
          <w:rFonts w:cs="Simplified Arabic"/>
          <w:szCs w:val="24"/>
          <w:rtl/>
        </w:rPr>
        <w:t>أعربت عن قلقها لمحنة المرأة الفلسطينية في دولة إسرائيل، وساندت نداء السيدة أباكا من أجل السلام. فينبغي حشد قوى المرأة الفلسطينية والمرأة اليهودية من أجل تعزيز عملية السلام. وأعربت عن ما يساورها من قلق حيال تحفظات إسرائيل على المادة 16 من الاتفاقية، ما دام أي تحفظ على الاتفاقية إنما يرمي إلى تخفيف كامل مفعولها. وأعربت عن أملها في أن تنظر إسرائيل في إمكانية سحب ذلك التحفظ. وأشادت بأحكام قانون مساواة المرأة في الحقوق لعام 1951 وسرها أن تعلم أن الاجتهاد القضائي للمحكمة العليا أزال مسألة تقسيم الممتلكات من دائرة القانون الديني حيث ينفرد القانون المدني العلماني بتنظيم الموضوع. كما أثنت على قانون (علاقات الملكية بين) الأزواج لعام 1973 الذي يسري على الأزواج المرتبطين بعلاقة زوجية أو بعلاقة معاشرة غير زوجية. وعلمت أن نظاما جديدا لمحاكم الأسرة قد أقيم كبديل لمحاكم المقاطعات والمحاكم المحلية، وطلبت تأكيد هذه المعلومات. وتود أن تعلم ما هي العلاقة القائمة بين محاكم الأسرة والمحاكم الدينية، وما إذا كانت هذه المحاكم متاحة لجميع النساء.</w:t>
      </w:r>
    </w:p>
    <w:p w:rsidR="00000000" w:rsidRDefault="00000000">
      <w:pPr>
        <w:pStyle w:val="BodyText2"/>
        <w:bidi/>
        <w:spacing w:before="0" w:line="300" w:lineRule="exact"/>
        <w:jc w:val="lowKashida"/>
        <w:rPr>
          <w:rFonts w:cs="Simplified Arabic"/>
          <w:szCs w:val="24"/>
        </w:rPr>
      </w:pPr>
      <w:r>
        <w:rPr>
          <w:rFonts w:cs="Simplified Arabic"/>
          <w:szCs w:val="24"/>
          <w:rtl/>
        </w:rPr>
        <w:t>55 -</w:t>
      </w:r>
      <w:r>
        <w:rPr>
          <w:rFonts w:cs="Simplified Arabic"/>
          <w:szCs w:val="24"/>
          <w:rtl/>
        </w:rPr>
        <w:tab/>
      </w:r>
      <w:r>
        <w:rPr>
          <w:rFonts w:cs="Simplified Arabic"/>
          <w:b/>
          <w:bCs/>
          <w:szCs w:val="24"/>
          <w:rtl/>
        </w:rPr>
        <w:t xml:space="preserve">السيدة عويج: </w:t>
      </w:r>
      <w:r>
        <w:rPr>
          <w:rFonts w:cs="Simplified Arabic"/>
          <w:szCs w:val="24"/>
          <w:rtl/>
        </w:rPr>
        <w:t>قالت إنه استنادا إلى التقرير تندرج جميع المسائل المتعلقة بالأحوال الشخصية من قبيل الزواج والطلاق والنفقة والحضانة في دائرة الاختصاص الشامل للمحاكم الدينية، وأنه لا يوجد تقريبا أي زواج أو طلاق مدني. كما أن شهادة المرأة غير مقبولة أمام المحاكم الدينية ما عدا عندما تبلغ عن غياب الزوج. ولا يحق للأرملة ولا للمطلقة أن تتزوج رجلا من الديانة اليهودية، ويشترط في الأرملة التي لم تخلف ولدا أن تحصل على إذن أخ الزوج لتتزوج من جديد. وتخضع المرأة دائما لسلطة الزوج الذي يجوز أن تكون له علاقات جنسية خارج إطار الزواج عندما ترفض المرأة تطليقه. أما الزوج الذي يرفض تطليق زوجته فيمكن أن تجبره المحاكم على ذلك، بل ويمكن حبسه لمدة ستة أشهر إذا رفض. ولئن سن قانون جديد في 1995 بغية الحد من عدد النساء المهجورات، فإنه لم يطبق بفعالية.</w:t>
      </w:r>
    </w:p>
    <w:p w:rsidR="00000000" w:rsidRDefault="00000000">
      <w:pPr>
        <w:pStyle w:val="BodyText2"/>
        <w:bidi/>
        <w:spacing w:before="0" w:line="300" w:lineRule="exact"/>
        <w:jc w:val="lowKashida"/>
        <w:rPr>
          <w:rFonts w:cs="Simplified Arabic"/>
          <w:szCs w:val="24"/>
          <w:rtl/>
        </w:rPr>
      </w:pPr>
      <w:r>
        <w:rPr>
          <w:rFonts w:cs="Simplified Arabic"/>
          <w:szCs w:val="24"/>
          <w:rtl/>
        </w:rPr>
        <w:t>56 -</w:t>
      </w:r>
      <w:r>
        <w:rPr>
          <w:rFonts w:cs="Simplified Arabic"/>
          <w:szCs w:val="24"/>
          <w:rtl/>
        </w:rPr>
        <w:tab/>
        <w:t>وأضافت قائلة إن تعدد الزوجات لا يزال شائعا لدى السكان العرب كما أن مركز المرأة العربية أدنى من مركز الرجل. وفي هذا الصدد، وضع العرب والفلسطينيون مشروع قانون تقدم به برلمانيون عرب وإسرائيليون. وسيعرض مشروع القانون قريبا على الكنيست، وقالت إنها تود أن تعرف موقف الكنيست من هذه المسألة، ما دام الهدف من مشروع القانون هذا هو تخيير المرأة العربية والفلسطينية بين اللجوء إلى المحاكم الدينية أو اللجوء إلى المحاكم المدنية لإحقاق حقوقها.</w:t>
      </w:r>
    </w:p>
    <w:p w:rsidR="00000000" w:rsidRDefault="00000000">
      <w:pPr>
        <w:pStyle w:val="BodyText2"/>
        <w:bidi/>
        <w:spacing w:before="0" w:line="300" w:lineRule="exact"/>
        <w:jc w:val="center"/>
        <w:rPr>
          <w:rFonts w:cs="Simplified Arabic"/>
          <w:b/>
          <w:bCs/>
          <w:szCs w:val="24"/>
          <w:rtl/>
        </w:rPr>
      </w:pPr>
      <w:r>
        <w:rPr>
          <w:rFonts w:cs="Simplified Arabic"/>
          <w:b/>
          <w:bCs/>
          <w:szCs w:val="24"/>
          <w:rtl/>
        </w:rPr>
        <w:t>رفعت الجلسة الساعة 50/17</w:t>
      </w:r>
    </w:p>
    <w:p w:rsidR="00000000" w:rsidRDefault="00000000">
      <w:pPr>
        <w:bidi/>
        <w:spacing w:after="120" w:line="300" w:lineRule="exact"/>
        <w:rPr>
          <w:rFonts w:cs="Simplified Arabic"/>
          <w:b/>
          <w:bCs/>
          <w:sz w:val="19"/>
          <w:rtl/>
          <w:lang w:eastAsia="en-US"/>
        </w:rPr>
        <w:sectPr w:rsidR="00000000">
          <w:type w:val="continuous"/>
          <w:pgSz w:w="11909" w:h="16834" w:code="9"/>
          <w:pgMar w:top="1134" w:right="1134" w:bottom="1701" w:left="1134" w:header="1134" w:footer="1418" w:gutter="0"/>
          <w:cols w:num="2" w:space="360"/>
          <w:titlePg/>
          <w:bidi/>
          <w:rtlGutter/>
        </w:sectPr>
      </w:pPr>
    </w:p>
    <w:p w:rsidR="00000000" w:rsidRDefault="00000000">
      <w:pPr>
        <w:bidi/>
        <w:spacing w:after="120" w:line="300" w:lineRule="exact"/>
        <w:rPr>
          <w:rFonts w:cs="Simplified Arabic"/>
          <w:b/>
          <w:bCs/>
          <w:sz w:val="19"/>
          <w:rtl/>
          <w:lang w:eastAsia="en-US"/>
        </w:rPr>
      </w:pPr>
    </w:p>
    <w:sectPr w:rsidR="00000000">
      <w:type w:val="continuous"/>
      <w:pgSz w:w="11909" w:h="16834" w:code="9"/>
      <w:pgMar w:top="1134" w:right="1134" w:bottom="1701" w:left="1134" w:header="1134" w:footer="1418" w:gutter="0"/>
      <w:cols w:num="2" w:space="360"/>
      <w:titlePg/>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user" w:initials="D">
    <w:p w:rsidR="00000000" w:rsidRDefault="00000000">
      <w:pPr>
        <w:pStyle w:val="CommentText"/>
        <w:jc w:val="right"/>
      </w:pPr>
      <w:r>
        <w:rPr>
          <w:rtl/>
        </w:rPr>
        <w:fldChar w:fldCharType="begin"/>
      </w:r>
      <w:r>
        <w:instrText>PAGE</w:instrText>
      </w:r>
      <w:r>
        <w:rPr>
          <w:rtl/>
        </w:rPr>
        <w:instrText xml:space="preserve"> \# "'</w:instrText>
      </w:r>
      <w:r>
        <w:instrText>Page</w:instrText>
      </w:r>
      <w:r>
        <w:rPr>
          <w:rtl/>
        </w:rPr>
        <w:instrText>: '#'</w:instrText>
      </w:r>
      <w:r>
        <w:rPr>
          <w:rtl/>
        </w:rPr>
        <w:br/>
        <w:instrText>'"</w:instrText>
      </w:r>
      <w:r>
        <w:rPr>
          <w:rStyle w:val="CommentReference"/>
          <w:rtl/>
        </w:rPr>
        <w:instrText xml:space="preserve">  </w:instrText>
      </w:r>
      <w:r>
        <w:rPr>
          <w:rtl/>
        </w:rPr>
        <w:fldChar w:fldCharType="end"/>
      </w:r>
      <w:r>
        <w:rPr>
          <w:rStyle w:val="CommentReference"/>
          <w:rtl/>
        </w:rPr>
        <w:annotationRef/>
      </w:r>
      <w:r>
        <w:t>&lt;&lt;ODS JOB NO&gt;&gt;N9781712A&lt;&lt;ODS JOB NO&gt;&gt;</w:t>
      </w:r>
    </w:p>
    <w:p w:rsidR="00000000" w:rsidRDefault="00000000">
      <w:pPr>
        <w:pStyle w:val="CommentText"/>
        <w:jc w:val="right"/>
      </w:pPr>
      <w:r>
        <w:t>&lt;&lt;ODS DOC SYMBOL1&gt;&gt;CEDAW/C/SR.351&lt;&lt;ODS DOC SYMBOL1&gt;&gt;</w:t>
      </w:r>
    </w:p>
    <w:p w:rsidR="00000000" w:rsidRDefault="00000000">
      <w:pPr>
        <w:pStyle w:val="CommentText"/>
        <w:jc w:val="right"/>
      </w:pPr>
      <w:r>
        <w:t>&lt;&lt;ODS DOC SYMBOL2&gt;&gt;&lt;&lt;ODS DOC SYMBOL2&gt;&gt;</w:t>
      </w:r>
    </w:p>
    <w:p w:rsidR="00000000" w:rsidRDefault="00000000">
      <w:pPr>
        <w:pStyle w:val="CommentText"/>
        <w:jc w:val="right"/>
        <w:rPr>
          <w:rtl/>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t>../..</w:t>
    </w:r>
    <w:r>
      <w:tab/>
      <w:t xml:space="preserve">  </w:t>
    </w:r>
    <w:r>
      <w:tab/>
    </w:r>
    <w:r>
      <w:tab/>
      <w:t>97-81712</w:t>
    </w:r>
    <w:r>
      <w:rPr>
        <w:rFonts w:cs="Simplified Arabic"/>
        <w:vanish/>
        <w:rtl/>
      </w:rPr>
      <w:pgNum/>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t>../..</w:t>
    </w:r>
    <w:r>
      <w:tab/>
    </w:r>
    <w:r>
      <w:tab/>
    </w:r>
    <w:r>
      <w:tab/>
      <w:t>97-81712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firstLine="7938"/>
      <w:jc w:val="lowKashida"/>
    </w:pPr>
    <w:r>
      <w:t>CEDAW/C/SR.351</w:t>
    </w:r>
  </w:p>
  <w:p w:rsidR="00000000" w:rsidRDefault="00000000">
    <w:pPr>
      <w:pStyle w:val="Header"/>
      <w:ind w:firstLine="7938"/>
      <w:jc w:val="lowKashida"/>
    </w:pPr>
    <w:r>
      <w:t>Arabic</w:t>
    </w:r>
  </w:p>
  <w:p w:rsidR="00000000" w:rsidRDefault="00000000">
    <w:pPr>
      <w:pStyle w:val="Header"/>
      <w:ind w:firstLine="7938"/>
      <w:jc w:val="lowKashida"/>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42</w:t>
    </w:r>
    <w:r>
      <w:rPr>
        <w:rStyle w:val="PageNumber"/>
      </w:rPr>
      <w:fldChar w:fldCharType="end"/>
    </w:r>
  </w:p>
  <w:p w:rsidR="00000000" w:rsidRDefault="00000000">
    <w:pPr>
      <w:pStyle w:val="Header"/>
      <w:ind w:right="1"/>
      <w:jc w:val="lowKashida"/>
    </w:pPr>
    <w:r>
      <w:tab/>
    </w:r>
    <w:r>
      <w:tab/>
    </w:r>
    <w:r>
      <w:tab/>
    </w:r>
    <w:r>
      <w:tab/>
      <w:t xml:space="preserve"> </w:t>
    </w:r>
  </w:p>
  <w:p w:rsidR="00000000" w:rsidRDefault="00000000">
    <w:pPr>
      <w:pStyle w:val="Header"/>
      <w:jc w:val="lowKashida"/>
    </w:pPr>
    <w:r>
      <w:tab/>
    </w:r>
    <w: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19"/>
        <w:szCs w:val="23"/>
      </w:rPr>
    </w:pPr>
    <w:r>
      <w:rPr>
        <w:sz w:val="19"/>
        <w:szCs w:val="23"/>
      </w:rPr>
      <w:t>CEDAW/C/SR.351</w:t>
    </w:r>
  </w:p>
  <w:p w:rsidR="00000000" w:rsidRDefault="00000000">
    <w:pPr>
      <w:pStyle w:val="Header"/>
      <w:rPr>
        <w:sz w:val="19"/>
        <w:szCs w:val="23"/>
      </w:rPr>
    </w:pPr>
    <w:r>
      <w:rPr>
        <w:sz w:val="19"/>
        <w:szCs w:val="23"/>
      </w:rPr>
      <w:t>Arabic</w:t>
    </w:r>
  </w:p>
  <w:p w:rsidR="00000000" w:rsidRDefault="00000000">
    <w:pPr>
      <w:pStyle w:val="Header"/>
      <w:rPr>
        <w:rStyle w:val="PageNumber"/>
      </w:rPr>
    </w:pPr>
    <w:r>
      <w:rPr>
        <w:sz w:val="19"/>
        <w:szCs w:val="23"/>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41</w:t>
    </w:r>
    <w:r>
      <w:rPr>
        <w:rStyle w:val="PageNumber"/>
      </w:rPr>
      <w:fldChar w:fldCharType="end"/>
    </w:r>
  </w:p>
  <w:p w:rsidR="00000000" w:rsidRDefault="00000000">
    <w:pPr>
      <w:pStyle w:val="Header"/>
      <w:rPr>
        <w:sz w:val="19"/>
        <w:szCs w:val="23"/>
      </w:rPr>
    </w:pPr>
    <w:r>
      <w:rPr>
        <w:sz w:val="19"/>
        <w:szCs w:val="23"/>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raditional Arabic"/>
      <w:szCs w:val="24"/>
    </w:rPr>
  </w:style>
  <w:style w:type="paragraph" w:styleId="Heading1">
    <w:name w:val="heading 1"/>
    <w:basedOn w:val="Normal"/>
    <w:next w:val="Normal"/>
    <w:qFormat/>
    <w:pPr>
      <w:keepNext/>
      <w:pBdr>
        <w:bottom w:val="single" w:sz="12" w:space="1" w:color="auto"/>
      </w:pBdr>
      <w:outlineLvl w:val="0"/>
    </w:pPr>
    <w:rPr>
      <w:szCs w:val="32"/>
      <w:lang w:eastAsia="en-US"/>
    </w:rPr>
  </w:style>
  <w:style w:type="paragraph" w:styleId="Heading2">
    <w:name w:val="heading 2"/>
    <w:basedOn w:val="Normal"/>
    <w:next w:val="Normal"/>
    <w:qFormat/>
    <w:pPr>
      <w:keepNext/>
      <w:bidi/>
      <w:outlineLvl w:val="1"/>
    </w:pPr>
    <w:rPr>
      <w:b/>
      <w:bCs/>
      <w:szCs w:val="36"/>
      <w:lang w:eastAsia="en-US"/>
    </w:rPr>
  </w:style>
  <w:style w:type="paragraph" w:styleId="Heading3">
    <w:name w:val="heading 3"/>
    <w:basedOn w:val="Normal"/>
    <w:next w:val="Normal"/>
    <w:qFormat/>
    <w:pPr>
      <w:keepNext/>
      <w:jc w:val="center"/>
      <w:outlineLvl w:val="2"/>
    </w:pPr>
    <w:rPr>
      <w:b/>
      <w:bCs/>
      <w:szCs w:val="28"/>
      <w:lang w:eastAsia="en-US"/>
    </w:rPr>
  </w:style>
  <w:style w:type="paragraph" w:styleId="Heading4">
    <w:name w:val="heading 4"/>
    <w:basedOn w:val="Normal"/>
    <w:next w:val="Normal"/>
    <w:qFormat/>
    <w:pPr>
      <w:keepNext/>
      <w:jc w:val="center"/>
      <w:outlineLvl w:val="3"/>
    </w:pPr>
    <w:rPr>
      <w:b/>
      <w:b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semiHidden/>
    <w:pPr>
      <w:jc w:val="right"/>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rPr>
  </w:style>
  <w:style w:type="paragraph" w:styleId="Caption">
    <w:name w:val="caption"/>
    <w:basedOn w:val="Normal"/>
    <w:next w:val="Normal"/>
    <w:qFormat/>
    <w:pPr>
      <w:pBdr>
        <w:top w:val="single" w:sz="24" w:space="1" w:color="auto"/>
      </w:pBdr>
      <w:bidi/>
    </w:pPr>
    <w:rPr>
      <w:rFonts w:ascii="Garamond" w:hAnsi="Garamond"/>
      <w:spacing w:val="-2"/>
      <w:sz w:val="19"/>
      <w:szCs w:val="28"/>
    </w:rPr>
  </w:style>
  <w:style w:type="paragraph" w:styleId="BodyText2">
    <w:name w:val="Body Text 2"/>
    <w:basedOn w:val="Normal"/>
    <w:semiHidden/>
    <w:pPr>
      <w:spacing w:before="120" w:after="120" w:line="320" w:lineRule="exact"/>
    </w:pPr>
    <w:rPr>
      <w:szCs w:val="28"/>
    </w:rPr>
  </w:style>
  <w:style w:type="character" w:styleId="Strong">
    <w:name w:val="Strong"/>
    <w:qFormat/>
    <w:rPr>
      <w:b/>
      <w:bCs/>
    </w:rPr>
  </w:style>
  <w:style w:type="character" w:styleId="CommentReference">
    <w:name w:val="annotation reference"/>
    <w:semiHidden/>
    <w:rPr>
      <w:sz w:val="16"/>
      <w:szCs w:val="20"/>
    </w:rPr>
  </w:style>
  <w:style w:type="paragraph" w:styleId="CommentText">
    <w:name w:val="annotation text"/>
    <w:basedOn w:val="Normal"/>
    <w:semiHidden/>
    <w:pPr>
      <w:bidi/>
    </w:pPr>
    <w:rPr>
      <w:rFonts w:cs="Simplified Arabic"/>
      <w:color w:val="0000FF"/>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23018</Words>
  <Characters>131203</Characters>
  <Application>Microsoft Office Word</Application>
  <DocSecurity>4</DocSecurity>
  <Lines>1093</Lines>
  <Paragraphs>262</Paragraphs>
  <ScaleCrop>false</ScaleCrop>
  <HeadingPairs>
    <vt:vector size="2" baseType="variant">
      <vt:variant>
        <vt:lpstr>Title</vt:lpstr>
      </vt:variant>
      <vt:variant>
        <vt:i4>1</vt:i4>
      </vt:variant>
    </vt:vector>
  </HeadingPairs>
  <TitlesOfParts>
    <vt:vector size="1" baseType="lpstr">
      <vt:lpstr>Default Normal Template</vt:lpstr>
    </vt:vector>
  </TitlesOfParts>
  <Company>MS</Company>
  <LinksUpToDate>false</LinksUpToDate>
  <CharactersWithSpaces>161126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Default Normal Template</dc:title>
  <dc:subject/>
  <dc:creator>Electronic Services Division</dc:creator>
  <cp:keywords/>
  <cp:lastModifiedBy>DGAACS/user</cp:lastModifiedBy>
  <cp:revision>2</cp:revision>
  <cp:lastPrinted>1999-04-28T20:08:00Z</cp:lastPrinted>
  <dcterms:created xsi:type="dcterms:W3CDTF">1999-10-06T10:24:00Z</dcterms:created>
  <dcterms:modified xsi:type="dcterms:W3CDTF">1999-10-06T10:24:00Z</dcterms:modified>
</cp:coreProperties>
</file>