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000000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  <w:r>
              <w:rPr>
                <w:sz w:val="40"/>
                <w:szCs w:val="40"/>
              </w:rPr>
              <w:t>CEDAW</w:t>
            </w:r>
            <w:r>
              <w:t>/C/PAR/6</w:t>
            </w:r>
            <w:fldSimple w:instr=" FILLIN  &quot;Введите часть символа после CRC/&quot;  \* MERGEFORMAT "/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Конвенция о ликвидации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всех форм дискриминации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</w:pPr>
            <w:r>
              <w:t xml:space="preserve">Distr.: </w:t>
            </w: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instrText xml:space="preserve"> FORMDROPDOWN </w:instrText>
            </w:r>
            <w:r>
              <w:fldChar w:fldCharType="end"/>
            </w:r>
          </w:p>
          <w:p w:rsidR="00000000" w:rsidRDefault="00000000">
            <w:r>
              <w:t>12 August 2010</w:t>
            </w:r>
            <w:r>
              <w:fldChar w:fldCharType="begin"/>
            </w:r>
            <w:r>
              <w:instrText xml:space="preserve"> FILLIN  "Введите дату документа" \* MERGEFORMAT </w:instrText>
            </w:r>
            <w:r>
              <w:fldChar w:fldCharType="end"/>
            </w:r>
          </w:p>
          <w:p w:rsidR="00000000" w:rsidRDefault="00000000">
            <w:r>
              <w:t>Russian</w:t>
            </w:r>
          </w:p>
          <w:p w:rsidR="00000000" w:rsidRDefault="00000000">
            <w:r>
              <w:t xml:space="preserve">Original: </w:t>
            </w:r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instrText xml:space="preserve"> FORMDROPDOWN </w:instrText>
            </w:r>
            <w:r>
              <w:fldChar w:fldCharType="end"/>
            </w:r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 дискриминации</w:t>
      </w:r>
      <w:r>
        <w:rPr>
          <w:b/>
          <w:sz w:val="24"/>
          <w:szCs w:val="24"/>
        </w:rPr>
        <w:br/>
        <w:t>в отношении женщин</w:t>
      </w:r>
    </w:p>
    <w:p w:rsidR="00000000" w:rsidRDefault="00000000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Рассмотрение докладов, представленных государствами-участниками в соответствии со статьей 18 Конвенции о ликвидации всех форм дискриминации в отношении женщин</w:t>
      </w:r>
    </w:p>
    <w:p w:rsidR="00000000" w:rsidRDefault="00000000">
      <w:pPr>
        <w:pStyle w:val="H1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Шестой периодический доклад государств-участников</w:t>
      </w:r>
    </w:p>
    <w:p w:rsidR="00000000" w:rsidRDefault="00000000">
      <w:pPr>
        <w:pStyle w:val="HChGR"/>
      </w:pPr>
      <w:r>
        <w:tab/>
      </w:r>
      <w:r>
        <w:tab/>
        <w:t>Парагвай</w:t>
      </w:r>
    </w:p>
    <w:p w:rsidR="00000000" w:rsidRDefault="00000000">
      <w:pPr>
        <w:suppressAutoHyphens/>
        <w:spacing w:after="120"/>
        <w:rPr>
          <w:sz w:val="28"/>
          <w:lang w:eastAsia="ru-RU"/>
        </w:rPr>
      </w:pPr>
      <w:r>
        <w:rPr>
          <w:lang w:eastAsia="ru-RU"/>
        </w:rPr>
        <w:br w:type="page"/>
      </w:r>
      <w:r>
        <w:rPr>
          <w:sz w:val="28"/>
          <w:lang w:eastAsia="ru-RU"/>
        </w:rPr>
        <w:t>Содержание</w:t>
      </w:r>
    </w:p>
    <w:p w:rsidR="00000000" w:rsidRDefault="00000000">
      <w:pPr>
        <w:tabs>
          <w:tab w:val="right" w:pos="8929"/>
          <w:tab w:val="right" w:pos="9638"/>
        </w:tabs>
        <w:suppressAutoHyphens/>
        <w:spacing w:after="120"/>
        <w:ind w:left="283"/>
        <w:rPr>
          <w:lang w:eastAsia="ru-RU"/>
        </w:rPr>
      </w:pPr>
      <w:r>
        <w:rPr>
          <w:i/>
          <w:sz w:val="18"/>
          <w:lang w:eastAsia="ru-RU"/>
        </w:rPr>
        <w:tab/>
        <w:t>Пункты</w:t>
      </w:r>
      <w:r>
        <w:rPr>
          <w:i/>
          <w:sz w:val="18"/>
          <w:lang w:eastAsia="ru-RU"/>
        </w:rPr>
        <w:tab/>
        <w:t>Стр.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 w:eastAsia="ru-RU"/>
        </w:rPr>
      </w:pPr>
      <w:r>
        <w:rPr>
          <w:lang w:eastAsia="ru-RU"/>
        </w:rPr>
        <w:tab/>
        <w:t>I.</w:t>
      </w:r>
      <w:r>
        <w:rPr>
          <w:lang w:eastAsia="ru-RU"/>
        </w:rPr>
        <w:tab/>
        <w:t>Введение</w:t>
      </w:r>
      <w:r>
        <w:rPr>
          <w:lang w:eastAsia="ru-RU"/>
        </w:rPr>
        <w:tab/>
      </w:r>
      <w:r>
        <w:rPr>
          <w:lang w:eastAsia="ru-RU"/>
        </w:rPr>
        <w:tab/>
        <w:t>1−11</w:t>
      </w:r>
      <w:r>
        <w:rPr>
          <w:lang w:eastAsia="ru-RU"/>
        </w:rPr>
        <w:tab/>
      </w:r>
      <w:r>
        <w:rPr>
          <w:lang w:val="en-US" w:eastAsia="ru-RU"/>
        </w:rPr>
        <w:t>3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eastAsia="ru-RU"/>
        </w:rPr>
        <w:tab/>
        <w:t>II.</w:t>
      </w:r>
      <w:r>
        <w:rPr>
          <w:lang w:eastAsia="ru-RU"/>
        </w:rPr>
        <w:tab/>
      </w:r>
      <w:r>
        <w:t>Выполнение заключительных замечаний Комитета 2005 года</w:t>
      </w:r>
      <w:r>
        <w:tab/>
      </w:r>
      <w:r>
        <w:tab/>
        <w:t>12−127</w:t>
      </w:r>
      <w:r>
        <w:tab/>
      </w:r>
      <w:r>
        <w:rPr>
          <w:lang w:val="en-US"/>
        </w:rPr>
        <w:t>5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А.</w:t>
      </w:r>
      <w:r>
        <w:tab/>
        <w:t>Пункт 17 заключительных замечаний</w:t>
      </w:r>
      <w:r>
        <w:tab/>
      </w:r>
      <w:r>
        <w:tab/>
        <w:t>12−18</w:t>
      </w:r>
      <w:r>
        <w:tab/>
      </w:r>
      <w:r>
        <w:rPr>
          <w:lang w:val="en-US"/>
        </w:rPr>
        <w:t>5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В.</w:t>
      </w:r>
      <w:r>
        <w:tab/>
        <w:t>Пункт 18</w:t>
      </w:r>
      <w:r>
        <w:tab/>
      </w:r>
      <w:r>
        <w:tab/>
        <w:t>19−26</w:t>
      </w:r>
      <w:r>
        <w:tab/>
      </w:r>
      <w:r>
        <w:rPr>
          <w:lang w:val="en-US"/>
        </w:rPr>
        <w:t>7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С.</w:t>
      </w:r>
      <w:r>
        <w:tab/>
        <w:t>Пункт 19</w:t>
      </w:r>
      <w:r>
        <w:tab/>
      </w:r>
      <w:r>
        <w:tab/>
        <w:t>27</w:t>
      </w:r>
      <w:r>
        <w:tab/>
      </w:r>
      <w:r>
        <w:rPr>
          <w:lang w:val="en-US"/>
        </w:rPr>
        <w:t>9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D.</w:t>
      </w:r>
      <w:r>
        <w:tab/>
        <w:t>Пункты 20 и 21</w:t>
      </w:r>
      <w:r>
        <w:tab/>
      </w:r>
      <w:r>
        <w:tab/>
        <w:t>27−35</w:t>
      </w:r>
      <w:r>
        <w:tab/>
      </w:r>
      <w:r>
        <w:rPr>
          <w:lang w:val="en-US"/>
        </w:rPr>
        <w:t>9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Е.</w:t>
      </w:r>
      <w:r>
        <w:tab/>
        <w:t>Пункты 22 и 23</w:t>
      </w:r>
      <w:r>
        <w:tab/>
      </w:r>
      <w:r>
        <w:tab/>
        <w:t>36−38</w:t>
      </w:r>
      <w:r>
        <w:tab/>
      </w:r>
      <w:r>
        <w:rPr>
          <w:lang w:val="en-US"/>
        </w:rPr>
        <w:t>11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F.</w:t>
      </w:r>
      <w:r>
        <w:tab/>
        <w:t>Пункт 24</w:t>
      </w:r>
      <w:r>
        <w:tab/>
      </w:r>
      <w:r>
        <w:tab/>
        <w:t>39−42</w:t>
      </w:r>
      <w:r>
        <w:tab/>
      </w:r>
      <w:r>
        <w:rPr>
          <w:lang w:val="en-US"/>
        </w:rPr>
        <w:t>12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G.</w:t>
      </w:r>
      <w:r>
        <w:tab/>
        <w:t>Пункт 25</w:t>
      </w:r>
      <w:r>
        <w:tab/>
      </w:r>
      <w:r>
        <w:tab/>
        <w:t>43−56</w:t>
      </w:r>
      <w:r>
        <w:tab/>
      </w:r>
      <w:r>
        <w:rPr>
          <w:lang w:val="en-US"/>
        </w:rPr>
        <w:t>13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Н.</w:t>
      </w:r>
      <w:r>
        <w:tab/>
        <w:t>Пункты 26 и 27</w:t>
      </w:r>
      <w:r>
        <w:tab/>
      </w:r>
      <w:r>
        <w:tab/>
        <w:t>57</w:t>
      </w:r>
      <w:r>
        <w:tab/>
      </w:r>
      <w:r>
        <w:rPr>
          <w:lang w:val="en-US"/>
        </w:rPr>
        <w:t>16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I.</w:t>
      </w:r>
      <w:r>
        <w:tab/>
        <w:t>Пункт 28</w:t>
      </w:r>
      <w:r>
        <w:tab/>
      </w:r>
      <w:r>
        <w:tab/>
        <w:t>58−62</w:t>
      </w:r>
      <w:r>
        <w:tab/>
      </w:r>
      <w:r>
        <w:rPr>
          <w:lang w:val="en-US"/>
        </w:rPr>
        <w:t>16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J.</w:t>
      </w:r>
      <w:r>
        <w:tab/>
        <w:t>Пункт 29</w:t>
      </w:r>
      <w:r>
        <w:tab/>
      </w:r>
      <w:r>
        <w:tab/>
        <w:t>63−69</w:t>
      </w:r>
      <w:r>
        <w:tab/>
      </w:r>
      <w:r>
        <w:rPr>
          <w:lang w:val="en-US"/>
        </w:rPr>
        <w:t>17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K.</w:t>
      </w:r>
      <w:r>
        <w:tab/>
        <w:t>Пункт 30</w:t>
      </w:r>
      <w:r>
        <w:tab/>
      </w:r>
      <w:r>
        <w:tab/>
        <w:t>70−80</w:t>
      </w:r>
      <w:r>
        <w:tab/>
      </w:r>
      <w:r>
        <w:rPr>
          <w:lang w:val="en-US"/>
        </w:rPr>
        <w:t>18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L.</w:t>
      </w:r>
      <w:r>
        <w:tab/>
        <w:t>Пункт 31</w:t>
      </w:r>
      <w:r>
        <w:tab/>
      </w:r>
      <w:r>
        <w:tab/>
        <w:t>81−82</w:t>
      </w:r>
      <w:r>
        <w:tab/>
      </w:r>
      <w:r>
        <w:rPr>
          <w:lang w:val="en-US"/>
        </w:rPr>
        <w:t>20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M.</w:t>
      </w:r>
      <w:r>
        <w:tab/>
        <w:t>Пункт 32</w:t>
      </w:r>
      <w:r>
        <w:tab/>
      </w:r>
      <w:r>
        <w:tab/>
        <w:t>83−91</w:t>
      </w:r>
      <w:r>
        <w:tab/>
      </w:r>
      <w:r>
        <w:rPr>
          <w:lang w:val="en-US"/>
        </w:rPr>
        <w:t>20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N.</w:t>
      </w:r>
      <w:r>
        <w:tab/>
        <w:t>Пункт 33</w:t>
      </w:r>
      <w:r>
        <w:tab/>
      </w:r>
      <w:r>
        <w:tab/>
        <w:t>92−98</w:t>
      </w:r>
      <w:r>
        <w:tab/>
      </w:r>
      <w:r>
        <w:rPr>
          <w:lang w:val="en-US"/>
        </w:rPr>
        <w:t>22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O.</w:t>
      </w:r>
      <w:r>
        <w:tab/>
        <w:t>Пункт 34</w:t>
      </w:r>
      <w:r>
        <w:tab/>
      </w:r>
      <w:r>
        <w:tab/>
        <w:t>99−103</w:t>
      </w:r>
      <w:r>
        <w:tab/>
      </w:r>
      <w:r>
        <w:rPr>
          <w:lang w:val="en-US"/>
        </w:rPr>
        <w:t>23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P.</w:t>
      </w:r>
      <w:r>
        <w:tab/>
        <w:t>Пункт 35</w:t>
      </w:r>
      <w:r>
        <w:tab/>
      </w:r>
      <w:r>
        <w:tab/>
        <w:t>104−108</w:t>
      </w:r>
      <w:r>
        <w:tab/>
      </w:r>
      <w:r>
        <w:rPr>
          <w:lang w:val="en-US"/>
        </w:rPr>
        <w:t>24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Q.</w:t>
      </w:r>
      <w:r>
        <w:tab/>
        <w:t>Пункт 36</w:t>
      </w:r>
      <w:r>
        <w:tab/>
      </w:r>
      <w:r>
        <w:tab/>
        <w:t>109−117</w:t>
      </w:r>
      <w:r>
        <w:tab/>
      </w:r>
      <w:r>
        <w:rPr>
          <w:lang w:val="en-US"/>
        </w:rPr>
        <w:t>25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R.</w:t>
      </w:r>
      <w:r>
        <w:tab/>
        <w:t>Пункт 38</w:t>
      </w:r>
      <w:r>
        <w:tab/>
      </w:r>
      <w:r>
        <w:tab/>
        <w:t>118−123</w:t>
      </w:r>
      <w:r>
        <w:tab/>
      </w:r>
      <w:r>
        <w:rPr>
          <w:lang w:val="en-US"/>
        </w:rPr>
        <w:t>26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S.</w:t>
      </w:r>
      <w:r>
        <w:tab/>
        <w:t>Пункт 39</w:t>
      </w:r>
      <w:r>
        <w:tab/>
      </w:r>
      <w:r>
        <w:tab/>
        <w:t>124−125</w:t>
      </w:r>
      <w:r>
        <w:tab/>
      </w:r>
      <w:r>
        <w:rPr>
          <w:lang w:val="en-US"/>
        </w:rPr>
        <w:t>27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T.</w:t>
      </w:r>
      <w:r>
        <w:tab/>
        <w:t>Пункт 40</w:t>
      </w:r>
      <w:r>
        <w:tab/>
      </w:r>
      <w:r>
        <w:tab/>
        <w:t>126</w:t>
      </w:r>
      <w:r>
        <w:tab/>
      </w:r>
      <w:r>
        <w:rPr>
          <w:lang w:val="en-US"/>
        </w:rPr>
        <w:t>28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U.</w:t>
      </w:r>
      <w:r>
        <w:tab/>
        <w:t>Пункт 42</w:t>
      </w:r>
      <w:r>
        <w:tab/>
      </w:r>
      <w:r>
        <w:tab/>
        <w:t>127</w:t>
      </w:r>
      <w:r>
        <w:tab/>
      </w:r>
      <w:r>
        <w:rPr>
          <w:lang w:val="en-US"/>
        </w:rPr>
        <w:t>29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  <w:t>III.</w:t>
      </w:r>
      <w:r>
        <w:tab/>
        <w:t>Доклад об осуществлении Конвенции</w:t>
      </w:r>
      <w:r>
        <w:tab/>
      </w:r>
      <w:r>
        <w:tab/>
        <w:t>128−153</w:t>
      </w:r>
      <w:r>
        <w:tab/>
      </w:r>
      <w:r>
        <w:rPr>
          <w:lang w:val="en-US"/>
        </w:rPr>
        <w:t>29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A.</w:t>
      </w:r>
      <w:r>
        <w:tab/>
        <w:t>Часть I Конвенции</w:t>
      </w:r>
      <w:r>
        <w:tab/>
      </w:r>
      <w:r>
        <w:tab/>
        <w:t>129−133</w:t>
      </w:r>
      <w:r>
        <w:tab/>
      </w:r>
      <w:r>
        <w:rPr>
          <w:lang w:val="en-US"/>
        </w:rPr>
        <w:t>30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B.</w:t>
      </w:r>
      <w:r>
        <w:tab/>
        <w:t>Часть II Конвенции</w:t>
      </w:r>
      <w:r>
        <w:tab/>
      </w:r>
      <w:r>
        <w:tab/>
        <w:t>134−146</w:t>
      </w:r>
      <w:r>
        <w:tab/>
      </w:r>
      <w:r>
        <w:rPr>
          <w:lang w:val="en-US"/>
        </w:rPr>
        <w:t>31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C.</w:t>
      </w:r>
      <w:r>
        <w:tab/>
        <w:t>Часть III Конвенции</w:t>
      </w:r>
      <w:r>
        <w:tab/>
      </w:r>
      <w:r>
        <w:tab/>
        <w:t>147−151</w:t>
      </w:r>
      <w:r>
        <w:tab/>
      </w:r>
      <w:r>
        <w:rPr>
          <w:lang w:val="en-US"/>
        </w:rPr>
        <w:t>35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  <w:t>D.</w:t>
      </w:r>
      <w:r>
        <w:tab/>
        <w:t>Часть IV Конвенции</w:t>
      </w:r>
      <w:r>
        <w:tab/>
      </w:r>
      <w:r>
        <w:tab/>
        <w:t>152−153</w:t>
      </w:r>
      <w:r>
        <w:tab/>
      </w:r>
      <w:r>
        <w:rPr>
          <w:lang w:val="en-US"/>
        </w:rPr>
        <w:t>36</w:t>
      </w:r>
    </w:p>
    <w:p w:rsidR="00000000" w:rsidRDefault="00000000">
      <w:pPr>
        <w:pStyle w:val="H1GR"/>
        <w:rPr>
          <w:b w:val="0"/>
        </w:rPr>
      </w:pPr>
    </w:p>
    <w:p w:rsidR="00000000" w:rsidRDefault="00000000">
      <w:pPr>
        <w:pStyle w:val="H1GR"/>
      </w:pPr>
      <w:r>
        <w:br w:type="page"/>
      </w:r>
      <w:r>
        <w:tab/>
        <w:t>I.</w:t>
      </w:r>
      <w:r>
        <w:tab/>
        <w:t>Введение</w:t>
      </w:r>
    </w:p>
    <w:p w:rsidR="00000000" w:rsidRDefault="00000000">
      <w:pPr>
        <w:pStyle w:val="SingleTxtGR"/>
      </w:pPr>
      <w:r>
        <w:t xml:space="preserve">1. </w:t>
      </w:r>
      <w:r>
        <w:tab/>
        <w:t>Парагвай ратифицировал основные международные договоры о правах человека, и в соответствии с действующей Конституцией они имеют преим</w:t>
      </w:r>
      <w:r>
        <w:t>у</w:t>
      </w:r>
      <w:r>
        <w:t>щественную силу по сравнению с законами, принятыми законодательными о</w:t>
      </w:r>
      <w:r>
        <w:t>р</w:t>
      </w:r>
      <w:r>
        <w:t>ганами власти, и другими подзаконными актами. В прошлом году был ратиф</w:t>
      </w:r>
      <w:r>
        <w:t>и</w:t>
      </w:r>
      <w:r>
        <w:t>цирован Факультативный протокол к Международному пакту об экономич</w:t>
      </w:r>
      <w:r>
        <w:t>е</w:t>
      </w:r>
      <w:r>
        <w:t>ских, социальных и культурных правах. Заключительные замечания, адресова</w:t>
      </w:r>
      <w:r>
        <w:t>н</w:t>
      </w:r>
      <w:r>
        <w:t>ные Парагваю договорными органами после рассмотрения его докладов, во многом совпадают в вопросах, касающихся осуществления прав женщин. В я</w:t>
      </w:r>
      <w:r>
        <w:t>н</w:t>
      </w:r>
      <w:r>
        <w:t xml:space="preserve">варе 2010 года Республика Парагвай представила Доклад об осуществлении Конвенции о правах ребенка. </w:t>
      </w:r>
    </w:p>
    <w:p w:rsidR="00000000" w:rsidRDefault="00000000">
      <w:pPr>
        <w:pStyle w:val="SingleTxtGR"/>
      </w:pPr>
      <w:r>
        <w:t xml:space="preserve">2. </w:t>
      </w:r>
      <w:r>
        <w:tab/>
        <w:t>Во исполнение Конвенции о ликвидации всех форм дискриминации в о</w:t>
      </w:r>
      <w:r>
        <w:t>т</w:t>
      </w:r>
      <w:r>
        <w:t>ношении женщин в 2005 году Парагвай представил три периодических доклада (третий и четвертый объединенные доклады CEDAW/C/PAR/3-4 и пятый доклад CEDAW/C/PAR/5 и Corr.1) комитету экспертов, который выразил пожелание, чтобы в следующий доклад были включены ссылки на заключительные замеч</w:t>
      </w:r>
      <w:r>
        <w:t>а</w:t>
      </w:r>
      <w:r>
        <w:t>ния. В 2009 году обновленные руководящие принципы, касающиеся подготовки первоначального и последующих периодических докладов, были получены Секретариатом по делам женщин при президенте Республики через Министе</w:t>
      </w:r>
      <w:r>
        <w:t>р</w:t>
      </w:r>
      <w:r>
        <w:t>ство иностранных дел.</w:t>
      </w:r>
    </w:p>
    <w:p w:rsidR="00000000" w:rsidRDefault="00000000">
      <w:pPr>
        <w:pStyle w:val="SingleTxtGR"/>
      </w:pPr>
      <w:r>
        <w:t xml:space="preserve">3. </w:t>
      </w:r>
      <w:r>
        <w:tab/>
        <w:t>Шестой периодический доклад об осуществлении Конвенции Парагваем представлен Комитету по ликвидации дискриминации в отношении женщин в соответствии со статьей 18 этого договора. Подготовка доклада координиров</w:t>
      </w:r>
      <w:r>
        <w:t>а</w:t>
      </w:r>
      <w:r>
        <w:t>лась Секретариатом по делам женщин при Президенте Республики и предст</w:t>
      </w:r>
      <w:r>
        <w:t>а</w:t>
      </w:r>
      <w:r>
        <w:t>вителями государственных учреждений, входящих в Межведомственный совет по осуществлению Конвенции. Доклад состоит из введения и двух частей: пе</w:t>
      </w:r>
      <w:r>
        <w:t>р</w:t>
      </w:r>
      <w:r>
        <w:t>вая часть представляет собой отчет о реализации заключительных замечаний и рекомендаций Комитета, сделанных им в 2005 году, причем в некоторые зам</w:t>
      </w:r>
      <w:r>
        <w:t>е</w:t>
      </w:r>
      <w:r>
        <w:t>чания включены пояснения, которые важны для лучшего понимания правового контекста страны; вторая часть содержит дополнительную информацию об осуществлении Конвенции в период с 2005 по начало 2010 года.</w:t>
      </w:r>
    </w:p>
    <w:p w:rsidR="00000000" w:rsidRDefault="00000000">
      <w:pPr>
        <w:pStyle w:val="SingleTxtGR"/>
      </w:pPr>
      <w:r>
        <w:t xml:space="preserve">4. </w:t>
      </w:r>
      <w:r>
        <w:tab/>
        <w:t>С 2005 по 2010 год значительный прогресс был достигнут, прежде всего, в деле учета гендерной проблематики в государственных учреждениях, что н</w:t>
      </w:r>
      <w:r>
        <w:t>е</w:t>
      </w:r>
      <w:r>
        <w:t>обходимо для разработки и реализации государственной политики в рамках м</w:t>
      </w:r>
      <w:r>
        <w:t>е</w:t>
      </w:r>
      <w:r>
        <w:t>ждународных договоров и национального законодательства. Парагваю уд</w:t>
      </w:r>
      <w:r>
        <w:t>а</w:t>
      </w:r>
      <w:r>
        <w:t>лось достичь комплексного гендерного подхода на важных направлениях. Права женщин поощряются в разных формах в столице и во внутренних районах страны, были определены новые области гендерной проблематики и укреплены существующие, были выделены бюджетные средства, а выступления политич</w:t>
      </w:r>
      <w:r>
        <w:t>е</w:t>
      </w:r>
      <w:r>
        <w:t>ских деятелей отражают необходимость учета интересов и ожиданий женщин. Основные даты, связанные с программой обеспечения гендерного равенства, используются также для оценки успеха и выявления трудностей.</w:t>
      </w:r>
    </w:p>
    <w:p w:rsidR="00000000" w:rsidRDefault="00000000">
      <w:pPr>
        <w:pStyle w:val="SingleTxtGR"/>
      </w:pPr>
      <w:r>
        <w:t xml:space="preserve">5. </w:t>
      </w:r>
      <w:r>
        <w:tab/>
        <w:t>Борьба с насилием в семье, которая была впервые начата женскими дв</w:t>
      </w:r>
      <w:r>
        <w:t>и</w:t>
      </w:r>
      <w:r>
        <w:t>жениями и Секретариатом по делам женщин − в качестве основного механизма гендерной политики − была закреплена в национальной повестке дня как часть политики государства, которое в лице Министерства здравоохранения и общ</w:t>
      </w:r>
      <w:r>
        <w:t>е</w:t>
      </w:r>
      <w:r>
        <w:t>ственного благосостояния, Министерства внутренних дел, Национальной пол</w:t>
      </w:r>
      <w:r>
        <w:t>и</w:t>
      </w:r>
      <w:r>
        <w:t>ции и Генеральной прокуратуры, постепенно берет на себя ответственность и осуществляет соответствующие программы действий. Согласно статистическим данным, содержащимся в административном докладе Генеральной прокуратуры за 2009 год, насилие в семье занимает третье место среди наказуемых деяний, после угона скота и мелких краж; 72% непосредственных жертв в Центре ок</w:t>
      </w:r>
      <w:r>
        <w:t>а</w:t>
      </w:r>
      <w:r>
        <w:t>зания помощи жертвам насилия − это женщины, а большинство обращений с</w:t>
      </w:r>
      <w:r>
        <w:t>о</w:t>
      </w:r>
      <w:r>
        <w:t>ставляют случаи сексуального надругательства над детьми. Борьба с торговлей людьми была взята под контроль государства, которое создало системы выявл</w:t>
      </w:r>
      <w:r>
        <w:t>е</w:t>
      </w:r>
      <w:r>
        <w:t>ния, защиты, наказания виновных и реабилитации жертвам.</w:t>
      </w:r>
    </w:p>
    <w:p w:rsidR="00000000" w:rsidRDefault="00000000">
      <w:pPr>
        <w:pStyle w:val="SingleTxtGR"/>
      </w:pPr>
      <w:r>
        <w:t xml:space="preserve">6. </w:t>
      </w:r>
      <w:r>
        <w:tab/>
        <w:t>Заметны улучшения в состоянии сексуального и репродуктивного здор</w:t>
      </w:r>
      <w:r>
        <w:t>о</w:t>
      </w:r>
      <w:r>
        <w:t>вья женщин; при этом решаются и новые проблемы, такие, как распростран</w:t>
      </w:r>
      <w:r>
        <w:t>е</w:t>
      </w:r>
      <w:r>
        <w:t>ние ВИЧ/СПИДа среди женщин. Уровень материнской смертности на 100 000 живорожденных сократился с 128 случаев в 2005 году до 118 в 2008 (предварительные данные), и хотя эта цифра по-прежнему высока, она с</w:t>
      </w:r>
      <w:r>
        <w:t>о</w:t>
      </w:r>
      <w:r>
        <w:t>ответствует мировым среднестатистическим показателям и свидетельствует о прогрессе в этом вопросе. Однако если рассматривать эти данные в разбивке по регионам, то в 2007 году в городских районах на 100 000 живорожденных пр</w:t>
      </w:r>
      <w:r>
        <w:t>и</w:t>
      </w:r>
      <w:r>
        <w:t>ходилось 103 случая материнской смертности, а в сельских районах − 179 сл</w:t>
      </w:r>
      <w:r>
        <w:t>у</w:t>
      </w:r>
      <w:r>
        <w:t>чаев. Эти показатели улучшаются в зависимости от числа родов в лечебных у</w:t>
      </w:r>
      <w:r>
        <w:t>ч</w:t>
      </w:r>
      <w:r>
        <w:t>реждениях и использования современных методов контрацепции. Заболева</w:t>
      </w:r>
      <w:r>
        <w:t>е</w:t>
      </w:r>
      <w:r>
        <w:t>мость женщин ВИЧ/СПИДом растет тревожными темпами, что побудило Се</w:t>
      </w:r>
      <w:r>
        <w:t>к</w:t>
      </w:r>
      <w:r>
        <w:t>ретариат по делам женщин начать борьбу с этой тенденцией путем усилий по распространению информации, профилактики и с помощью стратегии, осущ</w:t>
      </w:r>
      <w:r>
        <w:t>е</w:t>
      </w:r>
      <w:r>
        <w:t>ствляемой с участием Министерства здравоохранения и общественного благ</w:t>
      </w:r>
      <w:r>
        <w:t>о</w:t>
      </w:r>
      <w:r>
        <w:t>состо</w:t>
      </w:r>
      <w:r>
        <w:t>я</w:t>
      </w:r>
      <w:r>
        <w:t>ния и программами по ВИЧ/СПИДу.</w:t>
      </w:r>
    </w:p>
    <w:p w:rsidR="00000000" w:rsidRDefault="00000000">
      <w:pPr>
        <w:pStyle w:val="SingleTxtGR"/>
      </w:pPr>
      <w:r>
        <w:t xml:space="preserve">7. </w:t>
      </w:r>
      <w:r>
        <w:tab/>
        <w:t>Возросло участие женщин на рынке труда. Согласно результатам пров</w:t>
      </w:r>
      <w:r>
        <w:t>е</w:t>
      </w:r>
      <w:r>
        <w:t>денного в 2008 году обследования домашних хозяйств число работающих же</w:t>
      </w:r>
      <w:r>
        <w:t>н</w:t>
      </w:r>
      <w:r>
        <w:t>щин составило 48,3% по сравнению с 75,9% мужчин. При этом 71,7% женщин работают в обрабатывающей промышленности, и, хотя 52% женщин имеют доступ к страхованию, условия труда не улучшились, и число женщин, занятых в других сферах, увеличилось незначительно при сохранении тех же тенденций и разрыва между женщинами и мужчинами. По-прежнему существуют профе</w:t>
      </w:r>
      <w:r>
        <w:t>с</w:t>
      </w:r>
      <w:r>
        <w:t>сиональные области, в которых женщины не представлены, такие как стро</w:t>
      </w:r>
      <w:r>
        <w:t>и</w:t>
      </w:r>
      <w:r>
        <w:t>тельство и частное страхование.</w:t>
      </w:r>
    </w:p>
    <w:p w:rsidR="00000000" w:rsidRDefault="00000000">
      <w:pPr>
        <w:pStyle w:val="SingleTxtGR"/>
      </w:pPr>
      <w:r>
        <w:t>8. Уровень безработицы сократился, хотя для женщин показатели по-прежнему являются относительно неблагоприятными. Анализ безработицы в разбивке по признаку пола показал, что доля женщин превышает долю мужчин, составляя 7,3% и 4,7% соответственно. От безработицы в наибольшей степени страдают молодые люди (15–24 года) и особенно женщины. 8,9% молодых мужчин и 16,6% молодых женщин находятся в поиске работы. Показатели неполной зан</w:t>
      </w:r>
      <w:r>
        <w:t>я</w:t>
      </w:r>
      <w:r>
        <w:t>тости по-прежнему выше среди женщин: 26,4% по сравнению с 21,7% для му</w:t>
      </w:r>
      <w:r>
        <w:t>ж</w:t>
      </w:r>
      <w:r>
        <w:t>чин. Согласно статистике, чтобы получить работу, в Парагвае женщина должна быть младше 30 лет, а наличие детей и иных лиц на ее попечении является пр</w:t>
      </w:r>
      <w:r>
        <w:t>е</w:t>
      </w:r>
      <w:r>
        <w:t>пятствием для этого. Вопрос об оплачиваемом домашнем труде широко обсу</w:t>
      </w:r>
      <w:r>
        <w:t>ж</w:t>
      </w:r>
      <w:r>
        <w:t>дался в правовых кругах, которые не способны обеспечить реальное равенство. В 2009 года Институт социального обеспечения (ИСО) расширил охват мед</w:t>
      </w:r>
      <w:r>
        <w:t>и</w:t>
      </w:r>
      <w:r>
        <w:t>цинским страхованием работников, занятых в секторе домашнего хозяйства: в период с сентября 2009 (начало проекта) по февраль 2010 года были застрах</w:t>
      </w:r>
      <w:r>
        <w:t>о</w:t>
      </w:r>
      <w:r>
        <w:t>ваны дополнительно 2 500 женщин. Предполагается, что к 2010 году будет з</w:t>
      </w:r>
      <w:r>
        <w:t>а</w:t>
      </w:r>
      <w:r>
        <w:t>страховано в общем сложности 30 000 человек, большинство из которых − женщины. Миграция вызвана в основном поисками работы, и наибольшее чи</w:t>
      </w:r>
      <w:r>
        <w:t>с</w:t>
      </w:r>
      <w:r>
        <w:t>ло мигрантов отмечается в наиболее урбанизированных департаментах.</w:t>
      </w:r>
    </w:p>
    <w:p w:rsidR="00000000" w:rsidRDefault="00000000">
      <w:pPr>
        <w:pStyle w:val="SingleTxtGR"/>
      </w:pPr>
      <w:r>
        <w:t xml:space="preserve">9. </w:t>
      </w:r>
      <w:r>
        <w:tab/>
        <w:t>Последние данные об уровне бедности, обнародованные Генеральным управлением обследований, статистики и переписей населения, показывают, что в 2005 году коэффициент бедности составлял 41,3%, а в 2008 − 37,9%. 50%</w:t>
      </w:r>
      <w:r>
        <w:rPr>
          <w:lang w:val="en-US"/>
        </w:rPr>
        <w:t> </w:t>
      </w:r>
      <w:r>
        <w:t>женщин живут в нищете, из них 19,6% живут в крайней нищете, и в о</w:t>
      </w:r>
      <w:r>
        <w:t>с</w:t>
      </w:r>
      <w:r>
        <w:t xml:space="preserve">новном они являются главами семей, проживают в сельской местности и имеют много детей.  </w:t>
      </w:r>
    </w:p>
    <w:p w:rsidR="00000000" w:rsidRDefault="00000000">
      <w:pPr>
        <w:pStyle w:val="SingleTxtGR"/>
      </w:pPr>
      <w:r>
        <w:t xml:space="preserve">10. </w:t>
      </w:r>
      <w:r>
        <w:tab/>
        <w:t>Участие женщин в общественной жизни увеличивается, в то время как в п</w:t>
      </w:r>
      <w:r>
        <w:t>о</w:t>
      </w:r>
      <w:r>
        <w:t>литической жизни их участие остается минимальным, и все принятые ранее меры не достаточны. 14% мест в парламенте занимают женщины, в то время как в советах департаментов этот уровень не достигает 20%, установленных Избирательным кодексом. Женщины, проживающие во внутренних районах страны и в сельской местности, женщины из числа коренных народов, молодые женщины и женщины из городских районов гораздо лучше организованны и а</w:t>
      </w:r>
      <w:r>
        <w:t>к</w:t>
      </w:r>
      <w:r>
        <w:t>тивнее участвуют в общественной жизни, что позволяет им выдвинуть свою повестку дня.</w:t>
      </w:r>
    </w:p>
    <w:p w:rsidR="00000000" w:rsidRDefault="00000000">
      <w:pPr>
        <w:pStyle w:val="SingleTxtGR"/>
      </w:pPr>
      <w:r>
        <w:t xml:space="preserve">11. </w:t>
      </w:r>
      <w:r>
        <w:tab/>
        <w:t>Следует отметить, что за отчетный период в политической истории Пар</w:t>
      </w:r>
      <w:r>
        <w:t>а</w:t>
      </w:r>
      <w:r>
        <w:t>гвая произошло важное событие: в результате последних выборов 2008 года традиционная правящая партия потеряла власть, что укрепило демократический процесс перехода власти. Эта ситуация облегчила формирование правового подхода и преодоление сложившихся парадигм в работе учреждений и социал</w:t>
      </w:r>
      <w:r>
        <w:t>ь</w:t>
      </w:r>
      <w:r>
        <w:t>ных движений. В настоящем докладе речь идет о предыдущем периоде правл</w:t>
      </w:r>
      <w:r>
        <w:t>е</w:t>
      </w:r>
      <w:r>
        <w:t>ния и касается событий 2005−2008 годов, а также нынешнего периода правл</w:t>
      </w:r>
      <w:r>
        <w:t>е</w:t>
      </w:r>
      <w:r>
        <w:t>ния, начиная с 15 августа 2008 года.</w:t>
      </w:r>
    </w:p>
    <w:p w:rsidR="00000000" w:rsidRDefault="00000000">
      <w:pPr>
        <w:pStyle w:val="HChGR"/>
      </w:pPr>
      <w:r>
        <w:tab/>
        <w:t>II.</w:t>
      </w:r>
      <w:r>
        <w:tab/>
        <w:t>Выполнение заключительных замечаний Комитета 2005 года</w:t>
      </w:r>
    </w:p>
    <w:p w:rsidR="00000000" w:rsidRDefault="00000000">
      <w:pPr>
        <w:pStyle w:val="H1GR"/>
      </w:pPr>
      <w:r>
        <w:rPr>
          <w:i/>
        </w:rPr>
        <w:tab/>
      </w:r>
      <w:r>
        <w:t>A.</w:t>
      </w:r>
      <w:r>
        <w:rPr>
          <w:i/>
        </w:rPr>
        <w:tab/>
      </w:r>
      <w:r>
        <w:t>Пункт 17 заключительных замечаний</w:t>
      </w:r>
    </w:p>
    <w:p w:rsidR="00000000" w:rsidRDefault="00000000">
      <w:pPr>
        <w:pStyle w:val="H23GR"/>
      </w:pPr>
      <w:r>
        <w:rPr>
          <w:i/>
        </w:rPr>
        <w:tab/>
      </w:r>
      <w:r>
        <w:t>1.</w:t>
      </w:r>
      <w:r>
        <w:rPr>
          <w:i/>
        </w:rPr>
        <w:tab/>
      </w:r>
      <w:r>
        <w:t>Принятые меры</w:t>
      </w:r>
    </w:p>
    <w:p w:rsidR="00000000" w:rsidRDefault="00000000">
      <w:pPr>
        <w:pStyle w:val="SingleTxtGR"/>
      </w:pPr>
      <w:r>
        <w:t>12.</w:t>
      </w:r>
      <w:r>
        <w:tab/>
        <w:t>Непосредственной мерой, принятой во исполнение заключительных з</w:t>
      </w:r>
      <w:r>
        <w:t>а</w:t>
      </w:r>
      <w:r>
        <w:t>мечаний Комитета по ликвидации дискриминации в отношении женщин стало широкое распространение через средства массовой информации сообщения о том, что, после девяти лет и трех ожидающих представления докладов, Пар</w:t>
      </w:r>
      <w:r>
        <w:t>а</w:t>
      </w:r>
      <w:r>
        <w:t>гвай вновь предстал перед Комитетом в январе 2005 года и что в ходе констру</w:t>
      </w:r>
      <w:r>
        <w:t>к</w:t>
      </w:r>
      <w:r>
        <w:t>тивного диалога Комитет выделил позитивные аспекты, выразил озабоченности и высказал замечания и рекомендации Парагваю в целях полного осуществл</w:t>
      </w:r>
      <w:r>
        <w:t>е</w:t>
      </w:r>
      <w:r>
        <w:t>ния Конвенции.</w:t>
      </w:r>
    </w:p>
    <w:p w:rsidR="00000000" w:rsidRDefault="00000000">
      <w:pPr>
        <w:pStyle w:val="SingleTxtGR"/>
      </w:pPr>
      <w:r>
        <w:t xml:space="preserve">13. </w:t>
      </w:r>
      <w:r>
        <w:tab/>
        <w:t>В том же году были проведены обсуждения с государственными учре</w:t>
      </w:r>
      <w:r>
        <w:t>ж</w:t>
      </w:r>
      <w:r>
        <w:t>дениями в целях уделения более пристального внимания второму Национал</w:t>
      </w:r>
      <w:r>
        <w:t>ь</w:t>
      </w:r>
      <w:r>
        <w:t>ному плану действий по обеспечению равных возможностей женщин и мужчин на 2003−2008 годы (ПРВ II) и активизации осуществления Конвенции о ликв</w:t>
      </w:r>
      <w:r>
        <w:t>и</w:t>
      </w:r>
      <w:r>
        <w:t>дации всех форм дискриминации в отношении женщин, Пекинской платформы действий, Целей в области развития, сформулированных в Декларации тысяч</w:t>
      </w:r>
      <w:r>
        <w:t>е</w:t>
      </w:r>
      <w:r>
        <w:t>летия (ЦРДТ) и других платформ международной программы обеспечения ге</w:t>
      </w:r>
      <w:r>
        <w:t>н</w:t>
      </w:r>
      <w:r>
        <w:t>дерного равенства. Конвенция и Факультативный протокол к ней, заключител</w:t>
      </w:r>
      <w:r>
        <w:t>ь</w:t>
      </w:r>
      <w:r>
        <w:t>ные замечания Комитета, Пекинская платформа и Каирская программа дейс</w:t>
      </w:r>
      <w:r>
        <w:t>т</w:t>
      </w:r>
      <w:r>
        <w:t>вий и Соглашения стран Латинской Америки и Карибского бассейна и Экон</w:t>
      </w:r>
      <w:r>
        <w:t>о</w:t>
      </w:r>
      <w:r>
        <w:t>мической комиссии для Латинской Америки и Карибского региона (ЭКЛАК) были направлены во все государственные учреждения, включая все постоянные ко</w:t>
      </w:r>
      <w:r>
        <w:t>н</w:t>
      </w:r>
      <w:r>
        <w:t>сультативные комиссии Конгресса, а также всем женским, феминистским и правозащитным организациям.</w:t>
      </w:r>
    </w:p>
    <w:p w:rsidR="00000000" w:rsidRDefault="00000000">
      <w:pPr>
        <w:pStyle w:val="SingleTxtGR"/>
      </w:pPr>
      <w:r>
        <w:t xml:space="preserve">14. </w:t>
      </w:r>
      <w:r>
        <w:tab/>
        <w:t>Был сформирован Межведомственный совет по осуществлению Конве</w:t>
      </w:r>
      <w:r>
        <w:t>н</w:t>
      </w:r>
      <w:r>
        <w:t>ции (Совет КЛДЖ) с участием государственных учреждений, представляющих все три ветви государственной власти. Основные организации гражданского общества, занимающиеся вопросами прав женщин (отделение КЛАДЕМ в П</w:t>
      </w:r>
      <w:r>
        <w:t>а</w:t>
      </w:r>
      <w:r>
        <w:t>рагвае и Организация женщин Парагвая (ОЖП)) и правами человека (Коорд</w:t>
      </w:r>
      <w:r>
        <w:t>и</w:t>
      </w:r>
      <w:r>
        <w:t>натор по правам человека в Парагвае (КОПРАЧЕП)) были приглашены для уч</w:t>
      </w:r>
      <w:r>
        <w:t>а</w:t>
      </w:r>
      <w:r>
        <w:t>стия в Совете КЛДЖ. Эти организации приняли решение не вступать в Совет, объяснив это тем, что функции по осуществлению Конвенции лежат на гос</w:t>
      </w:r>
      <w:r>
        <w:t>у</w:t>
      </w:r>
      <w:r>
        <w:t>дарстве, а организации гражданского общества играют роль независимых н</w:t>
      </w:r>
      <w:r>
        <w:t>а</w:t>
      </w:r>
      <w:r>
        <w:t xml:space="preserve">блюдателей. </w:t>
      </w:r>
    </w:p>
    <w:p w:rsidR="00000000" w:rsidRDefault="00000000">
      <w:pPr>
        <w:pStyle w:val="SingleTxtGR"/>
      </w:pPr>
      <w:r>
        <w:t xml:space="preserve">15. </w:t>
      </w:r>
      <w:r>
        <w:tab/>
        <w:t>Первый параллельный доклад (2005 года), подготовленный организаци</w:t>
      </w:r>
      <w:r>
        <w:t>я</w:t>
      </w:r>
      <w:r>
        <w:t>ми гражданского общества и согласованный с отделением КЛАДЕМ в Пар</w:t>
      </w:r>
      <w:r>
        <w:t>а</w:t>
      </w:r>
      <w:r>
        <w:t>гвае, был представлен Секретариату по делам женщин при Президенте Республики для обмена мнениями о Конвенции. Секретариат по делам женщин при През</w:t>
      </w:r>
      <w:r>
        <w:t>и</w:t>
      </w:r>
      <w:r>
        <w:t>денте Республики и представители механизмов по обеспечению гендерного р</w:t>
      </w:r>
      <w:r>
        <w:t>а</w:t>
      </w:r>
      <w:r>
        <w:t>венства приняли участие в совещаниях феминисток, организованных гражда</w:t>
      </w:r>
      <w:r>
        <w:t>н</w:t>
      </w:r>
      <w:r>
        <w:t>ским обществом. На IV Ассамблея феминисток, которая прошла в 2009 году в городе Сан Бернардино, департамент Кордильера, были созданы все условия для обмена информацией о деятельности, осуществленной государством и гр</w:t>
      </w:r>
      <w:r>
        <w:t>а</w:t>
      </w:r>
      <w:r>
        <w:t>жданским обществом в течение тридцати лет существования Конве</w:t>
      </w:r>
      <w:r>
        <w:t>н</w:t>
      </w:r>
      <w:r>
        <w:t>ции, и была поддержана официальная кандидатура нашей соотечественницы − Лине Баре</w:t>
      </w:r>
      <w:r>
        <w:t>й</w:t>
      </w:r>
      <w:r>
        <w:t xml:space="preserve">ро − на пост члена комитета экспертов. </w:t>
      </w:r>
    </w:p>
    <w:p w:rsidR="00000000" w:rsidRDefault="00000000">
      <w:pPr>
        <w:pStyle w:val="SingleTxtGR"/>
      </w:pPr>
      <w:r>
        <w:t xml:space="preserve">16. </w:t>
      </w:r>
      <w:r>
        <w:tab/>
        <w:t>В начале 2008 года были проведены совещания для оценки ПРВ II, а в с</w:t>
      </w:r>
      <w:r>
        <w:t>е</w:t>
      </w:r>
      <w:r>
        <w:t>редине года было объявлено о принятии третьего Национального плана дейс</w:t>
      </w:r>
      <w:r>
        <w:t>т</w:t>
      </w:r>
      <w:r>
        <w:t>вий по обеспечению равных возможностей женщин и мужчин на 2008−2017 г</w:t>
      </w:r>
      <w:r>
        <w:t>о</w:t>
      </w:r>
      <w:r>
        <w:t>ды. В августе 2008 года Министр Глория Рубин, глава Секретариата по делам женщин при президенте Республики и известная активистка женского движ</w:t>
      </w:r>
      <w:r>
        <w:t>е</w:t>
      </w:r>
      <w:r>
        <w:t>ния, поручила своим техническим советникам провести оценку докладов ко</w:t>
      </w:r>
      <w:r>
        <w:t>н</w:t>
      </w:r>
      <w:r>
        <w:t>сультативных органов, процесса реализации ПРВ II и юридической базы для определения основных стратегических направлений и приоритетов управленч</w:t>
      </w:r>
      <w:r>
        <w:t>е</w:t>
      </w:r>
      <w:r>
        <w:t>ской деятельности в целях институционального укрепления и усиления пр</w:t>
      </w:r>
      <w:r>
        <w:t>о</w:t>
      </w:r>
      <w:r>
        <w:t>граммы обесп</w:t>
      </w:r>
      <w:r>
        <w:t>е</w:t>
      </w:r>
      <w:r>
        <w:t>чения гендерного равенства в Республике Парагвай. Приоритеты в сфере управления направлены решение следующих задач: наделить Секрет</w:t>
      </w:r>
      <w:r>
        <w:t>а</w:t>
      </w:r>
      <w:r>
        <w:t>риат полномочиями основного нормотворческого учреждения в рамках госуда</w:t>
      </w:r>
      <w:r>
        <w:t>р</w:t>
      </w:r>
      <w:r>
        <w:t>ственных директивных органов, принимать решения на самом высоком уровне для продвижения идеи гендерного равенства, уделять пристальное внимание случаям насилия в отношении женщин, Упорядочить принципы, закрепленные в Национальной конституции, посредством разработки закона о равных во</w:t>
      </w:r>
      <w:r>
        <w:t>з</w:t>
      </w:r>
      <w:r>
        <w:t>можностях и комплексного закона против насилия в отношении женщин, пр</w:t>
      </w:r>
      <w:r>
        <w:t>и</w:t>
      </w:r>
      <w:r>
        <w:t>менять деце</w:t>
      </w:r>
      <w:r>
        <w:t>н</w:t>
      </w:r>
      <w:r>
        <w:t>трализованный подход к решению гендерных вопросов путем улучшения координации между государственными органами и создать мех</w:t>
      </w:r>
      <w:r>
        <w:t>а</w:t>
      </w:r>
      <w:r>
        <w:t>низмы, обеспеч</w:t>
      </w:r>
      <w:r>
        <w:t>и</w:t>
      </w:r>
      <w:r>
        <w:t>вающие участие женщин и гражданского общества.</w:t>
      </w:r>
    </w:p>
    <w:p w:rsidR="00000000" w:rsidRDefault="00000000">
      <w:pPr>
        <w:pStyle w:val="H23GR"/>
      </w:pPr>
      <w:r>
        <w:tab/>
        <w:t>2.</w:t>
      </w:r>
      <w:r>
        <w:tab/>
        <w:t>Достигнутые результаты</w:t>
      </w:r>
    </w:p>
    <w:p w:rsidR="00000000" w:rsidRDefault="00000000">
      <w:pPr>
        <w:pStyle w:val="SingleTxtGR"/>
      </w:pPr>
      <w:r>
        <w:t xml:space="preserve">17. </w:t>
      </w:r>
      <w:r>
        <w:tab/>
        <w:t>Повышена информированность о положениях Конвенции среди госуда</w:t>
      </w:r>
      <w:r>
        <w:t>р</w:t>
      </w:r>
      <w:r>
        <w:t>ственных служащих национальных органов и власти; сформулировано предл</w:t>
      </w:r>
      <w:r>
        <w:t>о</w:t>
      </w:r>
      <w:r>
        <w:t>жение относительно общего оперативного плана, основанного на заключител</w:t>
      </w:r>
      <w:r>
        <w:t>ь</w:t>
      </w:r>
      <w:r>
        <w:t>ных замечаниях Комитета, и организовано проведение тематических круглых столов по следующим темам: "Ответственное отцовство", "Предотвращение м</w:t>
      </w:r>
      <w:r>
        <w:t>а</w:t>
      </w:r>
      <w:r>
        <w:t>теринской смертности", "Феминизация ВИЧ/СПИДа и других ЗППП" и "З</w:t>
      </w:r>
      <w:r>
        <w:t>а</w:t>
      </w:r>
      <w:r>
        <w:t>щита прав коренных женщин". Разработан и реализован проект "Поощрение и стр</w:t>
      </w:r>
      <w:r>
        <w:t>а</w:t>
      </w:r>
      <w:r>
        <w:t>тегическая подготовка кадров по положениям КЛДЖ" при поддержке Фонда Организации Объединенных Наций для развития в интересах женщин (ЮНИФЕМ).</w:t>
      </w:r>
    </w:p>
    <w:p w:rsidR="00000000" w:rsidRDefault="00000000">
      <w:pPr>
        <w:pStyle w:val="SingleTxtGR"/>
      </w:pPr>
      <w:r>
        <w:t xml:space="preserve">18. </w:t>
      </w:r>
      <w:r>
        <w:tab/>
        <w:t>Начиная с 2009 года, текст Конвенции доступен на языке гуарани и в си</w:t>
      </w:r>
      <w:r>
        <w:t>с</w:t>
      </w:r>
      <w:r>
        <w:t>теме Брайля. Реализации ожидают планы по публикации и последующему ра</w:t>
      </w:r>
      <w:r>
        <w:t>с</w:t>
      </w:r>
      <w:r>
        <w:t>пространению этих текстов.</w:t>
      </w:r>
    </w:p>
    <w:p w:rsidR="00000000" w:rsidRDefault="00000000">
      <w:pPr>
        <w:pStyle w:val="H1GR"/>
      </w:pPr>
      <w:r>
        <w:tab/>
        <w:t xml:space="preserve">В. </w:t>
      </w:r>
      <w:r>
        <w:tab/>
        <w:t>Пункт 18</w:t>
      </w:r>
    </w:p>
    <w:p w:rsidR="00000000" w:rsidRDefault="00000000">
      <w:pPr>
        <w:pStyle w:val="H23GR"/>
      </w:pPr>
      <w:r>
        <w:tab/>
        <w:t xml:space="preserve">1. </w:t>
      </w:r>
      <w:r>
        <w:tab/>
        <w:t>Принятые меры</w:t>
      </w:r>
    </w:p>
    <w:p w:rsidR="00000000" w:rsidRDefault="00000000">
      <w:pPr>
        <w:pStyle w:val="SingleTxtGR"/>
      </w:pPr>
      <w:r>
        <w:t xml:space="preserve">19. </w:t>
      </w:r>
      <w:r>
        <w:tab/>
      </w:r>
      <w:r>
        <w:rPr>
          <w:b/>
          <w:bCs/>
        </w:rPr>
        <w:t>Политическая и общественная жизнь:</w:t>
      </w:r>
      <w:r>
        <w:t xml:space="preserve"> В Парагвае основными препя</w:t>
      </w:r>
      <w:r>
        <w:t>т</w:t>
      </w:r>
      <w:r>
        <w:t>ствиями для получения доступа женщин к государственным постам являются культурные факторы и Избирательный кодекс, который устанавливает низкую квоту на представительство женщин и не предполагает какого-либо контроля в случаях невыполнения этого требования. В связи с этим, понимая, что роль Программы обеспечения гендерного равенства будет усиливаться по мере того, как права  и возможности женщин будут расширяться, как и их доступ к власти, Управление народного защитника и несколько женских объединений предст</w:t>
      </w:r>
      <w:r>
        <w:t>а</w:t>
      </w:r>
      <w:r>
        <w:t>вили в 2005 году предложения по внесению изменений в Избирательный к</w:t>
      </w:r>
      <w:r>
        <w:t>о</w:t>
      </w:r>
      <w:r>
        <w:t>декс. Переговоры для достижения консенсуса между женскими объединениями и парламентским лобби продолжались несколько лет, и согласованное предл</w:t>
      </w:r>
      <w:r>
        <w:t>о</w:t>
      </w:r>
      <w:r>
        <w:t>жение, направленное на увеличение квоты на представительство женщин и равное участие мужчин и женщин при составлении изначальных списков пол</w:t>
      </w:r>
      <w:r>
        <w:t>и</w:t>
      </w:r>
      <w:r>
        <w:t xml:space="preserve">тических партий, был представлен на Пленарном заседании Национального конгресса, но не было принято при разнице в два голоса. Это стало наглядным примером отсутствия в Парагвае необходимой культуры и политической воли для повышения низкого уровня представленности женщин в общественной и властной сферах. </w:t>
      </w:r>
    </w:p>
    <w:p w:rsidR="00000000" w:rsidRDefault="00000000">
      <w:pPr>
        <w:pStyle w:val="SingleTxtGR"/>
      </w:pPr>
      <w:r>
        <w:t xml:space="preserve">20. </w:t>
      </w:r>
      <w:r>
        <w:tab/>
        <w:t>С созданием в 2005 году Центра женского лидерства было подготовлено более 1 000 женщин-политиков и создано пространство для диалога с наци</w:t>
      </w:r>
      <w:r>
        <w:t>о</w:t>
      </w:r>
      <w:r>
        <w:t>нальными и международными органами. Эта инициатива Секретариата по д</w:t>
      </w:r>
      <w:r>
        <w:t>е</w:t>
      </w:r>
      <w:r>
        <w:t>лам женщин, начиная со второго года своего существования, получила по</w:t>
      </w:r>
      <w:r>
        <w:t>д</w:t>
      </w:r>
      <w:r>
        <w:t>держку ЮНИФЕМ и парагвайского Суда по делам о нарушениях хода выборов и была оценена как успешная благодаря своему открытому, плюралистическому и бе</w:t>
      </w:r>
      <w:r>
        <w:t>з</w:t>
      </w:r>
      <w:r>
        <w:t>возмездному характеру.</w:t>
      </w:r>
    </w:p>
    <w:p w:rsidR="00000000" w:rsidRDefault="00000000">
      <w:pPr>
        <w:pStyle w:val="SingleTxtGR"/>
      </w:pPr>
      <w:r>
        <w:t xml:space="preserve">21. </w:t>
      </w:r>
      <w:r>
        <w:tab/>
        <w:t>Оценка ПРВ II (2008 год) показала, что сфера политического и социал</w:t>
      </w:r>
      <w:r>
        <w:t>ь</w:t>
      </w:r>
      <w:r>
        <w:t>ного участия с начала реализации этого плана является одной из самых нера</w:t>
      </w:r>
      <w:r>
        <w:t>з</w:t>
      </w:r>
      <w:r>
        <w:t>работанных тем; поэтому в марте 2009 года Секретариат по делам женщин по</w:t>
      </w:r>
      <w:r>
        <w:t>д</w:t>
      </w:r>
      <w:r>
        <w:t>писал меморандум о взаимопонимании с ЮНИФЕМ и ПРООН для реализации совместной программы "Политическое участие для обеспечения гендерного р</w:t>
      </w:r>
      <w:r>
        <w:t>а</w:t>
      </w:r>
      <w:r>
        <w:t>венства", с целью объединить усилия для сбора данных и проведения анализа избирательной системы в Республике Парагвай, эффекта позитивных действий и препятствий для участия женщин в политической жизни, а также укрепить потенциал политических и общественных деятелей. План работы на 2010 год включает разработку аналитических и диагностических моделей политического представительства, подготовку женщин, избранных на внутрипартийных выб</w:t>
      </w:r>
      <w:r>
        <w:t>о</w:t>
      </w:r>
      <w:r>
        <w:t>рах, организацию открытых обсуждений и диалога с механизмами политич</w:t>
      </w:r>
      <w:r>
        <w:t>е</w:t>
      </w:r>
      <w:r>
        <w:t>ских партий, занимающимися гендерными вопросами</w:t>
      </w:r>
      <w:bookmarkStart w:id="0" w:name="tw4winFrom"/>
      <w:bookmarkEnd w:id="0"/>
      <w:r>
        <w:t>.</w:t>
      </w:r>
    </w:p>
    <w:p w:rsidR="00000000" w:rsidRDefault="00000000">
      <w:pPr>
        <w:pStyle w:val="SingleTxtGR"/>
      </w:pPr>
      <w:r>
        <w:t xml:space="preserve">22. </w:t>
      </w:r>
      <w:r>
        <w:tab/>
      </w:r>
      <w:r>
        <w:rPr>
          <w:b/>
          <w:bCs/>
        </w:rPr>
        <w:t xml:space="preserve">Ликвидация неграмотности: </w:t>
      </w:r>
      <w:r>
        <w:t>В ответ на заключительные замечания данного Комитета, Комитета по правам человека и в контексте компонента П</w:t>
      </w:r>
      <w:r>
        <w:t>е</w:t>
      </w:r>
      <w:r>
        <w:t>кинской платформы действий "Образование и профессиональная подготовка женщин" Министерство образования и культуры реализовало программы и проекты по ликвидации неграмотности и по базовому образованию, направле</w:t>
      </w:r>
      <w:r>
        <w:t>н</w:t>
      </w:r>
      <w:r>
        <w:t>ные на обеспечение общинного развития, производства и профессионально-технического образования посредством: а) курсов ликвидации неграмотности на гуарани и испанском языке с изучением вопросов гендерного равенства и репродуктивного здоровья (МОК/Парагвайско-американская торговая пал</w:t>
      </w:r>
      <w:r>
        <w:t>а</w:t>
      </w:r>
      <w:r>
        <w:t>та/Итальянское сотрудничес</w:t>
      </w:r>
      <w:r>
        <w:t>т</w:t>
      </w:r>
      <w:r>
        <w:t>во), которые ориентированы на женщин и мужчин в департаментах, где пров</w:t>
      </w:r>
      <w:r>
        <w:t>о</w:t>
      </w:r>
      <w:r>
        <w:t>дится эта программа. В период 2004−2008 годов программы были реализованы в следующих департаментах: Итапуа, Каагуазу, Сан-Педро, Гуайра, Парагуари, Каазапа, Консепсьон, Амамбай и Каниндию (девяти из 17 департаментов стр</w:t>
      </w:r>
      <w:r>
        <w:t>а</w:t>
      </w:r>
      <w:r>
        <w:t>ны); b) программы Альфа ПРОДЕПА Препара, которая осуществляется с использованием образовательных возможностей в центрах постоянного образов</w:t>
      </w:r>
      <w:r>
        <w:t>а</w:t>
      </w:r>
      <w:r>
        <w:t>ния, государственных учреждениях, церквях, объединениях и ассоциациях в каждом из 17 департаментов страны; с) пр</w:t>
      </w:r>
      <w:r>
        <w:t>о</w:t>
      </w:r>
      <w:r>
        <w:t>граммы Телекласс аудиовизуальной программы ликвидации неграмотности в департаментах Каазапа, Консепсьон, Сан-Педро, Альто-Парана, Амамбай, Се</w:t>
      </w:r>
      <w:r>
        <w:t>н</w:t>
      </w:r>
      <w:r>
        <w:t>траль, Альто-Парагвай (в период с 2004 по 2007 год в семи департаментах страны); d) программы дистанционного начального и среднего образования для молодых людей и взрослых – ПРОДЕПА (МОК/</w:t>
      </w:r>
      <w:proofErr w:type="spellStart"/>
      <w:r>
        <w:t>ИАМС</w:t>
      </w:r>
      <w:proofErr w:type="spellEnd"/>
      <w:r>
        <w:t>), официальная програ</w:t>
      </w:r>
      <w:r>
        <w:t>м</w:t>
      </w:r>
      <w:r>
        <w:t>ма, реализованная в образовательных центрах для взрослых во всех 17 депа</w:t>
      </w:r>
      <w:r>
        <w:t>р</w:t>
      </w:r>
      <w:r>
        <w:t>таментах страны. Все эти программы проводятся на гуарани и на испанском языке.</w:t>
      </w:r>
    </w:p>
    <w:p w:rsidR="00000000" w:rsidRDefault="00000000">
      <w:pPr>
        <w:pStyle w:val="SingleTxtGR"/>
        <w:rPr>
          <w:bCs/>
        </w:rPr>
      </w:pPr>
      <w:bookmarkStart w:id="1" w:name="tw4winUpto"/>
      <w:bookmarkEnd w:id="1"/>
      <w:r>
        <w:t>23.</w:t>
      </w:r>
      <w:r>
        <w:rPr>
          <w:b/>
        </w:rPr>
        <w:t xml:space="preserve"> </w:t>
      </w:r>
      <w:r>
        <w:rPr>
          <w:b/>
        </w:rPr>
        <w:tab/>
        <w:t xml:space="preserve">Отсев из школ: </w:t>
      </w:r>
      <w:r>
        <w:rPr>
          <w:bCs/>
        </w:rPr>
        <w:t>За отчетный период</w:t>
      </w:r>
      <w:r>
        <w:rPr>
          <w:b/>
        </w:rPr>
        <w:t xml:space="preserve"> </w:t>
      </w:r>
      <w:r>
        <w:rPr>
          <w:bCs/>
        </w:rPr>
        <w:t>Министерство образования и кул</w:t>
      </w:r>
      <w:r>
        <w:rPr>
          <w:bCs/>
        </w:rPr>
        <w:t>ь</w:t>
      </w:r>
      <w:r>
        <w:rPr>
          <w:bCs/>
        </w:rPr>
        <w:t>туры расширило свое присутствие по всей стране (увеличив число школ и пр</w:t>
      </w:r>
      <w:r>
        <w:rPr>
          <w:bCs/>
        </w:rPr>
        <w:t>е</w:t>
      </w:r>
      <w:r>
        <w:rPr>
          <w:bCs/>
        </w:rPr>
        <w:t>подавателей). Показатели отсева из школ по-прежнему высоки. Школу бросают 5,4% учащихся третьего цикла базового образования классов бросают школу (наивысшие показатели отмечаются в сельских районах и государственных школах). С 2004 по 2009 год проводилась Программа технической и финанс</w:t>
      </w:r>
      <w:r>
        <w:rPr>
          <w:bCs/>
        </w:rPr>
        <w:t>о</w:t>
      </w:r>
      <w:r>
        <w:rPr>
          <w:bCs/>
        </w:rPr>
        <w:t>вой поддержки молодых людей с ограниченными средствами из внутренних районов страны (Корпус мира</w:t>
      </w:r>
      <w:r>
        <w:t>/Союз молодых специалистов и предпринимат</w:t>
      </w:r>
      <w:r>
        <w:t>е</w:t>
      </w:r>
      <w:r>
        <w:t>лей/Секретариат по делам женщин при Президенте Республики). Эта програ</w:t>
      </w:r>
      <w:r>
        <w:t>м</w:t>
      </w:r>
      <w:r>
        <w:t>ма способствовала тому, что более 160 подростков продолжили свое образов</w:t>
      </w:r>
      <w:r>
        <w:t>а</w:t>
      </w:r>
      <w:r>
        <w:t>ние, а также придала новый импульс общинной деятельности и развитию мол</w:t>
      </w:r>
      <w:r>
        <w:t>о</w:t>
      </w:r>
      <w:r>
        <w:t>дежного лидерства. Секретариат по делам женщин при Президенте Республики представил предложение о техническом сотрудничестве с Корпусом мира для реализации программы в интересах молодых женщин из малообеспеченных с</w:t>
      </w:r>
      <w:r>
        <w:t>е</w:t>
      </w:r>
      <w:r>
        <w:t>мей, которые прекратили обучение по причине беременности.</w:t>
      </w:r>
    </w:p>
    <w:p w:rsidR="00000000" w:rsidRDefault="00000000">
      <w:pPr>
        <w:pStyle w:val="H23GR"/>
      </w:pPr>
      <w:r>
        <w:tab/>
        <w:t>2.</w:t>
      </w:r>
      <w:r>
        <w:tab/>
        <w:t>Достигнутые результаты</w:t>
      </w:r>
    </w:p>
    <w:p w:rsidR="00000000" w:rsidRDefault="00000000">
      <w:pPr>
        <w:pStyle w:val="SingleTxtGR"/>
      </w:pPr>
      <w:r>
        <w:t>24.</w:t>
      </w:r>
      <w:r>
        <w:rPr>
          <w:b/>
        </w:rPr>
        <w:t xml:space="preserve"> </w:t>
      </w:r>
      <w:r>
        <w:rPr>
          <w:b/>
        </w:rPr>
        <w:tab/>
        <w:t>Политическая и общественная жизнь:</w:t>
      </w:r>
      <w:r>
        <w:t xml:space="preserve"> Политический диалог с женщ</w:t>
      </w:r>
      <w:r>
        <w:t>и</w:t>
      </w:r>
      <w:r>
        <w:t>нами-политиками, неправительственными организациями (НПО) и председат</w:t>
      </w:r>
      <w:r>
        <w:t>е</w:t>
      </w:r>
      <w:r>
        <w:t>лями политических партий; увеличение квоты на представительство женщин в политических партиях сверх квоты, установленной Избирательным кодексом, примером чему могут служить партия "Солидарная страна", которая установ</w:t>
      </w:r>
      <w:r>
        <w:t>и</w:t>
      </w:r>
      <w:r>
        <w:t>ла квоту в 50% на представительство женщин, партия НСЭГ, которая установила 50-процентную квоту в дополнение к специальным правилам, касающимся и</w:t>
      </w:r>
      <w:r>
        <w:t>н</w:t>
      </w:r>
      <w:r>
        <w:t>терпретации этой квоты; партия НРА (Партия Колорадо), которая установила квоту в 33,3% на представительство женщин; реализация ряда проектов совм</w:t>
      </w:r>
      <w:r>
        <w:t>е</w:t>
      </w:r>
      <w:r>
        <w:t>стно с Судом по делам о нарушениях хода выборов и недавнее создание Упра</w:t>
      </w:r>
      <w:r>
        <w:t>в</w:t>
      </w:r>
      <w:r>
        <w:t>ления по гендерным вопросам в рамках его структуры. Несмотря на установл</w:t>
      </w:r>
      <w:r>
        <w:t>е</w:t>
      </w:r>
      <w:r>
        <w:t>ние процентных показателей представительства женщин, на практике они не выполняются и не приводят к увеличению числа избираемых женщин.</w:t>
      </w:r>
    </w:p>
    <w:p w:rsidR="00000000" w:rsidRDefault="00000000">
      <w:pPr>
        <w:pStyle w:val="SingleTxtGR"/>
        <w:rPr>
          <w:bCs/>
        </w:rPr>
      </w:pPr>
      <w:r>
        <w:t>25.</w:t>
      </w:r>
      <w:r>
        <w:rPr>
          <w:b/>
        </w:rPr>
        <w:t xml:space="preserve"> </w:t>
      </w:r>
      <w:r>
        <w:rPr>
          <w:b/>
        </w:rPr>
        <w:tab/>
        <w:t>Ликвидация неграмотности:</w:t>
      </w:r>
      <w:r>
        <w:rPr>
          <w:bCs/>
        </w:rPr>
        <w:t xml:space="preserve"> показатель неграмотности, согласно оф</w:t>
      </w:r>
      <w:r>
        <w:rPr>
          <w:bCs/>
        </w:rPr>
        <w:t>и</w:t>
      </w:r>
      <w:r>
        <w:rPr>
          <w:bCs/>
        </w:rPr>
        <w:t>циальным отчетам за 2005 год, составляет 8,2%, являясь более высоким для женщин из сельских районов, из числа коренных народов и крестьян – 9,9%, чем  для мужчин (6,4%). Чистый показатель охвата школьным обучением в ра</w:t>
      </w:r>
      <w:r>
        <w:rPr>
          <w:bCs/>
        </w:rPr>
        <w:t>з</w:t>
      </w:r>
      <w:r>
        <w:rPr>
          <w:bCs/>
        </w:rPr>
        <w:t>бивке по полу выше для женщин на всех образовательных уровнях, особенно на уровне средней школы, где показатель охвата девочек школьным образованием более чем на 5 процентов выше аналогичного показателя для мальчиков (43,3% для девочек и 38,1% для мальчиков). В административном докладе правител</w:t>
      </w:r>
      <w:r>
        <w:rPr>
          <w:bCs/>
        </w:rPr>
        <w:t>ь</w:t>
      </w:r>
      <w:r>
        <w:rPr>
          <w:bCs/>
        </w:rPr>
        <w:t>ства за 2009 год указывается, что курсы ликвидации неграмотности прошли 2 400 человек из поселений и общин коренных народов, находящихся в пригр</w:t>
      </w:r>
      <w:r>
        <w:rPr>
          <w:bCs/>
        </w:rPr>
        <w:t>а</w:t>
      </w:r>
      <w:r>
        <w:rPr>
          <w:bCs/>
        </w:rPr>
        <w:t>ничных областях и в регионе Чако; 38 562 человека зачислены в начальную школу; 12 209 молодых людей и взрослых смогли получить полное среднее о</w:t>
      </w:r>
      <w:r>
        <w:rPr>
          <w:bCs/>
        </w:rPr>
        <w:t>б</w:t>
      </w:r>
      <w:r>
        <w:rPr>
          <w:bCs/>
        </w:rPr>
        <w:t>разование.</w:t>
      </w:r>
    </w:p>
    <w:p w:rsidR="00000000" w:rsidRDefault="00000000">
      <w:pPr>
        <w:pStyle w:val="SingleTxtGR"/>
        <w:rPr>
          <w:bCs/>
        </w:rPr>
      </w:pPr>
      <w:r>
        <w:t>26.</w:t>
      </w:r>
      <w:r>
        <w:rPr>
          <w:b/>
        </w:rPr>
        <w:t xml:space="preserve"> </w:t>
      </w:r>
      <w:r>
        <w:rPr>
          <w:b/>
        </w:rPr>
        <w:tab/>
        <w:t xml:space="preserve">Отсев из школ: </w:t>
      </w:r>
      <w:r>
        <w:rPr>
          <w:bCs/>
        </w:rPr>
        <w:t>в 2007 году абсолютный показатель доступности образ</w:t>
      </w:r>
      <w:r>
        <w:rPr>
          <w:bCs/>
        </w:rPr>
        <w:t>о</w:t>
      </w:r>
      <w:r>
        <w:rPr>
          <w:bCs/>
        </w:rPr>
        <w:t>вания для всех возрастных групп, которые начинают обучение в первом классе в первый раз, составил 100,2%. Эта цифра показывает, что образовательная си</w:t>
      </w:r>
      <w:r>
        <w:rPr>
          <w:bCs/>
        </w:rPr>
        <w:t>с</w:t>
      </w:r>
      <w:r>
        <w:rPr>
          <w:bCs/>
        </w:rPr>
        <w:t>тема способна удовлетворить реальные потребности детей, которые достигли официального возраста начала обучения (6 лет). 91% населения в возрасте от 6 до 14 лет, возраст для получения обязательного начального образования, п</w:t>
      </w:r>
      <w:r>
        <w:rPr>
          <w:bCs/>
        </w:rPr>
        <w:t>о</w:t>
      </w:r>
      <w:r>
        <w:rPr>
          <w:bCs/>
        </w:rPr>
        <w:t>сещает учебные заведения.</w:t>
      </w:r>
    </w:p>
    <w:p w:rsidR="00000000" w:rsidRDefault="00000000">
      <w:pPr>
        <w:pStyle w:val="H1GR"/>
      </w:pPr>
      <w:r>
        <w:tab/>
        <w:t>C.</w:t>
      </w:r>
      <w:r>
        <w:tab/>
        <w:t xml:space="preserve">Пункт 19 </w:t>
      </w:r>
    </w:p>
    <w:p w:rsidR="00000000" w:rsidRDefault="00000000">
      <w:pPr>
        <w:pStyle w:val="H23GR"/>
      </w:pPr>
      <w:r>
        <w:tab/>
        <w:t>1.</w:t>
      </w:r>
      <w:r>
        <w:tab/>
        <w:t>Принятые меры</w:t>
      </w:r>
    </w:p>
    <w:p w:rsidR="00000000" w:rsidRDefault="00000000">
      <w:pPr>
        <w:pStyle w:val="SingleTxtGR"/>
      </w:pPr>
      <w:r>
        <w:t xml:space="preserve">27. </w:t>
      </w:r>
      <w:r>
        <w:tab/>
        <w:t>В свете общей рекомендации № 23 о политической и общественной жи</w:t>
      </w:r>
      <w:r>
        <w:t>з</w:t>
      </w:r>
      <w:r>
        <w:t>ни, были заключены соглашения с национальными министерствами и прав</w:t>
      </w:r>
      <w:r>
        <w:t>и</w:t>
      </w:r>
      <w:r>
        <w:t>тельствами департаментов и муниципальными властями для осуществления мер по созданию проектов, комиссий и управлений по гендерным вопросам в госучреждениях, отделах по делам женщин при канцеляриях губернаторов и в муниципалитетах. В период с 2005 по начало 2010 года были созданы 16 отд</w:t>
      </w:r>
      <w:r>
        <w:t>е</w:t>
      </w:r>
      <w:r>
        <w:t>лов по делам женщин при канцеляриях губернаторов в 17 департаментах стр</w:t>
      </w:r>
      <w:r>
        <w:t>а</w:t>
      </w:r>
      <w:r>
        <w:t>ны, 12 из которых были выделены бюджетные средства, и в 237 муниципалит</w:t>
      </w:r>
      <w:r>
        <w:t>е</w:t>
      </w:r>
      <w:r>
        <w:t>тах страны были созданы 130 отделов по делам женщин при местных органах самоупра</w:t>
      </w:r>
      <w:r>
        <w:t>в</w:t>
      </w:r>
      <w:r>
        <w:t>ления. Значительным шагом вперед в 2009 году стало выделение средств муниципалитетами своим отделам по делам женщин; первым в стране эту админис</w:t>
      </w:r>
      <w:r>
        <w:t>т</w:t>
      </w:r>
      <w:r>
        <w:t>ративную меру принял муниципалитет Айолас, департамент Мисьонес. Сложности заключаются в исполнения бюджета и принятии реш</w:t>
      </w:r>
      <w:r>
        <w:t>е</w:t>
      </w:r>
      <w:r>
        <w:t>ний, причем основные проблемы возникают не только в связи с защитой прав женщин, но и в св</w:t>
      </w:r>
      <w:r>
        <w:t>я</w:t>
      </w:r>
      <w:r>
        <w:t>зи с другими социально значимыми вопросами, которые включают защиту прав детей, пожилых людей, подростков и права коренных народов. В настоящий момент национальный парламент рассматривает проект закона о децентрализации, который должен усилить политический и админис</w:t>
      </w:r>
      <w:r>
        <w:t>т</w:t>
      </w:r>
      <w:r>
        <w:t>ративный потенциал этого процесса; данный законопроект охватывает, в том числе, и женскую проблематику, однако не устанавливает соответствующих юридических норм. Этот законопроект будет рассматриваться специальной к</w:t>
      </w:r>
      <w:r>
        <w:t>о</w:t>
      </w:r>
      <w:r>
        <w:t>миссией, а Секретариат по делам женщин уже представил свои рекомендации.</w:t>
      </w:r>
    </w:p>
    <w:p w:rsidR="00000000" w:rsidRDefault="00000000">
      <w:pPr>
        <w:pStyle w:val="H1GR"/>
      </w:pPr>
      <w:r>
        <w:tab/>
        <w:t>D.</w:t>
      </w:r>
      <w:r>
        <w:tab/>
        <w:t xml:space="preserve">Пункты 20 и 21 </w:t>
      </w:r>
    </w:p>
    <w:p w:rsidR="00000000" w:rsidRDefault="00000000">
      <w:pPr>
        <w:pStyle w:val="SingleTxtGR"/>
      </w:pPr>
      <w:r>
        <w:t xml:space="preserve">28. </w:t>
      </w:r>
      <w:r>
        <w:tab/>
        <w:t>Статья 46 Конституции 1992 года запрещает дискриминацию ("Все жит</w:t>
      </w:r>
      <w:r>
        <w:t>е</w:t>
      </w:r>
      <w:r>
        <w:t>ли Республики равны в своем достоинстве и правах. Дискриминация не допу</w:t>
      </w:r>
      <w:r>
        <w:t>с</w:t>
      </w:r>
      <w:r>
        <w:t>кается") и требует от государства устранить препятствия, ведущие к ее сохр</w:t>
      </w:r>
      <w:r>
        <w:t>а</w:t>
      </w:r>
      <w:r>
        <w:t>нению или возникновению. Государство гарантирует равенство перед законом в деле доступа к правосудию и государственной службе без каких-либо дополн</w:t>
      </w:r>
      <w:r>
        <w:t>и</w:t>
      </w:r>
      <w:r>
        <w:t>тельных требований, кроме профессиональной пригодности и равенства во</w:t>
      </w:r>
      <w:r>
        <w:t>з</w:t>
      </w:r>
      <w:r>
        <w:t>можностей.</w:t>
      </w:r>
    </w:p>
    <w:p w:rsidR="00000000" w:rsidRDefault="00000000">
      <w:pPr>
        <w:pStyle w:val="SingleTxtGR"/>
      </w:pPr>
      <w:r>
        <w:t xml:space="preserve">29. </w:t>
      </w:r>
      <w:r>
        <w:tab/>
        <w:t>Статья 40 устанавливает равноправие мужчин и женщин: "Мужчины и женщины имеют равные гражданские, политические, социальные, экономич</w:t>
      </w:r>
      <w:r>
        <w:t>е</w:t>
      </w:r>
      <w:r>
        <w:t>ские и культурные права. Государство создает необходимые условия и механи</w:t>
      </w:r>
      <w:r>
        <w:t>з</w:t>
      </w:r>
      <w:r>
        <w:t>мы для того, чтобы равноправие было реальным и эффективным, устраняя пр</w:t>
      </w:r>
      <w:r>
        <w:t>и</w:t>
      </w:r>
      <w:r>
        <w:t xml:space="preserve">чины и факторы, которые мешают или усложняют соблюдение равноправия, и содействуя участию женщин во всех сферах жизни страны". </w:t>
      </w:r>
    </w:p>
    <w:p w:rsidR="00000000" w:rsidRDefault="00000000">
      <w:pPr>
        <w:pStyle w:val="SingleTxtGR"/>
      </w:pPr>
      <w:r>
        <w:t xml:space="preserve">30. </w:t>
      </w:r>
      <w:r>
        <w:tab/>
        <w:t>В связи с представлением настоящего шестого периодического доклада были представлены копии решений Верховного суда в качестве доказательства того, что Конвенция о ликвидации всех форм дискриминации в отношении же</w:t>
      </w:r>
      <w:r>
        <w:t>н</w:t>
      </w:r>
      <w:r>
        <w:t>щин и Межамериканская конвенция о предупреждении и искоренении насилия в отношении женщин и наказании за него (Конвенция Белем-ду-Пара) были и</w:t>
      </w:r>
      <w:r>
        <w:t>с</w:t>
      </w:r>
      <w:r>
        <w:t>пользованы при рассмотрении судебных дел в рамках позитивного права Пар</w:t>
      </w:r>
      <w:r>
        <w:t>а</w:t>
      </w:r>
      <w:r>
        <w:t>гвая. Ссылки на эти Конвенции пока не могут считаться систематическими, о</w:t>
      </w:r>
      <w:r>
        <w:t>д</w:t>
      </w:r>
      <w:r>
        <w:t>нако были предприняты важные шаги для улучшения доступа к правосудию п</w:t>
      </w:r>
      <w:r>
        <w:t>о</w:t>
      </w:r>
      <w:r>
        <w:t xml:space="preserve">средством проведения ряда образовательных мероприятий и создания систем контроля, которые пока еще находятся на начальном этапе. </w:t>
      </w:r>
    </w:p>
    <w:p w:rsidR="00000000" w:rsidRDefault="00000000">
      <w:pPr>
        <w:pStyle w:val="SingleTxtGR"/>
      </w:pPr>
      <w:r>
        <w:t xml:space="preserve">31. </w:t>
      </w:r>
      <w:r>
        <w:tab/>
        <w:t>В рамках Соглашения о недискриминации (2006 год), подписанного ме</w:t>
      </w:r>
      <w:r>
        <w:t>ж</w:t>
      </w:r>
      <w:r>
        <w:t>ду Комиссией по вопросам равенства и социального развития Палаты депут</w:t>
      </w:r>
      <w:r>
        <w:t>а</w:t>
      </w:r>
      <w:r>
        <w:t>тов, Сенатским комитетом по вопросам равенства, равноправия мужчин и же</w:t>
      </w:r>
      <w:r>
        <w:t>н</w:t>
      </w:r>
      <w:r>
        <w:t>щин и социального развития, НПО "Центр документации и исследований" (ЦДИ) и Фондом Организации Объединенных Наций в области народонасел</w:t>
      </w:r>
      <w:r>
        <w:t>е</w:t>
      </w:r>
      <w:r>
        <w:t>ния, были проведены пять региональных форумов, один Тематический форум, шесть отраслевых консультаций и две консультации с участием экспертов по вопросу о разработке базового документа к предварительному законопроекту о борьбе против любой формы дискриминации, в котором особое внимание уд</w:t>
      </w:r>
      <w:r>
        <w:t>е</w:t>
      </w:r>
      <w:r>
        <w:t>ляется различным формам дискриминации в Парагвае и механизму наказания виновных в дискриминации. 16 мая 2007 года предварительный проект был представлен Председателю Сенатского комитета по вопросам равенства, равн</w:t>
      </w:r>
      <w:r>
        <w:t>о</w:t>
      </w:r>
      <w:r>
        <w:t>правия мужчин и женщин и социального развития. Он также был направлен для изучения и обсуждения комитетам по законодательству, конституционным в</w:t>
      </w:r>
      <w:r>
        <w:t>о</w:t>
      </w:r>
      <w:r>
        <w:t>просам, по правам человека и по вопросам равенства и равноправия мужчин и женщин. Также в 2007 году была создана Сеть против всех форм дискримин</w:t>
      </w:r>
      <w:r>
        <w:t>а</w:t>
      </w:r>
      <w:r>
        <w:t>ции под девизом "Мы все равны"; в состав которой входят 21 организация гр</w:t>
      </w:r>
      <w:r>
        <w:t>а</w:t>
      </w:r>
      <w:r>
        <w:t>жданского общества и три учреждения системы Организации объединенных наций. С 2007 года по настоящее время были проведены публичные слушания, дискуссионные форумы и лоббирование в Парламенте для принятия этого зак</w:t>
      </w:r>
      <w:r>
        <w:t>о</w:t>
      </w:r>
      <w:r>
        <w:t>нопроекта, однако до сих пор никакого решения не принято. Оппозиция по о</w:t>
      </w:r>
      <w:r>
        <w:t>т</w:t>
      </w:r>
      <w:r>
        <w:t>ношению к этому проекту движений гражданского общества и отсутствию о</w:t>
      </w:r>
      <w:r>
        <w:t>т</w:t>
      </w:r>
      <w:r>
        <w:t>зывов соответствующих комитетов позволяют сделать вывод о том, что в общ</w:t>
      </w:r>
      <w:r>
        <w:t>е</w:t>
      </w:r>
      <w:r>
        <w:t>стве сохраняются сексистские, культурные и религиозные стереотипы, которые мешают пониманию прогрессивности этого предложения для ликвидации всех форм дискриминации.</w:t>
      </w:r>
    </w:p>
    <w:p w:rsidR="00000000" w:rsidRDefault="00000000">
      <w:pPr>
        <w:pStyle w:val="SingleTxtGR"/>
      </w:pPr>
      <w:r>
        <w:t xml:space="preserve">32. </w:t>
      </w:r>
      <w:r>
        <w:tab/>
        <w:t>Министерство государственной службы в соответствии с Законом №º1626/2000 о государственной службе в конце 2009 года опубликовало Рук</w:t>
      </w:r>
      <w:r>
        <w:t>о</w:t>
      </w:r>
      <w:r>
        <w:t>водство по вопросам инклюзивной и недискриминационной практики работы на государственной службе. Этот документ определяет концепции, юридич</w:t>
      </w:r>
      <w:r>
        <w:t>е</w:t>
      </w:r>
      <w:r>
        <w:t>ские нормы и конкретные виды практики, касающиеся дискриминации и ин</w:t>
      </w:r>
      <w:r>
        <w:t>к</w:t>
      </w:r>
      <w:r>
        <w:t>люзивности в работе государственных служащих. Он характеризует Конвенцию о ликвидации всех форм дискриминации в отношении женщин как наиболее эффективное средство для осуществления правозащитного подхода, основанн</w:t>
      </w:r>
      <w:r>
        <w:t>о</w:t>
      </w:r>
      <w:r>
        <w:t>го на гендерном равенстве.</w:t>
      </w:r>
    </w:p>
    <w:p w:rsidR="00000000" w:rsidRDefault="00000000">
      <w:pPr>
        <w:pStyle w:val="SingleTxtGR"/>
      </w:pPr>
      <w:r>
        <w:t xml:space="preserve">33. </w:t>
      </w:r>
      <w:r>
        <w:tab/>
        <w:t>Что касается распространения информации об основных правах женщин то одним из направлений деятельности, заслуживающих особого внимания, явилась проведенная в 2004−2007 годах кампания "Равные во всем". Она была направлена на содействие расширению возможностей женщин, предотвращение и наказание случаев насилия в семье, борьбу с торговлей людьми, предупре</w:t>
      </w:r>
      <w:r>
        <w:t>ж</w:t>
      </w:r>
      <w:r>
        <w:t>дение заболеваний, передающихся половым путем и ВИЧ/СПИДа и обеспеч</w:t>
      </w:r>
      <w:r>
        <w:t>е</w:t>
      </w:r>
      <w:r>
        <w:t xml:space="preserve">ние равной оплаты труда женщин и мужчин. </w:t>
      </w:r>
    </w:p>
    <w:p w:rsidR="00000000" w:rsidRDefault="00000000">
      <w:pPr>
        <w:pStyle w:val="SingleTxtGR"/>
      </w:pPr>
      <w:r>
        <w:t xml:space="preserve">34. </w:t>
      </w:r>
      <w:r>
        <w:tab/>
        <w:t>В 2005 году один из рекламных роликов, под названием "Сегодня мне п</w:t>
      </w:r>
      <w:r>
        <w:t>о</w:t>
      </w:r>
      <w:r>
        <w:t>дарили цветы", явившийся важным элементом этой кампании, стал победит</w:t>
      </w:r>
      <w:r>
        <w:t>е</w:t>
      </w:r>
      <w:r>
        <w:t>лем премии в категории "Страна" на Ибероамериканском фестивале рекламы (ИАФР). Телевизионный рекламный ролик на тему торговли людьми "Сказка", выпущенный в рамках кампании "Равные во всем" Секретариатом по делам женщин, во второй раз стал обладателем премии: на этот раз он получил третье место в категории "Общее благо" на Фестивале идей Татакуа 2007, который был организован Креативным обществом Парагвая. Рекламный ролик "Сказка" ра</w:t>
      </w:r>
      <w:r>
        <w:t>с</w:t>
      </w:r>
      <w:r>
        <w:t>крывает тему того, что "не надо жить в сказке"; он осуждает торговлю людьми и в то же время информирует людей об этой проблеме, которая затрагивает в первую очередь женщин.</w:t>
      </w:r>
    </w:p>
    <w:p w:rsidR="00000000" w:rsidRDefault="00000000">
      <w:pPr>
        <w:pStyle w:val="SingleTxtGR"/>
        <w:rPr>
          <w:iCs/>
        </w:rPr>
      </w:pPr>
      <w:r>
        <w:rPr>
          <w:iCs/>
        </w:rPr>
        <w:t xml:space="preserve">35. </w:t>
      </w:r>
      <w:r>
        <w:rPr>
          <w:iCs/>
        </w:rPr>
        <w:tab/>
        <w:t>Наконец, Электронное сообщество женщин (КОДИМ) еженедельно пр</w:t>
      </w:r>
      <w:r>
        <w:rPr>
          <w:iCs/>
        </w:rPr>
        <w:t>е</w:t>
      </w:r>
      <w:r>
        <w:rPr>
          <w:iCs/>
        </w:rPr>
        <w:t>доставляет информацию напрямую более чем 1 000 организациям и отдельным лицам. Эта информация доступна на круглосуточной основе, существуют стр</w:t>
      </w:r>
      <w:r>
        <w:rPr>
          <w:iCs/>
        </w:rPr>
        <w:t>а</w:t>
      </w:r>
      <w:r>
        <w:rPr>
          <w:iCs/>
        </w:rPr>
        <w:t xml:space="preserve">ницы для подачи заявления о случаях насилия, а также имеется информация и аудиовизуальные материалы для повышения осведомленности и образования по гендерным вопросам. В 2009 году при поддержке </w:t>
      </w:r>
      <w:r>
        <w:t xml:space="preserve">ЮНФПА был разработан проект "Сиреневые очки", являющийся важным инструментом для изменения языка средств массовой информации, целью которого является анализ влияния сексизма на средства массовой информации и в котором приняли участие 180 работников СМИ.  </w:t>
      </w:r>
    </w:p>
    <w:p w:rsidR="00000000" w:rsidRDefault="00000000">
      <w:pPr>
        <w:pStyle w:val="H1GR"/>
      </w:pPr>
      <w:r>
        <w:tab/>
        <w:t>E.</w:t>
      </w:r>
      <w:r>
        <w:tab/>
        <w:t xml:space="preserve">Пункты 22 и 23 </w:t>
      </w:r>
    </w:p>
    <w:p w:rsidR="00000000" w:rsidRDefault="00000000">
      <w:pPr>
        <w:pStyle w:val="SingleTxtGR"/>
      </w:pPr>
      <w:r>
        <w:t xml:space="preserve">36. </w:t>
      </w:r>
      <w:r>
        <w:tab/>
        <w:t>Секретариат по делам женщин при Президенте Республики координирует реализацию Национальных планов действий по обеспечению равных возмо</w:t>
      </w:r>
      <w:r>
        <w:t>ж</w:t>
      </w:r>
      <w:r>
        <w:t>ностей женщин и мужчин, в частности, второго Плана, принятого на основании Исполнительного указа и рассчитанного на 2004−2008 годы. Его принятие п</w:t>
      </w:r>
      <w:r>
        <w:t>о</w:t>
      </w:r>
      <w:r>
        <w:t>могло популяризировать этот план и внедрить технические инструменты в оп</w:t>
      </w:r>
      <w:r>
        <w:t>е</w:t>
      </w:r>
      <w:r>
        <w:t>ративные планы министерств и ведомств, прежде всего, в сфере исполнител</w:t>
      </w:r>
      <w:r>
        <w:t>ь</w:t>
      </w:r>
      <w:r>
        <w:t>ной власти, а также придать ему юридический статус, который позволил начать укрепление процесса институционализации органов, занимающихся гендерн</w:t>
      </w:r>
      <w:r>
        <w:t>ы</w:t>
      </w:r>
      <w:r>
        <w:t xml:space="preserve">ми вопросами, особенно во внутренних районах страны. </w:t>
      </w:r>
    </w:p>
    <w:p w:rsidR="00000000" w:rsidRDefault="00000000">
      <w:pPr>
        <w:pStyle w:val="SingleTxtGR"/>
      </w:pPr>
      <w:r>
        <w:t xml:space="preserve">37. </w:t>
      </w:r>
      <w:r>
        <w:tab/>
        <w:t>Третий План действий по обеспечению равных возможностей женщин и мужчин включает, в качестве приоритетных направлений, правозащитный по</w:t>
      </w:r>
      <w:r>
        <w:t>д</w:t>
      </w:r>
      <w:r>
        <w:t>ход, сокращение бедности, жизненный цикл, особенности сельских районов и этнические особенности и необходимость принятия специальных мер, которые содействуют реальному равноправию. Пекинская платформа действий была у</w:t>
      </w:r>
      <w:r>
        <w:t>ч</w:t>
      </w:r>
      <w:r>
        <w:t xml:space="preserve">тена при разработке планов по обеспечению равных возможностей в различных областях и направлениях работы. </w:t>
      </w:r>
    </w:p>
    <w:p w:rsidR="00000000" w:rsidRDefault="00000000">
      <w:pPr>
        <w:pStyle w:val="SingleTxtGR"/>
      </w:pPr>
      <w:r>
        <w:t xml:space="preserve">38. </w:t>
      </w:r>
      <w:r>
        <w:tab/>
        <w:t>Принцип равноправия, зафиксированный в Конституции и Конвенции, был включен в черновой вариант Национального плана социального развития, разработкой которого занимается отдел по социальным вопросам правительства Парагвая. Кроме того, в подготовленном Правительством Стратегическом плане экономического и социального развития (СПЭСР) указано, что действия по стимулированию занятости должны быть направлены на разрешение трех пр</w:t>
      </w:r>
      <w:r>
        <w:t>о</w:t>
      </w:r>
      <w:r>
        <w:t>блем, которые имеют большое влияние на борьбу с бедностью. Первая пробл</w:t>
      </w:r>
      <w:r>
        <w:t>е</w:t>
      </w:r>
      <w:r>
        <w:t xml:space="preserve">ма связана с </w:t>
      </w:r>
      <w:r>
        <w:rPr>
          <w:i/>
          <w:iCs/>
        </w:rPr>
        <w:t>гендерным</w:t>
      </w:r>
      <w:r>
        <w:t xml:space="preserve"> неравенством. "Эти проблемы должны решаться с п</w:t>
      </w:r>
      <w:r>
        <w:t>о</w:t>
      </w:r>
      <w:r>
        <w:t>мощью мер, направленных на обеспечение равенства возможностей мужчин и женщин и на искоренение причин дискриминации, от которой страдают же</w:t>
      </w:r>
      <w:r>
        <w:t>н</w:t>
      </w:r>
      <w:r>
        <w:t>щины в парагвайском обществе. Вторая проблема связана с трудностями, кот</w:t>
      </w:r>
      <w:r>
        <w:t>о</w:t>
      </w:r>
      <w:r>
        <w:t>рые испытывает экономика Парагвая при создании рабочих мест для наиболее молодой части населения. Наконец, в долгосрочной перспективе, вклад в с</w:t>
      </w:r>
      <w:r>
        <w:t>о</w:t>
      </w:r>
      <w:r>
        <w:t>кращение нищеты путем привлечения населения на рынок труда зависит от п</w:t>
      </w:r>
      <w:r>
        <w:t>о</w:t>
      </w:r>
      <w:r>
        <w:t xml:space="preserve">вышения уровня образования и профессиональной подготовки различных групп населения". </w:t>
      </w:r>
    </w:p>
    <w:p w:rsidR="00000000" w:rsidRDefault="00000000">
      <w:pPr>
        <w:pStyle w:val="H1GR"/>
      </w:pPr>
      <w:r>
        <w:tab/>
        <w:t>F.</w:t>
      </w:r>
      <w:r>
        <w:tab/>
        <w:t xml:space="preserve">Пункт 24 </w:t>
      </w:r>
    </w:p>
    <w:p w:rsidR="00000000" w:rsidRDefault="00000000">
      <w:pPr>
        <w:pStyle w:val="H23GR"/>
      </w:pPr>
      <w:r>
        <w:tab/>
        <w:t>1.</w:t>
      </w:r>
      <w:r>
        <w:tab/>
        <w:t>Пояснение</w:t>
      </w:r>
    </w:p>
    <w:p w:rsidR="00000000" w:rsidRDefault="00000000">
      <w:pPr>
        <w:pStyle w:val="SingleTxtGR"/>
      </w:pPr>
      <w:r>
        <w:t xml:space="preserve">39. </w:t>
      </w:r>
      <w:r>
        <w:tab/>
        <w:t>Закон № 1600/00 "о насилии в семье" предусматривает неотложные сре</w:t>
      </w:r>
      <w:r>
        <w:t>д</w:t>
      </w:r>
      <w:r>
        <w:t>ства правовой защиты любого человека, пострадавшего от  жестокого физич</w:t>
      </w:r>
      <w:r>
        <w:t>е</w:t>
      </w:r>
      <w:r>
        <w:t>ского, психического или сексуального обращения. Мировые суды, на которые возложена обязанность обеспечению такой защиты, принимают соответству</w:t>
      </w:r>
      <w:r>
        <w:t>ю</w:t>
      </w:r>
      <w:r>
        <w:t>щие меры по отселению агрессора; запрещению приближаться к жертве(ам); в случае, если жертва сама покинула место жительства, где находится ее имущ</w:t>
      </w:r>
      <w:r>
        <w:t>е</w:t>
      </w:r>
      <w:r>
        <w:t>ство и имущество ее несовершеннолетних детей, они дают возможность заб</w:t>
      </w:r>
      <w:r>
        <w:t>и</w:t>
      </w:r>
      <w:r>
        <w:t>рать свое имущество, а также вновь возвращаться в свое жилище и т.д. З</w:t>
      </w:r>
      <w:r>
        <w:t>а</w:t>
      </w:r>
      <w:r>
        <w:t>кон № 1600 не предусматривает штрафов. Эти меры не исключают возможн</w:t>
      </w:r>
      <w:r>
        <w:t>о</w:t>
      </w:r>
      <w:r>
        <w:t>сти обращения в уголовные инстанции.</w:t>
      </w:r>
    </w:p>
    <w:p w:rsidR="00000000" w:rsidRDefault="00000000">
      <w:pPr>
        <w:pStyle w:val="H23GR"/>
      </w:pPr>
      <w:r>
        <w:tab/>
        <w:t>2.</w:t>
      </w:r>
      <w:r>
        <w:tab/>
        <w:t>Принятые меры</w:t>
      </w:r>
    </w:p>
    <w:p w:rsidR="00000000" w:rsidRDefault="00000000">
      <w:pPr>
        <w:pStyle w:val="SingleTxtGR"/>
        <w:rPr>
          <w:bCs/>
        </w:rPr>
      </w:pPr>
      <w:r>
        <w:t xml:space="preserve">40. </w:t>
      </w:r>
      <w:r>
        <w:tab/>
        <w:t>В Национальную Комиссию по реформированию уголовной и исправ</w:t>
      </w:r>
      <w:r>
        <w:t>и</w:t>
      </w:r>
      <w:r>
        <w:t>тельной системы были представлены предложения по внесению изменений в Уголовный кодекс и Уголовно-процессуальный кодекс. Секретариат по делам женщин при Президенте Республики одобрил предложения сети организаций "Сотрудничество женщин Парагвая (СЖП)", и как глава этого учреждения, так и техническая группа провели переговоры с Председателем и членами коми</w:t>
      </w:r>
      <w:r>
        <w:t>с</w:t>
      </w:r>
      <w:r>
        <w:t>сии для внесения этих поправок. Поправки к Закону № 1600/00 также были представлены Сенатскому комитету по вопросам равенства, равноправия му</w:t>
      </w:r>
      <w:r>
        <w:t>ж</w:t>
      </w:r>
      <w:r>
        <w:t>чин и женщин и социального развития в 2005 году.</w:t>
      </w:r>
    </w:p>
    <w:p w:rsidR="00000000" w:rsidRDefault="00000000">
      <w:pPr>
        <w:pStyle w:val="SingleTxtGR"/>
      </w:pPr>
      <w:r>
        <w:t xml:space="preserve">41. </w:t>
      </w:r>
      <w:r>
        <w:tab/>
        <w:t>С конца 2009 года Сенатский комитет по вопросам равенства, равнопр</w:t>
      </w:r>
      <w:r>
        <w:t>а</w:t>
      </w:r>
      <w:r>
        <w:t>вия мужчин и женщин и социального развития, Секретариат по делам женщин и ЮНИФЕМ совместно направляют процесс разработки проекта комплексного закона против насилия в отношении женщин. Это станет отправной точкой процесса обсуждения и разработки нового проекта (а не реформы) Комплексн</w:t>
      </w:r>
      <w:r>
        <w:t>о</w:t>
      </w:r>
      <w:r>
        <w:t>го закона против насилия в отношении женщин. Конкретные цели: создать сп</w:t>
      </w:r>
      <w:r>
        <w:t>е</w:t>
      </w:r>
      <w:r>
        <w:t>циальные целевые группы для разработки Комплексного закона против насилия в отношении женщин и содействия активному и критическому участию орган</w:t>
      </w:r>
      <w:r>
        <w:t>и</w:t>
      </w:r>
      <w:r>
        <w:t>заций и экспертов из числа участников женского движения в процессе обсу</w:t>
      </w:r>
      <w:r>
        <w:t>ж</w:t>
      </w:r>
      <w:r>
        <w:t>дения; собирать предложения по организации инклюзивного процесса обсу</w:t>
      </w:r>
      <w:r>
        <w:t>ж</w:t>
      </w:r>
      <w:r>
        <w:t>дения по проблеме насилия со стороны мужчин, которое рассматривается как проявление неравноправных властных отношений, ограничивающих права и возможности полноценного развития женщин.</w:t>
      </w:r>
    </w:p>
    <w:p w:rsidR="00000000" w:rsidRDefault="00000000">
      <w:pPr>
        <w:pStyle w:val="H23GR"/>
      </w:pPr>
      <w:r>
        <w:tab/>
        <w:t>3.</w:t>
      </w:r>
      <w:r>
        <w:tab/>
        <w:t>Достигнутые результаты</w:t>
      </w:r>
    </w:p>
    <w:p w:rsidR="00000000" w:rsidRDefault="00000000">
      <w:pPr>
        <w:pStyle w:val="SingleTxtGR"/>
      </w:pPr>
      <w:r>
        <w:t xml:space="preserve">42. </w:t>
      </w:r>
      <w:r>
        <w:tab/>
        <w:t>16 июля 2008 года был опубликован Закон № 3440 "об Уголовном коде</w:t>
      </w:r>
      <w:r>
        <w:t>к</w:t>
      </w:r>
      <w:r>
        <w:t>се". В статье 229, где речь идет о насилии в семье, предусматривается: "Лицо, которое в семейном кругу регулярно прибегает к физическому насилию или прич</w:t>
      </w:r>
      <w:r>
        <w:t>и</w:t>
      </w:r>
      <w:r>
        <w:t>няет серьезные психические страдания другому лицу, с которым оно проживает, подлежит наказанию в виде лишения свободы сроком до двух лет или штрафа". Таким образом, насилие в семье считается наказуемым деянием, которое  подлежит наказанию в виде тюремного заключения или уплате штр</w:t>
      </w:r>
      <w:r>
        <w:t>а</w:t>
      </w:r>
      <w:r>
        <w:t>фа. Другим шагом вперед стало включение в закон психических страданий как формы пр</w:t>
      </w:r>
      <w:r>
        <w:t>о</w:t>
      </w:r>
      <w:r>
        <w:t>явления насилия. Квалификация этого наказуемого деяния в Кодексе по-прежнему оценивается как недостаточное в том смысле, что соответству</w:t>
      </w:r>
      <w:r>
        <w:t>ю</w:t>
      </w:r>
      <w:r>
        <w:t>щее поведение должно носить регулярный характер, а сами формулировки предп</w:t>
      </w:r>
      <w:r>
        <w:t>о</w:t>
      </w:r>
      <w:r>
        <w:t>лагают, что насилие совершает мужчина. Также были внесены поправки в статью 128 для включения в нее ссылки на сексуальное принуждение и изн</w:t>
      </w:r>
      <w:r>
        <w:t>а</w:t>
      </w:r>
      <w:r>
        <w:t>силование. Для комплексного подхода к насилию в отношении женщин была создана целевая группа по стимулированию процесса разработки проекта ко</w:t>
      </w:r>
      <w:r>
        <w:t>м</w:t>
      </w:r>
      <w:r>
        <w:t>плексного закона против насилия в отношении женщин.</w:t>
      </w:r>
    </w:p>
    <w:p w:rsidR="00000000" w:rsidRDefault="00000000">
      <w:pPr>
        <w:pStyle w:val="H1GR"/>
      </w:pPr>
      <w:r>
        <w:tab/>
        <w:t>G.</w:t>
      </w:r>
      <w:r>
        <w:tab/>
        <w:t>Пункт 25</w:t>
      </w:r>
    </w:p>
    <w:p w:rsidR="00000000" w:rsidRDefault="00000000">
      <w:pPr>
        <w:pStyle w:val="H23GR"/>
      </w:pPr>
      <w:r>
        <w:tab/>
        <w:t>1.</w:t>
      </w:r>
      <w:r>
        <w:tab/>
        <w:t>Принятые меры</w:t>
      </w:r>
    </w:p>
    <w:p w:rsidR="00000000" w:rsidRDefault="00000000">
      <w:pPr>
        <w:pStyle w:val="SingleTxtGR"/>
        <w:rPr>
          <w:b/>
        </w:rPr>
      </w:pPr>
      <w:r>
        <w:t xml:space="preserve">43. </w:t>
      </w:r>
      <w:r>
        <w:tab/>
      </w:r>
      <w:r>
        <w:rPr>
          <w:b/>
        </w:rPr>
        <w:t xml:space="preserve">Комплексный подход к проблеме насилия: </w:t>
      </w:r>
      <w:r>
        <w:t>В 2006 году Межучере</w:t>
      </w:r>
      <w:r>
        <w:t>ж</w:t>
      </w:r>
      <w:r>
        <w:t>денческая комиссия по Плану предотвращения и наказанию случаев насилия в отношении женщин содействовала подписанию соглашения между Верховным судом и Секретариатом по делам женщин для введения мировыми судами на национальном уровне формуляра регистрации случаев насилия и обмена и</w:t>
      </w:r>
      <w:r>
        <w:t>н</w:t>
      </w:r>
      <w:r>
        <w:t>формацией по вопросам насилия в семье. Зарегистрированные материалы были направлены в секцию обработки статистических данных и лицам, занима</w:t>
      </w:r>
      <w:r>
        <w:t>ю</w:t>
      </w:r>
      <w:r>
        <w:t>щимся планированием деятельности судебной системы. Министерство вну</w:t>
      </w:r>
      <w:r>
        <w:t>т</w:t>
      </w:r>
      <w:r>
        <w:t>ренних дел, Национальная полиция и Министерство здравоохранения подпис</w:t>
      </w:r>
      <w:r>
        <w:t>а</w:t>
      </w:r>
      <w:r>
        <w:t>ли соглашение для совершенствования внутренних правил и процедур при р</w:t>
      </w:r>
      <w:r>
        <w:t>а</w:t>
      </w:r>
      <w:r>
        <w:t>боте со случаями бытового насилия. В 2009 году был создан Межведомстве</w:t>
      </w:r>
      <w:r>
        <w:t>н</w:t>
      </w:r>
      <w:r>
        <w:t>ный комитет по борьбе с насилием в отношении женщин, детей и подростков, для кач</w:t>
      </w:r>
      <w:r>
        <w:t>е</w:t>
      </w:r>
      <w:r>
        <w:t>ственного и персонализированного рассмотрения соответствующих случаев (Министерство внутренних дел/Национальная полиция/Секретариат по делам женщин/Секретариат по делам детей и подростков/Министерство здр</w:t>
      </w:r>
      <w:r>
        <w:t>а</w:t>
      </w:r>
      <w:r>
        <w:t>воохранения и социального благосостояния).</w:t>
      </w:r>
    </w:p>
    <w:p w:rsidR="00000000" w:rsidRDefault="00000000">
      <w:pPr>
        <w:pStyle w:val="SingleTxtGR"/>
      </w:pPr>
      <w:r>
        <w:t xml:space="preserve">44. </w:t>
      </w:r>
      <w:r>
        <w:tab/>
        <w:t>В Асунсьонской декларации, подписанной на Встрече женщин-судей иб</w:t>
      </w:r>
      <w:r>
        <w:t>е</w:t>
      </w:r>
      <w:r>
        <w:t>роамериканских стран в 2007 году, было принято обязательство о создании це</w:t>
      </w:r>
      <w:r>
        <w:t>н</w:t>
      </w:r>
      <w:r>
        <w:t>тра мониторинга вопросов справедливости и гендерного равноправия в свете положений Конвенции Белен-ду-Пара. В 2009 году в структуре судебной сист</w:t>
      </w:r>
      <w:r>
        <w:t>е</w:t>
      </w:r>
      <w:r>
        <w:t>мы была создано управление по делам женщин, и началась работа Центра м</w:t>
      </w:r>
      <w:r>
        <w:t>о</w:t>
      </w:r>
      <w:r>
        <w:t>ниторинга вопросов справедливости и гендерного равноправия. Необходимо упомянуть о согласованной работе международных организаций сотрудничес</w:t>
      </w:r>
      <w:r>
        <w:t>т</w:t>
      </w:r>
      <w:r>
        <w:t>ва (ЮНФПА/ЮНИФЕМ/ПРООН), гражданского общества (КЛАДЕМ) и гос</w:t>
      </w:r>
      <w:r>
        <w:t>у</w:t>
      </w:r>
      <w:r>
        <w:t>дарства (судебная система) в рамках проекта МАХУВИ (Мониторинг и обуч</w:t>
      </w:r>
      <w:r>
        <w:t>е</w:t>
      </w:r>
      <w:r>
        <w:t>ние персонала для улучшения доступа к правосудию для женщин-жертв нас</w:t>
      </w:r>
      <w:r>
        <w:t>и</w:t>
      </w:r>
      <w:r>
        <w:t>лия). Этот проект создал важные альянсы в судебной сфере, повысил профе</w:t>
      </w:r>
      <w:r>
        <w:t>с</w:t>
      </w:r>
      <w:r>
        <w:t>сиональный уровень кадров во внутренних районах страны, и все его мер</w:t>
      </w:r>
      <w:r>
        <w:t>о</w:t>
      </w:r>
      <w:r>
        <w:t>приятия способствовали осуществлению Конвенции о ликвидации всех форм насилия в отношении женщин, рекомендации № 19 Комитета и Конвенции Б</w:t>
      </w:r>
      <w:r>
        <w:t>е</w:t>
      </w:r>
      <w:r>
        <w:t>лен-ду-Пара.</w:t>
      </w:r>
    </w:p>
    <w:p w:rsidR="00000000" w:rsidRDefault="00000000">
      <w:pPr>
        <w:pStyle w:val="SingleTxtGR"/>
      </w:pPr>
      <w:r>
        <w:t xml:space="preserve">45. </w:t>
      </w:r>
      <w:r>
        <w:tab/>
        <w:t>В рамках кампании по ликвидации насилия в отношении женщин следует упомянуть об участии Бинациональной группы ИТАИПУ в деле оказания п</w:t>
      </w:r>
      <w:r>
        <w:t>о</w:t>
      </w:r>
      <w:r>
        <w:t>мощи жертвам насилия в семье и торговли людьми согласно плану работы на 2010 год. С другой стороны, по линии сотрудничества с ИАМС был предложен проект создания Информационно-координационных центров в приграничных департаментах страны. ИАМС поддерживает процесс институционального у</w:t>
      </w:r>
      <w:r>
        <w:t>к</w:t>
      </w:r>
      <w:r>
        <w:t>репления Секретариата по делам женщин, в особенности по вопросам борьбы с насилием в семье и оказывая помощь в реализации общенациональных и мес</w:t>
      </w:r>
      <w:r>
        <w:t>т</w:t>
      </w:r>
      <w:r>
        <w:t>ных проектов с участием женщин из сельских районов и из числа коренных н</w:t>
      </w:r>
      <w:r>
        <w:t>а</w:t>
      </w:r>
      <w:r>
        <w:t>родов.</w:t>
      </w:r>
    </w:p>
    <w:p w:rsidR="00000000" w:rsidRDefault="00000000">
      <w:pPr>
        <w:pStyle w:val="SingleTxtGR"/>
      </w:pPr>
      <w:r>
        <w:t xml:space="preserve">46. </w:t>
      </w:r>
      <w:r>
        <w:tab/>
        <w:t>За отчетный период было опубликовано и распространено большое кол</w:t>
      </w:r>
      <w:r>
        <w:t>и</w:t>
      </w:r>
      <w:r>
        <w:t>чество  информационных материалов, включая: a) Проект под названием "Ра</w:t>
      </w:r>
      <w:r>
        <w:t>з</w:t>
      </w:r>
      <w:r>
        <w:t>работка альтернативной модели предотвращения и комплексного подхода к н</w:t>
      </w:r>
      <w:r>
        <w:t>а</w:t>
      </w:r>
      <w:r>
        <w:t>силию в семье", который был разработан Секретариатом по делам женщин при Президенте Республики и Межамериканским банком развития (МБР) и который содержит предложения по принятию мер, предотвращению и искоренению н</w:t>
      </w:r>
      <w:r>
        <w:t>а</w:t>
      </w:r>
      <w:r>
        <w:t>силия в семье на базе социальных сетей. "Пособие по работе со случаями нас</w:t>
      </w:r>
      <w:r>
        <w:t>и</w:t>
      </w:r>
      <w:r>
        <w:t>лия в семье", разработанное в соответствии с законом № 1600 о насилии в с</w:t>
      </w:r>
      <w:r>
        <w:t>е</w:t>
      </w:r>
      <w:r>
        <w:t>мье совместно с Трехсторонним советом по реализации Пекинской платформы (ООН/СЖП/Секретариат по делам женщин). Эти материалы были направлены должностным лицам, ответственным за реализацию нормативных документов, государственным служащим и в отделы по делам женщин при канцеляриях г</w:t>
      </w:r>
      <w:r>
        <w:t>у</w:t>
      </w:r>
      <w:r>
        <w:t>бернаторов. В 2009 году были выпущены "Пособие по процедуре медицинского осмотра жертв, сбора доказательств и расследования случаев насилия", а также "Правила функционирования экспериментального центра комплексной помощи женщинам жертвам насилия в семье и их родственникам".</w:t>
      </w:r>
    </w:p>
    <w:p w:rsidR="00000000" w:rsidRDefault="00000000">
      <w:pPr>
        <w:pStyle w:val="SingleTxtGR"/>
      </w:pPr>
      <w:r>
        <w:t>47.</w:t>
      </w:r>
      <w:r>
        <w:rPr>
          <w:b/>
        </w:rPr>
        <w:t xml:space="preserve"> </w:t>
      </w:r>
      <w:r>
        <w:rPr>
          <w:b/>
        </w:rPr>
        <w:tab/>
        <w:t>Сексуальное насилие:</w:t>
      </w:r>
      <w:r>
        <w:t xml:space="preserve"> Секретариат по делам женщин при Президенте Республики работал с Генеральным прокурором при подготовке проекта Евро Сосиаль Министерства юстиции Испании, в рамках которого были проведены семинары по вопросам гендерных аспектов насилия и сексуальной агрессии для работников, занимающихся этой проблематикой, а также рабочие совещания с участием судебных медиков по вопросу об использовании комплекта прина</w:t>
      </w:r>
      <w:r>
        <w:t>д</w:t>
      </w:r>
      <w:r>
        <w:t>лежностей для взятия проб в случаях сексуального насилия. В Центре чрезв</w:t>
      </w:r>
      <w:r>
        <w:t>ы</w:t>
      </w:r>
      <w:r>
        <w:t>чайной медицинской помощи Генеральной прокуратуры было организовано бюро по приему жалоб, с тем чтобы жертвы сексуального надругательства, принуждения к сексуальным действиям и жертвы насилия в семье могли про</w:t>
      </w:r>
      <w:r>
        <w:t>й</w:t>
      </w:r>
      <w:r>
        <w:t>ти медицинский осмотр и подать жалобу в одном месте.</w:t>
      </w:r>
    </w:p>
    <w:p w:rsidR="00000000" w:rsidRDefault="00000000">
      <w:pPr>
        <w:pStyle w:val="SingleTxtGR"/>
      </w:pPr>
      <w:r>
        <w:t xml:space="preserve">48. </w:t>
      </w:r>
      <w:r>
        <w:tab/>
      </w:r>
      <w:r>
        <w:rPr>
          <w:b/>
        </w:rPr>
        <w:t>Сексуальные домогательства:</w:t>
      </w:r>
      <w:r>
        <w:t xml:space="preserve"> проведение кампании "Сексуальные д</w:t>
      </w:r>
      <w:r>
        <w:t>о</w:t>
      </w:r>
      <w:r>
        <w:t>могательства: обвинение будет предъявлено" (2006 год) в виде серии учебных семинаров и информационных совещаний для государственных служащих, уч</w:t>
      </w:r>
      <w:r>
        <w:t>а</w:t>
      </w:r>
      <w:r>
        <w:t>щихся старших классов и членов профсоюзов. Были распространены информ</w:t>
      </w:r>
      <w:r>
        <w:t>а</w:t>
      </w:r>
      <w:r>
        <w:t>ционные материалы, и о целях этой кампании сообщалось в средствах массовой информации.</w:t>
      </w:r>
    </w:p>
    <w:p w:rsidR="00000000" w:rsidRDefault="00000000">
      <w:pPr>
        <w:pStyle w:val="SingleTxtGR"/>
      </w:pPr>
      <w:r>
        <w:t>49.</w:t>
      </w:r>
      <w:r>
        <w:rPr>
          <w:b/>
        </w:rPr>
        <w:t xml:space="preserve"> </w:t>
      </w:r>
      <w:r>
        <w:rPr>
          <w:b/>
        </w:rPr>
        <w:tab/>
        <w:t>Приют:</w:t>
      </w:r>
      <w:r>
        <w:t xml:space="preserve"> Секретариат по делам женщин при Президенте Республики при поддержке ИАМС осуществляет проект строительства приюта для женщин жертв насилия в семье и подготовки должностных лиц, ответственных за ре</w:t>
      </w:r>
      <w:r>
        <w:t>а</w:t>
      </w:r>
      <w:r>
        <w:t>лизацию закона № 1600 "о насилии в семье". Муниципалитет города Сьюдад-дель-Эсте в департаменте Альто-Парана ("район трех границ") предоставил здание для размещения приюта для жертв насилия в семье. Для реализации эт</w:t>
      </w:r>
      <w:r>
        <w:t>о</w:t>
      </w:r>
      <w:r>
        <w:t>го проекта необходимо заключить еще ряд соглашений. Недавно в том же "ра</w:t>
      </w:r>
      <w:r>
        <w:t>й</w:t>
      </w:r>
      <w:r>
        <w:t>оне трех границ", в городе Фосс-ду-Игуасу, Бразилия, в "Доме мигрантов", б</w:t>
      </w:r>
      <w:r>
        <w:t>ы</w:t>
      </w:r>
      <w:r>
        <w:t>ла открыта служба для женщин жертв насилия и торговли людьми, куда смогут обращаться женщины любой национальности, прежде всего, жительницы Пар</w:t>
      </w:r>
      <w:r>
        <w:t>а</w:t>
      </w:r>
      <w:r>
        <w:t>гвая, Аргентины и Бразилии, которые проживают или находятся проездом в этом районе.</w:t>
      </w:r>
    </w:p>
    <w:p w:rsidR="00000000" w:rsidRDefault="00000000">
      <w:pPr>
        <w:pStyle w:val="SingleTxtGR"/>
      </w:pPr>
      <w:r>
        <w:t>50.</w:t>
      </w:r>
      <w:r>
        <w:rPr>
          <w:b/>
        </w:rPr>
        <w:t xml:space="preserve"> </w:t>
      </w:r>
      <w:r>
        <w:rPr>
          <w:b/>
        </w:rPr>
        <w:tab/>
        <w:t xml:space="preserve">Повышение осведомленности государственных служащих: </w:t>
      </w:r>
      <w:r>
        <w:t>Телефо</w:t>
      </w:r>
      <w:r>
        <w:t>н</w:t>
      </w:r>
      <w:r>
        <w:t>ная</w:t>
      </w:r>
      <w:r>
        <w:rPr>
          <w:b/>
        </w:rPr>
        <w:t xml:space="preserve"> с</w:t>
      </w:r>
      <w:r>
        <w:t>лужба экстренной помощи 911 Национальной полиции ввела в действие номер 1600 для реагирования на случаи насилия в семье и отдельной регистр</w:t>
      </w:r>
      <w:r>
        <w:t>а</w:t>
      </w:r>
      <w:r>
        <w:t>ции таких случаев. Были организованы обсуждения вопроса об использовании формуляров в целях регистрации случаев насилия в семье мировыми судами и создания местных сетей реагирования на случаи насилия в отношении женщин в департаментах Гуайра, Итапуа и Сентраль.</w:t>
      </w:r>
    </w:p>
    <w:p w:rsidR="00000000" w:rsidRDefault="00000000">
      <w:pPr>
        <w:pStyle w:val="SingleTxtGR"/>
        <w:rPr>
          <w:iCs/>
        </w:rPr>
      </w:pPr>
      <w:r>
        <w:rPr>
          <w:iCs/>
        </w:rPr>
        <w:t xml:space="preserve">51. </w:t>
      </w:r>
      <w:r>
        <w:rPr>
          <w:iCs/>
        </w:rPr>
        <w:tab/>
        <w:t xml:space="preserve">Было подготовлено в общей сложности 885 сотрудников, занимающихся </w:t>
      </w:r>
      <w:r>
        <w:t xml:space="preserve">реализацией закона № 1600/00 (мировые судьи и работники здравоохранения в городах департаментов Гуайра, Каагуазу, Альто-Парана, Итапуа, Консепсьон, </w:t>
      </w:r>
      <w:hyperlink r:id="rId8" w:tooltip="Ньеэмбуку (страница отсутствует)" w:history="1">
        <w:r>
          <w:rPr>
            <w:rStyle w:val="Hyperlink"/>
            <w:u w:val="none"/>
          </w:rPr>
          <w:t>Ньеэмбуку</w:t>
        </w:r>
      </w:hyperlink>
      <w:r>
        <w:t xml:space="preserve">; служащие полиции в зоне Сентраль и столичном округе; учащиеся Полицейской учебной академии; сотрудники отделов по делам женщин при канцеляриях губернаторов во внутренних районах страны); а также 545 лиц (родители из числа общинных лидеров в Асунсьоне, Сан-Лоренсо, </w:t>
      </w:r>
      <w:r>
        <w:rPr>
          <w:iCs/>
        </w:rPr>
        <w:t>Ареа-Рефухио, Виллья-Эсперанса; Нуево-Огар и Коронель-Овьедо; государственные служащие, члены профсоюзов и учащиеся школ  и университетов в Асунсьоне и Чако; и учителя в Йагуароне и Асунсьоне); 190 служащих полиции, 40 работн</w:t>
      </w:r>
      <w:r>
        <w:rPr>
          <w:iCs/>
        </w:rPr>
        <w:t>и</w:t>
      </w:r>
      <w:r>
        <w:rPr>
          <w:iCs/>
        </w:rPr>
        <w:t>ков экстренной телефонной службы 911, 253 кандидата на службу в городской полиции, 30 работников служб помощи и 538 учащихся, родителей и женщин в различных общинах. В 2009 году прошли обучение 356 социальных работников и 445 лиц в различных департаментах страны.</w:t>
      </w:r>
    </w:p>
    <w:p w:rsidR="00000000" w:rsidRDefault="00000000">
      <w:pPr>
        <w:pStyle w:val="SingleTxtGR"/>
      </w:pPr>
      <w:r>
        <w:t xml:space="preserve">52. </w:t>
      </w:r>
      <w:r>
        <w:tab/>
        <w:t>Одно из самых значительных процедурных препятствий на пути обесп</w:t>
      </w:r>
      <w:r>
        <w:t>е</w:t>
      </w:r>
      <w:r>
        <w:t>чения защиты жертв связано с использованием примирения как средства ра</w:t>
      </w:r>
      <w:r>
        <w:t>з</w:t>
      </w:r>
      <w:r>
        <w:t>решения конфликтов. Секретариат по делам женщин при президенте Республ</w:t>
      </w:r>
      <w:r>
        <w:t>и</w:t>
      </w:r>
      <w:r>
        <w:t>ки считает, что посредничество или примирение ни в какой форме не должно использоваться в случаях насилия в отношении женщин. Другим препятствием является постоянная текучесть кадров работников социальной сферы и связа</w:t>
      </w:r>
      <w:r>
        <w:t>н</w:t>
      </w:r>
      <w:r>
        <w:t>ная с этим необходимость подготовки новых кадров, прежде всего, полиции и работников здравоохранения.</w:t>
      </w:r>
    </w:p>
    <w:p w:rsidR="00000000" w:rsidRDefault="00000000">
      <w:pPr>
        <w:pStyle w:val="SingleTxtGR"/>
      </w:pPr>
      <w:r>
        <w:t>53.</w:t>
      </w:r>
      <w:r>
        <w:rPr>
          <w:b/>
        </w:rPr>
        <w:t xml:space="preserve"> </w:t>
      </w:r>
      <w:r>
        <w:rPr>
          <w:b/>
        </w:rPr>
        <w:tab/>
        <w:t xml:space="preserve">Взаимодействие с гражданским обществом: </w:t>
      </w:r>
      <w:r>
        <w:t>Совместное обучение р</w:t>
      </w:r>
      <w:r>
        <w:t>а</w:t>
      </w:r>
      <w:r>
        <w:t>ботников социальной сферы. Совместно с Фондом Кунья Ати такая учебная подготовка была проведена в четырех департаментах: Сентраль, Мисьонес, П</w:t>
      </w:r>
      <w:r>
        <w:t>а</w:t>
      </w:r>
      <w:r>
        <w:t>рагуари и Вилья-Айес, а для социальных работников во внутренних районах страны был разработан материал под названием "Руководство для оказания п</w:t>
      </w:r>
      <w:r>
        <w:t>о</w:t>
      </w:r>
      <w:r>
        <w:t>мощи жертвам насилия". Консультации с независимыми признанными экспе</w:t>
      </w:r>
      <w:r>
        <w:t>р</w:t>
      </w:r>
      <w:r>
        <w:t>тами в данной области направлены на усиление Межведомственной комиссии в рамках Плана предотвращения и наказания насилия в отношении женщин.</w:t>
      </w:r>
    </w:p>
    <w:p w:rsidR="00000000" w:rsidRDefault="00000000">
      <w:pPr>
        <w:pStyle w:val="SingleTxtGR"/>
      </w:pPr>
      <w:r>
        <w:t xml:space="preserve">54. </w:t>
      </w:r>
      <w:r>
        <w:tab/>
        <w:t>Д</w:t>
      </w:r>
      <w:r>
        <w:rPr>
          <w:b/>
        </w:rPr>
        <w:t xml:space="preserve">евочки: </w:t>
      </w:r>
      <w:r>
        <w:t>В 2009 году был значительно увеличен бюджет Секретариата по делам детей и молодежи, что позволило ему провести ряд мероприятий по защите прав детей, прежде всего бездомных, и сотрудничать в реализации пр</w:t>
      </w:r>
      <w:r>
        <w:t>о</w:t>
      </w:r>
      <w:r>
        <w:t>грамм, таких как программа Сасо Поау, которая координируется Секретариатом по социальным вопросам. Программа Сасо Поау представляет собой комплекс инициатив, поддержанных Социальным управлением по улучшению условий жизни семей, страдающих от нищеты и крайней нищеты. Проблемы, затраг</w:t>
      </w:r>
      <w:r>
        <w:t>и</w:t>
      </w:r>
      <w:r>
        <w:t>вающие детей и подростков, которые были рассмотрены в рамках "Дней прав</w:t>
      </w:r>
      <w:r>
        <w:t>и</w:t>
      </w:r>
      <w:r>
        <w:t>тельства", организованных во внутренних областях страны и столичных ра</w:t>
      </w:r>
      <w:r>
        <w:t>й</w:t>
      </w:r>
      <w:r>
        <w:t>онах, включают, прежде всего, необходимость укрепления государственных и</w:t>
      </w:r>
      <w:r>
        <w:t>н</w:t>
      </w:r>
      <w:r>
        <w:t>ститутов, подготовку служащих полиции, регистрацию населения, случаев н</w:t>
      </w:r>
      <w:r>
        <w:t>а</w:t>
      </w:r>
      <w:r>
        <w:t>силия в семье и сексуальных надругательств.</w:t>
      </w:r>
    </w:p>
    <w:p w:rsidR="00000000" w:rsidRDefault="00000000">
      <w:pPr>
        <w:pStyle w:val="H23GR"/>
      </w:pPr>
      <w:r>
        <w:tab/>
        <w:t>2.</w:t>
      </w:r>
      <w:r>
        <w:tab/>
        <w:t>Достигнутые результаты</w:t>
      </w:r>
    </w:p>
    <w:p w:rsidR="00000000" w:rsidRDefault="00000000">
      <w:pPr>
        <w:pStyle w:val="SingleTxtGR"/>
      </w:pPr>
      <w:r>
        <w:t>55.</w:t>
      </w:r>
      <w:r>
        <w:rPr>
          <w:b/>
        </w:rPr>
        <w:t xml:space="preserve"> </w:t>
      </w:r>
      <w:r>
        <w:rPr>
          <w:b/>
        </w:rPr>
        <w:tab/>
      </w:r>
      <w:r>
        <w:t>Благодаря межведомственному сотрудничеству удалось подготовить сл</w:t>
      </w:r>
      <w:r>
        <w:t>у</w:t>
      </w:r>
      <w:r>
        <w:t>жащих национальной полиции, мировых судей и медицинских работников; обеспечить бесплатного обследования и информировать потерпевших о резул</w:t>
      </w:r>
      <w:r>
        <w:t>ь</w:t>
      </w:r>
      <w:r>
        <w:t>татах, подготовить предложение относительно медицинского протокола, кот</w:t>
      </w:r>
      <w:r>
        <w:t>о</w:t>
      </w:r>
      <w:r>
        <w:t>рый должен применяться в случаях насилия в семье, и интегрировать политику предотвращения насилия в отношении женщин в программы обеспечения без</w:t>
      </w:r>
      <w:r>
        <w:t>о</w:t>
      </w:r>
      <w:r>
        <w:t>пасности населения. Решение № 309 командования Национальной полиции о создании центров первой помощи жертвам насилия в семье в шести комисс</w:t>
      </w:r>
      <w:r>
        <w:t>а</w:t>
      </w:r>
      <w:r>
        <w:t>риатах столичной и центральной зоны и в городах Энкарнасьон, Вилльярика и Сьюдад-дель-Эсте. Кроме того, Соглашение № 454 предусматривает обязател</w:t>
      </w:r>
      <w:r>
        <w:t>ь</w:t>
      </w:r>
      <w:r>
        <w:t>ное использование "Бланка регистрации случаев насилия". Три центра п</w:t>
      </w:r>
      <w:r>
        <w:t>о</w:t>
      </w:r>
      <w:r>
        <w:t>мощи уже были открыты в шестом, седьмом и пятнадцатом полицейских участках в столице Асунсьоне.</w:t>
      </w:r>
    </w:p>
    <w:p w:rsidR="00000000" w:rsidRDefault="00000000">
      <w:pPr>
        <w:pStyle w:val="SingleTxtGR"/>
      </w:pPr>
      <w:r>
        <w:t xml:space="preserve">56. </w:t>
      </w:r>
      <w:r>
        <w:tab/>
        <w:t>Вскоре должен открыться первый в Парагвае приют для женщин-жертв насилия в семье. И наконец, с 2003 по 2008 год в Службе поддержки женщин (СЕДАМУР) при Секретариате по делам женщин рассматривалось в среднем около 2 500 случаев в год.</w:t>
      </w:r>
    </w:p>
    <w:p w:rsidR="00000000" w:rsidRDefault="00000000">
      <w:pPr>
        <w:pStyle w:val="H1GR"/>
      </w:pPr>
      <w:r>
        <w:tab/>
        <w:t>H.</w:t>
      </w:r>
      <w:r>
        <w:tab/>
        <w:t>Пункты 26 и 27</w:t>
      </w:r>
    </w:p>
    <w:p w:rsidR="00000000" w:rsidRDefault="00000000">
      <w:pPr>
        <w:pStyle w:val="SingleTxtGR"/>
      </w:pPr>
      <w:r>
        <w:t xml:space="preserve">57. </w:t>
      </w:r>
      <w:r>
        <w:tab/>
        <w:t>Ни один из государственных органов не принял каких-либо мер в этом отношении, так как приоритетами в сфере управления являются прежде всего борьба с насилием в семье и с торговлей людьми и необходимость обеспечить институциональную поддержку третьего Национального плана действий по обеспечению равных возможностей мужчин и женщин.</w:t>
      </w:r>
    </w:p>
    <w:p w:rsidR="00000000" w:rsidRDefault="00000000">
      <w:pPr>
        <w:pStyle w:val="H1GR"/>
      </w:pPr>
      <w:r>
        <w:tab/>
        <w:t>I.</w:t>
      </w:r>
      <w:r>
        <w:tab/>
        <w:t>Пункт 28</w:t>
      </w:r>
    </w:p>
    <w:p w:rsidR="00000000" w:rsidRDefault="00000000">
      <w:pPr>
        <w:pStyle w:val="H23GR"/>
      </w:pPr>
      <w:r>
        <w:tab/>
        <w:t>1.</w:t>
      </w:r>
      <w:r>
        <w:tab/>
        <w:t xml:space="preserve">Принятые меры </w:t>
      </w:r>
    </w:p>
    <w:p w:rsidR="00000000" w:rsidRDefault="00000000">
      <w:pPr>
        <w:pStyle w:val="SingleTxtGR"/>
      </w:pPr>
      <w:r>
        <w:t xml:space="preserve">58. </w:t>
      </w:r>
      <w:r>
        <w:tab/>
        <w:t>Необходимо отметить Исполнительный указ № 5093/2005 во исполн</w:t>
      </w:r>
      <w:r>
        <w:t>е</w:t>
      </w:r>
      <w:r>
        <w:t>ние Закона № 2396 от 28 мая 2004 года об утверждении Протокола о предупрежд</w:t>
      </w:r>
      <w:r>
        <w:t>е</w:t>
      </w:r>
      <w:r>
        <w:t>нии и пресечении торговли людьми, особенно женщинами и детьми и наказ</w:t>
      </w:r>
      <w:r>
        <w:t>а</w:t>
      </w:r>
      <w:r>
        <w:t>нии за нее, дополняющего Конвенцию Организации Объединенных Наций пр</w:t>
      </w:r>
      <w:r>
        <w:t>о</w:t>
      </w:r>
      <w:r>
        <w:t>тив транснациональной организованной преступности, и Закон № 2134 от 22 июля 2003 года, ратифицировавший Факультативный протокол к Конвенции о правах ребенка, касающийся торговли детьми, детской проституции и детской порнографии и создавший Межведомственный совет по предупрежд</w:t>
      </w:r>
      <w:r>
        <w:t>е</w:t>
      </w:r>
      <w:r>
        <w:t>нию и борьбе против торговли людьми в Республике Парагвай в целях определения направлений государственной политики и руководящих принципов для дейс</w:t>
      </w:r>
      <w:r>
        <w:t>т</w:t>
      </w:r>
      <w:r>
        <w:t>вий по предупреждению, наказанию и борьбе против торговли людьми (13 у</w:t>
      </w:r>
      <w:r>
        <w:t>ч</w:t>
      </w:r>
      <w:r>
        <w:t>реждений). Совет порекомендовал провести исследование по вопросу о контр</w:t>
      </w:r>
      <w:r>
        <w:t>а</w:t>
      </w:r>
      <w:r>
        <w:t>банде и/или торговли людьми для целей сексуальной эксплуатации в Пар</w:t>
      </w:r>
      <w:r>
        <w:t>а</w:t>
      </w:r>
      <w:r>
        <w:t>гвае. Исследование было проведено НПО "Новолуние" в период с августа 2004 по январь 2005 года и опубликовано в июне 2005 года.</w:t>
      </w:r>
    </w:p>
    <w:p w:rsidR="00000000" w:rsidRDefault="00000000">
      <w:pPr>
        <w:pStyle w:val="SingleTxtGR"/>
      </w:pPr>
      <w:r>
        <w:t xml:space="preserve">59. </w:t>
      </w:r>
      <w:r>
        <w:tab/>
        <w:t>Достигнутые результаты: проблема торговли людьми включена в наци</w:t>
      </w:r>
      <w:r>
        <w:t>о</w:t>
      </w:r>
      <w:r>
        <w:t>нальную повестку дня, и ее решением занимаются межведомственные и межо</w:t>
      </w:r>
      <w:r>
        <w:t>т</w:t>
      </w:r>
      <w:r>
        <w:t>раслевые механизмы. В октябре 2008 года состоялось официальное открытие Специального отдела по проблеме торговли людьми и сексуальной эксплуат</w:t>
      </w:r>
      <w:r>
        <w:t>а</w:t>
      </w:r>
      <w:r>
        <w:t>ции детей при Генеральной прокуратуре. С момента открытия отделом было получено 93 заявления, проведено 18 международных операций, 63 человека спасены от сексуальной эксплуатации в преступных организациях и 18 лиц осуждены.</w:t>
      </w:r>
    </w:p>
    <w:p w:rsidR="00000000" w:rsidRDefault="00000000">
      <w:pPr>
        <w:pStyle w:val="H23GR"/>
      </w:pPr>
      <w:r>
        <w:tab/>
        <w:t>2.</w:t>
      </w:r>
      <w:r>
        <w:tab/>
        <w:t>Достигнутые результаты</w:t>
      </w:r>
    </w:p>
    <w:p w:rsidR="00000000" w:rsidRDefault="00000000">
      <w:pPr>
        <w:pStyle w:val="SingleTxtGR"/>
      </w:pPr>
      <w:r>
        <w:t xml:space="preserve">60. </w:t>
      </w:r>
      <w:r>
        <w:tab/>
        <w:t>Репатриация женщин-жертв торговли людьми для целей сексуальной эк</w:t>
      </w:r>
      <w:r>
        <w:t>с</w:t>
      </w:r>
      <w:r>
        <w:t>плуатации в 32 случаях, в том числе 95 женщин, шесть подростков и один н</w:t>
      </w:r>
      <w:r>
        <w:t>е</w:t>
      </w:r>
      <w:r>
        <w:t>совершеннолетний мужского пола. 58% жертв происходят из Аргентины, 23% из Боливии, 15% из Испании и 4% из других стран (Кипра, Франции, Кореи, Швейцарии, Италии).</w:t>
      </w:r>
    </w:p>
    <w:p w:rsidR="00000000" w:rsidRDefault="00000000">
      <w:pPr>
        <w:pStyle w:val="SingleTxtGR"/>
      </w:pPr>
      <w:r>
        <w:t xml:space="preserve">61. </w:t>
      </w:r>
      <w:r>
        <w:tab/>
        <w:t>Был создан Информационный центр для пострадавших и членов их семей в рамках Службы по поддержке женщин (СЕДАМУР). Он предоставляет юр</w:t>
      </w:r>
      <w:r>
        <w:t>и</w:t>
      </w:r>
      <w:r>
        <w:t>дическую, психологическую и медицинскую помощь и обеспечивает реинт</w:t>
      </w:r>
      <w:r>
        <w:t>е</w:t>
      </w:r>
      <w:r>
        <w:t>грацию жертв в общество. С ноября 2007 года по сентябрь 2008 года им были приняты меры по 16 случаям торговли людьми, от которых пострадали 24 же</w:t>
      </w:r>
      <w:r>
        <w:t>н</w:t>
      </w:r>
      <w:r>
        <w:t xml:space="preserve">щины, в том числе 16 совершеннолетних в возрасте от 18 до 37 лет. 90% жертв происходят из Аргентины или являются уроженками Гран-Асунсьон и городов во внутренних районах страны: Неембуку, Альто-Парана, Каагуазу, Каазапа, Коронель-Овьедо, Энкарнасьон и Кордильера. </w:t>
      </w:r>
    </w:p>
    <w:p w:rsidR="00000000" w:rsidRDefault="00000000">
      <w:pPr>
        <w:pStyle w:val="SingleTxtGR"/>
      </w:pPr>
      <w:r>
        <w:t xml:space="preserve">62. </w:t>
      </w:r>
      <w:r>
        <w:tab/>
        <w:t>В рамках программы, поддержанной правительством США, было пров</w:t>
      </w:r>
      <w:r>
        <w:t>е</w:t>
      </w:r>
      <w:r>
        <w:t>дено исследование по вопросам безопасности и контроля над передвижением лиц в приграничных районах Парагвая, включая Педро-Хуан-Кабальеро, Сь</w:t>
      </w:r>
      <w:r>
        <w:t>ю</w:t>
      </w:r>
      <w:r>
        <w:t>дад-дель-Эсте и Пуэрто-Фалькон. Результаты этого расследования являются конфиденциальными и доступны лишь этим двум странам и не подлежат пу</w:t>
      </w:r>
      <w:r>
        <w:t>б</w:t>
      </w:r>
      <w:r>
        <w:t>ликации; они послужат вспомогательным инструментом для оценки и вырабо</w:t>
      </w:r>
      <w:r>
        <w:t>т</w:t>
      </w:r>
      <w:r>
        <w:t>ке рек</w:t>
      </w:r>
      <w:r>
        <w:t>о</w:t>
      </w:r>
      <w:r>
        <w:t>мендаций по улучшению проводимых в этих районах мероприятий. Был подг</w:t>
      </w:r>
      <w:r>
        <w:t>о</w:t>
      </w:r>
      <w:r>
        <w:t>товлен материал: "Руководство по принятию мер в случаях торговли людьми" и определены основные направления для конкретных мер.</w:t>
      </w:r>
    </w:p>
    <w:p w:rsidR="00000000" w:rsidRDefault="00000000">
      <w:pPr>
        <w:pStyle w:val="H1GR"/>
      </w:pPr>
      <w:r>
        <w:tab/>
        <w:t>J.</w:t>
      </w:r>
      <w:r>
        <w:tab/>
        <w:t>Пункт 29</w:t>
      </w:r>
    </w:p>
    <w:p w:rsidR="00000000" w:rsidRDefault="00000000">
      <w:pPr>
        <w:pStyle w:val="H23GR"/>
      </w:pPr>
      <w:r>
        <w:tab/>
        <w:t>1.</w:t>
      </w:r>
      <w:r>
        <w:tab/>
        <w:t>Принятые меры</w:t>
      </w:r>
    </w:p>
    <w:p w:rsidR="00000000" w:rsidRDefault="00000000">
      <w:pPr>
        <w:pStyle w:val="SingleTxtGR"/>
      </w:pPr>
      <w:r>
        <w:t xml:space="preserve">63. </w:t>
      </w:r>
      <w:r>
        <w:tab/>
        <w:t>Осуществление проекта "Программа поддержки мер по борьбе с торго</w:t>
      </w:r>
      <w:r>
        <w:t>в</w:t>
      </w:r>
      <w:r>
        <w:t>лей людьми, особенно женщинами и детьми" с использованием средств Фонда для специальных операций (ФСО) и Межамериканского банка развития; осно</w:t>
      </w:r>
      <w:r>
        <w:t>в</w:t>
      </w:r>
      <w:r>
        <w:t>ной целью этого проекта является "расширение национального обсуждения проблемы торговли людьми, особенно женщинами и детьми и включение ее в повестку дня для защиты прав человека, безопасности и справедливости, с тем, чтобы продемонстрировать необходимость разработки надлежащей политики для борьбы с этим преступлением и дать парагвайскому обществу возможность найти решения этой проблемы".</w:t>
      </w:r>
    </w:p>
    <w:p w:rsidR="00000000" w:rsidRDefault="00000000">
      <w:pPr>
        <w:pStyle w:val="SingleTxtGR"/>
      </w:pPr>
      <w:r>
        <w:t xml:space="preserve">64. </w:t>
      </w:r>
      <w:r>
        <w:tab/>
        <w:t>Предусмотрено создание межведомственных советов в департаментах, через которые проходят каналы торговли людьми; эти советы должны коорд</w:t>
      </w:r>
      <w:r>
        <w:t>и</w:t>
      </w:r>
      <w:r>
        <w:t>нировать свою работу с соседними странами и консультантами по юридическим вопр</w:t>
      </w:r>
      <w:r>
        <w:t>о</w:t>
      </w:r>
      <w:r>
        <w:t>сам для разработки проекта закона о борьбе с торговлей людьми.</w:t>
      </w:r>
    </w:p>
    <w:p w:rsidR="00000000" w:rsidRDefault="00000000">
      <w:pPr>
        <w:pStyle w:val="H23GR"/>
      </w:pPr>
      <w:r>
        <w:tab/>
        <w:t>2.</w:t>
      </w:r>
      <w:r>
        <w:tab/>
        <w:t>Достигнутые результаты</w:t>
      </w:r>
    </w:p>
    <w:p w:rsidR="00000000" w:rsidRDefault="00000000">
      <w:pPr>
        <w:pStyle w:val="SingleTxtGR"/>
      </w:pPr>
      <w:r>
        <w:t xml:space="preserve">65. </w:t>
      </w:r>
      <w:r>
        <w:tab/>
        <w:t>Представление целей программы в 12 департаментах и создание межв</w:t>
      </w:r>
      <w:r>
        <w:t>е</w:t>
      </w:r>
      <w:r>
        <w:t>домственных советов в четырех департаментах. В рамках XXI Специального совещания МЕРКОСУР по проблемам женщин был проведен первый Реги</w:t>
      </w:r>
      <w:r>
        <w:t>о</w:t>
      </w:r>
      <w:r>
        <w:t>нальный семинар по проблеме торговли людьми в департаменте "трех границ".</w:t>
      </w:r>
    </w:p>
    <w:p w:rsidR="00000000" w:rsidRDefault="00000000">
      <w:pPr>
        <w:pStyle w:val="SingleTxtGR"/>
      </w:pPr>
      <w:r>
        <w:t xml:space="preserve">66. </w:t>
      </w:r>
      <w:r>
        <w:tab/>
        <w:t>Начало работы Центра временного размещения и Управления по пр</w:t>
      </w:r>
      <w:r>
        <w:t>о</w:t>
      </w:r>
      <w:r>
        <w:t>грамме, включенные в организационную структуру и бюджет Секретариата по делам женщин при Президенте Республики. За 2009 и начало 2010 года в Це</w:t>
      </w:r>
      <w:r>
        <w:t>н</w:t>
      </w:r>
      <w:r>
        <w:t>тре был предоставлен приют более чем 60 жертвам.</w:t>
      </w:r>
    </w:p>
    <w:p w:rsidR="00000000" w:rsidRDefault="00000000">
      <w:pPr>
        <w:pStyle w:val="SingleTxtGR"/>
      </w:pPr>
      <w:r>
        <w:t xml:space="preserve">67. </w:t>
      </w:r>
      <w:r>
        <w:tab/>
        <w:t>Создание межведомственной информационной сети для Системы учета дел с главным сервером, находящимся в Управлении Генеральной прокуратуры.</w:t>
      </w:r>
    </w:p>
    <w:p w:rsidR="00000000" w:rsidRDefault="00000000">
      <w:pPr>
        <w:pStyle w:val="SingleTxtGR"/>
      </w:pPr>
      <w:r>
        <w:t xml:space="preserve">68. </w:t>
      </w:r>
      <w:r>
        <w:tab/>
        <w:t>Национальное обследование виктимизации (соглашение о межведомс</w:t>
      </w:r>
      <w:r>
        <w:t>т</w:t>
      </w:r>
      <w:r>
        <w:t>венном сотрудничестве между Министерством внутренних дел, Секретариатом по делам женщин при президенте Республики, Генеральным управлением ст</w:t>
      </w:r>
      <w:r>
        <w:t>а</w:t>
      </w:r>
      <w:r>
        <w:t>тистики, обследований и переписи населения, ПРООН, Фондом Организации Объединенных Наций для развития в интересах женщин и Испанским Агентс</w:t>
      </w:r>
      <w:r>
        <w:t>т</w:t>
      </w:r>
      <w:r>
        <w:t>вом по международному сотрудничеству в целях развития). Обследование было проведено среди населения, которое круглогодично или большую часть года проживает в частных домах. Размер выборки (5 500 домов) гарантирует репр</w:t>
      </w:r>
      <w:r>
        <w:t>е</w:t>
      </w:r>
      <w:r>
        <w:t>зентативность для всех 17 департаментов, городских и сельских районов и ст</w:t>
      </w:r>
      <w:r>
        <w:t>о</w:t>
      </w:r>
      <w:r>
        <w:t>лицы страны, Асунсьона. Переменные показатели включали сексуальное нас</w:t>
      </w:r>
      <w:r>
        <w:t>и</w:t>
      </w:r>
      <w:r>
        <w:t>лие, сексуальное принуждение и торговлю людьми. Составление базы данных завершено, и в настоящий момент ведется анализ результатов.</w:t>
      </w:r>
    </w:p>
    <w:p w:rsidR="00000000" w:rsidRDefault="00000000">
      <w:pPr>
        <w:pStyle w:val="SingleTxtGR"/>
        <w:rPr>
          <w:bCs/>
          <w:iCs/>
        </w:rPr>
      </w:pPr>
      <w:r>
        <w:rPr>
          <w:bCs/>
          <w:iCs/>
        </w:rPr>
        <w:t xml:space="preserve">69. </w:t>
      </w:r>
      <w:r>
        <w:rPr>
          <w:bCs/>
          <w:iCs/>
        </w:rPr>
        <w:tab/>
        <w:t>Систематизация и анализ информации в отношении количественных а</w:t>
      </w:r>
      <w:r>
        <w:rPr>
          <w:bCs/>
          <w:iCs/>
        </w:rPr>
        <w:t>с</w:t>
      </w:r>
      <w:r>
        <w:rPr>
          <w:bCs/>
          <w:iCs/>
        </w:rPr>
        <w:t>пектов торговли людьми в Парагвае. На этот процесс влияет объем и качество информации, имеющейся в распоряжении институтов, занимающихся пробл</w:t>
      </w:r>
      <w:r>
        <w:rPr>
          <w:bCs/>
          <w:iCs/>
        </w:rPr>
        <w:t>е</w:t>
      </w:r>
      <w:r>
        <w:rPr>
          <w:bCs/>
          <w:iCs/>
        </w:rPr>
        <w:t>мой торговли людьми, а также отсутствие единой базы данных, охватывающей все учреждения, и небольшой штат, занимающийся данной проблематикой, что также затрудняет задачу регистрации соответствующих случаев.</w:t>
      </w:r>
    </w:p>
    <w:p w:rsidR="00000000" w:rsidRDefault="00000000">
      <w:pPr>
        <w:pStyle w:val="H1GR"/>
      </w:pPr>
      <w:r>
        <w:tab/>
        <w:t>K.</w:t>
      </w:r>
      <w:r>
        <w:tab/>
        <w:t>Пункт 30</w:t>
      </w:r>
    </w:p>
    <w:p w:rsidR="00000000" w:rsidRDefault="00000000">
      <w:pPr>
        <w:pStyle w:val="H23GR"/>
      </w:pPr>
      <w:r>
        <w:tab/>
        <w:t>1.</w:t>
      </w:r>
      <w:r>
        <w:tab/>
        <w:t>Принятые меры</w:t>
      </w:r>
    </w:p>
    <w:p w:rsidR="00000000" w:rsidRDefault="00000000"/>
    <w:p w:rsidR="00000000" w:rsidRDefault="00000000">
      <w:pPr>
        <w:pStyle w:val="SingleTxtGR"/>
      </w:pPr>
      <w:r>
        <w:t>70.</w:t>
      </w:r>
      <w:r>
        <w:rPr>
          <w:b/>
        </w:rPr>
        <w:t xml:space="preserve"> </w:t>
      </w:r>
      <w:r>
        <w:rPr>
          <w:b/>
        </w:rPr>
        <w:tab/>
        <w:t xml:space="preserve">Домашний труд: </w:t>
      </w:r>
      <w:r>
        <w:t>Основным направлением предпринимаемых в после</w:t>
      </w:r>
      <w:r>
        <w:t>д</w:t>
      </w:r>
      <w:r>
        <w:t>нее время усилий НПО, действующих при поддержке государственных учре</w:t>
      </w:r>
      <w:r>
        <w:t>ж</w:t>
      </w:r>
      <w:r>
        <w:t>дений Парагвая, является включение пункта об оплачиваемом домашнем труде в национальную повестку дня. Созданы тематические советы, такие как Наци</w:t>
      </w:r>
      <w:r>
        <w:t>о</w:t>
      </w:r>
      <w:r>
        <w:t>нальный совет по созданию рабочих мест для молодежи; при этом была созд</w:t>
      </w:r>
      <w:r>
        <w:t>а</w:t>
      </w:r>
      <w:r>
        <w:t>на группа, призванная активизировать его работу. Национальная трехсторонняя комиссия по поощрению и изучению равных трудовых возможностей для же</w:t>
      </w:r>
      <w:r>
        <w:t>н</w:t>
      </w:r>
      <w:r>
        <w:t>щин приняла участие в различных инициативах государства и гражданского общества, оказывая трехстороннюю поддержку процессу обсуждения и реал</w:t>
      </w:r>
      <w:r>
        <w:t>и</w:t>
      </w:r>
      <w:r>
        <w:t>зации мероприятий.</w:t>
      </w:r>
    </w:p>
    <w:p w:rsidR="00000000" w:rsidRDefault="00000000">
      <w:pPr>
        <w:pStyle w:val="SingleTxtGR"/>
      </w:pPr>
      <w:r>
        <w:t xml:space="preserve">71. </w:t>
      </w:r>
      <w:r>
        <w:tab/>
        <w:t>В рамках кампании "Равноправие мужчин и женщин в условиях досто</w:t>
      </w:r>
      <w:r>
        <w:t>й</w:t>
      </w:r>
      <w:r>
        <w:t>ного труда" заместитель Министра труда и социального обеспечения через Управл</w:t>
      </w:r>
      <w:r>
        <w:t>е</w:t>
      </w:r>
      <w:r>
        <w:t>ние по делам работающих женщин провел консультации с женщинами, работающими в качестве домашней прислуги, в отдельных районах столицы и выдал им информационные пособия об их трудовых правах, местах и формах подачи жалоб.</w:t>
      </w:r>
    </w:p>
    <w:p w:rsidR="00000000" w:rsidRDefault="00000000">
      <w:pPr>
        <w:pStyle w:val="SingleTxtGR"/>
      </w:pPr>
      <w:r>
        <w:t>72.</w:t>
      </w:r>
      <w:r>
        <w:rPr>
          <w:b/>
        </w:rPr>
        <w:t xml:space="preserve"> </w:t>
      </w:r>
      <w:r>
        <w:rPr>
          <w:b/>
        </w:rPr>
        <w:tab/>
        <w:t>Гражданское общество:</w:t>
      </w:r>
      <w:r>
        <w:t xml:space="preserve"> Центр документации и исследований (ЦДИ) с</w:t>
      </w:r>
      <w:r>
        <w:t>о</w:t>
      </w:r>
      <w:r>
        <w:t>вместно с заместителем Министерства юстиции и труда провел ряд информ</w:t>
      </w:r>
      <w:r>
        <w:t>а</w:t>
      </w:r>
      <w:r>
        <w:t>ционно-просветительских мероприятий для сотрудников отдела, в виде рабочих совещаний для служащих, инспекторов и посредников по трудовым вопросам.</w:t>
      </w:r>
    </w:p>
    <w:p w:rsidR="00000000" w:rsidRDefault="00000000">
      <w:pPr>
        <w:pStyle w:val="SingleTxtGR"/>
      </w:pPr>
      <w:r>
        <w:t xml:space="preserve">73. </w:t>
      </w:r>
      <w:r>
        <w:tab/>
        <w:t>В рамках проекта ПАРЕС (организованного НПО "Другая жизнь") вопр</w:t>
      </w:r>
      <w:r>
        <w:t>о</w:t>
      </w:r>
      <w:r>
        <w:t>сы домашнего труда были включены в национальную и региональную пов</w:t>
      </w:r>
      <w:r>
        <w:t>е</w:t>
      </w:r>
      <w:r>
        <w:t>стку дня. В этом контексте, в рамках деятельности по просвещению и информиров</w:t>
      </w:r>
      <w:r>
        <w:t>а</w:t>
      </w:r>
      <w:r>
        <w:t>нию, был снят короткометражный фильм о домашней прислуге, ситуациях и правовой дискриминации, которой она подвергается. Этот проект способств</w:t>
      </w:r>
      <w:r>
        <w:t>о</w:t>
      </w:r>
      <w:r>
        <w:t>вал созданию совместных механизмов во внутренних районах страны и внедр</w:t>
      </w:r>
      <w:r>
        <w:t>е</w:t>
      </w:r>
      <w:r>
        <w:t>нию передовой трудовой практики на муниципальном уровне.</w:t>
      </w:r>
    </w:p>
    <w:p w:rsidR="00000000" w:rsidRDefault="00000000">
      <w:pPr>
        <w:pStyle w:val="SingleTxtGR"/>
      </w:pPr>
      <w:r>
        <w:t>74.</w:t>
      </w:r>
      <w:r>
        <w:rPr>
          <w:b/>
        </w:rPr>
        <w:t xml:space="preserve"> </w:t>
      </w:r>
      <w:r>
        <w:rPr>
          <w:b/>
        </w:rPr>
        <w:tab/>
        <w:t>Женщины в неформальном секторе:</w:t>
      </w:r>
      <w:r>
        <w:t xml:space="preserve"> После создания проекта ПАРЕС на смешанных трехсторонних семинарах совместно с Министерствами юстиции и труда были проанализированы проблемы, с которыми сталкиваются женщины в этом секторе.</w:t>
      </w:r>
    </w:p>
    <w:p w:rsidR="00000000" w:rsidRDefault="00000000">
      <w:pPr>
        <w:pStyle w:val="SingleTxtGR"/>
      </w:pPr>
      <w:r>
        <w:t>75.</w:t>
      </w:r>
      <w:r>
        <w:rPr>
          <w:b/>
        </w:rPr>
        <w:t xml:space="preserve"> </w:t>
      </w:r>
      <w:r>
        <w:rPr>
          <w:b/>
        </w:rPr>
        <w:tab/>
        <w:t>Участие женщин в формальном рынке рабочей силы и сохраняюще</w:t>
      </w:r>
      <w:r>
        <w:rPr>
          <w:b/>
        </w:rPr>
        <w:t>е</w:t>
      </w:r>
      <w:r>
        <w:rPr>
          <w:b/>
        </w:rPr>
        <w:t>ся неравенство в оплате труда женщин и мужчин:</w:t>
      </w:r>
      <w:r>
        <w:t xml:space="preserve"> Были проведены обсужд</w:t>
      </w:r>
      <w:r>
        <w:t>е</w:t>
      </w:r>
      <w:r>
        <w:t>ния с предпринимателями, профсоюзами и гражданским обществом в связи с процессом ратификации Конвенции № 156 Международной организации труда (МОТ) о работниках с семейными обязанностями. С 2009 года администрация губернатора департамента Сентраль через отдел по координации женских в</w:t>
      </w:r>
      <w:r>
        <w:t>о</w:t>
      </w:r>
      <w:r>
        <w:t>просов осуществляет проект ПАСЕФ "Соглашение по профессиональному об</w:t>
      </w:r>
      <w:r>
        <w:t>у</w:t>
      </w:r>
      <w:r>
        <w:t>чению и занятости женщин". Секретариат по делам женщин при Президенте Республики и Союз промышленников Парагвая дали согласие на присоедин</w:t>
      </w:r>
      <w:r>
        <w:t>е</w:t>
      </w:r>
      <w:r>
        <w:t>ние к этому проекту, целью которого является заключение основных соглаш</w:t>
      </w:r>
      <w:r>
        <w:t>е</w:t>
      </w:r>
      <w:r>
        <w:t>ний об организации профессиональной подготовки женщин и создание мех</w:t>
      </w:r>
      <w:r>
        <w:t>а</w:t>
      </w:r>
      <w:r>
        <w:t>низмов для интеграции женщин на рынке труда и обеспечения женской занят</w:t>
      </w:r>
      <w:r>
        <w:t>о</w:t>
      </w:r>
      <w:r>
        <w:t>сти. (Финансируемая ЕС программа Урбал III).</w:t>
      </w:r>
    </w:p>
    <w:p w:rsidR="00000000" w:rsidRDefault="00000000">
      <w:pPr>
        <w:pStyle w:val="SingleTxtGR"/>
      </w:pPr>
      <w:r>
        <w:t xml:space="preserve">76. </w:t>
      </w:r>
      <w:r>
        <w:tab/>
        <w:t>Трехсторонняя комиссия по обеспечению равных трудовых возможностей для женщин находится в процессе пересмотра правил об условиях и работе детских садов, с тем, чтобы облегчить их создание компаниями и, таким обр</w:t>
      </w:r>
      <w:r>
        <w:t>а</w:t>
      </w:r>
      <w:r>
        <w:t>зом, обеспечить их большую доступность для семей.</w:t>
      </w:r>
    </w:p>
    <w:p w:rsidR="00000000" w:rsidRDefault="00000000">
      <w:pPr>
        <w:pStyle w:val="H23GR"/>
      </w:pPr>
      <w:r>
        <w:tab/>
        <w:t>2.</w:t>
      </w:r>
      <w:r>
        <w:tab/>
        <w:t>Достигнутые результаты</w:t>
      </w:r>
    </w:p>
    <w:p w:rsidR="00000000" w:rsidRDefault="00000000">
      <w:pPr>
        <w:pStyle w:val="SingleTxtGR"/>
      </w:pPr>
      <w:r>
        <w:t>77.</w:t>
      </w:r>
      <w:r>
        <w:rPr>
          <w:b/>
        </w:rPr>
        <w:t xml:space="preserve"> </w:t>
      </w:r>
      <w:r>
        <w:rPr>
          <w:b/>
        </w:rPr>
        <w:tab/>
        <w:t>Домашний труд:</w:t>
      </w:r>
      <w:r>
        <w:t xml:space="preserve"> Включение вопроса о домашнем труде в национальную повестку дня в качестве приоритета в рамках планов, программ и проектов. Публикация материалов "Что необходимо изменить: обеспечение правового р</w:t>
      </w:r>
      <w:r>
        <w:t>а</w:t>
      </w:r>
      <w:r>
        <w:t>венства домашней прислуги" (СДЕ/ПАРЕС/НПО "Альтер вида"/ЕС/ИККО). Обязательства национальных органов власти провести анализ требований, в ч</w:t>
      </w:r>
      <w:r>
        <w:t>а</w:t>
      </w:r>
      <w:r>
        <w:t>стности со стороны Института социального обеспечения (ИСО), которые были затем включены в решение ИСО относительно государственного страхования лиц, работающих в качестве домашней прислуги. Публикация материала "Н</w:t>
      </w:r>
      <w:r>
        <w:t>е</w:t>
      </w:r>
      <w:r>
        <w:t>обходимые, невидимые, подвергающиеся дискриминации: домашняя прислуга в Парагвае" (СДЕ/МОТ).</w:t>
      </w:r>
    </w:p>
    <w:p w:rsidR="00000000" w:rsidRDefault="00000000">
      <w:pPr>
        <w:pStyle w:val="SingleTxtGR"/>
      </w:pPr>
      <w:r>
        <w:t>78.</w:t>
      </w:r>
      <w:r>
        <w:rPr>
          <w:b/>
        </w:rPr>
        <w:t xml:space="preserve"> </w:t>
      </w:r>
      <w:r>
        <w:rPr>
          <w:b/>
        </w:rPr>
        <w:tab/>
        <w:t>Женщины в неформальном секторе:</w:t>
      </w:r>
      <w:r>
        <w:t xml:space="preserve"> Национальная повестка дня по д</w:t>
      </w:r>
      <w:r>
        <w:t>е</w:t>
      </w:r>
      <w:r>
        <w:t>лам женщин и занятости, которая включает проблемы и предложения.</w:t>
      </w:r>
    </w:p>
    <w:p w:rsidR="00000000" w:rsidRDefault="00000000">
      <w:pPr>
        <w:pStyle w:val="SingleTxtGR"/>
      </w:pPr>
      <w:r>
        <w:t>79.</w:t>
      </w:r>
      <w:r>
        <w:rPr>
          <w:b/>
        </w:rPr>
        <w:t xml:space="preserve"> </w:t>
      </w:r>
      <w:r>
        <w:rPr>
          <w:b/>
        </w:rPr>
        <w:tab/>
        <w:t>Конвенция № 156</w:t>
      </w:r>
      <w:r>
        <w:t xml:space="preserve"> </w:t>
      </w:r>
      <w:r>
        <w:rPr>
          <w:b/>
        </w:rPr>
        <w:t>МОТ,</w:t>
      </w:r>
      <w:r>
        <w:t xml:space="preserve"> ратифицированная законом № 3338/07. В дека</w:t>
      </w:r>
      <w:r>
        <w:t>б</w:t>
      </w:r>
      <w:r>
        <w:t>ре 2008 года Республика Парагвай зарегистрирована МОТ в качестве стор</w:t>
      </w:r>
      <w:r>
        <w:t>о</w:t>
      </w:r>
      <w:r>
        <w:t xml:space="preserve">ны, подписавшей данную Конвенцию. </w:t>
      </w:r>
    </w:p>
    <w:p w:rsidR="00000000" w:rsidRDefault="00000000">
      <w:pPr>
        <w:pStyle w:val="SingleTxtGR"/>
      </w:pPr>
      <w:r>
        <w:t>80.</w:t>
      </w:r>
      <w:r>
        <w:rPr>
          <w:b/>
        </w:rPr>
        <w:t xml:space="preserve"> </w:t>
      </w:r>
      <w:r>
        <w:rPr>
          <w:b/>
        </w:rPr>
        <w:tab/>
        <w:t xml:space="preserve">Программа для молодежи: </w:t>
      </w:r>
      <w:r>
        <w:t>Потенциал и экономические возможности для интеграции в общество: разработка программы "Возможности" на межу</w:t>
      </w:r>
      <w:r>
        <w:t>ч</w:t>
      </w:r>
      <w:r>
        <w:t>режденческом уровне и в координации с гражданским обществом и междун</w:t>
      </w:r>
      <w:r>
        <w:t>а</w:t>
      </w:r>
      <w:r>
        <w:t>родными организациями. Данная программа охватывает все вышеуказанные н</w:t>
      </w:r>
      <w:r>
        <w:t>а</w:t>
      </w:r>
      <w:r>
        <w:t>правления работы. В настоящее время собираются мнения правительственных кругов, гражданского общества и профсоюзов для внесения изменений в Труд</w:t>
      </w:r>
      <w:r>
        <w:t>о</w:t>
      </w:r>
      <w:r>
        <w:t>вой кодекс в отношении домашнего труда.</w:t>
      </w:r>
    </w:p>
    <w:p w:rsidR="00000000" w:rsidRDefault="00000000">
      <w:pPr>
        <w:pStyle w:val="H1GR"/>
      </w:pPr>
      <w:r>
        <w:tab/>
        <w:t>L.</w:t>
      </w:r>
      <w:r>
        <w:tab/>
        <w:t>Пункт 31</w:t>
      </w:r>
    </w:p>
    <w:p w:rsidR="00000000" w:rsidRDefault="00000000">
      <w:pPr>
        <w:pStyle w:val="H23GR"/>
      </w:pPr>
      <w:r>
        <w:tab/>
        <w:t>1.</w:t>
      </w:r>
      <w:r>
        <w:tab/>
        <w:t>Принятые меры</w:t>
      </w:r>
    </w:p>
    <w:p w:rsidR="00000000" w:rsidRDefault="00000000">
      <w:pPr>
        <w:pStyle w:val="SingleTxtGR"/>
      </w:pPr>
      <w:r>
        <w:t xml:space="preserve">81. </w:t>
      </w:r>
      <w:r>
        <w:tab/>
        <w:t>В этой связи было проведено обучение трудовых инспекторов, посредн</w:t>
      </w:r>
      <w:r>
        <w:t>и</w:t>
      </w:r>
      <w:r>
        <w:t>ков и контролеров по вопросам норм, касающихся домашней прислуги и опа</w:t>
      </w:r>
      <w:r>
        <w:t>с</w:t>
      </w:r>
      <w:r>
        <w:t>ных форм детского труда</w:t>
      </w:r>
    </w:p>
    <w:p w:rsidR="00000000" w:rsidRDefault="00000000">
      <w:pPr>
        <w:pStyle w:val="SingleTxtGR"/>
      </w:pPr>
      <w:r>
        <w:t xml:space="preserve">82. </w:t>
      </w:r>
      <w:r>
        <w:tab/>
        <w:t>Были проведены различные мероприятия по повышению информирова</w:t>
      </w:r>
      <w:r>
        <w:t>н</w:t>
      </w:r>
      <w:r>
        <w:t>ности, например для работников Союза промышленников Парагвая, по вопросу об опасных формах детского труда и Закону № 1657/01, в котором перечислены запрещенные формы опасного детского труда, в соответствии с Конвенциями МОТ № 138 и № 182. При этом особо отмечены известняковые карьеры в Вал</w:t>
      </w:r>
      <w:r>
        <w:t>ь</w:t>
      </w:r>
      <w:r>
        <w:t>еми и кирпичные заводы в Тобати, где были проведены инспекции, и плантации с</w:t>
      </w:r>
      <w:r>
        <w:t>а</w:t>
      </w:r>
      <w:r>
        <w:t>харного тростника.</w:t>
      </w:r>
    </w:p>
    <w:p w:rsidR="00000000" w:rsidRDefault="00000000">
      <w:pPr>
        <w:pStyle w:val="H1GR"/>
      </w:pPr>
      <w:r>
        <w:tab/>
        <w:t>M.</w:t>
      </w:r>
      <w:r>
        <w:tab/>
        <w:t>Пункт 32</w:t>
      </w:r>
    </w:p>
    <w:p w:rsidR="00000000" w:rsidRDefault="00000000">
      <w:pPr>
        <w:pStyle w:val="H23GR"/>
      </w:pPr>
      <w:r>
        <w:tab/>
        <w:t>1.</w:t>
      </w:r>
      <w:r>
        <w:tab/>
        <w:t>Принятые меры</w:t>
      </w:r>
    </w:p>
    <w:p w:rsidR="00000000" w:rsidRDefault="00000000">
      <w:pPr>
        <w:pStyle w:val="SingleTxtGR"/>
      </w:pPr>
      <w:r>
        <w:t xml:space="preserve">83. </w:t>
      </w:r>
      <w:r>
        <w:tab/>
        <w:t>На основе межучрежденческого сотрудничества Министерство здрав</w:t>
      </w:r>
      <w:r>
        <w:t>о</w:t>
      </w:r>
      <w:r>
        <w:t>охранения и Министерство социального обеспечения совместно участвовали в разработке, реализации и оценке второго Национального плана действий по обе</w:t>
      </w:r>
      <w:r>
        <w:t>с</w:t>
      </w:r>
      <w:r>
        <w:t>печению равных возможностей женщин и мужчин на 2003−2008 годы и второго Национального плана действий по защите сексуального и репродукти</w:t>
      </w:r>
      <w:r>
        <w:t>в</w:t>
      </w:r>
      <w:r>
        <w:t>ного здоровья (СРЗ). План СРЗ включает восемь областей деятельности, кот</w:t>
      </w:r>
      <w:r>
        <w:t>о</w:t>
      </w:r>
      <w:r>
        <w:t>рые реализуются в рамках системного подхода. Первая область – это безопа</w:t>
      </w:r>
      <w:r>
        <w:t>с</w:t>
      </w:r>
      <w:r>
        <w:t>ное матери</w:t>
      </w:r>
      <w:r>
        <w:t>н</w:t>
      </w:r>
      <w:r>
        <w:t>ство: роды под наблюдением квалифицированного персонала в надлежащих условиях и неотложная акушерская и неонатальная помощь, пр</w:t>
      </w:r>
      <w:r>
        <w:t>е</w:t>
      </w:r>
      <w:r>
        <w:t>доставляемая на основе реальных потребностей. Принимаемые в этой связи меры включают ликвидацию препятствий для обеспечения доступа женщин к медицинским услугам во время беременности, взятие основных анализов, ан</w:t>
      </w:r>
      <w:r>
        <w:t>а</w:t>
      </w:r>
      <w:r>
        <w:t>лизов на СПИД/ВИЧ, введение препаратов, содержащих железо и фолиевую кислоту, проведение экографии и регулярных осмотров шейки матки, а также бесплатных стоматологических осмотров, оказание помощи во время родов, к</w:t>
      </w:r>
      <w:r>
        <w:t>е</w:t>
      </w:r>
      <w:r>
        <w:t>сарево сечение, предоставление помощи в послеродовой период, помощи в сл</w:t>
      </w:r>
      <w:r>
        <w:t>у</w:t>
      </w:r>
      <w:r>
        <w:t>чае плохо произведенных абортов, неотложной помощи роженицам и новоро</w:t>
      </w:r>
      <w:r>
        <w:t>ж</w:t>
      </w:r>
      <w:r>
        <w:t>денным, пребывание в больнице и бесплатное предоставление лекарств и мед</w:t>
      </w:r>
      <w:r>
        <w:t>и</w:t>
      </w:r>
      <w:r>
        <w:t>цинских материалов. Эти меры были предусмотрены в Президентском указе № 10540/2007, который гарантирует бесплатную помощь беременным женщ</w:t>
      </w:r>
      <w:r>
        <w:t>и</w:t>
      </w:r>
      <w:r>
        <w:t>нам и новорожденным во всех медицинских учреждениях Министерства здр</w:t>
      </w:r>
      <w:r>
        <w:t>а</w:t>
      </w:r>
      <w:r>
        <w:t>воохранения и социального обеспечения. Для постепенного осуществления принципа всеобщей полностью бесплатной медицинской помощи Постановл</w:t>
      </w:r>
      <w:r>
        <w:t>е</w:t>
      </w:r>
      <w:r>
        <w:t>ние № 1074/2009 предусматривает безвозмездное оказание медицинских и ст</w:t>
      </w:r>
      <w:r>
        <w:t>о</w:t>
      </w:r>
      <w:r>
        <w:t>матологических услуг, предоставление медикаментов и других материалов, а также услуг скорой помощи во всех больницах, медицинских центрах и пун</w:t>
      </w:r>
      <w:r>
        <w:t>к</w:t>
      </w:r>
      <w:r>
        <w:t xml:space="preserve">тах.  </w:t>
      </w:r>
    </w:p>
    <w:p w:rsidR="00000000" w:rsidRDefault="00000000">
      <w:pPr>
        <w:pStyle w:val="SingleTxtGR"/>
      </w:pPr>
      <w:r>
        <w:t xml:space="preserve">84. </w:t>
      </w:r>
      <w:r>
        <w:tab/>
        <w:t>Что касается планирования семьи, то посредством Закона № 2907 о г</w:t>
      </w:r>
      <w:r>
        <w:t>а</w:t>
      </w:r>
      <w:r>
        <w:t>рантированном бюджете удалось снизить более чем на 2% нехватку ресурсов во всех учреждениях Министерства здравоохранения, благодаря своевременной и надлежащей поставке противозачаточных средств медицинским учрежден</w:t>
      </w:r>
      <w:r>
        <w:t>и</w:t>
      </w:r>
      <w:r>
        <w:t>ям, а также благодаря предоставлению инструментов и групп специалистов наиболее нуждающимся регионам.</w:t>
      </w:r>
    </w:p>
    <w:p w:rsidR="00000000" w:rsidRDefault="00000000">
      <w:pPr>
        <w:pStyle w:val="SingleTxtGR"/>
      </w:pPr>
      <w:r>
        <w:t xml:space="preserve">85. </w:t>
      </w:r>
      <w:r>
        <w:tab/>
        <w:t>Что касается ориентированных на конкретные действия исследований для проведения работы, то в целях выявления, компиляции и распространения и</w:t>
      </w:r>
      <w:r>
        <w:t>н</w:t>
      </w:r>
      <w:r>
        <w:t>формации о факторах и причинах смертности женщин детородного возраста для принятия необходимых превентивных мер был разработан метод РАМОС. Это явилось продолжением усилий, предпринимаемых в рамках Национального плана по защите сексуального и репродуктивного здоровья на 2009−2013 годы в ответ на обязательства, принятые Парагваем в отношении мер по сокращению материнской смертности, в соответствии с  Целями развития 4 и 5, сформул</w:t>
      </w:r>
      <w:r>
        <w:t>и</w:t>
      </w:r>
      <w:r>
        <w:t>рованными в Декларации тысячелетия.</w:t>
      </w:r>
    </w:p>
    <w:p w:rsidR="00000000" w:rsidRDefault="00000000">
      <w:pPr>
        <w:pStyle w:val="SingleTxtGR"/>
      </w:pPr>
      <w:r>
        <w:t xml:space="preserve">86. </w:t>
      </w:r>
      <w:r>
        <w:tab/>
        <w:t>Это исследование охватывает период в один год (1 октября 2007 года – 30 сентября 2008 года). Сообщения были получены по каждому случаю смерти женщины детородного возраста между 10 и 54 годами в трех санитарных зонах с наибольшей плотностью населения этой возрастной группы: Асунсьон, Се</w:t>
      </w:r>
      <w:r>
        <w:t>н</w:t>
      </w:r>
      <w:r>
        <w:t>траль и Альто-Парана.</w:t>
      </w:r>
    </w:p>
    <w:p w:rsidR="00000000" w:rsidRDefault="00000000">
      <w:pPr>
        <w:pStyle w:val="SingleTxtGR"/>
      </w:pPr>
      <w:r>
        <w:t xml:space="preserve">87. </w:t>
      </w:r>
      <w:r>
        <w:tab/>
        <w:t>Был сделан вывод о том, что коэффициент материнской смертности в трех обследованных регионах за этот период составил 98 на 100 000 живоро</w:t>
      </w:r>
      <w:r>
        <w:t>ж</w:t>
      </w:r>
      <w:r>
        <w:t>денных. Главной причиной материнской смертности являлось нарушение кр</w:t>
      </w:r>
      <w:r>
        <w:t>о</w:t>
      </w:r>
      <w:r>
        <w:t>вообращения (33,3%), аборты (23,3%), а третей причиной – кровотечения. Ко</w:t>
      </w:r>
      <w:r>
        <w:t>с</w:t>
      </w:r>
      <w:r>
        <w:t>венные причины вызывают 21,4% случаев материнской смертности, среди к</w:t>
      </w:r>
      <w:r>
        <w:t>о</w:t>
      </w:r>
      <w:r>
        <w:t>торых фигурируют, главным образом, заболевания сердечно-сосудистой сист</w:t>
      </w:r>
      <w:r>
        <w:t>е</w:t>
      </w:r>
      <w:r>
        <w:t>мы. Из 43 случаев материнской смертности женщин, 74,4% женщин имели до</w:t>
      </w:r>
      <w:r>
        <w:t>с</w:t>
      </w:r>
      <w:r>
        <w:t>туп к медицинским услугам во время беременности, а 50% получивших помощь и соответствующую информацию, прошли от одного до пяти врачебных осмо</w:t>
      </w:r>
      <w:r>
        <w:t>т</w:t>
      </w:r>
      <w:r>
        <w:t>ров.</w:t>
      </w:r>
    </w:p>
    <w:p w:rsidR="00000000" w:rsidRDefault="00000000">
      <w:pPr>
        <w:pStyle w:val="SingleTxtGR"/>
      </w:pPr>
      <w:r>
        <w:t xml:space="preserve">88. </w:t>
      </w:r>
      <w:r>
        <w:tab/>
        <w:t>Постановлением Министерства здравоохранения и социального обесп</w:t>
      </w:r>
      <w:r>
        <w:t>е</w:t>
      </w:r>
      <w:r>
        <w:t>чения № 44 от 24 января 2009 года был создан Отдел по вопросам насилия и гендерной проблематики. Этот Отдел является координационным центром для разработки Протокола об оказании помощи жертвам насилия для применения во всех медицинских учреждениях; в этой работе участвуют Министерство здравоохранения, Генеральная прокуратура, Министерство иностранных дел, Национальная полиция, Секретариат по делам женщин и Секретариат по делам детей. Кроме того, включаются гендерные аспекты в планы, программы и пр</w:t>
      </w:r>
      <w:r>
        <w:t>о</w:t>
      </w:r>
      <w:r>
        <w:t>екты Министерства здравоохранения.</w:t>
      </w:r>
    </w:p>
    <w:p w:rsidR="00000000" w:rsidRDefault="00000000">
      <w:pPr>
        <w:pStyle w:val="H23GR"/>
      </w:pPr>
      <w:r>
        <w:tab/>
        <w:t>2.</w:t>
      </w:r>
      <w:r>
        <w:tab/>
        <w:t xml:space="preserve">Достигнутые результаты </w:t>
      </w:r>
    </w:p>
    <w:p w:rsidR="00000000" w:rsidRDefault="00000000">
      <w:pPr>
        <w:pStyle w:val="SingleTxtGR"/>
      </w:pPr>
      <w:r>
        <w:t xml:space="preserve">89. </w:t>
      </w:r>
      <w:r>
        <w:tab/>
        <w:t>Дородовое наблюдение возросло до 90,5% (2008 год), составив четыре врачебных осмотра за все время беременности согласно нормам, установле</w:t>
      </w:r>
      <w:r>
        <w:t>н</w:t>
      </w:r>
      <w:r>
        <w:t>ным Министерством здравоохранения и социального обеспечения. В 2004 году 71,3% беременных женщин прошли как минимум один медицинский осмотр. Также возросло число родов в медицинских учреждениях с 74,1% (2004 год) до 84,6% (2008 год). (Источник: ПЦИН 2008 (СЕПЕП.))</w:t>
      </w:r>
    </w:p>
    <w:p w:rsidR="00000000" w:rsidRDefault="00000000">
      <w:pPr>
        <w:pStyle w:val="SingleTxtGR"/>
      </w:pPr>
      <w:r>
        <w:t xml:space="preserve">90. </w:t>
      </w:r>
      <w:r>
        <w:tab/>
        <w:t>Материнская смертность сократилась с 128,6 (2005 год) до 118,5 (2008 год) на 100 000 живорожденных (Источник: Пособие по эпидемиологич</w:t>
      </w:r>
      <w:r>
        <w:t>е</w:t>
      </w:r>
      <w:r>
        <w:t>скому надзору за состоянием здоровья и смертностью рожениц и новорожде</w:t>
      </w:r>
      <w:r>
        <w:t>н</w:t>
      </w:r>
      <w:r>
        <w:t>ных (Управление биостатистики МЗСО)). Использование современных методов контрацепции замужними женщинами или женщинами, живущими в гражда</w:t>
      </w:r>
      <w:r>
        <w:t>н</w:t>
      </w:r>
      <w:r>
        <w:t>ском браке в возрасте от 15 до 44 лет возросло с 74,1% (в 2004 году) до 84,6% (в 2008 году). В городах районах эта цифра составляет 92,9%, а в сельской м</w:t>
      </w:r>
      <w:r>
        <w:t>е</w:t>
      </w:r>
      <w:r>
        <w:t>стности – 74%; при этом отмечается увеличение объема государственных мед</w:t>
      </w:r>
      <w:r>
        <w:t>и</w:t>
      </w:r>
      <w:r>
        <w:t>цинских услуг с 31,7% до 42,3% (НОСРЗ 2008). Продажа средств контрацепции в аптеках сократилась (16,9%), при сохранении в частном секторе на прежнем уровне (11%). Современные методы контрацепции обеспечиваются бесплатно во всех медицинских учреждениях МЗСО.</w:t>
      </w:r>
    </w:p>
    <w:p w:rsidR="00000000" w:rsidRDefault="00000000">
      <w:pPr>
        <w:pStyle w:val="SingleTxtGR"/>
      </w:pPr>
      <w:r>
        <w:t xml:space="preserve">91. </w:t>
      </w:r>
      <w:r>
        <w:tab/>
        <w:t>Одним из самых отличительных аспектов репродуктивного поведения я</w:t>
      </w:r>
      <w:r>
        <w:t>в</w:t>
      </w:r>
      <w:r>
        <w:t>ляется сокращение рождаемости, которое, по данным НОСРЗ 2008 года, в 1990 году снизилось с 4,6 рождений на одну женщину до 2,5 рождений, что с</w:t>
      </w:r>
      <w:r>
        <w:t>о</w:t>
      </w:r>
      <w:r>
        <w:t>ставляет почти 50-процентное сокращение за последние 20 лет.</w:t>
      </w:r>
    </w:p>
    <w:p w:rsidR="00000000" w:rsidRDefault="00000000">
      <w:pPr>
        <w:pStyle w:val="H1GR"/>
      </w:pPr>
      <w:r>
        <w:tab/>
        <w:t>N.</w:t>
      </w:r>
      <w:r>
        <w:tab/>
        <w:t xml:space="preserve">Пункт 33 </w:t>
      </w:r>
    </w:p>
    <w:p w:rsidR="00000000" w:rsidRDefault="00000000">
      <w:pPr>
        <w:pStyle w:val="H23GR"/>
      </w:pPr>
      <w:r>
        <w:tab/>
        <w:t>1.</w:t>
      </w:r>
      <w:r>
        <w:tab/>
        <w:t>Принятые меры</w:t>
      </w:r>
    </w:p>
    <w:p w:rsidR="00000000" w:rsidRDefault="00000000">
      <w:pPr>
        <w:pStyle w:val="SingleTxtGR"/>
      </w:pPr>
      <w:r>
        <w:t>92.</w:t>
      </w:r>
      <w:r>
        <w:rPr>
          <w:b/>
        </w:rPr>
        <w:t xml:space="preserve"> </w:t>
      </w:r>
      <w:r>
        <w:rPr>
          <w:b/>
        </w:rPr>
        <w:tab/>
      </w:r>
      <w:r>
        <w:t>Министерство здравоохранения и социального обеспечения занимается рассмотрением предлагаемого Министерством решения, позволяющего женщ</w:t>
      </w:r>
      <w:r>
        <w:t>и</w:t>
      </w:r>
      <w:r>
        <w:t>нам получать медицинское обслуживание в связи с плохо сделанными аборт</w:t>
      </w:r>
      <w:r>
        <w:t>а</w:t>
      </w:r>
      <w:r>
        <w:t>ми, при сохранении конфиденциальности.</w:t>
      </w:r>
    </w:p>
    <w:p w:rsidR="00000000" w:rsidRDefault="00000000">
      <w:pPr>
        <w:pStyle w:val="SingleTxtGR"/>
      </w:pPr>
      <w:r>
        <w:t xml:space="preserve">93. </w:t>
      </w:r>
      <w:r>
        <w:tab/>
        <w:t>Предварительный проект о сексуальном и репродуктивном здоровье и здоровье беременных женщин до сих пор не получил отзывов от постоянных комитетов Сената, несмотря на проведение общественных слушаний и по ме</w:t>
      </w:r>
      <w:r>
        <w:t>ж</w:t>
      </w:r>
      <w:r>
        <w:t>ведомственных и межотраслевых мероприятий, необходимых для его изучения и принятия. Первая статья гласит: "Содействовать полному развитию личности посредством уважения, признания и защиты сексуальных и репродуктивных прав в условиях равенства мужчин и женщин".</w:t>
      </w:r>
    </w:p>
    <w:p w:rsidR="00000000" w:rsidRDefault="00000000">
      <w:pPr>
        <w:pStyle w:val="SingleTxtGR"/>
      </w:pPr>
      <w:r>
        <w:t xml:space="preserve">94. </w:t>
      </w:r>
      <w:r>
        <w:tab/>
        <w:t>Были проведены Тематические круглые столы по гендерным вопросам и вопросам здоровья с участием различных государственных учреждений для о</w:t>
      </w:r>
      <w:r>
        <w:t>б</w:t>
      </w:r>
      <w:r>
        <w:t>суждения основных вопросов, связанных с общим состоянием здоровья мужчин и женщин с точки зрения гендерного подхода. При этом обсуждались следу</w:t>
      </w:r>
      <w:r>
        <w:t>ю</w:t>
      </w:r>
      <w:r>
        <w:t>щие темы:</w:t>
      </w:r>
    </w:p>
    <w:p w:rsidR="00000000" w:rsidRDefault="00000000">
      <w:pPr>
        <w:pStyle w:val="SingleTxtGR"/>
      </w:pPr>
      <w:r>
        <w:tab/>
        <w:t xml:space="preserve">a) </w:t>
      </w:r>
      <w:r>
        <w:tab/>
        <w:t>Бесплатные анализы на сифилис и ВИЧ/СПИД для беременных женщин;</w:t>
      </w:r>
    </w:p>
    <w:p w:rsidR="00000000" w:rsidRDefault="00000000">
      <w:pPr>
        <w:pStyle w:val="SingleTxtGR"/>
      </w:pPr>
      <w:r>
        <w:tab/>
        <w:t xml:space="preserve">b) </w:t>
      </w:r>
      <w:r>
        <w:tab/>
        <w:t>Бесплатные заменители материнского молока для женщин с ВИЧ/СПИДом;</w:t>
      </w:r>
    </w:p>
    <w:p w:rsidR="00000000" w:rsidRDefault="00000000">
      <w:pPr>
        <w:pStyle w:val="SingleTxtGR"/>
      </w:pPr>
      <w:r>
        <w:tab/>
        <w:t xml:space="preserve">c) </w:t>
      </w:r>
      <w:r>
        <w:tab/>
        <w:t>Включение гендерного подхода в программы борьбы с туберкул</w:t>
      </w:r>
      <w:r>
        <w:t>е</w:t>
      </w:r>
      <w:r>
        <w:t>зом;</w:t>
      </w:r>
    </w:p>
    <w:p w:rsidR="00000000" w:rsidRDefault="00000000">
      <w:pPr>
        <w:pStyle w:val="SingleTxtGR"/>
      </w:pPr>
      <w:r>
        <w:tab/>
        <w:t xml:space="preserve">d) </w:t>
      </w:r>
      <w:r>
        <w:tab/>
        <w:t>Включение гендерного подхода в программы МЗСО с целью пре</w:t>
      </w:r>
      <w:r>
        <w:t>д</w:t>
      </w:r>
      <w:r>
        <w:t>ставления комплексной программы здоровья мужчин  и женщин, разработанной Секрет</w:t>
      </w:r>
      <w:r>
        <w:t>а</w:t>
      </w:r>
      <w:r>
        <w:t>риатом по делам женщин;</w:t>
      </w:r>
    </w:p>
    <w:p w:rsidR="00000000" w:rsidRDefault="00000000">
      <w:pPr>
        <w:pStyle w:val="SingleTxtGR"/>
      </w:pPr>
      <w:r>
        <w:tab/>
        <w:t xml:space="preserve">e) </w:t>
      </w:r>
      <w:r>
        <w:tab/>
        <w:t>Муниципалитеты с положительной гендерной репутацией с точки зрения заболеваемости ВИЧ/СПИД и другими ЗППП с целью включения этой темы в планы и проекты муниципалитетов департаментов Сентраль, Альто-Парана и Энкарнасьон;</w:t>
      </w:r>
    </w:p>
    <w:p w:rsidR="00000000" w:rsidRDefault="00000000">
      <w:pPr>
        <w:pStyle w:val="SingleTxtGR"/>
      </w:pPr>
      <w:r>
        <w:tab/>
        <w:t xml:space="preserve">f) </w:t>
      </w:r>
      <w:r>
        <w:tab/>
        <w:t>Бюджет системы здравоохранения с учетом гендерной проблемат</w:t>
      </w:r>
      <w:r>
        <w:t>и</w:t>
      </w:r>
      <w:r>
        <w:t>ки.</w:t>
      </w:r>
    </w:p>
    <w:p w:rsidR="00000000" w:rsidRDefault="00000000">
      <w:pPr>
        <w:pStyle w:val="SingleTxtGR"/>
      </w:pPr>
      <w:r>
        <w:t xml:space="preserve">95. </w:t>
      </w:r>
      <w:r>
        <w:tab/>
        <w:t>Во время кампании по профилактике ВИЧ/СПИДа и других ЗППП, пр</w:t>
      </w:r>
      <w:r>
        <w:t>о</w:t>
      </w:r>
      <w:r>
        <w:t>веденной Секретариатом по делам женщин при Президенте Республики при поддержке Панамериканской организации здравоохранения (ПОЗ) были подг</w:t>
      </w:r>
      <w:r>
        <w:t>о</w:t>
      </w:r>
      <w:r>
        <w:t>товлены и опубликованы образовательные материалы (иллюстрации, брошюры и листовки).</w:t>
      </w:r>
    </w:p>
    <w:p w:rsidR="00000000" w:rsidRDefault="00000000">
      <w:pPr>
        <w:pStyle w:val="H23GR"/>
      </w:pPr>
      <w:r>
        <w:tab/>
        <w:t>2.</w:t>
      </w:r>
      <w:r>
        <w:tab/>
        <w:t>Достигнутые результаты</w:t>
      </w:r>
    </w:p>
    <w:p w:rsidR="00000000" w:rsidRDefault="00000000">
      <w:pPr>
        <w:pStyle w:val="SingleTxtGR"/>
      </w:pPr>
      <w:r>
        <w:t xml:space="preserve">96. </w:t>
      </w:r>
      <w:r>
        <w:tab/>
        <w:t>Согласно НОСРЗ 2008, медицинское наблюдение беременных на наци</w:t>
      </w:r>
      <w:r>
        <w:t>о</w:t>
      </w:r>
      <w:r>
        <w:t>нальном уровне возросло до 90,5% (94,4% в городах и 85,4% в сельских ра</w:t>
      </w:r>
      <w:r>
        <w:t>й</w:t>
      </w:r>
      <w:r>
        <w:t>онах)</w:t>
      </w:r>
      <w:r>
        <w:rPr>
          <w:b/>
          <w:bCs/>
        </w:rPr>
        <w:t xml:space="preserve">, </w:t>
      </w:r>
      <w:r>
        <w:t>составив четыре врачебных осмотра за время беременности по нормам МЗСО.</w:t>
      </w:r>
    </w:p>
    <w:p w:rsidR="00000000" w:rsidRDefault="00000000">
      <w:pPr>
        <w:pStyle w:val="SingleTxtGR"/>
      </w:pPr>
      <w:r>
        <w:t xml:space="preserve">97. </w:t>
      </w:r>
      <w:r>
        <w:tab/>
        <w:t>Чаще всего обследования проходят женщины из городских районов, с о</w:t>
      </w:r>
      <w:r>
        <w:t>б</w:t>
      </w:r>
      <w:r>
        <w:t>разованием в 12 или более лет и с высоким социально-экономическим стат</w:t>
      </w:r>
      <w:r>
        <w:t>у</w:t>
      </w:r>
      <w:r>
        <w:t>сом. Возросло и число родов в медицинских учреждениях с 74,1% (2004 год) до 84,6% (2008 год). (Источник: НОСРЗ 2008.) Использование современных мет</w:t>
      </w:r>
      <w:r>
        <w:t>о</w:t>
      </w:r>
      <w:r>
        <w:t>дов контрацепции женщинами в возрасте от 15 до 44 лет увеличилось с 50,7% (в 1995 году) до 79,4% (в 2008 году) (НОСРЗ 2008).</w:t>
      </w:r>
    </w:p>
    <w:p w:rsidR="00000000" w:rsidRDefault="00000000">
      <w:pPr>
        <w:pStyle w:val="SingleTxtGR"/>
      </w:pPr>
      <w:r>
        <w:t xml:space="preserve">98. </w:t>
      </w:r>
      <w:r>
        <w:tab/>
        <w:t>С принятием Закона № 3440/08 вступил в силу новый Уголовный к</w:t>
      </w:r>
      <w:r>
        <w:t>о</w:t>
      </w:r>
      <w:r>
        <w:t>декс, согласно которому аборт по-прежнему квалифицируется как наказуемой деяние, влекущее за собой лишение свободы на срок до двух лет. Указ № 10540/2007 касается оказания помощи беременным женщинам и новорожденным, а реш</w:t>
      </w:r>
      <w:r>
        <w:t>е</w:t>
      </w:r>
      <w:r>
        <w:t>ние № 1074/2009 предусматривает постепенное введение системы всеобщей бесплатной медицинской помощи.</w:t>
      </w:r>
    </w:p>
    <w:p w:rsidR="00000000" w:rsidRDefault="00000000">
      <w:pPr>
        <w:pStyle w:val="H1GR"/>
      </w:pPr>
      <w:r>
        <w:tab/>
        <w:t>O.</w:t>
      </w:r>
      <w:r>
        <w:tab/>
        <w:t>Пункт 34</w:t>
      </w:r>
    </w:p>
    <w:p w:rsidR="00000000" w:rsidRDefault="00000000">
      <w:pPr>
        <w:pStyle w:val="H23GR"/>
      </w:pPr>
      <w:r>
        <w:tab/>
        <w:t>1.</w:t>
      </w:r>
      <w:r>
        <w:tab/>
        <w:t>Принятые меры</w:t>
      </w:r>
    </w:p>
    <w:p w:rsidR="00000000" w:rsidRDefault="00000000">
      <w:pPr>
        <w:pStyle w:val="SingleTxtGR"/>
      </w:pPr>
      <w:r>
        <w:t xml:space="preserve">99. </w:t>
      </w:r>
      <w:r>
        <w:tab/>
        <w:t>В рамках процесса институциональной модернизации Институт развития сельских районов и освоения земель (ИНДЕРТ) создал компьютеризированную базу данных о приобретении земельных участков и владении землей женщин</w:t>
      </w:r>
      <w:r>
        <w:t>а</w:t>
      </w:r>
      <w:r>
        <w:t>ми и мужчинами, используя при этом специальные формуляры, в которых уч</w:t>
      </w:r>
      <w:r>
        <w:t>и</w:t>
      </w:r>
      <w:r>
        <w:t>тываются фактические брачные союзы; в сомнительных случаях земля считае</w:t>
      </w:r>
      <w:r>
        <w:t>т</w:t>
      </w:r>
      <w:r>
        <w:t xml:space="preserve">ся принадлежащей женщине. </w:t>
      </w:r>
    </w:p>
    <w:p w:rsidR="00000000" w:rsidRDefault="00000000">
      <w:pPr>
        <w:pStyle w:val="SingleTxtGR"/>
      </w:pPr>
      <w:r>
        <w:t xml:space="preserve">100. </w:t>
      </w:r>
      <w:r>
        <w:tab/>
        <w:t>Группы лиц, претендующие на приобретение земли, должны включать не менее 30% женщин. Хотя эта позитивная мера не регламентирована, на практ</w:t>
      </w:r>
      <w:r>
        <w:t>и</w:t>
      </w:r>
      <w:r>
        <w:t>ке до принятия решения соответствующим органом, она действует по требов</w:t>
      </w:r>
      <w:r>
        <w:t>а</w:t>
      </w:r>
      <w:r>
        <w:t>нию ИНДЕРТ.</w:t>
      </w:r>
    </w:p>
    <w:p w:rsidR="00000000" w:rsidRDefault="00000000">
      <w:pPr>
        <w:pStyle w:val="SingleTxtGR"/>
      </w:pPr>
      <w:r>
        <w:t xml:space="preserve">101. </w:t>
      </w:r>
      <w:r>
        <w:tab/>
        <w:t>Срок выплаты ссуд составляет, как правило, 10 лет. В случае если пок</w:t>
      </w:r>
      <w:r>
        <w:t>у</w:t>
      </w:r>
      <w:r>
        <w:t>пателем является женщина-глава домашнего хозяйства, этот срок продлевается до 15 лет.</w:t>
      </w:r>
    </w:p>
    <w:p w:rsidR="00000000" w:rsidRDefault="00000000">
      <w:pPr>
        <w:pStyle w:val="SingleTxtGR"/>
      </w:pPr>
      <w:r>
        <w:t xml:space="preserve">102. </w:t>
      </w:r>
      <w:r>
        <w:tab/>
        <w:t>В случае нарушений, связанных с использованием ядохимикатов, пест</w:t>
      </w:r>
      <w:r>
        <w:t>и</w:t>
      </w:r>
      <w:r>
        <w:t>цидом и других подобных веществ, ИНДЕРТ, зафиксировав подобный факт, с</w:t>
      </w:r>
      <w:r>
        <w:t>о</w:t>
      </w:r>
      <w:r>
        <w:t>действует подаче или подает жалобу в Секретариат по окружающей среде (СЕАМ) или в Экологическую прокуратуру. Приобретение земель ИНДЕРТ осуществляется в рамках экологического подхода. Он сотрудничает с разли</w:t>
      </w:r>
      <w:r>
        <w:t>ч</w:t>
      </w:r>
      <w:r>
        <w:t>ными общественными организациями сельских женщин в целях их вовлечения в процесс земельной реформы.</w:t>
      </w:r>
    </w:p>
    <w:p w:rsidR="00000000" w:rsidRDefault="00000000">
      <w:pPr>
        <w:pStyle w:val="SingleTxtGR"/>
      </w:pPr>
      <w:r>
        <w:t xml:space="preserve">103. </w:t>
      </w:r>
      <w:r>
        <w:tab/>
        <w:t>Программа общинного развития (ПРОДЕКО), ориентированная на уязв</w:t>
      </w:r>
      <w:r>
        <w:t>и</w:t>
      </w:r>
      <w:r>
        <w:t>мые группы населения в трех департаментах, осуществила 500 успешных пр</w:t>
      </w:r>
      <w:r>
        <w:t>о</w:t>
      </w:r>
      <w:r>
        <w:t>ектов, 75%  из которых было реализовано в сельской местности. В рамках этой деятельности помощь была оказана 5 106 семьям, 43% которых возглавляют женщины.</w:t>
      </w:r>
    </w:p>
    <w:p w:rsidR="00000000" w:rsidRDefault="00000000">
      <w:pPr>
        <w:pStyle w:val="H1GR"/>
      </w:pPr>
      <w:r>
        <w:tab/>
        <w:t>P.</w:t>
      </w:r>
      <w:r>
        <w:tab/>
        <w:t>Пункт 35</w:t>
      </w:r>
    </w:p>
    <w:p w:rsidR="00000000" w:rsidRDefault="00000000">
      <w:pPr>
        <w:pStyle w:val="H23GR"/>
      </w:pPr>
      <w:r>
        <w:tab/>
        <w:t>1.</w:t>
      </w:r>
      <w:r>
        <w:tab/>
        <w:t>Принятые меры</w:t>
      </w:r>
    </w:p>
    <w:p w:rsidR="00000000" w:rsidRDefault="00000000">
      <w:pPr>
        <w:pStyle w:val="SingleTxtGR"/>
      </w:pPr>
      <w:r>
        <w:t xml:space="preserve">104. </w:t>
      </w:r>
      <w:r>
        <w:tab/>
        <w:t>Управление по гендерным вопросам и сельской молодежи при Генерал</w:t>
      </w:r>
      <w:r>
        <w:t>ь</w:t>
      </w:r>
      <w:r>
        <w:t>ном управлении планирования Министерства сельского хозяйства и животн</w:t>
      </w:r>
      <w:r>
        <w:t>о</w:t>
      </w:r>
      <w:r>
        <w:t>водства с 2006 года занимается анализом доступа женщин к земле (в департ</w:t>
      </w:r>
      <w:r>
        <w:t>а</w:t>
      </w:r>
      <w:r>
        <w:t>ментах, где существуют отделения Управления сельскохозяйственного разв</w:t>
      </w:r>
      <w:r>
        <w:t>и</w:t>
      </w:r>
      <w:r>
        <w:t>тия). Проведенный анализ свидетельствует о низком уровне участия женщин во всех сферах производства и низком уровне государственной помощи со стор</w:t>
      </w:r>
      <w:r>
        <w:t>о</w:t>
      </w:r>
      <w:r>
        <w:t>ны муниципалитетов, канцелярий губернаторов и т.д. На основе этих оценок был разработан оперативный план на 2009 год, который был включен в бю</w:t>
      </w:r>
      <w:r>
        <w:t>д</w:t>
      </w:r>
      <w:r>
        <w:t>жетную подпрограмму Министерства. Этот план был представлен в качестве национального вклада в разработку и реализацию региональной гендерной пр</w:t>
      </w:r>
      <w:r>
        <w:t>о</w:t>
      </w:r>
      <w:r>
        <w:t>граммы, в рамках Специального совещания по проблемам семейного фермерс</w:t>
      </w:r>
      <w:r>
        <w:t>т</w:t>
      </w:r>
      <w:r>
        <w:t>ва (РЕАФ).</w:t>
      </w:r>
    </w:p>
    <w:p w:rsidR="00000000" w:rsidRDefault="00000000">
      <w:pPr>
        <w:pStyle w:val="SingleTxtGR"/>
      </w:pPr>
      <w:r>
        <w:t xml:space="preserve">105. </w:t>
      </w:r>
      <w:r>
        <w:tab/>
        <w:t>Региональная гендерная программа предполагает активизацию реги</w:t>
      </w:r>
      <w:r>
        <w:t>о</w:t>
      </w:r>
      <w:r>
        <w:t>нальной координации и планирования и эффективное включение гендерной перспективы в деятельность семейных фермерских хозяйств в странах МЕРКОСУР. Предлагается усилить гендерную институционализацию и полит</w:t>
      </w:r>
      <w:r>
        <w:t>и</w:t>
      </w:r>
      <w:r>
        <w:t>ку в сфере семейного фермерства в странах МЕРКОСУР и учреждениях, зан</w:t>
      </w:r>
      <w:r>
        <w:t>и</w:t>
      </w:r>
      <w:r>
        <w:t>мающихся данной проблематикой.</w:t>
      </w:r>
    </w:p>
    <w:p w:rsidR="00000000" w:rsidRDefault="00000000">
      <w:pPr>
        <w:pStyle w:val="SingleTxtGR"/>
      </w:pPr>
      <w:r>
        <w:t xml:space="preserve">106. </w:t>
      </w:r>
      <w:r>
        <w:tab/>
        <w:t>Целевая группа по интеграции гендерных вопросов (ЦГ) Министерства сельского хозяйства и животноводства провела исследование получения же</w:t>
      </w:r>
      <w:r>
        <w:t>н</w:t>
      </w:r>
      <w:r>
        <w:t>щинами доступа к земле в департаменте Каагуазу в 2007 году, занимается ос</w:t>
      </w:r>
      <w:r>
        <w:t>у</w:t>
      </w:r>
      <w:r>
        <w:t>ществлением планов работы совместно с Управлением по гендерным вопросам и национальными отделениями РЕАФ, а также участвует в исследовании прои</w:t>
      </w:r>
      <w:r>
        <w:t>з</w:t>
      </w:r>
      <w:r>
        <w:t>водственных цепочек с учетом гендерных показателей для проведения анализа.</w:t>
      </w:r>
    </w:p>
    <w:p w:rsidR="00000000" w:rsidRDefault="00000000">
      <w:pPr>
        <w:pStyle w:val="SingleTxtGR"/>
      </w:pPr>
      <w:r>
        <w:t xml:space="preserve">107. </w:t>
      </w:r>
      <w:r>
        <w:tab/>
        <w:t>В рамках программы Текопора ("Благосостояние") Секретариата по соц</w:t>
      </w:r>
      <w:r>
        <w:t>и</w:t>
      </w:r>
      <w:r>
        <w:t>альным вопросам при Президенте Республики помощь была оказана 19 015 д</w:t>
      </w:r>
      <w:r>
        <w:t>о</w:t>
      </w:r>
      <w:r>
        <w:t>мохозяйствам. В результате этого 83% детей было зарегистрировано, и 76% д</w:t>
      </w:r>
      <w:r>
        <w:t>е</w:t>
      </w:r>
      <w:r>
        <w:t>тей в возрасте до пяти лет имеют медицинскую карточку с указанием сдела</w:t>
      </w:r>
      <w:r>
        <w:t>н</w:t>
      </w:r>
      <w:r>
        <w:t>ных прививок. Данная программа реализуется путем денежных переводов на предъявителя. Получателями являются женщины-главы домашних хозяйств, имеющие на попечении детей школьного возраста, престарелых и инвалидов.</w:t>
      </w:r>
    </w:p>
    <w:p w:rsidR="00000000" w:rsidRDefault="00000000">
      <w:pPr>
        <w:pStyle w:val="SingleTxtGR"/>
      </w:pPr>
      <w:r>
        <w:t xml:space="preserve">108. </w:t>
      </w:r>
      <w:r>
        <w:tab/>
        <w:t>Проект оказания помощи в реализации политики участия женщин в ра</w:t>
      </w:r>
      <w:r>
        <w:t>з</w:t>
      </w:r>
      <w:r>
        <w:t>витии сельских районов и обеспечении продовольственной безопасности Пар</w:t>
      </w:r>
      <w:r>
        <w:t>а</w:t>
      </w:r>
      <w:r>
        <w:t>гвая, одобренный ФАО в 2009 году, осуществляется в целях содействия разр</w:t>
      </w:r>
      <w:r>
        <w:t>а</w:t>
      </w:r>
      <w:r>
        <w:t>ботке и совместному осуществления особой политики в отношении сельских женщин в контексте ПРВ III с учетом гендерного подхода и их индивидуальных и коллективных права. Этот проект реализуется в соответствии с Национал</w:t>
      </w:r>
      <w:r>
        <w:t>ь</w:t>
      </w:r>
      <w:r>
        <w:t>ным планом по обеспечению продовольственного суверенитета безопасности (ПЛАНАЛ) на местном уровне. ПЛАНАЛ координируется отделом по социал</w:t>
      </w:r>
      <w:r>
        <w:t>ь</w:t>
      </w:r>
      <w:r>
        <w:t>ным вопросам и финансируется главным образом ИАМС. Мероприятия по пл</w:t>
      </w:r>
      <w:r>
        <w:t>а</w:t>
      </w:r>
      <w:r>
        <w:t>нированию были проведены совместно с Управлением по гендерным вопросами и вопросам молодежи Министерства сельского хозяйства и животноводства и с участием технического персонала в сельских районах.</w:t>
      </w:r>
    </w:p>
    <w:p w:rsidR="00000000" w:rsidRDefault="00000000">
      <w:pPr>
        <w:pStyle w:val="H1GR"/>
      </w:pPr>
      <w:r>
        <w:tab/>
        <w:t>Q.</w:t>
      </w:r>
      <w:r>
        <w:tab/>
        <w:t>Пункт 36</w:t>
      </w:r>
    </w:p>
    <w:p w:rsidR="00000000" w:rsidRDefault="00000000">
      <w:pPr>
        <w:pStyle w:val="H23GR"/>
      </w:pPr>
      <w:r>
        <w:tab/>
        <w:t>1.</w:t>
      </w:r>
      <w:r>
        <w:tab/>
        <w:t>Пояснение</w:t>
      </w:r>
    </w:p>
    <w:p w:rsidR="00000000" w:rsidRDefault="00000000">
      <w:pPr>
        <w:pStyle w:val="SingleTxtGR"/>
      </w:pPr>
      <w:r>
        <w:t xml:space="preserve">109. </w:t>
      </w:r>
      <w:r>
        <w:tab/>
        <w:t>Гуарани – это язык большинства населения Парагвая (на нем говорит 86% населения, согласно Переписи населения и домохозяйств 2002 года). 27% населения говорит только на гуарани, эта группа называется "одноязычные гуарани" и в 2008 году, согласно постоянному исследованию домашних х</w:t>
      </w:r>
      <w:r>
        <w:t>о</w:t>
      </w:r>
      <w:r>
        <w:t>зяйств, их численность достигла 36,4%. Более половины говорящих на гуарани лиц живут в бедности, а каждый второй из десяти – в условиях крайней нищ</w:t>
      </w:r>
      <w:r>
        <w:t>е</w:t>
      </w:r>
      <w:r>
        <w:t>ты.</w:t>
      </w:r>
    </w:p>
    <w:p w:rsidR="00000000" w:rsidRDefault="00000000">
      <w:pPr>
        <w:pStyle w:val="H23GR"/>
      </w:pPr>
      <w:r>
        <w:tab/>
        <w:t>2.</w:t>
      </w:r>
      <w:r>
        <w:tab/>
        <w:t>Принятые меры</w:t>
      </w:r>
    </w:p>
    <w:p w:rsidR="00000000" w:rsidRDefault="00000000">
      <w:pPr>
        <w:pStyle w:val="SingleTxtGR"/>
      </w:pPr>
      <w:r>
        <w:t xml:space="preserve">110. </w:t>
      </w:r>
      <w:r>
        <w:tab/>
        <w:t>С 2008 года Министерство образования и культуры (МОК) готовит уче</w:t>
      </w:r>
      <w:r>
        <w:t>б</w:t>
      </w:r>
      <w:r>
        <w:t>ные материалы по всем предметам начальной школы на гуарани и на испанском языке для использования будут использоваться в соответствии с родным языком каждого ребенка. ПРИОМЕ (Программа действий по обеспечению равенства образовательных возможностей для женщин МОК-СМПР) производит оценку содержания учебников и рисунков с гендерной точки зрения. В этот период также развивались программы по ликвидации неграмотности, начальному обр</w:t>
      </w:r>
      <w:r>
        <w:t>а</w:t>
      </w:r>
      <w:r>
        <w:t>зованию, общинному развитию и гендерным вопросам для коренных женщин из пяти этнических групп в четырех департаментах страны (МОК/Соглашение Андрес Бельо).</w:t>
      </w:r>
    </w:p>
    <w:p w:rsidR="00000000" w:rsidRDefault="00000000">
      <w:pPr>
        <w:pStyle w:val="SingleTxtGR"/>
      </w:pPr>
      <w:r>
        <w:t xml:space="preserve">111. </w:t>
      </w:r>
      <w:r>
        <w:tab/>
        <w:t>Департамент по ликвидации неграмотности среди взрослых Генерального управления по школьному образованию для коренных народов (ГУОКН) с</w:t>
      </w:r>
      <w:r>
        <w:t>о</w:t>
      </w:r>
      <w:r>
        <w:t>трудничает с Генеральным управлением по постоянному образованию, которое организует программы ликвидации неграмотности для молодежи и взрослых, программы двуязычного начального образования и дистанционного среднего образования. Открытие Образовательных центров для молодежи и взрослых в коренных общинах представляет собой важное средство для предоставления женщинам доступа к образовательным учреждениям. Необходимо отметить, что ГУОКН поощряет и укрепляет репутацию старейшин из числа коренных же</w:t>
      </w:r>
      <w:r>
        <w:t>н</w:t>
      </w:r>
      <w:r>
        <w:t>щин этих общин, учитывая их роль в деле обучения детей сохранению культуры предков, что обеспечивается с помощью программы "Живая школа I" и пр</w:t>
      </w:r>
      <w:r>
        <w:t>о</w:t>
      </w:r>
      <w:r>
        <w:t>граммы "Живая школа II".</w:t>
      </w:r>
    </w:p>
    <w:p w:rsidR="00000000" w:rsidRDefault="00000000">
      <w:pPr>
        <w:pStyle w:val="SingleTxtGR"/>
      </w:pPr>
      <w:r>
        <w:t xml:space="preserve">112. </w:t>
      </w:r>
      <w:r>
        <w:tab/>
        <w:t>В 2009 году была создана Национальная программа помощи коренным народам (ПРОНАПИ), объединяющая и координирующая усилия исполнител</w:t>
      </w:r>
      <w:r>
        <w:t>ь</w:t>
      </w:r>
      <w:r>
        <w:t>ной власти в интересах коренных народов. Хотя первые мероприятия были ор</w:t>
      </w:r>
      <w:r>
        <w:t>и</w:t>
      </w:r>
      <w:r>
        <w:t>ентированы на оказание срочной помощи, особенно в силу чрезвычайного п</w:t>
      </w:r>
      <w:r>
        <w:t>о</w:t>
      </w:r>
      <w:r>
        <w:t>ложения, объявленного в департаментах региона Чако, предполагается, что эта программа постепенно будет обеспечивать предоставление комплексных мер.</w:t>
      </w:r>
    </w:p>
    <w:p w:rsidR="00000000" w:rsidRDefault="00000000">
      <w:pPr>
        <w:pStyle w:val="SingleTxtGR"/>
      </w:pPr>
      <w:r>
        <w:t xml:space="preserve">113. </w:t>
      </w:r>
      <w:r>
        <w:tab/>
        <w:t>Институт коренных народов Парагвая (ИНДИ) работает с коренными н</w:t>
      </w:r>
      <w:r>
        <w:t>а</w:t>
      </w:r>
      <w:r>
        <w:t>родами в рамках Национальной конституции, Декларации Организации Объ</w:t>
      </w:r>
      <w:r>
        <w:t>е</w:t>
      </w:r>
      <w:r>
        <w:t>диненных наций о правах коренных народов, Конвенции МОТ № 169 о коре</w:t>
      </w:r>
      <w:r>
        <w:t>н</w:t>
      </w:r>
      <w:r>
        <w:t>ных народах и народах, ведущих племенной образ жизни, в независимых гос</w:t>
      </w:r>
      <w:r>
        <w:t>у</w:t>
      </w:r>
      <w:r>
        <w:t>дарствах и особенно в рамках Закона № 904 от 1981 года о Статуте коренных народов. За последние годы эта правовая база была дополнена различными юридическ</w:t>
      </w:r>
      <w:r>
        <w:t>и</w:t>
      </w:r>
      <w:r>
        <w:t>ми инструментами, имеющими большое значение для защиты прав коренных народов, такими как Закон об учреждении ГУОКН, Президентский указ о создании ПРОНАПИ и Исполнительный указ о формировании Наци</w:t>
      </w:r>
      <w:r>
        <w:t>о</w:t>
      </w:r>
      <w:r>
        <w:t>нальной сети органов исполнительной власти по правам человека.</w:t>
      </w:r>
    </w:p>
    <w:p w:rsidR="00000000" w:rsidRDefault="00000000">
      <w:pPr>
        <w:pStyle w:val="SingleTxtGR"/>
      </w:pPr>
      <w:r>
        <w:t xml:space="preserve">114. </w:t>
      </w:r>
      <w:r>
        <w:tab/>
        <w:t>Женщины из числа коренных народов в полной мере участвуют в жизни своих общин, в соответствии с их традициями и культурой. В настоящее время коренные народы требуют от государства большего участия, и страна идет н</w:t>
      </w:r>
      <w:r>
        <w:t>а</w:t>
      </w:r>
      <w:r>
        <w:t>встречу этим требованиям путем создания репрезентативной структуры в ра</w:t>
      </w:r>
      <w:r>
        <w:t>м</w:t>
      </w:r>
      <w:r>
        <w:t>ках ИНДИ для всех коренных народов во всем их разнообразии.</w:t>
      </w:r>
    </w:p>
    <w:p w:rsidR="00000000" w:rsidRDefault="00000000">
      <w:pPr>
        <w:pStyle w:val="SingleTxtGR"/>
      </w:pPr>
      <w:r>
        <w:t>115. Третий Национальный план действий по обеспечению равенства возмо</w:t>
      </w:r>
      <w:r>
        <w:t>ж</w:t>
      </w:r>
      <w:r>
        <w:t>ностей женщин и мужчин на 2008−2017 годы, в качестве инструмента разр</w:t>
      </w:r>
      <w:r>
        <w:t>а</w:t>
      </w:r>
      <w:r>
        <w:t>ботки политики и программ для коренных народов предлагает комплексный подход, который позволит принять надлежащие меры в интересах коренных женщин, в каждой из сфер действия Плана, руководствуясь при этом принц</w:t>
      </w:r>
      <w:r>
        <w:t>и</w:t>
      </w:r>
      <w:r>
        <w:t>пом культурного разнообразия, как того требует Декларация Организации Об</w:t>
      </w:r>
      <w:r>
        <w:t>ъ</w:t>
      </w:r>
      <w:r>
        <w:t>единенных Наций о правах коренных народов.</w:t>
      </w:r>
    </w:p>
    <w:p w:rsidR="00000000" w:rsidRDefault="00000000">
      <w:pPr>
        <w:pStyle w:val="SingleTxtGR"/>
      </w:pPr>
      <w:r>
        <w:t xml:space="preserve">116. </w:t>
      </w:r>
      <w:r>
        <w:tab/>
        <w:t>В 2009 году Генеральное управление по статистике, обследованиям и п</w:t>
      </w:r>
      <w:r>
        <w:t>е</w:t>
      </w:r>
      <w:r>
        <w:t>реписям населения реализовало проект "Очевидное неравенство коренных же</w:t>
      </w:r>
      <w:r>
        <w:t>н</w:t>
      </w:r>
      <w:r>
        <w:t>щин, лиц, говорящих на гуарани и лиц африканского происхождения" (по с</w:t>
      </w:r>
      <w:r>
        <w:t>о</w:t>
      </w:r>
      <w:r>
        <w:t>глашению между КОНАМУРИ, ГУОКН и ЮНИФЕМ) и в мае−июне 2008 года провело обследование домашних хозяйств коренных народов с целью сбора данных о доходах коренных народов и их участии в рынке труда. Это явилось первым подобным обследованием, в ходе которого использовались эти показ</w:t>
      </w:r>
      <w:r>
        <w:t>а</w:t>
      </w:r>
      <w:r>
        <w:t>тели и затрагивались основные лингвистические группы, проживающие в о</w:t>
      </w:r>
      <w:r>
        <w:t>с</w:t>
      </w:r>
      <w:r>
        <w:t>новном в сельских районах.</w:t>
      </w:r>
    </w:p>
    <w:p w:rsidR="00000000" w:rsidRDefault="00000000">
      <w:pPr>
        <w:pStyle w:val="SingleTxtGR"/>
      </w:pPr>
      <w:r>
        <w:t xml:space="preserve">117. </w:t>
      </w:r>
      <w:r>
        <w:tab/>
        <w:t>Что касается здоровья детей, то озабоченность вызывает безответстве</w:t>
      </w:r>
      <w:r>
        <w:t>н</w:t>
      </w:r>
      <w:r>
        <w:t>ное использование агрохимических удобрений землевладельцами. Недавно, к</w:t>
      </w:r>
      <w:r>
        <w:t>о</w:t>
      </w:r>
      <w:r>
        <w:t>ренные общины Ипети, Серрито и Такуарузу, Департамент Каазапа, пережили тяжелый период в связи с гибелью нескольких детей. ИНДИ подготовил доклад в связи с  этими случаями и подал жалобу на неизвестных лиц в Генеральную прокуратуру. Инспекция СЕАМ подтвердила, что владельцы полей сои и пш</w:t>
      </w:r>
      <w:r>
        <w:t>е</w:t>
      </w:r>
      <w:r>
        <w:t>ницы, граничащих с этими поселениями, не имели экологической лицензии. В докладе ИНДИ сообщается, что владения этих производителей доходят до с</w:t>
      </w:r>
      <w:r>
        <w:t>а</w:t>
      </w:r>
      <w:r>
        <w:t>мых границ общин коренных народов и не имеют требуемой законом обяз</w:t>
      </w:r>
      <w:r>
        <w:t>а</w:t>
      </w:r>
      <w:r>
        <w:t>тельной 100-метровой полосы безопасности.</w:t>
      </w:r>
    </w:p>
    <w:p w:rsidR="00000000" w:rsidRDefault="00000000">
      <w:pPr>
        <w:pStyle w:val="H1GR"/>
      </w:pPr>
      <w:r>
        <w:tab/>
        <w:t>R.</w:t>
      </w:r>
      <w:r>
        <w:tab/>
        <w:t>Пункт 38</w:t>
      </w:r>
    </w:p>
    <w:p w:rsidR="00000000" w:rsidRDefault="00000000">
      <w:pPr>
        <w:pStyle w:val="H23GR"/>
      </w:pPr>
      <w:r>
        <w:tab/>
        <w:t>1.</w:t>
      </w:r>
      <w:r>
        <w:tab/>
        <w:t>Принятые меры</w:t>
      </w:r>
    </w:p>
    <w:p w:rsidR="00000000" w:rsidRDefault="00000000">
      <w:pPr>
        <w:pStyle w:val="SingleTxtGR"/>
      </w:pPr>
      <w:r>
        <w:t xml:space="preserve">118. </w:t>
      </w:r>
      <w:r>
        <w:rPr>
          <w:b/>
        </w:rPr>
        <w:tab/>
      </w:r>
      <w:r>
        <w:t>К окончанию периода реализации второго Национального плана дейс</w:t>
      </w:r>
      <w:r>
        <w:t>т</w:t>
      </w:r>
      <w:r>
        <w:t>вий по обеспечению равенства возможностей женщин и мужчин Секретариат по д</w:t>
      </w:r>
      <w:r>
        <w:t>е</w:t>
      </w:r>
      <w:r>
        <w:t>лам женщин поручил национальному советнику провести его внутреннюю оценку и сформулировать рекомендации для третьего Национального плана действий.</w:t>
      </w:r>
    </w:p>
    <w:p w:rsidR="00000000" w:rsidRDefault="00000000">
      <w:pPr>
        <w:pStyle w:val="H23GR"/>
      </w:pPr>
      <w:r>
        <w:tab/>
        <w:t>2.</w:t>
      </w:r>
      <w:r>
        <w:tab/>
        <w:t>Достигнутые результаты</w:t>
      </w:r>
    </w:p>
    <w:p w:rsidR="00000000" w:rsidRDefault="00000000">
      <w:pPr>
        <w:pStyle w:val="SingleTxtGR"/>
      </w:pPr>
      <w:r>
        <w:t xml:space="preserve">119. </w:t>
      </w:r>
      <w:r>
        <w:tab/>
        <w:t>Социальный и институциональный анализ участия заинтересованных сторон во втором Национальном плане действий по обеспечению равенства во</w:t>
      </w:r>
      <w:r>
        <w:t>з</w:t>
      </w:r>
      <w:r>
        <w:t>можностей женщин и мужчин и процесса его реализации. Хотя можно упом</w:t>
      </w:r>
      <w:r>
        <w:t>я</w:t>
      </w:r>
      <w:r>
        <w:t>нуть об анализе сферы действия плана, сильные и слабые стороны Секретари</w:t>
      </w:r>
      <w:r>
        <w:t>а</w:t>
      </w:r>
      <w:r>
        <w:t>та по делам женщин представлены в общих выражениях.</w:t>
      </w:r>
    </w:p>
    <w:p w:rsidR="00000000" w:rsidRDefault="00000000">
      <w:pPr>
        <w:pStyle w:val="SingleTxtGR"/>
      </w:pPr>
      <w:r>
        <w:t xml:space="preserve">120. </w:t>
      </w:r>
      <w:r>
        <w:tab/>
        <w:t>Секретариат по делам женщин стал ответственным и законным госуда</w:t>
      </w:r>
      <w:r>
        <w:t>р</w:t>
      </w:r>
      <w:r>
        <w:t>ственным учреждением, занимающимся решением гендерных вопросов и смог создать новые пути для диалога в рамках государственной системы. Он прод</w:t>
      </w:r>
      <w:r>
        <w:t>е</w:t>
      </w:r>
      <w:r>
        <w:t>монстрировал большой потенциал в управлении финансовыми и техническими ресурсами в условиях бюджетного дефицита, и завоевал доверие внешних партнеров.</w:t>
      </w:r>
    </w:p>
    <w:p w:rsidR="00000000" w:rsidRDefault="00000000">
      <w:pPr>
        <w:pStyle w:val="SingleTxtGR"/>
      </w:pPr>
      <w:r>
        <w:t xml:space="preserve">121. </w:t>
      </w:r>
      <w:r>
        <w:tab/>
        <w:t>С 2004 года была обеспечена стабильная работа персонала, и были пре</w:t>
      </w:r>
      <w:r>
        <w:t>д</w:t>
      </w:r>
      <w:r>
        <w:t>приняты усилия по подготовке кадров. Программа институциональной моде</w:t>
      </w:r>
      <w:r>
        <w:t>р</w:t>
      </w:r>
      <w:r>
        <w:t>низации позволила Секретариату консолидировать его институциональную ко</w:t>
      </w:r>
      <w:r>
        <w:t>н</w:t>
      </w:r>
      <w:r>
        <w:t>цепцию посредство определения стратегий, действий и мероприятий, которые ему надлежит осуществить для выполнения его мандата.</w:t>
      </w:r>
    </w:p>
    <w:p w:rsidR="00000000" w:rsidRDefault="00000000">
      <w:pPr>
        <w:pStyle w:val="SingleTxtGR"/>
      </w:pPr>
      <w:r>
        <w:t xml:space="preserve">122. </w:t>
      </w:r>
      <w:r>
        <w:tab/>
        <w:t>Хотя Секретариат по делам женщин признан как орган, отвечающий за гендерные вопросы, сотрудничество и координация с другими учреждениями пока еще остается сложной задачей. Ему не удается влиять на учреждения, принимающие решения, которые имеют кардинальное значение для его фун</w:t>
      </w:r>
      <w:r>
        <w:t>к</w:t>
      </w:r>
      <w:r>
        <w:t>ционирования, например, решения, касающиеся Общенационального бюджета.</w:t>
      </w:r>
    </w:p>
    <w:p w:rsidR="00000000" w:rsidRDefault="00000000">
      <w:pPr>
        <w:pStyle w:val="SingleTxtGR"/>
      </w:pPr>
      <w:r>
        <w:t xml:space="preserve">123. </w:t>
      </w:r>
      <w:r>
        <w:tab/>
        <w:t>В рамках институционального укрепления в настоящее время проводятся консультации по созданию статистической  базы  для третьего Национального плана действий по обеспечению равенства возможностей женщин и мужчин, разработке глобального плана действий в рамках ПРВ III, проведению учебных мероприятий для государственных служащих по вопросам государственной и гендерной политики и налаживанию сотрудничества с гражданским обществом.</w:t>
      </w:r>
    </w:p>
    <w:p w:rsidR="00000000" w:rsidRDefault="00000000">
      <w:pPr>
        <w:pStyle w:val="H1GR"/>
      </w:pPr>
      <w:r>
        <w:tab/>
        <w:t>S.</w:t>
      </w:r>
      <w:r>
        <w:tab/>
        <w:t>Пункт 39</w:t>
      </w:r>
    </w:p>
    <w:p w:rsidR="00000000" w:rsidRDefault="00000000">
      <w:pPr>
        <w:pStyle w:val="SingleTxtGR"/>
      </w:pPr>
      <w:r>
        <w:t xml:space="preserve">124. </w:t>
      </w:r>
      <w:r>
        <w:tab/>
        <w:t>В ответ на это замечание и в соответствии с новыми руководящими при</w:t>
      </w:r>
      <w:r>
        <w:t>н</w:t>
      </w:r>
      <w:r>
        <w:t>ципами Комитета по подготовке страновых докладов в шестом периодическом докладе Парагвая ответы на заключительные замечания 2005 года помещены в начало доклада, с тем, чтобы показать то важное значение, которое он им пр</w:t>
      </w:r>
      <w:r>
        <w:t>и</w:t>
      </w:r>
      <w:r>
        <w:t>дает; во второй части доклада представлена дополнительная информация об осуществлении Конвенции, сгруппированная по соответствующим разделам Конвенции.</w:t>
      </w:r>
    </w:p>
    <w:p w:rsidR="00000000" w:rsidRDefault="00000000">
      <w:pPr>
        <w:pStyle w:val="SingleTxtGR"/>
      </w:pPr>
      <w:r>
        <w:t xml:space="preserve">125. </w:t>
      </w:r>
      <w:r>
        <w:tab/>
        <w:t>Кроме того, на 54-й странице Параллельного доклада (2005 года), подг</w:t>
      </w:r>
      <w:r>
        <w:t>о</w:t>
      </w:r>
      <w:r>
        <w:t>товленного гражданским обществом представлены общие замечания о пятом периодическом докладе Парагвая, в связи с которыми мы считаем необходимым дать ответ по случаю представления настоящего шестого доклада. Они вкл</w:t>
      </w:r>
      <w:r>
        <w:t>ю</w:t>
      </w:r>
      <w:r>
        <w:t>чают:</w:t>
      </w:r>
    </w:p>
    <w:p w:rsidR="00000000" w:rsidRDefault="00000000">
      <w:pPr>
        <w:pStyle w:val="SingleTxtGR"/>
      </w:pPr>
      <w:r>
        <w:tab/>
        <w:t xml:space="preserve">a) </w:t>
      </w:r>
      <w:r>
        <w:tab/>
        <w:t>Местоположение доклада: Шестой периодический доклад Респу</w:t>
      </w:r>
      <w:r>
        <w:t>б</w:t>
      </w:r>
      <w:r>
        <w:t>лики Парагвай представляется Министерством иностранных дел. Обязанность по координации подготовки настоящего доклада в рамках Межведомственного совета по контролю за осуществлением Конвенции была возложена на Секрет</w:t>
      </w:r>
      <w:r>
        <w:t>а</w:t>
      </w:r>
      <w:r>
        <w:t>риат по делам женщин при Президенте Республики. Представлена информация о замечаниях относительно деятельности государственных учреждений и зам</w:t>
      </w:r>
      <w:r>
        <w:t>е</w:t>
      </w:r>
      <w:r>
        <w:t>чания относительно некоторых механизмов сотрудничества с гражданским о</w:t>
      </w:r>
      <w:r>
        <w:t>б</w:t>
      </w:r>
      <w:r>
        <w:t>ществом и другими органами, которые, благодаря гражданскому обществу, б</w:t>
      </w:r>
      <w:r>
        <w:t>ы</w:t>
      </w:r>
      <w:r>
        <w:t>ли включены в государственную систему;</w:t>
      </w:r>
    </w:p>
    <w:p w:rsidR="00000000" w:rsidRDefault="00000000">
      <w:pPr>
        <w:pStyle w:val="SingleTxtGR"/>
      </w:pPr>
      <w:r>
        <w:tab/>
        <w:t xml:space="preserve">b) </w:t>
      </w:r>
      <w:r>
        <w:tab/>
        <w:t>Определение цели и процедуры подготовки доклада: Целью докл</w:t>
      </w:r>
      <w:r>
        <w:t>а</w:t>
      </w:r>
      <w:r>
        <w:t>да является информирование Комитета об осуществлении Конвенции Парагв</w:t>
      </w:r>
      <w:r>
        <w:t>а</w:t>
      </w:r>
      <w:r>
        <w:t>ем, с уделением особого внимания мерам по выполнению заключительных з</w:t>
      </w:r>
      <w:r>
        <w:t>а</w:t>
      </w:r>
      <w:r>
        <w:t>мечаний Комитета и анализу достигнутых успехов и препятствий, которые м</w:t>
      </w:r>
      <w:r>
        <w:t>е</w:t>
      </w:r>
      <w:r>
        <w:t>шают ее по</w:t>
      </w:r>
      <w:r>
        <w:t>л</w:t>
      </w:r>
      <w:r>
        <w:t>ному осуществлению;</w:t>
      </w:r>
    </w:p>
    <w:p w:rsidR="00000000" w:rsidRDefault="00000000">
      <w:pPr>
        <w:pStyle w:val="SingleTxtGR"/>
      </w:pPr>
      <w:r>
        <w:tab/>
        <w:t xml:space="preserve">c) </w:t>
      </w:r>
      <w:r>
        <w:tab/>
        <w:t>Информация о принятых мерах и успехах в деле выполнения рек</w:t>
      </w:r>
      <w:r>
        <w:t>о</w:t>
      </w:r>
      <w:r>
        <w:t>мендаций Комитета: упомянуты новые области работы в гендерной сфере и п</w:t>
      </w:r>
      <w:r>
        <w:t>е</w:t>
      </w:r>
      <w:r>
        <w:t>речислены области, требующие выделения бюджетных средств;</w:t>
      </w:r>
    </w:p>
    <w:p w:rsidR="00000000" w:rsidRDefault="00000000">
      <w:pPr>
        <w:pStyle w:val="SingleTxtGR"/>
      </w:pPr>
      <w:r>
        <w:tab/>
        <w:t xml:space="preserve">d) </w:t>
      </w:r>
      <w:r>
        <w:tab/>
        <w:t>Организация информации для ее лучшего понимания и правильной оценки фактов;</w:t>
      </w:r>
    </w:p>
    <w:p w:rsidR="00000000" w:rsidRDefault="00000000">
      <w:pPr>
        <w:pStyle w:val="SingleTxtGR"/>
      </w:pPr>
      <w:r>
        <w:tab/>
        <w:t xml:space="preserve">e) </w:t>
      </w:r>
      <w:r>
        <w:tab/>
        <w:t>Точность названия и содержания статей: формат доклада, по сра</w:t>
      </w:r>
      <w:r>
        <w:t>в</w:t>
      </w:r>
      <w:r>
        <w:t>нению с ранее представленными, претерпел ряд изменений с точки зрения представления информации. Первая часть содержит ответы на заключительные з</w:t>
      </w:r>
      <w:r>
        <w:t>а</w:t>
      </w:r>
      <w:r>
        <w:t>мечания Комитета 2005 года,  вторая содержит дополнительную информацию об осуществлении Конвенции по различным разделам этого договора. Первая часть разделена на пункты "Принятые меры" и "Достигнутые результаты". Сл</w:t>
      </w:r>
      <w:r>
        <w:t>е</w:t>
      </w:r>
      <w:r>
        <w:t>дует отметить, что подготовка этого доклада способствовала обновлению общ</w:t>
      </w:r>
      <w:r>
        <w:t>е</w:t>
      </w:r>
      <w:r>
        <w:t>го базового документа об осуществлении международных договоров. Эта об</w:t>
      </w:r>
      <w:r>
        <w:t>я</w:t>
      </w:r>
      <w:r>
        <w:t>занность была возложена на Министерство юстиции и труда. Оба доклада были подготовлены в тесном сотрудничестве с Министерством иностранных дел.</w:t>
      </w:r>
    </w:p>
    <w:p w:rsidR="00000000" w:rsidRDefault="00000000">
      <w:pPr>
        <w:pStyle w:val="H1GR"/>
      </w:pPr>
      <w:r>
        <w:tab/>
        <w:t>T.</w:t>
      </w:r>
      <w:r>
        <w:tab/>
        <w:t>Пункт 40</w:t>
      </w:r>
    </w:p>
    <w:p w:rsidR="00000000" w:rsidRDefault="00000000">
      <w:pPr>
        <w:pStyle w:val="SingleTxtGR"/>
      </w:pPr>
      <w:r>
        <w:t xml:space="preserve">126. </w:t>
      </w:r>
      <w:r>
        <w:tab/>
        <w:t>Ниже представлены основные проблемы, которые по-прежнему препя</w:t>
      </w:r>
      <w:r>
        <w:t>т</w:t>
      </w:r>
      <w:r>
        <w:t>ствуют реализации Пекинской декларации и платформы действий, напрямую связанных с Конвенцией (Доклад Парагвая 2009 года):</w:t>
      </w:r>
    </w:p>
    <w:p w:rsidR="00000000" w:rsidRDefault="00000000">
      <w:pPr>
        <w:pStyle w:val="SingleTxtGR"/>
      </w:pPr>
      <w:r>
        <w:tab/>
        <w:t>a)</w:t>
      </w:r>
      <w:r>
        <w:tab/>
        <w:t>Хотя Пекинская платформа действий и Конвенция упоминаются в официальных заявлениях и юридическом контексте, они не учитываются в те</w:t>
      </w:r>
      <w:r>
        <w:t>х</w:t>
      </w:r>
      <w:r>
        <w:t>нических и стратегических программах, разработанных государственными у</w:t>
      </w:r>
      <w:r>
        <w:t>ч</w:t>
      </w:r>
      <w:r>
        <w:t>реждениями. Они также не фигурируют среди показателей процесса осущест</w:t>
      </w:r>
      <w:r>
        <w:t>в</w:t>
      </w:r>
      <w:r>
        <w:t>ления, бюджетных ассигнований, последствий и достигнутых результатов;</w:t>
      </w:r>
    </w:p>
    <w:p w:rsidR="00000000" w:rsidRDefault="00000000">
      <w:pPr>
        <w:pStyle w:val="SingleTxtGR"/>
      </w:pPr>
      <w:r>
        <w:tab/>
        <w:t>b)</w:t>
      </w:r>
      <w:r>
        <w:tab/>
        <w:t>Термины "справедливость" и "равенство" по-прежнему использ</w:t>
      </w:r>
      <w:r>
        <w:t>у</w:t>
      </w:r>
      <w:r>
        <w:t>ются в качестве синонимов или эквивалентов;</w:t>
      </w:r>
    </w:p>
    <w:p w:rsidR="00000000" w:rsidRDefault="00000000">
      <w:pPr>
        <w:pStyle w:val="SingleTxtGR"/>
      </w:pPr>
      <w:r>
        <w:tab/>
        <w:t>c)</w:t>
      </w:r>
      <w:r>
        <w:tab/>
        <w:t>Механизмы гендерной политики сталкиваются со слабостью и</w:t>
      </w:r>
      <w:r>
        <w:t>н</w:t>
      </w:r>
      <w:r>
        <w:t>ституциональной структуры, что проявляется в неучастии в деятельности вы</w:t>
      </w:r>
      <w:r>
        <w:t>с</w:t>
      </w:r>
      <w:r>
        <w:t>ших государственных органов и в сокращении бюджета в целях интеграции генде</w:t>
      </w:r>
      <w:r>
        <w:t>р</w:t>
      </w:r>
      <w:r>
        <w:t>ных вопросов и децентрализации гендерной политики;</w:t>
      </w:r>
    </w:p>
    <w:p w:rsidR="00000000" w:rsidRDefault="00000000">
      <w:pPr>
        <w:pStyle w:val="SingleTxtGR"/>
      </w:pPr>
      <w:r>
        <w:tab/>
        <w:t>d)</w:t>
      </w:r>
      <w:r>
        <w:tab/>
        <w:t>Участие женщин в общественной жизни, на директивных выбо</w:t>
      </w:r>
      <w:r>
        <w:t>р</w:t>
      </w:r>
      <w:r>
        <w:t>ных постах, остается очень ограниченным;</w:t>
      </w:r>
    </w:p>
    <w:p w:rsidR="00000000" w:rsidRDefault="00000000">
      <w:pPr>
        <w:pStyle w:val="SingleTxtGR"/>
      </w:pPr>
      <w:r>
        <w:tab/>
        <w:t>e)</w:t>
      </w:r>
      <w:r>
        <w:tab/>
        <w:t>Хотя статистические данные лучше иллюстрируют положение женщин, они по-прежнему недостаточны и/или мало используются для демо</w:t>
      </w:r>
      <w:r>
        <w:t>н</w:t>
      </w:r>
      <w:r>
        <w:t>страции реального положения женщин, особенно женщин-глав домашних х</w:t>
      </w:r>
      <w:r>
        <w:t>о</w:t>
      </w:r>
      <w:r>
        <w:t>зяйств, к</w:t>
      </w:r>
      <w:r>
        <w:t>о</w:t>
      </w:r>
      <w:r>
        <w:t>ренных женщин и женщин, живущих в условиях бедности;</w:t>
      </w:r>
    </w:p>
    <w:p w:rsidR="00000000" w:rsidRDefault="00000000">
      <w:pPr>
        <w:pStyle w:val="SingleTxtGR"/>
      </w:pPr>
      <w:r>
        <w:tab/>
        <w:t>f)</w:t>
      </w:r>
      <w:r>
        <w:tab/>
        <w:t>В стране по-прежнему отмечаются случаи насилия в семье, жест</w:t>
      </w:r>
      <w:r>
        <w:t>о</w:t>
      </w:r>
      <w:r>
        <w:t>кого обращения по отношению к женщинам и торговли людьми. Эти явления ограничивают возможности участия женщин в процессе развитии;</w:t>
      </w:r>
    </w:p>
    <w:p w:rsidR="00000000" w:rsidRDefault="00000000">
      <w:pPr>
        <w:pStyle w:val="SingleTxtGR"/>
      </w:pPr>
      <w:r>
        <w:tab/>
        <w:t>g)</w:t>
      </w:r>
      <w:r>
        <w:tab/>
        <w:t>Государственные учреждения демонстрируют все большую пол</w:t>
      </w:r>
      <w:r>
        <w:t>и</w:t>
      </w:r>
      <w:r>
        <w:t>тическую открытость по отношению к включению гендерного подхода в свои планы и программы, и в программах, бюджетах и усилиях по координации на высшем уровне учитываются существующие трудности;</w:t>
      </w:r>
    </w:p>
    <w:p w:rsidR="00000000" w:rsidRDefault="00000000">
      <w:pPr>
        <w:pStyle w:val="SingleTxtGR"/>
      </w:pPr>
      <w:r>
        <w:tab/>
        <w:t>h)</w:t>
      </w:r>
      <w:r>
        <w:tab/>
        <w:t>Для развития органам, занимающимся гендерными вопросами н</w:t>
      </w:r>
      <w:r>
        <w:t>е</w:t>
      </w:r>
      <w:r>
        <w:t>обходимы бюджетные и материальные ресурсы, властные полномочия и коо</w:t>
      </w:r>
      <w:r>
        <w:t>р</w:t>
      </w:r>
      <w:r>
        <w:t>динац</w:t>
      </w:r>
      <w:r>
        <w:t>и</w:t>
      </w:r>
      <w:r>
        <w:t>онные усилия;</w:t>
      </w:r>
    </w:p>
    <w:p w:rsidR="00000000" w:rsidRDefault="00000000">
      <w:pPr>
        <w:pStyle w:val="SingleTxtGR"/>
      </w:pPr>
      <w:r>
        <w:tab/>
        <w:t>i)</w:t>
      </w:r>
      <w:r>
        <w:tab/>
        <w:t>Задача сочетания общественного и домашнего труда по-прежнему находится на начальном этапе; в этой связи женщины вынуждены прилагать больше усилий для развития в профессиональном, общественном и политич</w:t>
      </w:r>
      <w:r>
        <w:t>е</w:t>
      </w:r>
      <w:r>
        <w:t>ском плане;</w:t>
      </w:r>
    </w:p>
    <w:p w:rsidR="00000000" w:rsidRDefault="00000000">
      <w:pPr>
        <w:pStyle w:val="SingleTxtGR"/>
      </w:pPr>
      <w:r>
        <w:tab/>
        <w:t>j)</w:t>
      </w:r>
      <w:r>
        <w:tab/>
        <w:t>Специальные меры по сокращению неравенства между женщинами и мужчинами, женщинами из городских и сельских районов, женщинами из разных этнических и расовых групп не принимаются обществом и не имеют стр</w:t>
      </w:r>
      <w:r>
        <w:t>а</w:t>
      </w:r>
      <w:r>
        <w:t>тегической направленности;</w:t>
      </w:r>
    </w:p>
    <w:p w:rsidR="00000000" w:rsidRDefault="00000000">
      <w:pPr>
        <w:pStyle w:val="SingleTxtGR"/>
      </w:pPr>
      <w:r>
        <w:tab/>
        <w:t>k)</w:t>
      </w:r>
      <w:r>
        <w:tab/>
        <w:t>Необходимо усилить действия правительства по борьбе с насилием в семье и торговлей людьми. Главная трудность состоит в объединении уголо</w:t>
      </w:r>
      <w:r>
        <w:t>в</w:t>
      </w:r>
      <w:r>
        <w:t>но-правовой системы с системой реинтеграции жертв и профилактики;</w:t>
      </w:r>
    </w:p>
    <w:p w:rsidR="00000000" w:rsidRDefault="00000000">
      <w:pPr>
        <w:pStyle w:val="SingleTxtGR"/>
      </w:pPr>
      <w:r>
        <w:tab/>
        <w:t>l)</w:t>
      </w:r>
      <w:r>
        <w:tab/>
        <w:t>Необходимо принять меры для облегчения доступа женщин к науке и технологиям;</w:t>
      </w:r>
    </w:p>
    <w:p w:rsidR="00000000" w:rsidRDefault="00000000">
      <w:pPr>
        <w:pStyle w:val="SingleTxtGR"/>
      </w:pPr>
      <w:r>
        <w:tab/>
        <w:t>m)</w:t>
      </w:r>
      <w:r>
        <w:tab/>
        <w:t>Институциональный потенциал Республики Парагвай для развития успехов, достигнутых в международных обязательствах, особенно в сфере ге</w:t>
      </w:r>
      <w:r>
        <w:t>н</w:t>
      </w:r>
      <w:r>
        <w:t>дерной интеграции, остается на рудиментарном уровне.</w:t>
      </w:r>
    </w:p>
    <w:p w:rsidR="00000000" w:rsidRDefault="00000000">
      <w:pPr>
        <w:pStyle w:val="H1GR"/>
      </w:pPr>
      <w:r>
        <w:tab/>
        <w:t>U.</w:t>
      </w:r>
      <w:r>
        <w:tab/>
        <w:t>Пункт 42</w:t>
      </w:r>
    </w:p>
    <w:p w:rsidR="00000000" w:rsidRDefault="00000000">
      <w:pPr>
        <w:pStyle w:val="SingleTxtGR"/>
      </w:pPr>
      <w:r>
        <w:t xml:space="preserve">127. </w:t>
      </w:r>
      <w:r>
        <w:tab/>
        <w:t>Помимо вышеупомянутых мероприятий по популяризации Конвенции, в настоящее время реализуется проект по поощрению и стратегии применения Конвенции о ликвидации всех форм дискриминации в отношении женщин. З</w:t>
      </w:r>
      <w:r>
        <w:t>а</w:t>
      </w:r>
      <w:r>
        <w:t>вершены рабочие совещания во внутренних районах страны, проведенные с участием Совета КЛДЖ, и закончена разработка информационных материалов. Сеть по защите прав человека планирует провести в 2010 году подготовку по положениям о Конвенции и Факультативном протоколе к ней, ориентированную с первую очередь на государственных служащих.</w:t>
      </w:r>
    </w:p>
    <w:p w:rsidR="00000000" w:rsidRDefault="00000000">
      <w:pPr>
        <w:pStyle w:val="HChGR"/>
      </w:pPr>
      <w:r>
        <w:tab/>
        <w:t>III.</w:t>
      </w:r>
      <w:r>
        <w:tab/>
        <w:t>Доклад об осуществлении Конвенции</w:t>
      </w:r>
    </w:p>
    <w:p w:rsidR="00000000" w:rsidRDefault="00000000">
      <w:pPr>
        <w:pStyle w:val="SingleTxtGR"/>
      </w:pPr>
      <w:r>
        <w:t>128.</w:t>
      </w:r>
      <w:r>
        <w:tab/>
        <w:t>Во второй части шестого периодического доклада представлена дополн</w:t>
      </w:r>
      <w:r>
        <w:t>и</w:t>
      </w:r>
      <w:r>
        <w:t>тельная информация об осуществлении Конвенции, в разбивке по ее соответс</w:t>
      </w:r>
      <w:r>
        <w:t>т</w:t>
      </w:r>
      <w:r>
        <w:t>вующим разделам.</w:t>
      </w:r>
    </w:p>
    <w:p w:rsidR="00000000" w:rsidRDefault="00000000">
      <w:pPr>
        <w:pStyle w:val="H1GR"/>
      </w:pPr>
      <w:r>
        <w:tab/>
        <w:t>A.</w:t>
      </w:r>
      <w:r>
        <w:tab/>
        <w:t>Часть I Конвенции</w:t>
      </w:r>
    </w:p>
    <w:p w:rsidR="00000000" w:rsidRDefault="00000000">
      <w:pPr>
        <w:pStyle w:val="SingleTxtGR"/>
      </w:pPr>
      <w:r>
        <w:t xml:space="preserve">129. </w:t>
      </w:r>
      <w:r>
        <w:tab/>
        <w:t>Усилия по облегчению того, чтобы в национальном законодательстве, учитывалась концепция равенства и недискриминации, как она изложена в Ко</w:t>
      </w:r>
      <w:r>
        <w:t>н</w:t>
      </w:r>
      <w:r>
        <w:t>венции, по-прежнему требуют пристального внимания, как и усилия по поо</w:t>
      </w:r>
      <w:r>
        <w:t>щ</w:t>
      </w:r>
      <w:r>
        <w:t>рению и расширению возможностей женщин в политической жизни. Секрет</w:t>
      </w:r>
      <w:r>
        <w:t>а</w:t>
      </w:r>
      <w:r>
        <w:t>риат по делам женщин при Президенте Республики осуществляет процесс ра</w:t>
      </w:r>
      <w:r>
        <w:t>з</w:t>
      </w:r>
      <w:r>
        <w:t>работки важных нормативных дополнений в рамках Конвенции и других дог</w:t>
      </w:r>
      <w:r>
        <w:t>о</w:t>
      </w:r>
      <w:r>
        <w:t>воров о правах человека: речь идет о проекте национального закона о равн</w:t>
      </w:r>
      <w:r>
        <w:t>о</w:t>
      </w:r>
      <w:r>
        <w:t>правии женщин и мужчин, проекте всеобъемлющего закона против насилия в отношении женщин, проекте специального закона о борьбе с торговлей людьми и наказании за нее и изменения в Трудовом кодексе, касающиеся домашнего труда.</w:t>
      </w:r>
    </w:p>
    <w:p w:rsidR="00000000" w:rsidRDefault="00000000">
      <w:pPr>
        <w:pStyle w:val="SingleTxtGR"/>
      </w:pPr>
      <w:r>
        <w:t xml:space="preserve">130. </w:t>
      </w:r>
      <w:r>
        <w:tab/>
        <w:t>Необходимо учитывать как минимум три элемента в этом процессе, кот</w:t>
      </w:r>
      <w:r>
        <w:t>о</w:t>
      </w:r>
      <w:r>
        <w:t>рые проистекают из оценки ПРВ II в сфере равноправия: a) бюджет: в период 2005−2008 годов значительно сократились бюджетные ассигнования на де</w:t>
      </w:r>
      <w:r>
        <w:t>я</w:t>
      </w:r>
      <w:r>
        <w:t>тельность Секретариата по делам женщин, что диктует необходимость пов</w:t>
      </w:r>
      <w:r>
        <w:t>ы</w:t>
      </w:r>
      <w:r>
        <w:t>шения информированности исполнительной и судебной власти; b) Пропаганда и распространение международных соглашений требует подготовки более п</w:t>
      </w:r>
      <w:r>
        <w:t>о</w:t>
      </w:r>
      <w:r>
        <w:t>пуляризированных версий; c) уровень защиты и обеспечения соблюдения прав крайне низок. Необходимо не только способствовать работе механизмов подачи жалоб в случаях насилия в отношении женщин, но и обеспечить создание гос</w:t>
      </w:r>
      <w:r>
        <w:t>у</w:t>
      </w:r>
      <w:r>
        <w:t>дарством экономических и социальных условий, позволяющих продолжать эту де</w:t>
      </w:r>
      <w:r>
        <w:t>я</w:t>
      </w:r>
      <w:r>
        <w:t>тельность.</w:t>
      </w:r>
    </w:p>
    <w:p w:rsidR="00000000" w:rsidRDefault="00000000">
      <w:pPr>
        <w:pStyle w:val="SingleTxtGR"/>
      </w:pPr>
      <w:r>
        <w:t xml:space="preserve">131. </w:t>
      </w:r>
      <w:r>
        <w:tab/>
        <w:t>Основываясь на правозащитном подходе, Секретариат по делам женщин при Президенте Республики предоставляет доклады о правах женщин, поощр</w:t>
      </w:r>
      <w:r>
        <w:t>я</w:t>
      </w:r>
      <w:r>
        <w:t>ет участие женщин во всех сферах и областях общественной и частной жизни и обеспечивает реализацию их гражданских прав. В 2009 году ему удалось ув</w:t>
      </w:r>
      <w:r>
        <w:t>е</w:t>
      </w:r>
      <w:r>
        <w:t>личить ассигнования на деятельность в 2010 году, международные организации сотрудничества одобрили представленные им проекты и были разработаны с</w:t>
      </w:r>
      <w:r>
        <w:t>о</w:t>
      </w:r>
      <w:r>
        <w:t>вместные планы с Бинациональной организацией ИТАИПУ, которая стала чл</w:t>
      </w:r>
      <w:r>
        <w:t>е</w:t>
      </w:r>
      <w:r>
        <w:t>ном Комитета по равноправию женщин и мужчин и способствует реализации успешных проектов в интересах женщин и деятельности для обеспечения жи</w:t>
      </w:r>
      <w:r>
        <w:t>з</w:t>
      </w:r>
      <w:r>
        <w:t>ни без насилия и мер по борьбе с торговлей людьми.</w:t>
      </w:r>
    </w:p>
    <w:p w:rsidR="00000000" w:rsidRDefault="00000000">
      <w:pPr>
        <w:pStyle w:val="SingleTxtGR"/>
      </w:pPr>
      <w:r>
        <w:t xml:space="preserve">132. </w:t>
      </w:r>
      <w:r>
        <w:tab/>
        <w:t>Секретариат по делам женщин отслеживал случаи, которые, по его мн</w:t>
      </w:r>
      <w:r>
        <w:t>е</w:t>
      </w:r>
      <w:r>
        <w:t>нию, являются примерами серьезного нарушения прав человека (сексуальные надругательства, похищение женщин, насилие в семье, торговля людьми и се</w:t>
      </w:r>
      <w:r>
        <w:t>к</w:t>
      </w:r>
      <w:r>
        <w:t>суальные домогательства), о которых было заявлено в соответствующие и</w:t>
      </w:r>
      <w:r>
        <w:t>н</w:t>
      </w:r>
      <w:r>
        <w:t>станции и которые потребовали больших усилий со стороны Секретариата для их разрешения и обеспечения полного соблюдения прав жертв. Отделения Се</w:t>
      </w:r>
      <w:r>
        <w:t>к</w:t>
      </w:r>
      <w:r>
        <w:t>ретариата по делам женщин при канцеляриях губернаторов также участвовали в этом процессе и должны были организовать местные и региональные сети для защиты жертв.</w:t>
      </w:r>
    </w:p>
    <w:p w:rsidR="00000000" w:rsidRDefault="00000000">
      <w:pPr>
        <w:pStyle w:val="SingleTxtGR"/>
      </w:pPr>
      <w:r>
        <w:t xml:space="preserve">133. </w:t>
      </w:r>
      <w:r>
        <w:tab/>
        <w:t>Президентским указом № 2290 от 19 июня 2009 была создана Система органов исполнительной власти по правам человека, и ответственность за коо</w:t>
      </w:r>
      <w:r>
        <w:t>р</w:t>
      </w:r>
      <w:r>
        <w:t>динацию ее работы возложена на заместителя Министра юстиции и по правам человека. Общей целью этой Системы является координация и разработка п</w:t>
      </w:r>
      <w:r>
        <w:t>о</w:t>
      </w:r>
      <w:r>
        <w:t>литики, планов и программ исполнительной власти для совершенствования м</w:t>
      </w:r>
      <w:r>
        <w:t>е</w:t>
      </w:r>
      <w:r>
        <w:t>ханизмов поощрения и защиты прав человека. При технической поддержке О</w:t>
      </w:r>
      <w:r>
        <w:t>р</w:t>
      </w:r>
      <w:r>
        <w:t>ганизации Объединенных Наций и Управления Верховного Комиссара Орган</w:t>
      </w:r>
      <w:r>
        <w:t>и</w:t>
      </w:r>
      <w:r>
        <w:t>зации Объединенных Наций по правам человека был разработан и представлен План действий на 2010−2011 годы. Стратегической целью № 3 этого плана я</w:t>
      </w:r>
      <w:r>
        <w:t>в</w:t>
      </w:r>
      <w:r>
        <w:t>ляется усиление государственных механизмов, ответственных за поощрение гендерного равенства, а конкретная задача заключается в создании механизма принятия мер и проведения проверок, что позволит включить гендерные вопр</w:t>
      </w:r>
      <w:r>
        <w:t>о</w:t>
      </w:r>
      <w:r>
        <w:t>сы в процесс разработки, реализации, контроля и оценки государственной п</w:t>
      </w:r>
      <w:r>
        <w:t>о</w:t>
      </w:r>
      <w:r>
        <w:t>литики.</w:t>
      </w:r>
    </w:p>
    <w:p w:rsidR="00000000" w:rsidRDefault="00000000">
      <w:pPr>
        <w:pStyle w:val="H1GR"/>
      </w:pPr>
      <w:r>
        <w:tab/>
        <w:t>B.</w:t>
      </w:r>
      <w:r>
        <w:tab/>
        <w:t>Часть II Конвенции</w:t>
      </w:r>
    </w:p>
    <w:p w:rsidR="00000000" w:rsidRDefault="00000000">
      <w:pPr>
        <w:pStyle w:val="SingleTxtGR"/>
      </w:pPr>
      <w:r>
        <w:t xml:space="preserve">134. </w:t>
      </w:r>
      <w:r>
        <w:tab/>
        <w:t>Представлена дополнительная информация о программе "Политическое участие в интересах гендерного", разработанной при поддержке ЮНИФЕМ и ПРООН, в рамках которой был создан Отдел по гендерным вопросам при Ве</w:t>
      </w:r>
      <w:r>
        <w:t>р</w:t>
      </w:r>
      <w:r>
        <w:t>ховном суде по вопросам выборов на основании Указа кадровой слу</w:t>
      </w:r>
      <w:r>
        <w:t>ж</w:t>
      </w:r>
      <w:r>
        <w:t>бы/Президентского решения № 130/2009 от 5 марта 2009 года; эта тема также обсуждалась руководителями политических партий.</w:t>
      </w:r>
    </w:p>
    <w:p w:rsidR="00000000" w:rsidRDefault="00000000">
      <w:pPr>
        <w:pStyle w:val="SingleTxtGR"/>
      </w:pPr>
      <w:r>
        <w:t xml:space="preserve">135. </w:t>
      </w:r>
      <w:r>
        <w:tab/>
        <w:t>Были сделаны следующие выводы и определены следующие потребн</w:t>
      </w:r>
      <w:r>
        <w:t>о</w:t>
      </w:r>
      <w:r>
        <w:t>сти:</w:t>
      </w:r>
    </w:p>
    <w:p w:rsidR="00000000" w:rsidRDefault="00000000">
      <w:pPr>
        <w:pStyle w:val="SingleTxtGR"/>
      </w:pPr>
      <w:r>
        <w:tab/>
        <w:t xml:space="preserve">a) </w:t>
      </w:r>
      <w:r>
        <w:tab/>
        <w:t>Муниципальное законодательство: ввиду политических выборов 2010 года необходимо, чтобы женщины, являющиеся кандидатами на муниц</w:t>
      </w:r>
      <w:r>
        <w:t>и</w:t>
      </w:r>
      <w:r>
        <w:t>пальные посты, знали о правовых нормах в гендерной области;</w:t>
      </w:r>
    </w:p>
    <w:p w:rsidR="00000000" w:rsidRDefault="00000000">
      <w:pPr>
        <w:pStyle w:val="SingleTxtGR"/>
      </w:pPr>
      <w:r>
        <w:tab/>
        <w:t xml:space="preserve">b) </w:t>
      </w:r>
      <w:r>
        <w:tab/>
        <w:t>Избирательная система и избирательное законодательство: необх</w:t>
      </w:r>
      <w:r>
        <w:t>о</w:t>
      </w:r>
      <w:r>
        <w:t>димо дальнейшее совершенствование избирательных систем и избирательного законодательства, прав женщин, партийных систем, законодательства о квотах на участие и т.д. Необходимо осуществить и расширить квоты на политическое участие женщин согласно Избирательному кодексу;</w:t>
      </w:r>
    </w:p>
    <w:p w:rsidR="00000000" w:rsidRDefault="00000000">
      <w:pPr>
        <w:pStyle w:val="SingleTxtGR"/>
      </w:pPr>
      <w:r>
        <w:tab/>
        <w:t xml:space="preserve">c) </w:t>
      </w:r>
      <w:r>
        <w:tab/>
        <w:t>Лидерство и переговоры: развить лидерские качества женщин-политиков и их способности по ведению переговоров;</w:t>
      </w:r>
    </w:p>
    <w:p w:rsidR="00000000" w:rsidRDefault="00000000">
      <w:pPr>
        <w:pStyle w:val="SingleTxtGR"/>
      </w:pPr>
      <w:r>
        <w:tab/>
        <w:t xml:space="preserve">d) </w:t>
      </w:r>
      <w:r>
        <w:tab/>
        <w:t>Знания о работе СМПР: распространить информацию о роли и р</w:t>
      </w:r>
      <w:r>
        <w:t>а</w:t>
      </w:r>
      <w:r>
        <w:t>боте СМПР, сферах ее ответственности, деятельности на уровне департаментов и муниц</w:t>
      </w:r>
      <w:r>
        <w:t>и</w:t>
      </w:r>
      <w:r>
        <w:t>палитетов;</w:t>
      </w:r>
    </w:p>
    <w:p w:rsidR="00000000" w:rsidRDefault="00000000">
      <w:pPr>
        <w:pStyle w:val="SingleTxtGR"/>
      </w:pPr>
      <w:r>
        <w:tab/>
        <w:t xml:space="preserve">e) </w:t>
      </w:r>
      <w:r>
        <w:tab/>
        <w:t>Гендерный подход: провести обучение женщин-политиков по в</w:t>
      </w:r>
      <w:r>
        <w:t>о</w:t>
      </w:r>
      <w:r>
        <w:t>просам гендерного подхода, с тем чтобы, придя к власти, они могли отстаивать и обеспечивать соблюдение прав женщин и эффективно представлять их п</w:t>
      </w:r>
      <w:r>
        <w:t>о</w:t>
      </w:r>
      <w:r>
        <w:t>требности;</w:t>
      </w:r>
    </w:p>
    <w:p w:rsidR="00000000" w:rsidRDefault="00000000">
      <w:pPr>
        <w:pStyle w:val="SingleTxtGR"/>
      </w:pPr>
      <w:r>
        <w:tab/>
        <w:t xml:space="preserve">f) </w:t>
      </w:r>
      <w:r>
        <w:tab/>
        <w:t>Системы политического участия и демократия: следует углубить анализ участия женщин в политической жизни страны и структурных причин, которые препятствуют такому участию;</w:t>
      </w:r>
    </w:p>
    <w:p w:rsidR="00000000" w:rsidRDefault="00000000">
      <w:pPr>
        <w:pStyle w:val="SingleTxtGR"/>
      </w:pPr>
      <w:r>
        <w:tab/>
        <w:t xml:space="preserve">g) </w:t>
      </w:r>
      <w:r>
        <w:tab/>
        <w:t>Уставы политических партий: необходимо расширить изучение у</w:t>
      </w:r>
      <w:r>
        <w:t>с</w:t>
      </w:r>
      <w:r>
        <w:t>тавов политических партий, прав и квот женщин, способствуя реализации ге</w:t>
      </w:r>
      <w:r>
        <w:t>н</w:t>
      </w:r>
      <w:r>
        <w:t>дерной политики через деятельность политических партий.</w:t>
      </w:r>
    </w:p>
    <w:p w:rsidR="00000000" w:rsidRDefault="00000000">
      <w:pPr>
        <w:pStyle w:val="SingleTxtGR"/>
        <w:rPr>
          <w:bCs/>
        </w:rPr>
      </w:pPr>
      <w:r>
        <w:rPr>
          <w:bCs/>
        </w:rPr>
        <w:t xml:space="preserve">136. </w:t>
      </w:r>
      <w:r>
        <w:rPr>
          <w:bCs/>
        </w:rPr>
        <w:tab/>
        <w:t>Прилагаются следующие статистические данные:</w:t>
      </w:r>
    </w:p>
    <w:p w:rsidR="00000000" w:rsidRDefault="00000000">
      <w:pPr>
        <w:pStyle w:val="SingleTxtGR"/>
        <w:rPr>
          <w:b/>
          <w:bCs/>
        </w:rPr>
      </w:pPr>
      <w:r>
        <w:rPr>
          <w:bCs/>
        </w:rPr>
        <w:br w:type="page"/>
      </w:r>
      <w:r>
        <w:rPr>
          <w:b/>
        </w:rPr>
        <w:t>Процентное соотношение женщин и мужчин, выставивших свои кандид</w:t>
      </w:r>
      <w:r>
        <w:rPr>
          <w:b/>
        </w:rPr>
        <w:t>а</w:t>
      </w:r>
      <w:r>
        <w:rPr>
          <w:b/>
        </w:rPr>
        <w:t>туры на последних двух национальных выборах, в разбивке  по годам, типу выборов и дол</w:t>
      </w:r>
      <w:r>
        <w:rPr>
          <w:b/>
        </w:rPr>
        <w:t>ж</w:t>
      </w:r>
      <w:r>
        <w:rPr>
          <w:b/>
        </w:rPr>
        <w:t>ностям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007"/>
        <w:gridCol w:w="1889"/>
        <w:gridCol w:w="1237"/>
        <w:gridCol w:w="1237"/>
      </w:tblGrid>
      <w:tr w:rsidR="00000000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96" w:type="dxa"/>
            <w:gridSpan w:val="2"/>
            <w:tcBorders>
              <w:bottom w:val="single" w:sz="2" w:space="0" w:color="auto"/>
            </w:tcBorders>
          </w:tcPr>
          <w:p w:rsidR="00000000" w:rsidRDefault="00000000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Национальные выборы</w:t>
            </w:r>
          </w:p>
        </w:tc>
        <w:tc>
          <w:tcPr>
            <w:tcW w:w="2474" w:type="dxa"/>
            <w:gridSpan w:val="2"/>
            <w:tcBorders>
              <w:bottom w:val="single" w:sz="2" w:space="0" w:color="auto"/>
            </w:tcBorders>
          </w:tcPr>
          <w:p w:rsidR="00000000" w:rsidRDefault="000000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Год</w:t>
            </w:r>
          </w:p>
        </w:tc>
      </w:tr>
      <w:tr w:rsidR="00000000">
        <w:trPr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7" w:type="dxa"/>
            <w:tcBorders>
              <w:top w:val="single" w:sz="2" w:space="0" w:color="auto"/>
              <w:bottom w:val="single" w:sz="12" w:space="0" w:color="auto"/>
            </w:tcBorders>
          </w:tcPr>
          <w:p w:rsidR="00000000" w:rsidRDefault="00000000">
            <w:pPr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Должность</w:t>
            </w:r>
          </w:p>
        </w:tc>
        <w:tc>
          <w:tcPr>
            <w:tcW w:w="1889" w:type="dxa"/>
            <w:tcBorders>
              <w:top w:val="single" w:sz="2" w:space="0" w:color="auto"/>
              <w:bottom w:val="single" w:sz="12" w:space="0" w:color="auto"/>
            </w:tcBorders>
          </w:tcPr>
          <w:p w:rsidR="00000000" w:rsidRDefault="000000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Пол</w:t>
            </w:r>
          </w:p>
        </w:tc>
        <w:tc>
          <w:tcPr>
            <w:tcW w:w="1237" w:type="dxa"/>
            <w:tcBorders>
              <w:top w:val="single" w:sz="2" w:space="0" w:color="auto"/>
              <w:bottom w:val="single" w:sz="12" w:space="0" w:color="auto"/>
            </w:tcBorders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2003</w:t>
            </w:r>
          </w:p>
        </w:tc>
        <w:tc>
          <w:tcPr>
            <w:tcW w:w="1237" w:type="dxa"/>
            <w:tcBorders>
              <w:top w:val="single" w:sz="2" w:space="0" w:color="auto"/>
              <w:bottom w:val="single" w:sz="12" w:space="0" w:color="auto"/>
            </w:tcBorders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2008</w:t>
            </w:r>
          </w:p>
        </w:tc>
      </w:tr>
      <w:tr w:rsidR="00000000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7" w:type="dxa"/>
            <w:vMerge w:val="restart"/>
            <w:tcBorders>
              <w:top w:val="single" w:sz="12" w:space="0" w:color="auto"/>
            </w:tcBorders>
          </w:tcPr>
          <w:p w:rsidR="00000000" w:rsidRDefault="00000000">
            <w:r>
              <w:t>Президент и Вице-президент</w:t>
            </w:r>
          </w:p>
        </w:tc>
        <w:tc>
          <w:tcPr>
            <w:tcW w:w="1889" w:type="dxa"/>
            <w:tcBorders>
              <w:top w:val="single" w:sz="12" w:space="0" w:color="auto"/>
            </w:tcBorders>
          </w:tcPr>
          <w:p w:rsidR="00000000" w:rsidRDefault="000000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Женщины</w:t>
            </w:r>
          </w:p>
        </w:tc>
        <w:tc>
          <w:tcPr>
            <w:tcW w:w="1237" w:type="dxa"/>
            <w:tcBorders>
              <w:top w:val="single" w:sz="12" w:space="0" w:color="auto"/>
            </w:tcBorders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22%</w:t>
            </w:r>
          </w:p>
        </w:tc>
        <w:tc>
          <w:tcPr>
            <w:tcW w:w="1237" w:type="dxa"/>
            <w:tcBorders>
              <w:top w:val="single" w:sz="12" w:space="0" w:color="auto"/>
            </w:tcBorders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21%</w:t>
            </w:r>
          </w:p>
        </w:tc>
      </w:tr>
      <w:tr w:rsidR="00000000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7" w:type="dxa"/>
            <w:vMerge/>
          </w:tcPr>
          <w:p w:rsidR="00000000" w:rsidRDefault="00000000"/>
        </w:tc>
        <w:tc>
          <w:tcPr>
            <w:tcW w:w="1889" w:type="dxa"/>
          </w:tcPr>
          <w:p w:rsidR="00000000" w:rsidRDefault="000000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Мужчины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88%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79%</w:t>
            </w:r>
          </w:p>
        </w:tc>
      </w:tr>
      <w:tr w:rsidR="00000000">
        <w:trPr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7" w:type="dxa"/>
            <w:vMerge w:val="restart"/>
          </w:tcPr>
          <w:p w:rsidR="00000000" w:rsidRDefault="00000000">
            <w:r>
              <w:t>Сенат</w:t>
            </w:r>
          </w:p>
        </w:tc>
        <w:tc>
          <w:tcPr>
            <w:tcW w:w="1889" w:type="dxa"/>
          </w:tcPr>
          <w:p w:rsidR="00000000" w:rsidRDefault="000000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Женщины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36%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36%</w:t>
            </w:r>
          </w:p>
        </w:tc>
      </w:tr>
      <w:tr w:rsidR="00000000">
        <w:trPr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7" w:type="dxa"/>
            <w:vMerge/>
          </w:tcPr>
          <w:p w:rsidR="00000000" w:rsidRDefault="00000000"/>
        </w:tc>
        <w:tc>
          <w:tcPr>
            <w:tcW w:w="1889" w:type="dxa"/>
          </w:tcPr>
          <w:p w:rsidR="00000000" w:rsidRDefault="000000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Мужчины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64%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64%</w:t>
            </w:r>
          </w:p>
        </w:tc>
      </w:tr>
      <w:tr w:rsidR="00000000">
        <w:trPr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7" w:type="dxa"/>
            <w:vMerge w:val="restart"/>
          </w:tcPr>
          <w:p w:rsidR="00000000" w:rsidRDefault="00000000">
            <w:r>
              <w:t>Палата депутатов</w:t>
            </w:r>
          </w:p>
        </w:tc>
        <w:tc>
          <w:tcPr>
            <w:tcW w:w="1889" w:type="dxa"/>
          </w:tcPr>
          <w:p w:rsidR="00000000" w:rsidRDefault="000000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Женщины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30%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32%</w:t>
            </w:r>
          </w:p>
        </w:tc>
      </w:tr>
      <w:tr w:rsidR="00000000">
        <w:trPr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7" w:type="dxa"/>
            <w:vMerge/>
          </w:tcPr>
          <w:p w:rsidR="00000000" w:rsidRDefault="00000000"/>
        </w:tc>
        <w:tc>
          <w:tcPr>
            <w:tcW w:w="1889" w:type="dxa"/>
          </w:tcPr>
          <w:p w:rsidR="00000000" w:rsidRDefault="000000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Мужчины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70%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68%</w:t>
            </w:r>
          </w:p>
        </w:tc>
      </w:tr>
      <w:tr w:rsidR="00000000">
        <w:trPr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7" w:type="dxa"/>
            <w:vMerge w:val="restart"/>
          </w:tcPr>
          <w:p w:rsidR="00000000" w:rsidRDefault="00000000">
            <w:r>
              <w:t>Губернатор</w:t>
            </w:r>
          </w:p>
        </w:tc>
        <w:tc>
          <w:tcPr>
            <w:tcW w:w="1889" w:type="dxa"/>
          </w:tcPr>
          <w:p w:rsidR="00000000" w:rsidRDefault="000000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Женщины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9%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12%</w:t>
            </w:r>
          </w:p>
        </w:tc>
      </w:tr>
      <w:tr w:rsidR="00000000">
        <w:trPr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7" w:type="dxa"/>
            <w:vMerge/>
          </w:tcPr>
          <w:p w:rsidR="00000000" w:rsidRDefault="00000000"/>
        </w:tc>
        <w:tc>
          <w:tcPr>
            <w:tcW w:w="1889" w:type="dxa"/>
          </w:tcPr>
          <w:p w:rsidR="00000000" w:rsidRDefault="000000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Мужчины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91%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88%</w:t>
            </w:r>
          </w:p>
        </w:tc>
      </w:tr>
      <w:tr w:rsidR="00000000">
        <w:trPr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7" w:type="dxa"/>
            <w:vMerge w:val="restart"/>
          </w:tcPr>
          <w:p w:rsidR="00000000" w:rsidRDefault="00000000">
            <w:r>
              <w:t>Совет департамента</w:t>
            </w:r>
          </w:p>
        </w:tc>
        <w:tc>
          <w:tcPr>
            <w:tcW w:w="1889" w:type="dxa"/>
          </w:tcPr>
          <w:p w:rsidR="00000000" w:rsidRDefault="000000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Женщины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29%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33%</w:t>
            </w:r>
          </w:p>
        </w:tc>
      </w:tr>
      <w:tr w:rsidR="00000000">
        <w:trPr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7" w:type="dxa"/>
            <w:vMerge/>
          </w:tcPr>
          <w:p w:rsidR="00000000" w:rsidRDefault="00000000"/>
        </w:tc>
        <w:tc>
          <w:tcPr>
            <w:tcW w:w="1889" w:type="dxa"/>
          </w:tcPr>
          <w:p w:rsidR="00000000" w:rsidRDefault="000000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Мужчины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81%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67%</w:t>
            </w:r>
          </w:p>
        </w:tc>
      </w:tr>
      <w:tr w:rsidR="00000000">
        <w:trPr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7" w:type="dxa"/>
            <w:vMerge w:val="restart"/>
          </w:tcPr>
          <w:p w:rsidR="00000000" w:rsidRDefault="00000000">
            <w:r>
              <w:t>Парламент МЕРКОСУР</w:t>
            </w:r>
          </w:p>
        </w:tc>
        <w:tc>
          <w:tcPr>
            <w:tcW w:w="1889" w:type="dxa"/>
          </w:tcPr>
          <w:p w:rsidR="00000000" w:rsidRDefault="000000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Женщины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39%</w:t>
            </w:r>
          </w:p>
        </w:tc>
      </w:tr>
      <w:tr w:rsidR="00000000">
        <w:trPr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7" w:type="dxa"/>
            <w:vMerge/>
          </w:tcPr>
          <w:p w:rsidR="00000000" w:rsidRDefault="00000000"/>
        </w:tc>
        <w:tc>
          <w:tcPr>
            <w:tcW w:w="1889" w:type="dxa"/>
          </w:tcPr>
          <w:p w:rsidR="00000000" w:rsidRDefault="000000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Мужчины</w:t>
            </w: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37" w:type="dxa"/>
          </w:tcPr>
          <w:p w:rsidR="00000000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61%</w:t>
            </w:r>
          </w:p>
        </w:tc>
      </w:tr>
    </w:tbl>
    <w:p w:rsidR="00000000" w:rsidRDefault="00000000">
      <w:pPr>
        <w:pStyle w:val="SingleTxtGR"/>
        <w:spacing w:before="120"/>
      </w:pPr>
      <w:r>
        <w:rPr>
          <w:b/>
        </w:rPr>
        <w:t>Процентное соотношение женщин и мужчин, выставивших свои кандид</w:t>
      </w:r>
      <w:r>
        <w:rPr>
          <w:b/>
        </w:rPr>
        <w:t>а</w:t>
      </w:r>
      <w:r>
        <w:rPr>
          <w:b/>
        </w:rPr>
        <w:t>туры на последних двух муниципальных выб</w:t>
      </w:r>
      <w:r>
        <w:rPr>
          <w:b/>
        </w:rPr>
        <w:t>о</w:t>
      </w:r>
      <w:r>
        <w:rPr>
          <w:b/>
        </w:rPr>
        <w:t>рах</w:t>
      </w:r>
    </w:p>
    <w:tbl>
      <w:tblPr>
        <w:tblW w:w="7349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82"/>
        <w:gridCol w:w="2047"/>
        <w:gridCol w:w="1246"/>
        <w:gridCol w:w="1074"/>
      </w:tblGrid>
      <w:tr w:rsidR="00000000">
        <w:trPr>
          <w:trHeight w:val="121"/>
        </w:trPr>
        <w:tc>
          <w:tcPr>
            <w:tcW w:w="50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</w:p>
        </w:tc>
        <w:tc>
          <w:tcPr>
            <w:tcW w:w="23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</w:tr>
      <w:tr w:rsidR="00000000">
        <w:trPr>
          <w:trHeight w:val="121"/>
        </w:trPr>
        <w:tc>
          <w:tcPr>
            <w:tcW w:w="29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Должность</w:t>
            </w:r>
          </w:p>
        </w:tc>
        <w:tc>
          <w:tcPr>
            <w:tcW w:w="20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Пол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2001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2006</w:t>
            </w:r>
          </w:p>
        </w:tc>
      </w:tr>
      <w:tr w:rsidR="00000000">
        <w:trPr>
          <w:trHeight w:val="151"/>
        </w:trPr>
        <w:tc>
          <w:tcPr>
            <w:tcW w:w="2982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Глава муниципалит</w:t>
            </w:r>
            <w:r>
              <w:rPr>
                <w:bCs/>
                <w:sz w:val="18"/>
              </w:rPr>
              <w:t>е</w:t>
            </w:r>
            <w:r>
              <w:rPr>
                <w:bCs/>
                <w:sz w:val="18"/>
              </w:rPr>
              <w:t>та</w:t>
            </w:r>
          </w:p>
        </w:tc>
        <w:tc>
          <w:tcPr>
            <w:tcW w:w="20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Женщины</w:t>
            </w:r>
          </w:p>
        </w:tc>
        <w:tc>
          <w:tcPr>
            <w:tcW w:w="12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9%</w:t>
            </w:r>
          </w:p>
        </w:tc>
        <w:tc>
          <w:tcPr>
            <w:tcW w:w="10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9%</w:t>
            </w:r>
          </w:p>
        </w:tc>
      </w:tr>
      <w:tr w:rsidR="00000000">
        <w:trPr>
          <w:trHeight w:val="150"/>
        </w:trPr>
        <w:tc>
          <w:tcPr>
            <w:tcW w:w="2982" w:type="dxa"/>
            <w:vMerge/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</w:p>
        </w:tc>
        <w:tc>
          <w:tcPr>
            <w:tcW w:w="2047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Мужчины</w:t>
            </w:r>
          </w:p>
        </w:tc>
        <w:tc>
          <w:tcPr>
            <w:tcW w:w="124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91%</w:t>
            </w:r>
          </w:p>
        </w:tc>
        <w:tc>
          <w:tcPr>
            <w:tcW w:w="1074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91%</w:t>
            </w:r>
          </w:p>
        </w:tc>
      </w:tr>
      <w:tr w:rsidR="00000000">
        <w:trPr>
          <w:trHeight w:val="151"/>
        </w:trPr>
        <w:tc>
          <w:tcPr>
            <w:tcW w:w="2982" w:type="dxa"/>
            <w:vMerge w:val="restart"/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Совет муниципалит</w:t>
            </w:r>
            <w:r>
              <w:rPr>
                <w:bCs/>
                <w:sz w:val="18"/>
              </w:rPr>
              <w:t>е</w:t>
            </w:r>
            <w:r>
              <w:rPr>
                <w:bCs/>
                <w:sz w:val="18"/>
              </w:rPr>
              <w:t>та</w:t>
            </w:r>
          </w:p>
        </w:tc>
        <w:tc>
          <w:tcPr>
            <w:tcW w:w="2047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Женщины</w:t>
            </w:r>
          </w:p>
        </w:tc>
        <w:tc>
          <w:tcPr>
            <w:tcW w:w="124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26%</w:t>
            </w:r>
          </w:p>
        </w:tc>
        <w:tc>
          <w:tcPr>
            <w:tcW w:w="1074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28%</w:t>
            </w:r>
          </w:p>
        </w:tc>
      </w:tr>
      <w:tr w:rsidR="00000000">
        <w:trPr>
          <w:trHeight w:val="150"/>
        </w:trPr>
        <w:tc>
          <w:tcPr>
            <w:tcW w:w="298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</w:p>
        </w:tc>
        <w:tc>
          <w:tcPr>
            <w:tcW w:w="204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Мужчины</w:t>
            </w:r>
          </w:p>
        </w:tc>
        <w:tc>
          <w:tcPr>
            <w:tcW w:w="12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74%</w:t>
            </w:r>
          </w:p>
        </w:tc>
        <w:tc>
          <w:tcPr>
            <w:tcW w:w="107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72%</w:t>
            </w:r>
          </w:p>
        </w:tc>
      </w:tr>
    </w:tbl>
    <w:p w:rsidR="00000000" w:rsidRDefault="00000000">
      <w:pPr>
        <w:pStyle w:val="SingleTxtGR"/>
        <w:spacing w:before="120"/>
      </w:pPr>
      <w:r>
        <w:rPr>
          <w:b/>
        </w:rPr>
        <w:t>Процент избранных женщин − Национальные выборы</w:t>
      </w:r>
    </w:p>
    <w:tbl>
      <w:tblPr>
        <w:tblW w:w="7370" w:type="dxa"/>
        <w:tblInd w:w="1134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66"/>
        <w:gridCol w:w="900"/>
        <w:gridCol w:w="1080"/>
        <w:gridCol w:w="1080"/>
        <w:gridCol w:w="944"/>
      </w:tblGrid>
      <w:tr w:rsidR="00000000">
        <w:trPr>
          <w:trHeight w:val="90"/>
        </w:trPr>
        <w:tc>
          <w:tcPr>
            <w:tcW w:w="3366" w:type="dxa"/>
            <w:tcBorders>
              <w:bottom w:val="nil"/>
              <w:right w:val="nil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rPr>
                <w:b/>
                <w:i/>
                <w:sz w:val="16"/>
              </w:rPr>
            </w:pPr>
          </w:p>
        </w:tc>
        <w:tc>
          <w:tcPr>
            <w:tcW w:w="4004" w:type="dxa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</w:tr>
      <w:tr w:rsidR="00000000">
        <w:trPr>
          <w:trHeight w:val="90"/>
        </w:trPr>
        <w:tc>
          <w:tcPr>
            <w:tcW w:w="336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Должность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1993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1998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2003</w:t>
            </w:r>
          </w:p>
        </w:tc>
        <w:tc>
          <w:tcPr>
            <w:tcW w:w="9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2008</w:t>
            </w:r>
          </w:p>
        </w:tc>
      </w:tr>
      <w:tr w:rsidR="00000000">
        <w:tc>
          <w:tcPr>
            <w:tcW w:w="3366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Сенаторы</w:t>
            </w:r>
          </w:p>
        </w:tc>
        <w:tc>
          <w:tcPr>
            <w:tcW w:w="900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11%</w:t>
            </w:r>
          </w:p>
        </w:tc>
        <w:tc>
          <w:tcPr>
            <w:tcW w:w="1080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18%</w:t>
            </w:r>
          </w:p>
        </w:tc>
        <w:tc>
          <w:tcPr>
            <w:tcW w:w="1080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11%</w:t>
            </w:r>
          </w:p>
        </w:tc>
        <w:tc>
          <w:tcPr>
            <w:tcW w:w="944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16%</w:t>
            </w:r>
          </w:p>
        </w:tc>
      </w:tr>
      <w:tr w:rsidR="00000000">
        <w:tc>
          <w:tcPr>
            <w:tcW w:w="336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Депутаты</w:t>
            </w:r>
          </w:p>
        </w:tc>
        <w:tc>
          <w:tcPr>
            <w:tcW w:w="90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2,5%</w:t>
            </w: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2,5%</w:t>
            </w: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8%</w:t>
            </w:r>
          </w:p>
        </w:tc>
        <w:tc>
          <w:tcPr>
            <w:tcW w:w="94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12,5%</w:t>
            </w:r>
          </w:p>
        </w:tc>
      </w:tr>
      <w:tr w:rsidR="00000000">
        <w:tc>
          <w:tcPr>
            <w:tcW w:w="336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Губернаторы</w:t>
            </w:r>
          </w:p>
        </w:tc>
        <w:tc>
          <w:tcPr>
            <w:tcW w:w="90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0%</w:t>
            </w: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0%</w:t>
            </w: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0,17%</w:t>
            </w:r>
          </w:p>
        </w:tc>
        <w:tc>
          <w:tcPr>
            <w:tcW w:w="94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0,17%</w:t>
            </w:r>
          </w:p>
        </w:tc>
      </w:tr>
      <w:tr w:rsidR="00000000">
        <w:tc>
          <w:tcPr>
            <w:tcW w:w="336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Советники д</w:t>
            </w:r>
            <w:r>
              <w:rPr>
                <w:bCs/>
                <w:sz w:val="18"/>
              </w:rPr>
              <w:t>е</w:t>
            </w:r>
            <w:r>
              <w:rPr>
                <w:bCs/>
                <w:sz w:val="18"/>
              </w:rPr>
              <w:t>партамента</w:t>
            </w:r>
          </w:p>
        </w:tc>
        <w:tc>
          <w:tcPr>
            <w:tcW w:w="90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4,5%</w:t>
            </w: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7%</w:t>
            </w:r>
          </w:p>
        </w:tc>
        <w:tc>
          <w:tcPr>
            <w:tcW w:w="108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13%</w:t>
            </w:r>
          </w:p>
        </w:tc>
        <w:tc>
          <w:tcPr>
            <w:tcW w:w="94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18,2%</w:t>
            </w:r>
          </w:p>
        </w:tc>
      </w:tr>
      <w:tr w:rsidR="00000000">
        <w:tc>
          <w:tcPr>
            <w:tcW w:w="3366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Члены парламе</w:t>
            </w:r>
            <w:r>
              <w:rPr>
                <w:bCs/>
                <w:sz w:val="18"/>
              </w:rPr>
              <w:t>н</w:t>
            </w:r>
            <w:r>
              <w:rPr>
                <w:bCs/>
                <w:sz w:val="18"/>
              </w:rPr>
              <w:t>та МЕРКОСУР</w:t>
            </w:r>
          </w:p>
        </w:tc>
        <w:tc>
          <w:tcPr>
            <w:tcW w:w="900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</w:p>
        </w:tc>
        <w:tc>
          <w:tcPr>
            <w:tcW w:w="944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16,7%</w:t>
            </w:r>
          </w:p>
        </w:tc>
      </w:tr>
    </w:tbl>
    <w:p w:rsidR="00000000" w:rsidRDefault="00000000">
      <w:pPr>
        <w:spacing w:before="40" w:after="40" w:line="220" w:lineRule="exact"/>
        <w:rPr>
          <w:sz w:val="18"/>
        </w:rPr>
      </w:pPr>
    </w:p>
    <w:p w:rsidR="00000000" w:rsidRDefault="00000000">
      <w:pPr>
        <w:pStyle w:val="SingleTxtGR"/>
        <w:spacing w:before="120"/>
      </w:pPr>
      <w:r>
        <w:rPr>
          <w:sz w:val="18"/>
        </w:rPr>
        <w:br w:type="page"/>
      </w:r>
      <w:r>
        <w:rPr>
          <w:b/>
        </w:rPr>
        <w:t>Процент избранных женщин − Муниципальные выборы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86"/>
        <w:gridCol w:w="1800"/>
        <w:gridCol w:w="1260"/>
        <w:gridCol w:w="1124"/>
      </w:tblGrid>
      <w:tr w:rsidR="00000000">
        <w:trPr>
          <w:trHeight w:val="90"/>
        </w:trPr>
        <w:tc>
          <w:tcPr>
            <w:tcW w:w="31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41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</w:tr>
      <w:tr w:rsidR="00000000">
        <w:trPr>
          <w:trHeight w:val="90"/>
        </w:trPr>
        <w:tc>
          <w:tcPr>
            <w:tcW w:w="318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Должность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1996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2001</w:t>
            </w:r>
          </w:p>
        </w:tc>
        <w:tc>
          <w:tcPr>
            <w:tcW w:w="11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2006</w:t>
            </w:r>
          </w:p>
        </w:tc>
      </w:tr>
      <w:tr w:rsidR="00000000">
        <w:tc>
          <w:tcPr>
            <w:tcW w:w="318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Главы муниципалит</w:t>
            </w:r>
            <w:r>
              <w:rPr>
                <w:bCs/>
                <w:sz w:val="18"/>
              </w:rPr>
              <w:t>е</w:t>
            </w:r>
            <w:r>
              <w:rPr>
                <w:bCs/>
                <w:sz w:val="18"/>
              </w:rPr>
              <w:t>тов</w:t>
            </w:r>
          </w:p>
        </w:tc>
        <w:tc>
          <w:tcPr>
            <w:tcW w:w="180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4%</w:t>
            </w:r>
          </w:p>
        </w:tc>
        <w:tc>
          <w:tcPr>
            <w:tcW w:w="12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5%</w:t>
            </w:r>
          </w:p>
        </w:tc>
        <w:tc>
          <w:tcPr>
            <w:tcW w:w="112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5%</w:t>
            </w:r>
          </w:p>
        </w:tc>
      </w:tr>
      <w:tr w:rsidR="00000000">
        <w:tc>
          <w:tcPr>
            <w:tcW w:w="318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Советники муницип</w:t>
            </w:r>
            <w:r>
              <w:rPr>
                <w:bCs/>
                <w:sz w:val="18"/>
              </w:rPr>
              <w:t>а</w:t>
            </w:r>
            <w:r>
              <w:rPr>
                <w:bCs/>
                <w:sz w:val="18"/>
              </w:rPr>
              <w:t>литетов</w:t>
            </w:r>
          </w:p>
        </w:tc>
        <w:tc>
          <w:tcPr>
            <w:tcW w:w="180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14%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18%</w:t>
            </w:r>
          </w:p>
        </w:tc>
        <w:tc>
          <w:tcPr>
            <w:tcW w:w="112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20%</w:t>
            </w:r>
          </w:p>
        </w:tc>
      </w:tr>
    </w:tbl>
    <w:p w:rsidR="00000000" w:rsidRDefault="00000000">
      <w:pPr>
        <w:pStyle w:val="SingleTxtGR"/>
        <w:spacing w:before="120"/>
      </w:pPr>
      <w:r>
        <w:t xml:space="preserve">137. </w:t>
      </w:r>
      <w:r>
        <w:tab/>
        <w:t>Далее указывается число женщин и мужчин, которые были избраны на следующие государственные посты на последних двух выборах:</w:t>
      </w:r>
    </w:p>
    <w:p w:rsidR="00000000" w:rsidRDefault="00000000">
      <w:pPr>
        <w:pStyle w:val="SingleTxtGR"/>
        <w:spacing w:before="120"/>
        <w:rPr>
          <w:b/>
        </w:rPr>
      </w:pPr>
      <w:r>
        <w:rPr>
          <w:b/>
        </w:rPr>
        <w:t>Национальные выборы</w:t>
      </w:r>
    </w:p>
    <w:tbl>
      <w:tblPr>
        <w:tblW w:w="7370" w:type="dxa"/>
        <w:tblInd w:w="113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0"/>
        <w:gridCol w:w="1558"/>
        <w:gridCol w:w="1476"/>
        <w:gridCol w:w="1476"/>
      </w:tblGrid>
      <w:tr w:rsidR="00000000">
        <w:trPr>
          <w:trHeight w:val="121"/>
        </w:trPr>
        <w:tc>
          <w:tcPr>
            <w:tcW w:w="44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Число избранных женщин и му</w:t>
            </w:r>
            <w:r>
              <w:rPr>
                <w:i/>
                <w:sz w:val="16"/>
              </w:rPr>
              <w:t>ж</w:t>
            </w:r>
            <w:r>
              <w:rPr>
                <w:i/>
                <w:sz w:val="16"/>
              </w:rPr>
              <w:t>чин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</w:tr>
      <w:tr w:rsidR="00000000">
        <w:trPr>
          <w:trHeight w:val="121"/>
        </w:trPr>
        <w:tc>
          <w:tcPr>
            <w:tcW w:w="28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Должность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Пол</w:t>
            </w:r>
          </w:p>
        </w:tc>
        <w:tc>
          <w:tcPr>
            <w:tcW w:w="14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2003</w:t>
            </w:r>
          </w:p>
        </w:tc>
        <w:tc>
          <w:tcPr>
            <w:tcW w:w="14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2008</w:t>
            </w:r>
          </w:p>
        </w:tc>
      </w:tr>
      <w:tr w:rsidR="00000000">
        <w:tc>
          <w:tcPr>
            <w:tcW w:w="2860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Президент и Вице-президент</w:t>
            </w: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Женщины</w:t>
            </w:r>
          </w:p>
        </w:tc>
        <w:tc>
          <w:tcPr>
            <w:tcW w:w="14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0</w:t>
            </w:r>
          </w:p>
        </w:tc>
        <w:tc>
          <w:tcPr>
            <w:tcW w:w="14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0</w:t>
            </w:r>
          </w:p>
        </w:tc>
      </w:tr>
      <w:tr w:rsidR="00000000">
        <w:tc>
          <w:tcPr>
            <w:tcW w:w="2860" w:type="dxa"/>
            <w:vMerge/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</w:p>
        </w:tc>
        <w:tc>
          <w:tcPr>
            <w:tcW w:w="1558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Мужчины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2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2</w:t>
            </w:r>
          </w:p>
        </w:tc>
      </w:tr>
      <w:tr w:rsidR="00000000">
        <w:tc>
          <w:tcPr>
            <w:tcW w:w="2860" w:type="dxa"/>
            <w:vMerge w:val="restart"/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Сенат</w:t>
            </w:r>
          </w:p>
        </w:tc>
        <w:tc>
          <w:tcPr>
            <w:tcW w:w="1558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Женщины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4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7</w:t>
            </w:r>
          </w:p>
        </w:tc>
      </w:tr>
      <w:tr w:rsidR="00000000">
        <w:tc>
          <w:tcPr>
            <w:tcW w:w="2860" w:type="dxa"/>
            <w:vMerge/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</w:p>
        </w:tc>
        <w:tc>
          <w:tcPr>
            <w:tcW w:w="1558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Мужчины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41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38</w:t>
            </w:r>
          </w:p>
        </w:tc>
      </w:tr>
      <w:tr w:rsidR="00000000">
        <w:tc>
          <w:tcPr>
            <w:tcW w:w="2860" w:type="dxa"/>
            <w:vMerge w:val="restart"/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Палата депутатов</w:t>
            </w:r>
          </w:p>
        </w:tc>
        <w:tc>
          <w:tcPr>
            <w:tcW w:w="1558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Женщины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8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10</w:t>
            </w:r>
          </w:p>
        </w:tc>
      </w:tr>
      <w:tr w:rsidR="00000000">
        <w:tc>
          <w:tcPr>
            <w:tcW w:w="2860" w:type="dxa"/>
            <w:vMerge/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</w:p>
        </w:tc>
        <w:tc>
          <w:tcPr>
            <w:tcW w:w="1558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Мужчины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72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70</w:t>
            </w:r>
          </w:p>
        </w:tc>
      </w:tr>
      <w:tr w:rsidR="00000000">
        <w:tc>
          <w:tcPr>
            <w:tcW w:w="2860" w:type="dxa"/>
            <w:vMerge w:val="restart"/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Губернатор</w:t>
            </w:r>
          </w:p>
        </w:tc>
        <w:tc>
          <w:tcPr>
            <w:tcW w:w="1558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Женщины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</w:t>
            </w:r>
          </w:p>
        </w:tc>
      </w:tr>
      <w:tr w:rsidR="00000000">
        <w:tc>
          <w:tcPr>
            <w:tcW w:w="2860" w:type="dxa"/>
            <w:vMerge/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</w:p>
        </w:tc>
        <w:tc>
          <w:tcPr>
            <w:tcW w:w="1558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Мужчины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16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16</w:t>
            </w:r>
          </w:p>
        </w:tc>
      </w:tr>
      <w:tr w:rsidR="00000000">
        <w:tc>
          <w:tcPr>
            <w:tcW w:w="2860" w:type="dxa"/>
            <w:vMerge w:val="restart"/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Совет департамента</w:t>
            </w:r>
          </w:p>
        </w:tc>
        <w:tc>
          <w:tcPr>
            <w:tcW w:w="1558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Женщины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27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40</w:t>
            </w:r>
          </w:p>
        </w:tc>
      </w:tr>
      <w:tr w:rsidR="00000000">
        <w:tc>
          <w:tcPr>
            <w:tcW w:w="2860" w:type="dxa"/>
            <w:vMerge/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</w:p>
        </w:tc>
        <w:tc>
          <w:tcPr>
            <w:tcW w:w="1558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Мужчины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164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174</w:t>
            </w:r>
          </w:p>
        </w:tc>
      </w:tr>
      <w:tr w:rsidR="00000000">
        <w:tc>
          <w:tcPr>
            <w:tcW w:w="2860" w:type="dxa"/>
            <w:vMerge w:val="restart"/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Парламент МЕРКОСУР</w:t>
            </w:r>
          </w:p>
        </w:tc>
        <w:tc>
          <w:tcPr>
            <w:tcW w:w="1558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Женщины</w:t>
            </w: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</w:p>
        </w:tc>
        <w:tc>
          <w:tcPr>
            <w:tcW w:w="1476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3</w:t>
            </w:r>
          </w:p>
        </w:tc>
      </w:tr>
      <w:tr w:rsidR="00000000">
        <w:tc>
          <w:tcPr>
            <w:tcW w:w="2860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</w:p>
        </w:tc>
        <w:tc>
          <w:tcPr>
            <w:tcW w:w="15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Мужчины</w:t>
            </w:r>
          </w:p>
        </w:tc>
        <w:tc>
          <w:tcPr>
            <w:tcW w:w="147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</w:p>
        </w:tc>
        <w:tc>
          <w:tcPr>
            <w:tcW w:w="147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15</w:t>
            </w:r>
          </w:p>
        </w:tc>
      </w:tr>
    </w:tbl>
    <w:p w:rsidR="00000000" w:rsidRDefault="00000000">
      <w:pPr>
        <w:pStyle w:val="SingleTxtGR"/>
        <w:spacing w:before="120"/>
      </w:pPr>
      <w:r>
        <w:rPr>
          <w:b/>
        </w:rPr>
        <w:t>Муниципальные выборы</w:t>
      </w:r>
    </w:p>
    <w:tbl>
      <w:tblPr>
        <w:tblW w:w="7368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4"/>
        <w:gridCol w:w="1091"/>
        <w:gridCol w:w="10"/>
        <w:gridCol w:w="1218"/>
        <w:gridCol w:w="1229"/>
        <w:gridCol w:w="1228"/>
        <w:gridCol w:w="1228"/>
      </w:tblGrid>
      <w:tr w:rsidR="00000000">
        <w:trPr>
          <w:trHeight w:val="121"/>
        </w:trPr>
        <w:tc>
          <w:tcPr>
            <w:tcW w:w="246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</w:p>
        </w:tc>
        <w:tc>
          <w:tcPr>
            <w:tcW w:w="49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</w:tr>
      <w:tr w:rsidR="00000000">
        <w:trPr>
          <w:trHeight w:val="121"/>
        </w:trPr>
        <w:tc>
          <w:tcPr>
            <w:tcW w:w="2466" w:type="dxa"/>
            <w:gridSpan w:val="3"/>
            <w:shd w:val="clear" w:color="auto" w:fill="auto"/>
            <w:vAlign w:val="center"/>
          </w:tcPr>
          <w:p w:rsidR="00000000" w:rsidRDefault="00000000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2001</w:t>
            </w:r>
          </w:p>
        </w:tc>
        <w:tc>
          <w:tcPr>
            <w:tcW w:w="245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2006</w:t>
            </w:r>
          </w:p>
        </w:tc>
      </w:tr>
      <w:tr w:rsidR="00000000">
        <w:trPr>
          <w:trHeight w:val="121"/>
        </w:trPr>
        <w:tc>
          <w:tcPr>
            <w:tcW w:w="136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Пост</w:t>
            </w:r>
          </w:p>
        </w:tc>
        <w:tc>
          <w:tcPr>
            <w:tcW w:w="1091" w:type="dxa"/>
            <w:tcBorders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Пол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Кандидаты</w:t>
            </w:r>
          </w:p>
        </w:tc>
        <w:tc>
          <w:tcPr>
            <w:tcW w:w="12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Избранные</w:t>
            </w:r>
          </w:p>
        </w:tc>
        <w:tc>
          <w:tcPr>
            <w:tcW w:w="12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Кандидаты</w:t>
            </w:r>
          </w:p>
        </w:tc>
        <w:tc>
          <w:tcPr>
            <w:tcW w:w="12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00000" w:rsidRDefault="00000000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Избранные</w:t>
            </w:r>
          </w:p>
        </w:tc>
      </w:tr>
      <w:tr w:rsidR="00000000">
        <w:tc>
          <w:tcPr>
            <w:tcW w:w="1365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Глава муниц</w:t>
            </w:r>
            <w:r>
              <w:rPr>
                <w:bCs/>
                <w:sz w:val="18"/>
              </w:rPr>
              <w:t>и</w:t>
            </w:r>
            <w:r>
              <w:rPr>
                <w:bCs/>
                <w:sz w:val="18"/>
              </w:rPr>
              <w:t>палитета</w:t>
            </w:r>
          </w:p>
        </w:tc>
        <w:tc>
          <w:tcPr>
            <w:tcW w:w="109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Женщины</w:t>
            </w:r>
          </w:p>
        </w:tc>
        <w:tc>
          <w:tcPr>
            <w:tcW w:w="1228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48</w:t>
            </w:r>
          </w:p>
        </w:tc>
        <w:tc>
          <w:tcPr>
            <w:tcW w:w="12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11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62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13</w:t>
            </w:r>
          </w:p>
        </w:tc>
      </w:tr>
      <w:tr w:rsidR="00000000">
        <w:tc>
          <w:tcPr>
            <w:tcW w:w="1365" w:type="dxa"/>
            <w:vMerge/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</w:p>
        </w:tc>
        <w:tc>
          <w:tcPr>
            <w:tcW w:w="1091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Мужчины</w:t>
            </w:r>
          </w:p>
        </w:tc>
        <w:tc>
          <w:tcPr>
            <w:tcW w:w="1228" w:type="dxa"/>
            <w:gridSpan w:val="2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511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208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621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217</w:t>
            </w:r>
          </w:p>
        </w:tc>
      </w:tr>
      <w:tr w:rsidR="00000000">
        <w:tc>
          <w:tcPr>
            <w:tcW w:w="1365" w:type="dxa"/>
            <w:vMerge w:val="restart"/>
            <w:shd w:val="clear" w:color="auto" w:fill="auto"/>
            <w:vAlign w:val="center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Муниципал</w:t>
            </w:r>
            <w:r>
              <w:rPr>
                <w:bCs/>
                <w:sz w:val="18"/>
              </w:rPr>
              <w:t>ь</w:t>
            </w:r>
            <w:r>
              <w:rPr>
                <w:bCs/>
                <w:sz w:val="18"/>
              </w:rPr>
              <w:t>ный совет</w:t>
            </w:r>
          </w:p>
        </w:tc>
        <w:tc>
          <w:tcPr>
            <w:tcW w:w="1091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Женщины</w:t>
            </w:r>
          </w:p>
        </w:tc>
        <w:tc>
          <w:tcPr>
            <w:tcW w:w="1228" w:type="dxa"/>
            <w:gridSpan w:val="2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1 756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401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2 904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513</w:t>
            </w:r>
          </w:p>
        </w:tc>
      </w:tr>
      <w:tr w:rsidR="00000000">
        <w:tc>
          <w:tcPr>
            <w:tcW w:w="1365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</w:p>
        </w:tc>
        <w:tc>
          <w:tcPr>
            <w:tcW w:w="109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rPr>
                <w:bCs/>
                <w:sz w:val="18"/>
              </w:rPr>
            </w:pPr>
            <w:r>
              <w:rPr>
                <w:bCs/>
                <w:sz w:val="18"/>
              </w:rPr>
              <w:t>Мужчины</w:t>
            </w:r>
          </w:p>
        </w:tc>
        <w:tc>
          <w:tcPr>
            <w:tcW w:w="1228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4 879</w:t>
            </w:r>
          </w:p>
        </w:tc>
        <w:tc>
          <w:tcPr>
            <w:tcW w:w="122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1 837</w:t>
            </w:r>
          </w:p>
        </w:tc>
        <w:tc>
          <w:tcPr>
            <w:tcW w:w="122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7 331</w:t>
            </w:r>
          </w:p>
        </w:tc>
        <w:tc>
          <w:tcPr>
            <w:tcW w:w="122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00000" w:rsidRDefault="00000000">
            <w:pPr>
              <w:spacing w:before="40" w:after="40" w:line="220" w:lineRule="exact"/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1 962</w:t>
            </w:r>
          </w:p>
        </w:tc>
      </w:tr>
    </w:tbl>
    <w:p w:rsidR="00000000" w:rsidRDefault="00000000">
      <w:pPr>
        <w:pStyle w:val="SingleTxtGR"/>
        <w:spacing w:before="120"/>
      </w:pPr>
      <w:r>
        <w:t xml:space="preserve">138. </w:t>
      </w:r>
      <w:r>
        <w:tab/>
        <w:t>В министерствах нынешнего правительства женщины занимают следу</w:t>
      </w:r>
      <w:r>
        <w:t>ю</w:t>
      </w:r>
      <w:r>
        <w:t>щие должности: Министр здравоохранения и социального обеспечения; Секр</w:t>
      </w:r>
      <w:r>
        <w:t>е</w:t>
      </w:r>
      <w:r>
        <w:t>тариат по делам детей и молодежи; Секретариат по делам женщин; Секретариат по делам туризма; Национальный секретариат государственной службы; Заме</w:t>
      </w:r>
      <w:r>
        <w:t>с</w:t>
      </w:r>
      <w:r>
        <w:t>титель министра по делам молодежи и директор Национального института к</w:t>
      </w:r>
      <w:r>
        <w:t>о</w:t>
      </w:r>
      <w:r>
        <w:t>ренных народов. У них есть значительный опыт общественной работы, и они являются специалистами по соответствующим вопросам.</w:t>
      </w:r>
    </w:p>
    <w:p w:rsidR="00000000" w:rsidRDefault="00000000">
      <w:pPr>
        <w:pStyle w:val="SingleTxtGR"/>
      </w:pPr>
      <w:r>
        <w:t xml:space="preserve">139. </w:t>
      </w:r>
      <w:r>
        <w:tab/>
        <w:t>Что касается судебной власти, то к настоящему моменту только одна же</w:t>
      </w:r>
      <w:r>
        <w:t>н</w:t>
      </w:r>
      <w:r>
        <w:t>щина получила должность судьи Верховного суда. В 2007 году одна женщина стала членом Совета мировых судей. Высшая квалификационная коллегия с</w:t>
      </w:r>
      <w:r>
        <w:t>у</w:t>
      </w:r>
      <w:r>
        <w:t>дей состоит только из мужчин.</w:t>
      </w:r>
    </w:p>
    <w:p w:rsidR="00000000" w:rsidRDefault="00000000">
      <w:pPr>
        <w:pStyle w:val="SingleTxtGR"/>
      </w:pPr>
      <w:r>
        <w:t xml:space="preserve">140. </w:t>
      </w:r>
      <w:r>
        <w:tab/>
        <w:t>В предыдущие годы Национальный конгресс и Секретариат по делам женщин при Президенте республики поддерживали проект "Женского парл</w:t>
      </w:r>
      <w:r>
        <w:t>а</w:t>
      </w:r>
      <w:r>
        <w:t>мента", разработанного и реализованного НПО "Новое время". Этот проект п</w:t>
      </w:r>
      <w:r>
        <w:t>о</w:t>
      </w:r>
      <w:r>
        <w:t>зволил женщинам из всех политических партий и движений выполнять фун</w:t>
      </w:r>
      <w:r>
        <w:t>к</w:t>
      </w:r>
      <w:r>
        <w:t>ции в виртуальном парламенте, образовывать комиссии, анализировать закон</w:t>
      </w:r>
      <w:r>
        <w:t>о</w:t>
      </w:r>
      <w:r>
        <w:t>проекты, выдвигать предложения и реализовывать на практике свои политич</w:t>
      </w:r>
      <w:r>
        <w:t>е</w:t>
      </w:r>
      <w:r>
        <w:t>ские нав</w:t>
      </w:r>
      <w:r>
        <w:t>ы</w:t>
      </w:r>
      <w:r>
        <w:t>ки.</w:t>
      </w:r>
    </w:p>
    <w:p w:rsidR="00000000" w:rsidRDefault="00000000">
      <w:pPr>
        <w:pStyle w:val="SingleTxtGR"/>
      </w:pPr>
      <w:r>
        <w:t>141. Республика Парагвай участвовала в работе ряда международных механи</w:t>
      </w:r>
      <w:r>
        <w:t>з</w:t>
      </w:r>
      <w:r>
        <w:t>мов и органов 21-й сессии Подкомитета по делам женщин, здоровья и развития Исполнительного комитета, очередных сессиях Руководящего комитета Ме</w:t>
      </w:r>
      <w:r>
        <w:t>ж</w:t>
      </w:r>
      <w:r>
        <w:t>американской комиссии по делам женщин (ОАГ/МКЖ), Специальных совещ</w:t>
      </w:r>
      <w:r>
        <w:t>а</w:t>
      </w:r>
      <w:r>
        <w:t>ниях по делам женщин и семейного фермерского хозяйства МЕРКОСУР, Гл</w:t>
      </w:r>
      <w:r>
        <w:t>о</w:t>
      </w:r>
      <w:r>
        <w:t>бальном саммите женщин "Направляя экономику XXI века", встречах Руков</w:t>
      </w:r>
      <w:r>
        <w:t>о</w:t>
      </w:r>
      <w:r>
        <w:t>дящего совета и региональных конференциях ЭКЛАК, "круглом столе" на тему "Равноправие и доступ к производственным ресурсам", курсах для специал</w:t>
      </w:r>
      <w:r>
        <w:t>и</w:t>
      </w:r>
      <w:r>
        <w:t>стов по проблеме торговли людьми, заседаниях Комиссии по положению же</w:t>
      </w:r>
      <w:r>
        <w:t>н</w:t>
      </w:r>
      <w:r>
        <w:t xml:space="preserve">щин. </w:t>
      </w:r>
    </w:p>
    <w:p w:rsidR="00000000" w:rsidRDefault="00000000">
      <w:pPr>
        <w:pStyle w:val="SingleTxtGR"/>
      </w:pPr>
      <w:r>
        <w:t xml:space="preserve">142. </w:t>
      </w:r>
      <w:r>
        <w:tab/>
        <w:t>Парагвай выдвинул и поддержал предложение об участии представителей гражданского общества в совещаниях экспертов-женщин по теме "Механизм мониторинга процесса реализации Межамериканской конвенции о предупре</w:t>
      </w:r>
      <w:r>
        <w:t>ж</w:t>
      </w:r>
      <w:r>
        <w:t>дении и искоренении насилия в отношении женщин и наказании за н</w:t>
      </w:r>
      <w:r>
        <w:t>е</w:t>
      </w:r>
      <w:r>
        <w:t>го (Конвенция Белен-ду-Пара)". Как было сказано выше, он поддерживает оф</w:t>
      </w:r>
      <w:r>
        <w:t>и</w:t>
      </w:r>
      <w:r>
        <w:t>циальную кандидатуру Лине Барейро в качестве члена Комитета экспертов в рамках Конвенции о ликвидации всех форм дискриминации в отношении же</w:t>
      </w:r>
      <w:r>
        <w:t>н</w:t>
      </w:r>
      <w:r>
        <w:t>щин; Парагвай подписал международные соглашения с Национальной службой по делам женщин Чили и с канадским Агентством по международному разв</w:t>
      </w:r>
      <w:r>
        <w:t>и</w:t>
      </w:r>
      <w:r>
        <w:t>тию (КАМР) для реализации проекта по изучению опыта децентрализации ге</w:t>
      </w:r>
      <w:r>
        <w:t>н</w:t>
      </w:r>
      <w:r>
        <w:t>дерной политики в целях совершенствования системы государственного упра</w:t>
      </w:r>
      <w:r>
        <w:t>в</w:t>
      </w:r>
      <w:r>
        <w:t>ления, а также внес вклад в подготовку докладов об осуществлении междун</w:t>
      </w:r>
      <w:r>
        <w:t>а</w:t>
      </w:r>
      <w:r>
        <w:t>родных соглашений и платформ: Международного пакта об экономических, с</w:t>
      </w:r>
      <w:r>
        <w:t>о</w:t>
      </w:r>
      <w:r>
        <w:t>циальных и культурных правах, Пекинской платформы и Плана действий МКЖ.</w:t>
      </w:r>
    </w:p>
    <w:p w:rsidR="00000000" w:rsidRDefault="00000000">
      <w:pPr>
        <w:pStyle w:val="SingleTxtGR"/>
      </w:pPr>
      <w:r>
        <w:t xml:space="preserve">143. </w:t>
      </w:r>
      <w:r>
        <w:tab/>
        <w:t>На национальном уровне можно упомянуть о по гендерном механизме: Управлении по гендерным вопросам и делам сельской молодежи, созданном при Министерстве сельского хозяйства (МСХ) в 2009 году с целевым бюдж</w:t>
      </w:r>
      <w:r>
        <w:t>е</w:t>
      </w:r>
      <w:r>
        <w:t>том. Среди других органов без целевого бюджета можно отметить Отдел по гендерным вопросам и делам сельской молодежи при Управлении сельскох</w:t>
      </w:r>
      <w:r>
        <w:t>о</w:t>
      </w:r>
      <w:r>
        <w:t>зяйственного развития (УСР), Управление по социальной поддержке работа</w:t>
      </w:r>
      <w:r>
        <w:t>ю</w:t>
      </w:r>
      <w:r>
        <w:t>щих женщин при Министерстве юстиции и труда, Управление по политике обеспечения равноправия и равного участия при Национальном секретариате государственной службы, Управление подготовки кадров в сельских районах с учетом гендерной проблематики при Институте развития сельского хозяйства и освоения земель (ИНДЕРТ) и Отдел по гендерным вопросам Верховного а</w:t>
      </w:r>
      <w:r>
        <w:t>р</w:t>
      </w:r>
      <w:r>
        <w:t>битража избирательной комиссии, а также Управление по гендерным вопросам при Министерстве иностранных дел.</w:t>
      </w:r>
    </w:p>
    <w:p w:rsidR="00000000" w:rsidRDefault="00000000">
      <w:pPr>
        <w:pStyle w:val="SingleTxtGR"/>
      </w:pPr>
      <w:r>
        <w:t xml:space="preserve">144. </w:t>
      </w:r>
      <w:r>
        <w:tab/>
        <w:t>Министерство общественных работ и коммуникаций включило в свою работу компоненты Национального плана действий по обеспечению равных возможностей женщин и мужчин, в рамках которых оно развивает программы вовлечения женщин и их участия в проектах строительства дорог в районах. Министерство промышленности и торговли разработало рабочий план по ок</w:t>
      </w:r>
      <w:r>
        <w:t>а</w:t>
      </w:r>
      <w:r>
        <w:t>занию технического содействия в деле функционирования микро- и малых предприятий, возглавляемых женщинами в различных департаментах страны и провело образовательные мероприятия "Добрый пастырь" в женской тюрьме. Совместно с этим Министерством была начата кампания под девизом "Прио</w:t>
      </w:r>
      <w:r>
        <w:t>б</w:t>
      </w:r>
      <w:r>
        <w:t>ретайте парагвайские товары, поддержим работающих женщин" для продвиж</w:t>
      </w:r>
      <w:r>
        <w:t>е</w:t>
      </w:r>
      <w:r>
        <w:t>ния ремесленных изделий, изготовленных женщинами, и их приобретения г</w:t>
      </w:r>
      <w:r>
        <w:t>о</w:t>
      </w:r>
      <w:r>
        <w:t>сударственными учреждениями и частными компаниями.</w:t>
      </w:r>
    </w:p>
    <w:p w:rsidR="00000000" w:rsidRDefault="00000000">
      <w:pPr>
        <w:pStyle w:val="SingleTxtGR"/>
        <w:rPr>
          <w:bCs/>
          <w:iCs/>
        </w:rPr>
      </w:pPr>
      <w:r>
        <w:t xml:space="preserve">145. </w:t>
      </w:r>
      <w:r>
        <w:tab/>
        <w:t>В конце 2009 года был создан Отдел по гендерным вопросам в Главном управлении по статистике, обследованиям и переписи населения в целях: пр</w:t>
      </w:r>
      <w:r>
        <w:t>е</w:t>
      </w:r>
      <w:r>
        <w:t>доставить консультативную помощь и координировать интеграцию гендерного подхода в различные мероприятия по сбору данных и в техническую помощь, оказываемую другим учреждениям; оказывать техническую  и методическую помощь для применения концепции гендерного равенства в процессе публик</w:t>
      </w:r>
      <w:r>
        <w:t>а</w:t>
      </w:r>
      <w:r>
        <w:t>ции данных, проверять и адаптировать методы сбора данных и организации системы статистической информации в разбивке по полу, в целях разработки показателей и инструментов мониторинга и оценки программ с точки зрения гендерного равенства, что должно содействовать процессу принятия решений.</w:t>
      </w:r>
    </w:p>
    <w:p w:rsidR="00000000" w:rsidRDefault="00000000">
      <w:pPr>
        <w:pStyle w:val="SingleTxtGR"/>
        <w:rPr>
          <w:bCs/>
          <w:iCs/>
        </w:rPr>
      </w:pPr>
      <w:r>
        <w:rPr>
          <w:bCs/>
          <w:iCs/>
        </w:rPr>
        <w:t xml:space="preserve">146. </w:t>
      </w:r>
      <w:r>
        <w:rPr>
          <w:bCs/>
          <w:iCs/>
        </w:rPr>
        <w:tab/>
        <w:t>Комплексная система данных ПАРИНФО (соглашение между Главным управлением по статистике, обследованиям и переписи населения и Организ</w:t>
      </w:r>
      <w:r>
        <w:rPr>
          <w:bCs/>
          <w:iCs/>
        </w:rPr>
        <w:t>а</w:t>
      </w:r>
      <w:r>
        <w:rPr>
          <w:bCs/>
          <w:iCs/>
        </w:rPr>
        <w:t>цией Объединенных Наций) представляет в форме удобного для пользователя интерфейса ряд социальных и экономических показателей, полученных на о</w:t>
      </w:r>
      <w:r>
        <w:rPr>
          <w:bCs/>
          <w:iCs/>
        </w:rPr>
        <w:t>с</w:t>
      </w:r>
      <w:r>
        <w:rPr>
          <w:bCs/>
          <w:iCs/>
        </w:rPr>
        <w:t>нове административных баз данных и данных переписей населения, обследов</w:t>
      </w:r>
      <w:r>
        <w:rPr>
          <w:bCs/>
          <w:iCs/>
        </w:rPr>
        <w:t>а</w:t>
      </w:r>
      <w:r>
        <w:rPr>
          <w:bCs/>
          <w:iCs/>
        </w:rPr>
        <w:t>ний домашних хозяйств и демографических обследований. Она предоставляет доступ к картам, графикам и таблицам, которые легко экспортировать и дает информацию в разбивке по полу (мужчины/женщины), районам (горо</w:t>
      </w:r>
      <w:r>
        <w:rPr>
          <w:bCs/>
          <w:iCs/>
        </w:rPr>
        <w:t>д</w:t>
      </w:r>
      <w:r>
        <w:rPr>
          <w:bCs/>
          <w:iCs/>
        </w:rPr>
        <w:t>ским/сельским), уровню бедности и этническим группам.</w:t>
      </w:r>
    </w:p>
    <w:p w:rsidR="00000000" w:rsidRDefault="00000000">
      <w:pPr>
        <w:pStyle w:val="H1GR"/>
      </w:pPr>
      <w:r>
        <w:tab/>
        <w:t>C.</w:t>
      </w:r>
      <w:r>
        <w:tab/>
        <w:t>Часть III Конвенции</w:t>
      </w:r>
    </w:p>
    <w:p w:rsidR="00000000" w:rsidRDefault="00000000">
      <w:pPr>
        <w:pStyle w:val="SingleTxtGR"/>
      </w:pPr>
      <w:r>
        <w:t xml:space="preserve">147. </w:t>
      </w:r>
      <w:r>
        <w:tab/>
        <w:t>Национальный план образования для всех на 2003−2015 годы был изм</w:t>
      </w:r>
      <w:r>
        <w:t>е</w:t>
      </w:r>
      <w:r>
        <w:t>нен и скорректирован в апреле-июле 2006 года, в частности в отношении Н</w:t>
      </w:r>
      <w:r>
        <w:t>а</w:t>
      </w:r>
      <w:r>
        <w:t>циональной цели № 5 ("Сократить неравенство между начальным и средним образованием путем обеспечения детям обоих полов равных образовательных возможностей с точки зрения доступности, эффективности и качества, оказывая предпочтение детям в сложных ситуациях, проживающим в сельских районах и в условиях крайней нищеты", с тем чтобы включить в нее Стратегию 5.1: "Ре</w:t>
      </w:r>
      <w:r>
        <w:t>а</w:t>
      </w:r>
      <w:r>
        <w:t>лизовать социально-экономическую и образовательную политику и пол</w:t>
      </w:r>
      <w:r>
        <w:t>и</w:t>
      </w:r>
      <w:r>
        <w:t>тику в области здравоохранения, способствующую уменьшению гендерной дискрим</w:t>
      </w:r>
      <w:r>
        <w:t>и</w:t>
      </w:r>
      <w:r>
        <w:t>нации". Национальное правительство рассматривает Национальный план в о</w:t>
      </w:r>
      <w:r>
        <w:t>б</w:t>
      </w:r>
      <w:r>
        <w:t>ласти образования до 2024 года, в процессе разработки которого участвовали государственные учреждения и гражданское общество и который основан на принципе равенства женщин и мужчин.</w:t>
      </w:r>
    </w:p>
    <w:p w:rsidR="00000000" w:rsidRDefault="00000000">
      <w:pPr>
        <w:pStyle w:val="SingleTxtGR"/>
      </w:pPr>
      <w:r>
        <w:t xml:space="preserve">148. </w:t>
      </w:r>
      <w:r>
        <w:tab/>
        <w:t>Роль Программы по обеспечение равных образовательных возможностей для женщин (ПРИОМЕ) в структуре Министерства образования и культуры б</w:t>
      </w:r>
      <w:r>
        <w:t>ы</w:t>
      </w:r>
      <w:r>
        <w:t>ла усилена, и в настоящее время она учитывается во всех образовательных пр</w:t>
      </w:r>
      <w:r>
        <w:t>о</w:t>
      </w:r>
      <w:r>
        <w:t>граммах и курсах. Значительных успехов достиг Институт высшего образов</w:t>
      </w:r>
      <w:r>
        <w:t>а</w:t>
      </w:r>
      <w:r>
        <w:t>ния (ИВО), в котором прошли обучение более 1 400 преподавателей, и были представлены предложения по интеграции гендерного подхода в программы б</w:t>
      </w:r>
      <w:r>
        <w:t>а</w:t>
      </w:r>
      <w:r>
        <w:t>зовой подготовки преподавателей ИВО. В настоящий момент эти предложения находятся на рассмотрении.</w:t>
      </w:r>
    </w:p>
    <w:p w:rsidR="00000000" w:rsidRDefault="00000000">
      <w:pPr>
        <w:pStyle w:val="SingleTxtGR"/>
      </w:pPr>
      <w:r>
        <w:t xml:space="preserve">149. </w:t>
      </w:r>
      <w:r>
        <w:tab/>
        <w:t>Что касается доступа к экономическим ресурсам и занятости, то с 2009 года Секретариат по делам женщин при Президенте Республики совмес</w:t>
      </w:r>
      <w:r>
        <w:t>т</w:t>
      </w:r>
      <w:r>
        <w:t>но с Фондом Микросол и Центром взаимопомощи "Здоровье для всех" осущ</w:t>
      </w:r>
      <w:r>
        <w:t>е</w:t>
      </w:r>
      <w:r>
        <w:t>ствляет программу "индивидуальные и групповые кредиты для женщин". В первый год в рамках этого проекта помощь была оказана 158 женщинам в зоне Баньядо-Сур, Асунсьон, и 893 женщинам в департаменте Сентраль. Эти мер</w:t>
      </w:r>
      <w:r>
        <w:t>о</w:t>
      </w:r>
      <w:r>
        <w:t>приятия дополняют планы действий Управления по благотворительности и с</w:t>
      </w:r>
      <w:r>
        <w:t>о</w:t>
      </w:r>
      <w:r>
        <w:t>циальной помощи  и другие проекты.</w:t>
      </w:r>
    </w:p>
    <w:p w:rsidR="00000000" w:rsidRDefault="00000000">
      <w:pPr>
        <w:pStyle w:val="SingleTxtGR"/>
        <w:rPr>
          <w:bCs/>
          <w:iCs/>
        </w:rPr>
      </w:pPr>
      <w:r>
        <w:rPr>
          <w:bCs/>
          <w:iCs/>
        </w:rPr>
        <w:t xml:space="preserve">150. </w:t>
      </w:r>
      <w:r>
        <w:rPr>
          <w:bCs/>
          <w:iCs/>
        </w:rPr>
        <w:tab/>
        <w:t>В настоящее время документ "Анализ участия женщин в экономике Пар</w:t>
      </w:r>
      <w:r>
        <w:rPr>
          <w:bCs/>
          <w:iCs/>
        </w:rPr>
        <w:t>а</w:t>
      </w:r>
      <w:r>
        <w:rPr>
          <w:bCs/>
          <w:iCs/>
        </w:rPr>
        <w:t xml:space="preserve">гвая" (соглашение между ГУСОП и </w:t>
      </w:r>
      <w:r>
        <w:t>Всемирным банком) проходит процесс ко</w:t>
      </w:r>
      <w:r>
        <w:t>н</w:t>
      </w:r>
      <w:r>
        <w:t>сультаций с координационными центрами государственных учреждений, орг</w:t>
      </w:r>
      <w:r>
        <w:t>а</w:t>
      </w:r>
      <w:r>
        <w:t>низациями гражданского общества и организациями по международному с</w:t>
      </w:r>
      <w:r>
        <w:t>о</w:t>
      </w:r>
      <w:r>
        <w:t>трудничеству. Его главная цель – проанализировать особенности и факторы участия женщин в рынке труда за как минимум 10-летний период лет, особе</w:t>
      </w:r>
      <w:r>
        <w:t>н</w:t>
      </w:r>
      <w:r>
        <w:t>но женщин, живущих в нищете, и  рекомендовать меры для расширения эконом</w:t>
      </w:r>
      <w:r>
        <w:t>и</w:t>
      </w:r>
      <w:r>
        <w:t>ческих прав женщин, способные обеспечить их равный доступ к рынку труда и способствовать их интеграции в общество.</w:t>
      </w:r>
    </w:p>
    <w:p w:rsidR="00000000" w:rsidRDefault="00000000">
      <w:pPr>
        <w:pStyle w:val="SingleTxtGR"/>
      </w:pPr>
      <w:r>
        <w:t xml:space="preserve">151. </w:t>
      </w:r>
      <w:r>
        <w:tab/>
        <w:t>После проведения Специального совещания по проблемам женщин МЕРКОСУР были организованы совещания тематических групп по делам же</w:t>
      </w:r>
      <w:r>
        <w:t>н</w:t>
      </w:r>
      <w:r>
        <w:t>щин-мигрантов в тюрьмах, торговле людьми и насилию в отношении женщин. Основное внимание уделялось женщинам в местах лишения свободы, для кот</w:t>
      </w:r>
      <w:r>
        <w:t>о</w:t>
      </w:r>
      <w:r>
        <w:t>рых были проведены курсы по профилактике заболеваний и альтернативным путям получения дохода. В конце 2009 года в женской тюрьме "Добрый па</w:t>
      </w:r>
      <w:r>
        <w:t>с</w:t>
      </w:r>
      <w:r>
        <w:t>тырь", расположенной в столице, была обнаружена "камера наказаний", кот</w:t>
      </w:r>
      <w:r>
        <w:t>о</w:t>
      </w:r>
      <w:r>
        <w:t>рая была ликвидирована по инициативе Секретариата по делам женщин. В насто</w:t>
      </w:r>
      <w:r>
        <w:t>я</w:t>
      </w:r>
      <w:r>
        <w:t>щее время усилия направлены на предоставление стоматологической помощи, учитывая недостаток базовых услуг, прежде всего, медицинских и образов</w:t>
      </w:r>
      <w:r>
        <w:t>а</w:t>
      </w:r>
      <w:r>
        <w:t>тельных.</w:t>
      </w:r>
    </w:p>
    <w:p w:rsidR="00000000" w:rsidRDefault="00000000">
      <w:pPr>
        <w:pStyle w:val="H1GR"/>
      </w:pPr>
      <w:r>
        <w:tab/>
        <w:t>D.</w:t>
      </w:r>
      <w:r>
        <w:tab/>
        <w:t>Часть IV Конвенции</w:t>
      </w:r>
    </w:p>
    <w:p w:rsidR="00000000" w:rsidRDefault="00000000">
      <w:pPr>
        <w:pStyle w:val="SingleTxtGR"/>
      </w:pPr>
      <w:r>
        <w:t xml:space="preserve">152. </w:t>
      </w:r>
      <w:r>
        <w:tab/>
        <w:t>В отношении осуществления статей 15 и 16 Секретариат по делам же</w:t>
      </w:r>
      <w:r>
        <w:t>н</w:t>
      </w:r>
      <w:r>
        <w:t>щин при Президенте Республики уделяет приоритетное внимание распростр</w:t>
      </w:r>
      <w:r>
        <w:t>а</w:t>
      </w:r>
      <w:r>
        <w:t>нению информации о правах, закрепленных в Национальной конституции и нормативно-правовой базе, с тем, чтобы на них можно было ссылаться в соо</w:t>
      </w:r>
      <w:r>
        <w:t>т</w:t>
      </w:r>
      <w:r>
        <w:t>ветству</w:t>
      </w:r>
      <w:r>
        <w:t>ю</w:t>
      </w:r>
      <w:r>
        <w:t>щих государственных и судебных учреждениях. Для достижения этой цели б</w:t>
      </w:r>
      <w:r>
        <w:t>ы</w:t>
      </w:r>
      <w:r>
        <w:t>ло создано цифровое сообщество, Интернет-портал, а также проведена подготовка, печать и распространение информационных материалов. Образов</w:t>
      </w:r>
      <w:r>
        <w:t>а</w:t>
      </w:r>
      <w:r>
        <w:t>тельные мероприятия для женщин и государственных служащих в столице и внутренних районах страны помогли усилить понимание идеи равноправия женщин и мужчин в обществе и в государственных институтах Республики П</w:t>
      </w:r>
      <w:r>
        <w:t>а</w:t>
      </w:r>
      <w:r>
        <w:t>рагвай.</w:t>
      </w:r>
    </w:p>
    <w:p w:rsidR="00000000" w:rsidRDefault="00000000">
      <w:pPr>
        <w:pStyle w:val="SingleTxtGR"/>
      </w:pPr>
      <w:r>
        <w:t xml:space="preserve">153. </w:t>
      </w:r>
      <w:r>
        <w:tab/>
        <w:t>Служба помощи женщинам (СЕДАМУР) занимается случаями нарушения семейных прав, и предоставляет юридическую и психологическую помощь и институциональную поддержку. Верховный суд принял решение о выделении специальной статьи бюджета для проведения теста ДНК для малообеспеченных женщин.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pStyle w:val="SingleTxtGR"/>
        <w:rPr>
          <w:lang w:eastAsia="ru-RU"/>
        </w:rPr>
      </w:pPr>
    </w:p>
    <w:sectPr w:rsidR="0000000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36</w:t>
    </w:r>
    <w:r>
      <w:rPr>
        <w:rStyle w:val="PageNumber"/>
      </w:rPr>
      <w:fldChar w:fldCharType="end"/>
    </w:r>
    <w:r>
      <w:rPr>
        <w:lang w:val="en-US"/>
      </w:rPr>
      <w:tab/>
      <w:t>GE.10-</w:t>
    </w:r>
    <w:r>
      <w:rPr>
        <w:lang w:val="ru-RU"/>
      </w:rPr>
      <w:t>44276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GE.10-44276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GE.10-44276  (R) 201210  2</w:t>
    </w:r>
    <w:r>
      <w:rPr>
        <w:sz w:val="20"/>
        <w:lang w:val="ru-RU"/>
      </w:rPr>
      <w:t>1</w:t>
    </w:r>
    <w:r>
      <w:rPr>
        <w:sz w:val="20"/>
        <w:lang w:val="en-US"/>
      </w:rPr>
      <w:t xml:space="preserve">1210 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CEDAW/C/PAR/6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CEDAW/C/PAR/6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9121E23"/>
    <w:multiLevelType w:val="hybridMultilevel"/>
    <w:tmpl w:val="DFA0C13C"/>
    <w:lvl w:ilvl="0" w:tplc="4282E67C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0EAE6466"/>
    <w:multiLevelType w:val="hybridMultilevel"/>
    <w:tmpl w:val="EEEA3D26"/>
    <w:lvl w:ilvl="0" w:tplc="67A4950C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color w:val="000000"/>
      </w:rPr>
    </w:lvl>
    <w:lvl w:ilvl="1" w:tplc="A03475A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0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2A56651"/>
    <w:multiLevelType w:val="hybridMultilevel"/>
    <w:tmpl w:val="C67879C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B50100"/>
    <w:multiLevelType w:val="multilevel"/>
    <w:tmpl w:val="D61A3A30"/>
    <w:lvl w:ilvl="0">
      <w:start w:val="1"/>
      <w:numFmt w:val="decimal"/>
      <w:lvlText w:val="%1)"/>
      <w:lvlJc w:val="left"/>
      <w:pPr>
        <w:tabs>
          <w:tab w:val="num" w:pos="2552"/>
        </w:tabs>
        <w:ind w:left="2552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E049ED"/>
    <w:multiLevelType w:val="hybridMultilevel"/>
    <w:tmpl w:val="2082637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41203"/>
    <w:multiLevelType w:val="hybridMultilevel"/>
    <w:tmpl w:val="7F7E9558"/>
    <w:lvl w:ilvl="0" w:tplc="67A4950C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8">
    <w:nsid w:val="41AA581A"/>
    <w:multiLevelType w:val="hybridMultilevel"/>
    <w:tmpl w:val="632AD7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2C630CD"/>
    <w:multiLevelType w:val="hybridMultilevel"/>
    <w:tmpl w:val="CB088A20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2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842F4D"/>
    <w:multiLevelType w:val="hybridMultilevel"/>
    <w:tmpl w:val="C29C6F3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67C256B7"/>
    <w:multiLevelType w:val="hybridMultilevel"/>
    <w:tmpl w:val="A2C4B85A"/>
    <w:lvl w:ilvl="0" w:tplc="E912F232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AF21083"/>
    <w:multiLevelType w:val="hybridMultilevel"/>
    <w:tmpl w:val="BDAE73E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B6C958">
      <w:numFmt w:val="bullet"/>
      <w:lvlText w:val="-"/>
      <w:lvlJc w:val="left"/>
      <w:pPr>
        <w:tabs>
          <w:tab w:val="num" w:pos="1785"/>
        </w:tabs>
        <w:ind w:left="1785" w:hanging="705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C623383"/>
    <w:multiLevelType w:val="hybridMultilevel"/>
    <w:tmpl w:val="0644A6D2"/>
    <w:lvl w:ilvl="0" w:tplc="23249BEA">
      <w:start w:val="1"/>
      <w:numFmt w:val="decimal"/>
      <w:lvlText w:val="%1)"/>
      <w:lvlJc w:val="left"/>
      <w:pPr>
        <w:tabs>
          <w:tab w:val="num" w:pos="2552"/>
        </w:tabs>
        <w:ind w:left="2552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0EDB8E">
      <w:start w:val="1"/>
      <w:numFmt w:val="decimal"/>
      <w:lvlText w:val="%3)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9"/>
  </w:num>
  <w:num w:numId="3">
    <w:abstractNumId w:val="22"/>
  </w:num>
  <w:num w:numId="4">
    <w:abstractNumId w:val="25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1"/>
  </w:num>
  <w:num w:numId="17">
    <w:abstractNumId w:val="24"/>
  </w:num>
  <w:num w:numId="18">
    <w:abstractNumId w:val="19"/>
  </w:num>
  <w:num w:numId="19">
    <w:abstractNumId w:val="19"/>
  </w:num>
  <w:num w:numId="20">
    <w:abstractNumId w:val="24"/>
  </w:num>
  <w:num w:numId="21">
    <w:abstractNumId w:val="19"/>
  </w:num>
  <w:num w:numId="22">
    <w:abstractNumId w:val="22"/>
  </w:num>
  <w:num w:numId="23">
    <w:abstractNumId w:val="22"/>
  </w:num>
  <w:num w:numId="24">
    <w:abstractNumId w:val="10"/>
  </w:num>
  <w:num w:numId="25">
    <w:abstractNumId w:val="27"/>
  </w:num>
  <w:num w:numId="26">
    <w:abstractNumId w:val="11"/>
  </w:num>
  <w:num w:numId="27">
    <w:abstractNumId w:val="28"/>
  </w:num>
  <w:num w:numId="28">
    <w:abstractNumId w:val="23"/>
  </w:num>
  <w:num w:numId="29">
    <w:abstractNumId w:val="26"/>
  </w:num>
  <w:num w:numId="30">
    <w:abstractNumId w:val="13"/>
  </w:num>
  <w:num w:numId="31">
    <w:abstractNumId w:val="17"/>
  </w:num>
  <w:num w:numId="32">
    <w:abstractNumId w:val="14"/>
  </w:num>
  <w:num w:numId="33">
    <w:abstractNumId w:val="16"/>
  </w:num>
  <w:num w:numId="34">
    <w:abstractNumId w:val="20"/>
  </w:num>
  <w:num w:numId="35">
    <w:abstractNumId w:val="18"/>
  </w:num>
  <w:num w:numId="36">
    <w:abstractNumId w:val="29"/>
  </w:num>
  <w:num w:numId="37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ctiveWritingStyle w:appName="MSWord" w:lang="es-MX" w:vendorID="64" w:dllVersion="131078" w:nlCheck="1" w:checkStyle="1"/>
  <w:activeWritingStyle w:appName="MSWord" w:lang="es-ES_tradnl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, Car"/>
    <w:basedOn w:val="Normal"/>
    <w:next w:val="Normal"/>
    <w:link w:val="Heading1Char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</w:style>
  <w:style w:type="paragraph" w:styleId="FootnoteText">
    <w:name w:val="footnote text"/>
    <w:aliases w:val="5_GR,5_G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  <w:lang w:val="en-GB"/>
    </w:rPr>
  </w:style>
  <w:style w:type="paragraph" w:customStyle="1" w:styleId="SingleTxtG">
    <w:name w:val="_ Single Txt_G"/>
    <w:basedOn w:val="Normal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link w:val="CommentTextChar"/>
    <w:semiHidden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1Char">
    <w:name w:val="Heading 1 Char"/>
    <w:aliases w:val="Table_GR Char,Table_G Char, Car Char"/>
    <w:link w:val="Heading1"/>
    <w:rPr>
      <w:rFonts w:cs="Arial"/>
      <w:b/>
      <w:bCs/>
      <w:spacing w:val="4"/>
      <w:w w:val="103"/>
      <w:kern w:val="14"/>
      <w:szCs w:val="32"/>
      <w:lang w:val="ru-RU" w:eastAsia="ru-RU" w:bidi="ar-SA"/>
    </w:rPr>
  </w:style>
  <w:style w:type="paragraph" w:customStyle="1" w:styleId="H23">
    <w:name w:val="_ H_2/3"/>
    <w:basedOn w:val="Normal"/>
    <w:next w:val="SingleTxt"/>
    <w:pPr>
      <w:keepNext/>
      <w:keepLines/>
      <w:suppressAutoHyphens/>
      <w:spacing w:line="240" w:lineRule="exact"/>
      <w:outlineLvl w:val="1"/>
    </w:pPr>
    <w:rPr>
      <w:b/>
      <w:spacing w:val="2"/>
      <w:lang w:val="es-ES"/>
    </w:r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lang w:val="es-ES"/>
    </w:rPr>
  </w:style>
  <w:style w:type="character" w:customStyle="1" w:styleId="contenidocentral1">
    <w:name w:val="contenidocentral1"/>
    <w:rPr>
      <w:rFonts w:ascii="Verdana" w:hAnsi="Verdana" w:hint="default"/>
      <w:sz w:val="25"/>
      <w:szCs w:val="25"/>
    </w:rPr>
  </w:style>
  <w:style w:type="paragraph" w:styleId="BalloonText">
    <w:name w:val="Balloon Text"/>
    <w:basedOn w:val="Normal"/>
    <w:semiHidden/>
    <w:pPr>
      <w:suppressAutoHyphens/>
      <w:spacing w:line="240" w:lineRule="exact"/>
    </w:pPr>
    <w:rPr>
      <w:rFonts w:ascii="Tahoma" w:hAnsi="Tahoma" w:cs="Tahoma"/>
      <w:sz w:val="16"/>
      <w:szCs w:val="16"/>
      <w:lang w:val="es-ES"/>
    </w:rPr>
  </w:style>
  <w:style w:type="paragraph" w:customStyle="1" w:styleId="Prrafodelista">
    <w:name w:val="Párrafo de lista"/>
    <w:basedOn w:val="Normal"/>
    <w:qFormat/>
    <w:pPr>
      <w:spacing w:line="360" w:lineRule="auto"/>
      <w:ind w:left="720"/>
      <w:contextualSpacing/>
      <w:jc w:val="both"/>
    </w:pPr>
    <w:rPr>
      <w:rFonts w:ascii="Calibri" w:eastAsia="Calibri" w:hAnsi="Calibri"/>
      <w:spacing w:val="0"/>
      <w:w w:val="100"/>
      <w:kern w:val="0"/>
      <w:sz w:val="22"/>
      <w:szCs w:val="22"/>
      <w:lang w:val="es-ES_tradnl"/>
    </w:rPr>
  </w:style>
  <w:style w:type="character" w:customStyle="1" w:styleId="CommentTextChar">
    <w:name w:val="Comment Text Char"/>
    <w:link w:val="CommentText"/>
    <w:rPr>
      <w:lang w:val="en-GB" w:eastAsia="en-US" w:bidi="ar-SA"/>
    </w:rPr>
  </w:style>
  <w:style w:type="paragraph" w:styleId="DocumentMap">
    <w:name w:val="Document Map"/>
    <w:basedOn w:val="Normal"/>
    <w:semiHidden/>
    <w:pPr>
      <w:shd w:val="clear" w:color="auto" w:fill="000080"/>
      <w:suppressAutoHyphens/>
      <w:spacing w:line="240" w:lineRule="exact"/>
    </w:pPr>
    <w:rPr>
      <w:rFonts w:ascii="Tahoma" w:hAnsi="Tahoma" w:cs="Tahoma"/>
      <w:lang w:val="es-ES"/>
    </w:rPr>
  </w:style>
  <w:style w:type="character" w:customStyle="1" w:styleId="tw4winMark">
    <w:name w:val="tw4winMark"/>
    <w:rPr>
      <w:rFonts w:ascii="Courier New" w:hAnsi="Courier New"/>
      <w:vanish/>
      <w:color w:val="800080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/index.php?title=%D0%9D%D1%8C%D0%B5%D1%8D%D0%BC%D0%B1%D1%83%D0%BA%D1%83&amp;action=edit&amp;redlink=1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36</Pages>
  <Words>15389</Words>
  <Characters>87718</Characters>
  <Application>Microsoft Office Word</Application>
  <DocSecurity>4</DocSecurity>
  <Lines>730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1044276</vt:lpstr>
    </vt:vector>
  </TitlesOfParts>
  <Company>CSD</Company>
  <LinksUpToDate>false</LinksUpToDate>
  <CharactersWithSpaces>102902</CharactersWithSpaces>
  <SharedDoc>false</SharedDoc>
  <HLinks>
    <vt:vector size="6" baseType="variant">
      <vt:variant>
        <vt:i4>3866724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http://ru.wikipedia.org/w/index.php?title=%D0%9D%D1%8C%D0%B5%D1%8D%D0%BC%D0%B1%D1%83%D0%BA%D1%83&amp;action=edit&amp;redlink=1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1044276</dc:title>
  <dc:subject/>
  <dc:creator>Tatiana Chvets</dc:creator>
  <cp:keywords/>
  <dc:description/>
  <cp:lastModifiedBy>Tatiana Chvets</cp:lastModifiedBy>
  <cp:revision>2</cp:revision>
  <cp:lastPrinted>2010-12-21T06:24:00Z</cp:lastPrinted>
  <dcterms:created xsi:type="dcterms:W3CDTF">2010-12-21T08:36:00Z</dcterms:created>
  <dcterms:modified xsi:type="dcterms:W3CDTF">2010-12-21T08:36:00Z</dcterms:modified>
</cp:coreProperties>
</file>