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14:paraId="45D555A3" w14:textId="77777777" w:rsidTr="00983C67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14:paraId="72C2BE94" w14:textId="77777777" w:rsidR="002D5AAC" w:rsidRDefault="002D5AAC" w:rsidP="00983C67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14:paraId="341628D8" w14:textId="77777777" w:rsidR="002D5AAC" w:rsidRPr="00BD33EE" w:rsidRDefault="00BD33EE" w:rsidP="00213632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14:paraId="5129A615" w14:textId="2673374F" w:rsidR="002D5AAC" w:rsidRDefault="00983C67" w:rsidP="00983C67">
            <w:pPr>
              <w:jc w:val="right"/>
            </w:pPr>
            <w:r w:rsidRPr="00983C67">
              <w:rPr>
                <w:sz w:val="40"/>
              </w:rPr>
              <w:t>CERD</w:t>
            </w:r>
            <w:r>
              <w:t>/C/TKM/Q/12-13</w:t>
            </w:r>
          </w:p>
        </w:tc>
      </w:tr>
      <w:tr w:rsidR="002D5AAC" w14:paraId="731F88E2" w14:textId="77777777" w:rsidTr="00983C67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14:paraId="2443182C" w14:textId="77777777" w:rsidR="002D5AAC" w:rsidRDefault="00CC15A3" w:rsidP="00213632">
            <w:pPr>
              <w:spacing w:before="120"/>
              <w:jc w:val="center"/>
            </w:pPr>
            <w:r>
              <w:rPr>
                <w:noProof/>
              </w:rPr>
              <w:drawing>
                <wp:inline distT="0" distB="0" distL="0" distR="0" wp14:anchorId="13C6E9E1" wp14:editId="510710BD">
                  <wp:extent cx="714375" cy="590550"/>
                  <wp:effectExtent l="0" t="0" r="0" b="0"/>
                  <wp:docPr id="2" name="Imagen 1" descr="Naciones Unidas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D030E2D" w14:textId="77777777" w:rsidR="002D5AAC" w:rsidRPr="007967DF" w:rsidRDefault="00160FF7" w:rsidP="00213632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34"/>
                <w:szCs w:val="34"/>
              </w:rPr>
              <w:t>Convención Internacional sobre</w:t>
            </w:r>
            <w:r>
              <w:rPr>
                <w:b/>
                <w:sz w:val="34"/>
                <w:szCs w:val="34"/>
              </w:rPr>
              <w:br/>
              <w:t xml:space="preserve">la Eliminación de </w:t>
            </w:r>
            <w:r w:rsidR="00100EA7">
              <w:rPr>
                <w:b/>
                <w:sz w:val="34"/>
                <w:szCs w:val="34"/>
              </w:rPr>
              <w:t xml:space="preserve">Todas </w:t>
            </w:r>
            <w:r>
              <w:rPr>
                <w:b/>
                <w:sz w:val="34"/>
                <w:szCs w:val="34"/>
              </w:rPr>
              <w:t>las Formas</w:t>
            </w:r>
            <w:r>
              <w:rPr>
                <w:b/>
                <w:sz w:val="34"/>
                <w:szCs w:val="34"/>
              </w:rPr>
              <w:br/>
              <w:t>de Discriminación Racial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2FBC0DB4" w14:textId="77777777" w:rsidR="002D5AAC" w:rsidRDefault="00983C67" w:rsidP="00213632">
            <w:pPr>
              <w:spacing w:before="240"/>
            </w:pPr>
            <w:r>
              <w:t>Distr. general</w:t>
            </w:r>
          </w:p>
          <w:p w14:paraId="12C6A600" w14:textId="77777777" w:rsidR="00983C67" w:rsidRDefault="00983C67" w:rsidP="00983C67">
            <w:pPr>
              <w:spacing w:line="240" w:lineRule="exact"/>
            </w:pPr>
            <w:r>
              <w:t>23 de junio de 2023</w:t>
            </w:r>
          </w:p>
          <w:p w14:paraId="10F9F9AF" w14:textId="77777777" w:rsidR="00983C67" w:rsidRDefault="00983C67" w:rsidP="00983C67">
            <w:pPr>
              <w:spacing w:line="240" w:lineRule="exact"/>
            </w:pPr>
            <w:r>
              <w:t>Español</w:t>
            </w:r>
          </w:p>
          <w:p w14:paraId="3C5EC4F1" w14:textId="77777777" w:rsidR="00983C67" w:rsidRDefault="00983C67" w:rsidP="00983C67">
            <w:pPr>
              <w:spacing w:line="240" w:lineRule="exact"/>
            </w:pPr>
            <w:r>
              <w:t>Original: inglés</w:t>
            </w:r>
          </w:p>
          <w:p w14:paraId="3943A50C" w14:textId="1E1F09EF" w:rsidR="00983C67" w:rsidRDefault="00983C67" w:rsidP="00983C67">
            <w:pPr>
              <w:spacing w:line="240" w:lineRule="exact"/>
            </w:pPr>
            <w:r>
              <w:t>Español, francés, inglés y ruso únicamente</w:t>
            </w:r>
          </w:p>
        </w:tc>
      </w:tr>
    </w:tbl>
    <w:p w14:paraId="1BD349E7" w14:textId="7938FF46" w:rsidR="00983C67" w:rsidRPr="00983C67" w:rsidRDefault="00983C67" w:rsidP="00983C67">
      <w:pPr>
        <w:spacing w:before="120"/>
        <w:rPr>
          <w:sz w:val="24"/>
          <w:szCs w:val="24"/>
        </w:rPr>
      </w:pPr>
      <w:r w:rsidRPr="00793729">
        <w:rPr>
          <w:b/>
          <w:bCs/>
          <w:sz w:val="24"/>
          <w:szCs w:val="24"/>
        </w:rPr>
        <w:t>Comité para la Eliminación de la Discriminación Racial</w:t>
      </w:r>
    </w:p>
    <w:p w14:paraId="67A8214F" w14:textId="77777777" w:rsidR="00983C67" w:rsidRPr="00983C67" w:rsidRDefault="00983C67" w:rsidP="00983C67">
      <w:pPr>
        <w:spacing w:line="240" w:lineRule="auto"/>
        <w:rPr>
          <w:b/>
          <w:bCs/>
        </w:rPr>
      </w:pPr>
      <w:r w:rsidRPr="00983C67">
        <w:rPr>
          <w:b/>
          <w:bCs/>
        </w:rPr>
        <w:t>110º período de sesiones</w:t>
      </w:r>
    </w:p>
    <w:p w14:paraId="3812B6FB" w14:textId="77777777" w:rsidR="00983C67" w:rsidRPr="00983C67" w:rsidRDefault="00983C67" w:rsidP="00983C67">
      <w:pPr>
        <w:spacing w:line="240" w:lineRule="auto"/>
      </w:pPr>
      <w:r w:rsidRPr="00983C67">
        <w:t>7 a 31 de agosto de 2023</w:t>
      </w:r>
    </w:p>
    <w:p w14:paraId="41028883" w14:textId="77777777" w:rsidR="00983C67" w:rsidRPr="00983C67" w:rsidRDefault="00983C67" w:rsidP="00983C67">
      <w:pPr>
        <w:spacing w:line="240" w:lineRule="auto"/>
      </w:pPr>
      <w:r w:rsidRPr="00983C67">
        <w:t>Tema 4 del programa provisional</w:t>
      </w:r>
    </w:p>
    <w:p w14:paraId="193BCE74" w14:textId="44E2589E" w:rsidR="00983C67" w:rsidRPr="00983C67" w:rsidRDefault="00983C67" w:rsidP="00983C67">
      <w:pPr>
        <w:spacing w:line="240" w:lineRule="auto"/>
        <w:rPr>
          <w:b/>
          <w:bCs/>
        </w:rPr>
      </w:pPr>
      <w:r w:rsidRPr="00983C67">
        <w:rPr>
          <w:b/>
          <w:bCs/>
        </w:rPr>
        <w:t xml:space="preserve">Examen de los informes, las observaciones y la información </w:t>
      </w:r>
      <w:r>
        <w:rPr>
          <w:b/>
          <w:bCs/>
        </w:rPr>
        <w:br/>
      </w:r>
      <w:r w:rsidRPr="00983C67">
        <w:rPr>
          <w:b/>
          <w:bCs/>
        </w:rPr>
        <w:t xml:space="preserve">presentados por los Estados partes en virtud </w:t>
      </w:r>
      <w:r w:rsidR="00B644C1">
        <w:rPr>
          <w:b/>
          <w:bCs/>
        </w:rPr>
        <w:br/>
      </w:r>
      <w:r w:rsidRPr="00983C67">
        <w:rPr>
          <w:b/>
          <w:bCs/>
        </w:rPr>
        <w:t>del artículo 9 de la Convención</w:t>
      </w:r>
    </w:p>
    <w:p w14:paraId="266BE8D9" w14:textId="13EEF091" w:rsidR="00983C67" w:rsidRPr="00983C67" w:rsidRDefault="00983C67" w:rsidP="00983C67">
      <w:pPr>
        <w:pStyle w:val="HChG"/>
      </w:pPr>
      <w:r w:rsidRPr="00983C67">
        <w:rPr>
          <w:spacing w:val="-1"/>
        </w:rPr>
        <w:tab/>
      </w:r>
      <w:r w:rsidRPr="00983C67">
        <w:rPr>
          <w:spacing w:val="-1"/>
        </w:rPr>
        <w:tab/>
        <w:t>Lista de temas relativa a los informes periódicos 12º y 13º</w:t>
      </w:r>
      <w:r w:rsidRPr="00983C67">
        <w:t xml:space="preserve"> combinados de Turkmenistán</w:t>
      </w:r>
    </w:p>
    <w:p w14:paraId="61FC4257" w14:textId="08B7FC56" w:rsidR="00983C67" w:rsidRDefault="00983C67" w:rsidP="00983C67">
      <w:pPr>
        <w:pStyle w:val="H1G"/>
      </w:pPr>
      <w:r>
        <w:tab/>
      </w:r>
      <w:r w:rsidRPr="00983C67">
        <w:tab/>
      </w:r>
      <w:r w:rsidRPr="00793729">
        <w:t>Nota del Relator para el país</w:t>
      </w:r>
    </w:p>
    <w:p w14:paraId="74BDB9FB" w14:textId="77777777" w:rsidR="00983C67" w:rsidRPr="00983C67" w:rsidRDefault="00983C67" w:rsidP="00983C67">
      <w:pPr>
        <w:pStyle w:val="SingleTxtG"/>
      </w:pPr>
      <w:r w:rsidRPr="00983C67">
        <w:t>1.</w:t>
      </w:r>
      <w:r w:rsidRPr="00983C67">
        <w:tab/>
        <w:t>El Comité para la Eliminación de la Discriminación Racial decidió en su 76º período de sesiones</w:t>
      </w:r>
      <w:r w:rsidRPr="00983C67">
        <w:rPr>
          <w:rStyle w:val="Refdenotaalpie"/>
        </w:rPr>
        <w:footnoteReference w:id="1"/>
      </w:r>
      <w:r w:rsidRPr="00983C67">
        <w:t xml:space="preserve"> que el Relator para el país enviaría al Estado parte en cuestión una breve lista de temas con miras a orientar y centrar el diálogo entre la delegación del Estado parte y el Comité durante el examen del informe del Estado parte. El presente documento contiene una lista de temas con esa finalidad. La lista no es exhaustiva; durante el diálogo con el Estado parte podrán abordarse otros asuntos. No se requieren respuestas por escrito.</w:t>
      </w:r>
    </w:p>
    <w:p w14:paraId="2D94B9A9" w14:textId="2E05D269" w:rsidR="00983C67" w:rsidRPr="00983C67" w:rsidRDefault="00983C67" w:rsidP="00983C67">
      <w:pPr>
        <w:pStyle w:val="H23G"/>
      </w:pPr>
      <w:r>
        <w:tab/>
      </w:r>
      <w:r w:rsidRPr="00983C67">
        <w:tab/>
        <w:t>Datos estadísticos</w:t>
      </w:r>
    </w:p>
    <w:p w14:paraId="3DA35C64" w14:textId="14FA3455" w:rsidR="00983C67" w:rsidRPr="00983C67" w:rsidRDefault="00983C67" w:rsidP="00983C67">
      <w:pPr>
        <w:pStyle w:val="SingleTxtG"/>
      </w:pPr>
      <w:r w:rsidRPr="00983C67">
        <w:t>2.</w:t>
      </w:r>
      <w:r w:rsidRPr="00983C67">
        <w:tab/>
        <w:t>Sobre la base del censo nacional de población y vivienda de 2022, datos estadísticos actualizados sobre la composición demográfica de la población, basados en la autoidentificación y desglosados por origen étnico, también sobre la población lyuli/romaní. Datos estadísticos actualizados sobre refugiados, solicitantes de asilo y apátridas. Indicadores económicos y sociales sobre diversos grupos que viven en el territorio del Estado parte, desglosados por origen nacional o étnico, sexo y edad, en particular relativos a los grupos minoritarios, a la luz del censo de población y vivienda de 2022</w:t>
      </w:r>
      <w:r w:rsidRPr="00983C67">
        <w:rPr>
          <w:rStyle w:val="Refdenotaalpie"/>
        </w:rPr>
        <w:footnoteReference w:id="2"/>
      </w:r>
      <w:r w:rsidRPr="00983C67">
        <w:t>.</w:t>
      </w:r>
    </w:p>
    <w:p w14:paraId="3F1C338E" w14:textId="777A9637" w:rsidR="00983C67" w:rsidRPr="00983C67" w:rsidRDefault="00983C67" w:rsidP="00983C67">
      <w:pPr>
        <w:pStyle w:val="H23G"/>
        <w:rPr>
          <w:lang w:val="en-GB"/>
        </w:rPr>
      </w:pPr>
      <w:r>
        <w:tab/>
      </w:r>
      <w:r w:rsidRPr="00983C67">
        <w:tab/>
        <w:t xml:space="preserve">La Convención en el derecho interno y el marco institucional y normativo </w:t>
      </w:r>
      <w:r>
        <w:br/>
      </w:r>
      <w:r w:rsidRPr="00983C67">
        <w:t xml:space="preserve">para su aplicación (arts. 1, 2, 4, 5, 6 y 7) </w:t>
      </w:r>
    </w:p>
    <w:p w14:paraId="37F2B683" w14:textId="77777777" w:rsidR="00983C67" w:rsidRPr="00983C67" w:rsidRDefault="00983C67" w:rsidP="00983C67">
      <w:pPr>
        <w:pStyle w:val="SingleTxtG"/>
      </w:pPr>
      <w:r w:rsidRPr="00983C67">
        <w:t>3.</w:t>
      </w:r>
      <w:r w:rsidRPr="00983C67">
        <w:tab/>
        <w:t>Medidas adoptadas para elaborar y aprobar una ley integral contra la discriminación, que contenga las definiciones de discriminación directa e indirecta. Medidas para adoptar una estrategia global y un plan de acción nacional para combatir el racismo, la discriminación racial y la intolerancia</w:t>
      </w:r>
      <w:r w:rsidRPr="00983C67">
        <w:rPr>
          <w:rStyle w:val="Refdenotaalpie"/>
        </w:rPr>
        <w:footnoteReference w:id="3"/>
      </w:r>
      <w:r w:rsidRPr="00983C67">
        <w:t>. Información sobre la adopción y aplicación de medidas especiales para asegurar el adecuado progreso de los grupos minoritarios desfavorecidos de conformidad con el artículo 1, párrafo 4, y el artículo 2, párrafo 2, de la Convención</w:t>
      </w:r>
      <w:r w:rsidRPr="00983C67">
        <w:rPr>
          <w:rStyle w:val="Refdenotaalpie"/>
        </w:rPr>
        <w:footnoteReference w:id="4"/>
      </w:r>
      <w:r w:rsidRPr="00983C67">
        <w:t>.</w:t>
      </w:r>
    </w:p>
    <w:p w14:paraId="755096F4" w14:textId="77777777" w:rsidR="00983C67" w:rsidRPr="00983C67" w:rsidRDefault="00983C67" w:rsidP="00983C67">
      <w:pPr>
        <w:pStyle w:val="SingleTxtG"/>
      </w:pPr>
      <w:r w:rsidRPr="00983C67">
        <w:t>4.</w:t>
      </w:r>
      <w:r w:rsidRPr="00983C67">
        <w:tab/>
        <w:t xml:space="preserve">Información sobre las medidas adoptadas para concienciar a los funcionarios del Estado, a los agentes del orden y a las autoridades judiciales acerca de la prohibición de la </w:t>
      </w:r>
      <w:r w:rsidRPr="00983C67">
        <w:lastRenderedPageBreak/>
        <w:t>discriminación racial y los recursos disponibles para las víctimas, así como sobre la eficacia y los efectos de dichas medidas</w:t>
      </w:r>
      <w:r w:rsidRPr="00983C67">
        <w:rPr>
          <w:rStyle w:val="Refdenotaalpie"/>
        </w:rPr>
        <w:footnoteReference w:id="5"/>
      </w:r>
      <w:r w:rsidRPr="00983C67">
        <w:t>.</w:t>
      </w:r>
    </w:p>
    <w:p w14:paraId="2FBC06E7" w14:textId="77777777" w:rsidR="00983C67" w:rsidRPr="00983C67" w:rsidRDefault="00983C67" w:rsidP="00983C67">
      <w:pPr>
        <w:pStyle w:val="SingleTxtG"/>
      </w:pPr>
      <w:r w:rsidRPr="00983C67">
        <w:t>5.</w:t>
      </w:r>
      <w:r w:rsidRPr="00983C67">
        <w:tab/>
        <w:t>Datos estadísticos actualizados e información detallada sobre las denuncias presentadas ante los tribunales o cualquier institución nacional por actos de discriminación racial, discurso de odio racista y delitos de odio racista, incluidos los perpetrados a través de Internet y de los medios de comunicación, y sobre el número de casos en que se haya investigado, procesado y, si es el caso, condenado a los autores</w:t>
      </w:r>
      <w:r w:rsidRPr="00983C67">
        <w:rPr>
          <w:rStyle w:val="Refdenotaalpie"/>
        </w:rPr>
        <w:footnoteReference w:id="6"/>
      </w:r>
      <w:r w:rsidRPr="00983C67">
        <w:t>. Medidas adoptadas para examinar las causas de la ausencia de denuncias y acciones judiciales en materia de discriminación racial entre 2016 y 2019 e información actualizada sobre la aplicación de la Convención en el país</w:t>
      </w:r>
      <w:r w:rsidRPr="00983C67">
        <w:rPr>
          <w:rStyle w:val="Refdenotaalpie"/>
        </w:rPr>
        <w:footnoteReference w:id="7"/>
      </w:r>
      <w:r w:rsidRPr="00983C67">
        <w:t>.</w:t>
      </w:r>
    </w:p>
    <w:p w14:paraId="5B6193EC" w14:textId="2B117BF4" w:rsidR="00983C67" w:rsidRPr="00983C67" w:rsidRDefault="00983C67" w:rsidP="00983C67">
      <w:pPr>
        <w:pStyle w:val="H23G"/>
      </w:pPr>
      <w:r>
        <w:tab/>
      </w:r>
      <w:r w:rsidRPr="00983C67">
        <w:tab/>
        <w:t>Independencia del poder judicial (arts. 5 y 6)</w:t>
      </w:r>
    </w:p>
    <w:p w14:paraId="4974B3ED" w14:textId="77777777" w:rsidR="00983C67" w:rsidRPr="00983C67" w:rsidRDefault="00983C67" w:rsidP="00983C67">
      <w:pPr>
        <w:pStyle w:val="SingleTxtG"/>
      </w:pPr>
      <w:r w:rsidRPr="00983C67">
        <w:t>6.</w:t>
      </w:r>
      <w:r w:rsidRPr="00983C67">
        <w:tab/>
        <w:t>Información actualizada sobre las medidas adoptadas para garantizar la independencia e imparcialidad plenas del poder judicial, de conformidad los Principios Básicos relativos a la Independencia de la Judicatura</w:t>
      </w:r>
      <w:r w:rsidRPr="00983C67">
        <w:rPr>
          <w:rStyle w:val="Refdenotaalpie"/>
        </w:rPr>
        <w:footnoteReference w:id="8"/>
      </w:r>
      <w:r w:rsidRPr="00983C67">
        <w:t>.</w:t>
      </w:r>
    </w:p>
    <w:p w14:paraId="1D277A38" w14:textId="58CCFFEE" w:rsidR="00983C67" w:rsidRPr="00983C67" w:rsidRDefault="00983C67" w:rsidP="00983C67">
      <w:pPr>
        <w:pStyle w:val="H23G"/>
      </w:pPr>
      <w:r>
        <w:tab/>
      </w:r>
      <w:r w:rsidRPr="00983C67">
        <w:tab/>
        <w:t>Institución nacional de derechos humanos (art. 2)</w:t>
      </w:r>
    </w:p>
    <w:p w14:paraId="0E887822" w14:textId="77777777" w:rsidR="00983C67" w:rsidRPr="00983C67" w:rsidRDefault="00983C67" w:rsidP="00983C67">
      <w:pPr>
        <w:pStyle w:val="SingleTxtG"/>
      </w:pPr>
      <w:r w:rsidRPr="00983C67">
        <w:t>7.</w:t>
      </w:r>
      <w:r w:rsidRPr="00983C67">
        <w:tab/>
        <w:t>Información sobre las medidas adoptadas para reforzar el mandato de la Oficina del Defensor de los Derechos Humanos con miras a promover efectivamente los derechos humanos y supervisar los avances en la aplicación de la Convención de forma independiente y transparente, garantizando, al mismo tiempo, que dicho órgano disponga de los recursos financieros y humanos adecuados para llevar a cabo su mandato</w:t>
      </w:r>
      <w:r w:rsidRPr="00983C67">
        <w:rPr>
          <w:rStyle w:val="Refdenotaalpie"/>
        </w:rPr>
        <w:footnoteReference w:id="9"/>
      </w:r>
      <w:r w:rsidRPr="00983C67">
        <w:t>. Información sobre las competencias de la Oficina del Defensor de los Derechos Humanos para investigar las denuncias de discriminación racial.</w:t>
      </w:r>
    </w:p>
    <w:p w14:paraId="24757643" w14:textId="70849F46" w:rsidR="00983C67" w:rsidRPr="00983C67" w:rsidRDefault="00983C67" w:rsidP="00983C67">
      <w:pPr>
        <w:pStyle w:val="H23G"/>
      </w:pPr>
      <w:r>
        <w:tab/>
      </w:r>
      <w:r w:rsidRPr="00983C67">
        <w:tab/>
        <w:t xml:space="preserve">Discurso de odio racista, incitación al odio racial y delitos de odio racista </w:t>
      </w:r>
      <w:r>
        <w:br/>
      </w:r>
      <w:r w:rsidRPr="00983C67">
        <w:t>(arts. 2, 4 y 6)</w:t>
      </w:r>
    </w:p>
    <w:p w14:paraId="4946ADE0" w14:textId="3F83A8CF" w:rsidR="00983C67" w:rsidRPr="00983C67" w:rsidRDefault="00983C67" w:rsidP="00983C67">
      <w:pPr>
        <w:pStyle w:val="SingleTxtG"/>
      </w:pPr>
      <w:r w:rsidRPr="00983C67">
        <w:t>8.</w:t>
      </w:r>
      <w:r w:rsidRPr="00983C67">
        <w:tab/>
        <w:t>Medidas adoptadas para que el Mejlis introduzca enmiendas en las disposiciones del Código Penal y otras leyes pertinentes sobre el discurso de odio racista, la incitación al odio racial y los delitos de odio racista con el fin de que se ajusten al artículo 4 de la Convención. Medidas adoptadas para impedir que las disposiciones del Código Penal y otras medidas orientadas a combatir el discurso de odio se utilicen de forma que interfieran innecesaria o desproporcionadamente en la libertad de expresión o la libertad de reunión y de asociación pacíficas en relación con las actividades llevadas a cabo por las organizaciones de la sociedad civil, los defensores de los derechos humanos y los periodistas, en particular las personas que se ocupan de los derechos de las minorías étnicas</w:t>
      </w:r>
      <w:r w:rsidRPr="00983C67">
        <w:rPr>
          <w:rStyle w:val="Refdenotaalpie"/>
        </w:rPr>
        <w:footnoteReference w:id="10"/>
      </w:r>
      <w:r w:rsidRPr="00983C67">
        <w:t>.</w:t>
      </w:r>
    </w:p>
    <w:p w14:paraId="3789336E" w14:textId="77777777" w:rsidR="00983C67" w:rsidRPr="00983C67" w:rsidRDefault="00983C67" w:rsidP="00983C67">
      <w:pPr>
        <w:pStyle w:val="SingleTxtG"/>
      </w:pPr>
      <w:r w:rsidRPr="00983C67">
        <w:t>9.</w:t>
      </w:r>
      <w:r w:rsidRPr="00983C67">
        <w:tab/>
        <w:t>Información sobre las medidas adoptadas para investigar, perseguir y combatir eficazmente el discurso de odio racista y castigar a quienes lo emplean</w:t>
      </w:r>
      <w:r w:rsidRPr="00983C67">
        <w:rPr>
          <w:rStyle w:val="Refdenotaalpie"/>
        </w:rPr>
        <w:footnoteReference w:id="11"/>
      </w:r>
      <w:r w:rsidRPr="00983C67">
        <w:t>.</w:t>
      </w:r>
    </w:p>
    <w:p w14:paraId="2586E0A0" w14:textId="2ADF46DA" w:rsidR="00983C67" w:rsidRPr="00983C67" w:rsidRDefault="00983C67" w:rsidP="00983C67">
      <w:pPr>
        <w:pStyle w:val="H23G"/>
      </w:pPr>
      <w:r w:rsidRPr="00983C67">
        <w:tab/>
      </w:r>
      <w:r>
        <w:tab/>
      </w:r>
      <w:r w:rsidRPr="00983C67">
        <w:t>Organizaciones de la sociedad civil (art. 5)</w:t>
      </w:r>
    </w:p>
    <w:p w14:paraId="42640F8D" w14:textId="38EFF44D" w:rsidR="00983C67" w:rsidRPr="00983C67" w:rsidRDefault="00983C67" w:rsidP="00983C67">
      <w:pPr>
        <w:pStyle w:val="SingleTxtG"/>
      </w:pPr>
      <w:r w:rsidRPr="00983C67">
        <w:t>10.</w:t>
      </w:r>
      <w:r w:rsidRPr="00983C67">
        <w:tab/>
        <w:t>Información sobre las organizaciones de la sociedad civil registradas, en particular las que se ocupan de los derechos de los grupos étnicos</w:t>
      </w:r>
      <w:r w:rsidRPr="00983C67">
        <w:rPr>
          <w:rStyle w:val="Refdenotaalpie"/>
        </w:rPr>
        <w:footnoteReference w:id="12"/>
      </w:r>
      <w:r w:rsidRPr="00983C67">
        <w:t>. Medidas adoptadas para garantizar que las organizaciones de la sociedad civil, los defensores de los derechos humanos y los periodistas, incluidos los que se ocupan de los derechos de las minorías étnicas, puedan llevar a cabo su trabajo de forma eficaz y sin intimidación.</w:t>
      </w:r>
    </w:p>
    <w:p w14:paraId="13B55B42" w14:textId="52ADEDF0" w:rsidR="00983C67" w:rsidRPr="00983C67" w:rsidRDefault="00983C67" w:rsidP="00983C67">
      <w:pPr>
        <w:pStyle w:val="H23G"/>
      </w:pPr>
      <w:r w:rsidRPr="00983C67">
        <w:lastRenderedPageBreak/>
        <w:tab/>
      </w:r>
      <w:r>
        <w:tab/>
      </w:r>
      <w:r w:rsidRPr="00983C67">
        <w:t>Situación de las minorías étnicas (arts. 2, 5 y 7)</w:t>
      </w:r>
    </w:p>
    <w:p w14:paraId="2F7AADF2" w14:textId="687C0569" w:rsidR="00983C67" w:rsidRPr="00983C67" w:rsidRDefault="00983C67" w:rsidP="00983C67">
      <w:pPr>
        <w:pStyle w:val="SingleTxtG"/>
      </w:pPr>
      <w:r w:rsidRPr="00983C67">
        <w:t>11.</w:t>
      </w:r>
      <w:r w:rsidRPr="00983C67">
        <w:tab/>
        <w:t>Medidas adoptadas para garantizar el acceso de los miembros de las minorías étnicas a la educación a todos los niveles en su lengua materna, así como la creación de escuelas y la publicación de libros de texto escolares en lenguas minoritarias</w:t>
      </w:r>
      <w:r w:rsidRPr="00983C67">
        <w:rPr>
          <w:rStyle w:val="Refdenotaalpie"/>
        </w:rPr>
        <w:footnoteReference w:id="13"/>
      </w:r>
      <w:r w:rsidRPr="00983C67">
        <w:t>.</w:t>
      </w:r>
    </w:p>
    <w:p w14:paraId="106FF4E2" w14:textId="77777777" w:rsidR="00983C67" w:rsidRPr="00983C67" w:rsidRDefault="00983C67" w:rsidP="00983C67">
      <w:pPr>
        <w:pStyle w:val="SingleTxtG"/>
      </w:pPr>
      <w:r w:rsidRPr="00983C67">
        <w:t>12.</w:t>
      </w:r>
      <w:r w:rsidRPr="00983C67">
        <w:tab/>
        <w:t>Medidas para conseguir la participación y representación efectivas de los miembros de las minorías étnicas en la vida pública y política, en particular en las instituciones del Estado, la policía y el poder judicial, y para garantizar a esas personas el disfrute de los derechos económicos, sociales y culturales, entre otras cosas mediante la adopción y aplicación de medidas especiales</w:t>
      </w:r>
      <w:r w:rsidRPr="00983C67">
        <w:rPr>
          <w:rStyle w:val="Refdenotaalpie"/>
        </w:rPr>
        <w:footnoteReference w:id="14"/>
      </w:r>
      <w:r w:rsidRPr="00983C67">
        <w:t>.</w:t>
      </w:r>
    </w:p>
    <w:p w14:paraId="32123F05" w14:textId="77777777" w:rsidR="00983C67" w:rsidRPr="00983C67" w:rsidRDefault="00983C67" w:rsidP="00983C67">
      <w:pPr>
        <w:pStyle w:val="SingleTxtG"/>
      </w:pPr>
      <w:r w:rsidRPr="00983C67">
        <w:t>13.</w:t>
      </w:r>
      <w:r w:rsidRPr="00983C67">
        <w:tab/>
        <w:t>Información actualizada sobre las medidas adoptadas para proteger los derechos de las minorías, incluido su derecho a la libertad de pensamiento, de conciencia y de religión, sin discriminación alguna por motivos de raza, color, linaje u origen nacional o étnico, así como sobre los efectos de la aplicación de la Ley de Libertad de Religión y Organizaciones Religiosas de 2016</w:t>
      </w:r>
      <w:r w:rsidRPr="00983C67">
        <w:rPr>
          <w:rStyle w:val="Refdenotaalpie"/>
        </w:rPr>
        <w:footnoteReference w:id="15"/>
      </w:r>
      <w:r w:rsidRPr="00983C67">
        <w:t xml:space="preserve">. </w:t>
      </w:r>
    </w:p>
    <w:p w14:paraId="01087026" w14:textId="62D8E360" w:rsidR="00983C67" w:rsidRPr="00983C67" w:rsidRDefault="00983C67" w:rsidP="00983C67">
      <w:pPr>
        <w:pStyle w:val="H23G"/>
      </w:pPr>
      <w:r w:rsidRPr="00983C67">
        <w:tab/>
      </w:r>
      <w:r>
        <w:tab/>
      </w:r>
      <w:r w:rsidRPr="00983C67">
        <w:t xml:space="preserve">Situación de los no ciudadanos, incluidos los solicitantes de asilo, los refugiados </w:t>
      </w:r>
      <w:r>
        <w:br/>
      </w:r>
      <w:r w:rsidRPr="00983C67">
        <w:t>y los apátridas (arts. 2 y 5)</w:t>
      </w:r>
    </w:p>
    <w:p w14:paraId="3BC3004D" w14:textId="77777777" w:rsidR="00983C67" w:rsidRPr="00983C67" w:rsidRDefault="00983C67" w:rsidP="00983C67">
      <w:pPr>
        <w:pStyle w:val="SingleTxtG"/>
      </w:pPr>
      <w:r w:rsidRPr="00983C67">
        <w:t>14.</w:t>
      </w:r>
      <w:r w:rsidRPr="00983C67">
        <w:tab/>
        <w:t>Información actualizada sobre los marcos legislativos y de políticas relativos a los solicitantes de asilo y los refugiados, incluida información actualizada sobre las medidas para evitar la devolución de solicitantes de asilo</w:t>
      </w:r>
      <w:r w:rsidRPr="00983C67">
        <w:rPr>
          <w:rStyle w:val="Refdenotaalpie"/>
        </w:rPr>
        <w:footnoteReference w:id="16"/>
      </w:r>
      <w:r w:rsidRPr="00983C67">
        <w:t>. Información adicional sobre la aplicación de la Ley de Refugiados de 2017 y sus repercusiones.</w:t>
      </w:r>
    </w:p>
    <w:p w14:paraId="42EF610A" w14:textId="78E88C5F" w:rsidR="00983C67" w:rsidRPr="00983C67" w:rsidRDefault="00983C67" w:rsidP="00983C67">
      <w:pPr>
        <w:pStyle w:val="SingleTxtG"/>
      </w:pPr>
      <w:r w:rsidRPr="00983C67">
        <w:t>15.</w:t>
      </w:r>
      <w:r w:rsidRPr="00983C67">
        <w:tab/>
        <w:t>Información actualizada y detallada sobre las medidas adoptadas para prevenir la apatridia y proteger de ella a las personas, incluida información sobre el procedimiento para determinar la apatridia y sobre las medidas destinadas a eliminar los obstáculos a la inscripción de los nacimientos, a la luz del Plan de Acción Nacional para la Eliminación de la Apatridia para 2018-2024</w:t>
      </w:r>
      <w:r w:rsidRPr="00983C67">
        <w:rPr>
          <w:rStyle w:val="Refdenotaalpie"/>
        </w:rPr>
        <w:footnoteReference w:id="17"/>
      </w:r>
      <w:r w:rsidRPr="00983C67">
        <w:t>.</w:t>
      </w:r>
    </w:p>
    <w:p w14:paraId="746AA47B" w14:textId="603DBADC" w:rsidR="00983C67" w:rsidRPr="00983C67" w:rsidRDefault="00983C67" w:rsidP="00983C67">
      <w:pPr>
        <w:pStyle w:val="SingleTxtG"/>
      </w:pPr>
      <w:r w:rsidRPr="00983C67">
        <w:t>16.</w:t>
      </w:r>
      <w:r w:rsidR="00D045A7">
        <w:tab/>
      </w:r>
      <w:r w:rsidRPr="00983C67">
        <w:t>Medidas para garantizar el acceso de los no ciudadanos a la educación, el empleo, la vivienda y los servicios sanitarios, sin discriminación. Información sobre las medidas adoptadas para que las familias puedan obtener visados</w:t>
      </w:r>
      <w:r w:rsidRPr="00983C67">
        <w:rPr>
          <w:rStyle w:val="Refdenotaalpie"/>
        </w:rPr>
        <w:footnoteReference w:id="18"/>
      </w:r>
      <w:r w:rsidRPr="00983C67">
        <w:t>.</w:t>
      </w:r>
    </w:p>
    <w:p w14:paraId="3A34F972" w14:textId="180A02D4" w:rsidR="00983C67" w:rsidRPr="00983C67" w:rsidRDefault="00983C67" w:rsidP="00983C67">
      <w:pPr>
        <w:pStyle w:val="H23G"/>
      </w:pPr>
      <w:r w:rsidRPr="00983C67">
        <w:tab/>
      </w:r>
      <w:r>
        <w:tab/>
      </w:r>
      <w:r w:rsidRPr="00983C67">
        <w:t xml:space="preserve">Educación en materia de derechos humanos para combatir los prejuicios </w:t>
      </w:r>
      <w:r>
        <w:br/>
      </w:r>
      <w:r w:rsidRPr="00983C67">
        <w:t>y la intolerancia (art. 7)</w:t>
      </w:r>
    </w:p>
    <w:p w14:paraId="73A38192" w14:textId="1D526082" w:rsidR="00983C67" w:rsidRDefault="00983C67" w:rsidP="00983C67">
      <w:pPr>
        <w:pStyle w:val="SingleTxtG"/>
      </w:pPr>
      <w:r w:rsidRPr="00793729">
        <w:t>17.</w:t>
      </w:r>
      <w:r w:rsidRPr="00793729">
        <w:tab/>
        <w:t>Información sobre las medidas dirigidas a promover la educación en materia de derechos humanos, incluidos los medios para luchar contra la discriminación racial en todos los planes de estudios escolares, los programas universitarios y los programas de formación de docentes, y sobre las medidas que tienen por objeto concienciar al público en general, a los funcionarios del Estado, a los agentes del orden y a las autoridades judiciales sobre la importancia de la diversidad cultural, la tolerancia y el entendimiento interétnico.</w:t>
      </w:r>
    </w:p>
    <w:p w14:paraId="537A21CA" w14:textId="19221E1A" w:rsidR="00381C24" w:rsidRPr="00983C67" w:rsidRDefault="00983C67" w:rsidP="00983C67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983C67" w:rsidSect="00983C6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FC306C" w14:textId="77777777" w:rsidR="007B21EC" w:rsidRPr="00D43FF0" w:rsidRDefault="007B21EC" w:rsidP="00D43FF0">
      <w:pPr>
        <w:pStyle w:val="Piedepgina"/>
      </w:pPr>
    </w:p>
  </w:endnote>
  <w:endnote w:type="continuationSeparator" w:id="0">
    <w:p w14:paraId="0200092A" w14:textId="77777777" w:rsidR="007B21EC" w:rsidRPr="00D43FF0" w:rsidRDefault="007B21EC" w:rsidP="00D43FF0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50A171" w14:textId="543FCC2E" w:rsidR="00983C67" w:rsidRPr="00983C67" w:rsidRDefault="00983C67" w:rsidP="00983C67">
    <w:pPr>
      <w:pStyle w:val="Piedepgina"/>
      <w:tabs>
        <w:tab w:val="right" w:pos="9638"/>
      </w:tabs>
    </w:pPr>
    <w:r w:rsidRPr="00983C67">
      <w:rPr>
        <w:b/>
        <w:sz w:val="18"/>
      </w:rPr>
      <w:fldChar w:fldCharType="begin"/>
    </w:r>
    <w:r w:rsidRPr="00983C67">
      <w:rPr>
        <w:b/>
        <w:sz w:val="18"/>
      </w:rPr>
      <w:instrText xml:space="preserve"> PAGE  \* MERGEFORMAT </w:instrText>
    </w:r>
    <w:r w:rsidRPr="00983C67">
      <w:rPr>
        <w:b/>
        <w:sz w:val="18"/>
      </w:rPr>
      <w:fldChar w:fldCharType="separate"/>
    </w:r>
    <w:r w:rsidRPr="00983C67">
      <w:rPr>
        <w:b/>
        <w:noProof/>
        <w:sz w:val="18"/>
      </w:rPr>
      <w:t>2</w:t>
    </w:r>
    <w:r w:rsidRPr="00983C67">
      <w:rPr>
        <w:b/>
        <w:sz w:val="18"/>
      </w:rPr>
      <w:fldChar w:fldCharType="end"/>
    </w:r>
    <w:r>
      <w:rPr>
        <w:b/>
        <w:sz w:val="18"/>
      </w:rPr>
      <w:tab/>
    </w:r>
    <w:r>
      <w:t>GE.23-11308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A8F7B" w14:textId="756F5856" w:rsidR="00983C67" w:rsidRPr="00983C67" w:rsidRDefault="00983C67" w:rsidP="00983C67">
    <w:pPr>
      <w:pStyle w:val="Piedepgina"/>
      <w:tabs>
        <w:tab w:val="right" w:pos="9638"/>
      </w:tabs>
      <w:rPr>
        <w:b/>
        <w:sz w:val="18"/>
      </w:rPr>
    </w:pPr>
    <w:r>
      <w:t>GE.23-11308</w:t>
    </w:r>
    <w:r>
      <w:tab/>
    </w:r>
    <w:r w:rsidRPr="00983C67">
      <w:rPr>
        <w:b/>
        <w:sz w:val="18"/>
      </w:rPr>
      <w:fldChar w:fldCharType="begin"/>
    </w:r>
    <w:r w:rsidRPr="00983C67">
      <w:rPr>
        <w:b/>
        <w:sz w:val="18"/>
      </w:rPr>
      <w:instrText xml:space="preserve"> PAGE  \* MERGEFORMAT </w:instrText>
    </w:r>
    <w:r w:rsidRPr="00983C67">
      <w:rPr>
        <w:b/>
        <w:sz w:val="18"/>
      </w:rPr>
      <w:fldChar w:fldCharType="separate"/>
    </w:r>
    <w:r w:rsidRPr="00983C67">
      <w:rPr>
        <w:b/>
        <w:noProof/>
        <w:sz w:val="18"/>
      </w:rPr>
      <w:t>3</w:t>
    </w:r>
    <w:r w:rsidRPr="00983C67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160D79" w14:textId="78B226E0" w:rsidR="00C63C2A" w:rsidRPr="00983C67" w:rsidRDefault="00983C67" w:rsidP="00983C67">
    <w:pPr>
      <w:pStyle w:val="Piedepgina"/>
      <w:spacing w:before="120" w:line="240" w:lineRule="auto"/>
      <w:rPr>
        <w:sz w:val="20"/>
      </w:rPr>
    </w:pPr>
    <w:r>
      <w:rPr>
        <w:sz w:val="20"/>
      </w:rPr>
      <w:t>GE.</w:t>
    </w:r>
    <w:r w:rsidR="00CC15A3">
      <w:rPr>
        <w:noProof/>
      </w:rPr>
      <w:drawing>
        <wp:anchor distT="0" distB="0" distL="114300" distR="114300" simplePos="0" relativeHeight="251657728" behindDoc="0" locked="1" layoutInCell="1" allowOverlap="1" wp14:anchorId="725A0704" wp14:editId="614EF327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Se ruega reciclar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23-11308  (S)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 wp14:anchorId="1DEE7C6D" wp14:editId="036A48A8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 xml:space="preserve">    240723    240723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19FEC0" w14:textId="77777777" w:rsidR="007B21EC" w:rsidRPr="001075E9" w:rsidRDefault="007B21EC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7866B617" w14:textId="77777777" w:rsidR="007B21EC" w:rsidRDefault="007B21EC" w:rsidP="00D43FF0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7C4D29C0" w14:textId="32773496" w:rsidR="00983C67" w:rsidRPr="00983C67" w:rsidRDefault="00983C67" w:rsidP="00983C67">
      <w:pPr>
        <w:pStyle w:val="Textonotapie"/>
      </w:pPr>
      <w:r w:rsidRPr="00983C67">
        <w:tab/>
      </w:r>
      <w:r w:rsidRPr="00983C67">
        <w:rPr>
          <w:rStyle w:val="Refdenotaalpie"/>
        </w:rPr>
        <w:footnoteRef/>
      </w:r>
      <w:r w:rsidRPr="00983C67">
        <w:tab/>
      </w:r>
      <w:hyperlink r:id="rId1" w:history="1">
        <w:r w:rsidRPr="00983C67">
          <w:rPr>
            <w:rStyle w:val="Hipervnculo"/>
          </w:rPr>
          <w:t>A/65/18</w:t>
        </w:r>
      </w:hyperlink>
      <w:r w:rsidRPr="00983C67">
        <w:t>, párr. 85.</w:t>
      </w:r>
    </w:p>
  </w:footnote>
  <w:footnote w:id="2">
    <w:p w14:paraId="37479260" w14:textId="3CFD5E52" w:rsidR="00983C67" w:rsidRPr="00983C67" w:rsidRDefault="00983C67" w:rsidP="00983C67">
      <w:pPr>
        <w:pStyle w:val="Textonotapie"/>
      </w:pPr>
      <w:r w:rsidRPr="00983C67">
        <w:tab/>
      </w:r>
      <w:r w:rsidRPr="00983C67">
        <w:rPr>
          <w:rStyle w:val="Refdenotaalpie"/>
        </w:rPr>
        <w:footnoteRef/>
      </w:r>
      <w:r w:rsidRPr="00983C67">
        <w:tab/>
      </w:r>
      <w:hyperlink r:id="rId2" w:history="1">
        <w:r w:rsidRPr="00983C67">
          <w:rPr>
            <w:rStyle w:val="Hipervnculo"/>
          </w:rPr>
          <w:t>CERD/C/TKM/CO/8-11</w:t>
        </w:r>
      </w:hyperlink>
      <w:r w:rsidRPr="00983C67">
        <w:t xml:space="preserve">, párr. 5; y </w:t>
      </w:r>
      <w:hyperlink r:id="rId3" w:history="1">
        <w:r w:rsidRPr="00983C67">
          <w:rPr>
            <w:rStyle w:val="Hipervnculo"/>
          </w:rPr>
          <w:t>CERD/C/TKM/12-13</w:t>
        </w:r>
      </w:hyperlink>
      <w:r w:rsidRPr="00983C67">
        <w:t>, párrs. 11 a 22.</w:t>
      </w:r>
      <w:bookmarkStart w:id="0" w:name="_Hlk136418081"/>
      <w:bookmarkEnd w:id="0"/>
    </w:p>
  </w:footnote>
  <w:footnote w:id="3">
    <w:p w14:paraId="4FC74ECE" w14:textId="49B9ED39" w:rsidR="00983C67" w:rsidRPr="00983C67" w:rsidRDefault="00983C67" w:rsidP="00983C67">
      <w:pPr>
        <w:pStyle w:val="Textonotapie"/>
      </w:pPr>
      <w:r w:rsidRPr="00983C67">
        <w:tab/>
      </w:r>
      <w:r w:rsidRPr="00983C67">
        <w:rPr>
          <w:rStyle w:val="Refdenotaalpie"/>
        </w:rPr>
        <w:footnoteRef/>
      </w:r>
      <w:r w:rsidRPr="00983C67">
        <w:tab/>
      </w:r>
      <w:hyperlink r:id="rId4" w:history="1">
        <w:r w:rsidRPr="00983C67">
          <w:rPr>
            <w:rStyle w:val="Hipervnculo"/>
          </w:rPr>
          <w:t>CERD/C/TKM/CO/8-11</w:t>
        </w:r>
      </w:hyperlink>
      <w:r w:rsidRPr="00983C67">
        <w:t xml:space="preserve">, párr. 7; y </w:t>
      </w:r>
      <w:hyperlink r:id="rId5" w:history="1">
        <w:r w:rsidRPr="00983C67">
          <w:rPr>
            <w:rStyle w:val="Hipervnculo"/>
          </w:rPr>
          <w:t>CERD/C/TKM/12-13</w:t>
        </w:r>
      </w:hyperlink>
      <w:r w:rsidRPr="00983C67">
        <w:t>, párrs. 23 a 27.</w:t>
      </w:r>
    </w:p>
  </w:footnote>
  <w:footnote w:id="4">
    <w:p w14:paraId="2C271E30" w14:textId="06F4DEF3" w:rsidR="00983C67" w:rsidRPr="00983C67" w:rsidRDefault="00983C67" w:rsidP="00983C67">
      <w:pPr>
        <w:pStyle w:val="Textonotapie"/>
      </w:pPr>
      <w:r w:rsidRPr="00983C67">
        <w:tab/>
      </w:r>
      <w:r w:rsidRPr="00983C67">
        <w:rPr>
          <w:rStyle w:val="Refdenotaalpie"/>
        </w:rPr>
        <w:footnoteRef/>
      </w:r>
      <w:r w:rsidRPr="00983C67">
        <w:tab/>
      </w:r>
      <w:hyperlink r:id="rId6" w:history="1">
        <w:r w:rsidRPr="00983C67">
          <w:rPr>
            <w:rStyle w:val="Hipervnculo"/>
          </w:rPr>
          <w:t>CERD/C/TKM/CO/8-11</w:t>
        </w:r>
      </w:hyperlink>
      <w:r w:rsidRPr="00983C67">
        <w:t>, párr. 15.</w:t>
      </w:r>
    </w:p>
  </w:footnote>
  <w:footnote w:id="5">
    <w:p w14:paraId="73BDD9BF" w14:textId="28122E68" w:rsidR="00983C67" w:rsidRPr="00983C67" w:rsidRDefault="00983C67" w:rsidP="00983C67">
      <w:pPr>
        <w:pStyle w:val="Textonotapie"/>
      </w:pPr>
      <w:r w:rsidRPr="00983C67">
        <w:tab/>
      </w:r>
      <w:r w:rsidRPr="00983C67">
        <w:rPr>
          <w:rStyle w:val="Refdenotaalpie"/>
        </w:rPr>
        <w:footnoteRef/>
      </w:r>
      <w:r w:rsidRPr="00983C67">
        <w:tab/>
      </w:r>
      <w:hyperlink r:id="rId7" w:history="1">
        <w:r w:rsidRPr="00983C67">
          <w:rPr>
            <w:rStyle w:val="Hipervnculo"/>
          </w:rPr>
          <w:t>CERD/C/TKM/CO/8-11</w:t>
        </w:r>
      </w:hyperlink>
      <w:r w:rsidRPr="00983C67">
        <w:t xml:space="preserve">, párr. 25; y </w:t>
      </w:r>
      <w:hyperlink r:id="rId8" w:history="1">
        <w:r w:rsidRPr="00983C67">
          <w:rPr>
            <w:rStyle w:val="Hipervnculo"/>
          </w:rPr>
          <w:t>CERD/C/TKM/12-13</w:t>
        </w:r>
      </w:hyperlink>
      <w:r w:rsidRPr="00983C67">
        <w:t>, párrs. 163 y 176 a 194.</w:t>
      </w:r>
    </w:p>
  </w:footnote>
  <w:footnote w:id="6">
    <w:p w14:paraId="55576B12" w14:textId="3941DFCB" w:rsidR="00983C67" w:rsidRPr="00983C67" w:rsidRDefault="00983C67" w:rsidP="00983C67">
      <w:pPr>
        <w:pStyle w:val="Textonotapie"/>
      </w:pPr>
      <w:r w:rsidRPr="00983C67">
        <w:tab/>
      </w:r>
      <w:r w:rsidRPr="00983C67">
        <w:rPr>
          <w:rStyle w:val="Refdenotaalpie"/>
        </w:rPr>
        <w:footnoteRef/>
      </w:r>
      <w:r w:rsidRPr="00983C67">
        <w:tab/>
      </w:r>
      <w:hyperlink r:id="rId9" w:history="1">
        <w:r w:rsidRPr="00983C67">
          <w:rPr>
            <w:rStyle w:val="Hipervnculo"/>
          </w:rPr>
          <w:t>CERD/C/TKM/CO/8-11</w:t>
        </w:r>
      </w:hyperlink>
      <w:r w:rsidRPr="00983C67">
        <w:t xml:space="preserve">, párr. 21; y </w:t>
      </w:r>
      <w:hyperlink r:id="rId10" w:history="1">
        <w:r w:rsidRPr="00983C67">
          <w:rPr>
            <w:rStyle w:val="Hipervnculo"/>
          </w:rPr>
          <w:t>CERD/C/TKM/12-13</w:t>
        </w:r>
      </w:hyperlink>
      <w:r w:rsidRPr="00983C67">
        <w:t>, párrs. 164 a 167.</w:t>
      </w:r>
    </w:p>
  </w:footnote>
  <w:footnote w:id="7">
    <w:p w14:paraId="15B386F4" w14:textId="727C2D27" w:rsidR="00983C67" w:rsidRPr="00983C67" w:rsidRDefault="00983C67" w:rsidP="00983C67">
      <w:pPr>
        <w:pStyle w:val="Textonotapie"/>
      </w:pPr>
      <w:r w:rsidRPr="00983C67">
        <w:tab/>
      </w:r>
      <w:r w:rsidRPr="00983C67">
        <w:rPr>
          <w:rStyle w:val="Refdenotaalpie"/>
        </w:rPr>
        <w:footnoteRef/>
      </w:r>
      <w:bookmarkStart w:id="1" w:name="_Hlk136421798"/>
      <w:r w:rsidRPr="00983C67">
        <w:tab/>
      </w:r>
      <w:hyperlink r:id="rId11" w:history="1">
        <w:r w:rsidRPr="00983C67">
          <w:rPr>
            <w:rStyle w:val="Hipervnculo"/>
          </w:rPr>
          <w:t>CERD/C/TKM/CO/8-11</w:t>
        </w:r>
      </w:hyperlink>
      <w:r w:rsidRPr="00983C67">
        <w:t xml:space="preserve">, párr. 21; y </w:t>
      </w:r>
      <w:hyperlink r:id="rId12" w:history="1">
        <w:r w:rsidRPr="00983C67">
          <w:rPr>
            <w:rStyle w:val="Hipervnculo"/>
          </w:rPr>
          <w:t>CERD/C/TKM/12-13</w:t>
        </w:r>
      </w:hyperlink>
      <w:r w:rsidRPr="00983C67">
        <w:t>, párrs. 163 a 168.</w:t>
      </w:r>
      <w:bookmarkEnd w:id="1"/>
    </w:p>
  </w:footnote>
  <w:footnote w:id="8">
    <w:p w14:paraId="234D0A52" w14:textId="5C0165A1" w:rsidR="00983C67" w:rsidRPr="00983C67" w:rsidRDefault="00983C67" w:rsidP="00983C67">
      <w:pPr>
        <w:pStyle w:val="Textonotapie"/>
      </w:pPr>
      <w:r w:rsidRPr="00983C67">
        <w:tab/>
      </w:r>
      <w:r w:rsidRPr="00983C67">
        <w:rPr>
          <w:rStyle w:val="Refdenotaalpie"/>
        </w:rPr>
        <w:footnoteRef/>
      </w:r>
      <w:r w:rsidRPr="00983C67">
        <w:tab/>
      </w:r>
      <w:hyperlink r:id="rId13" w:history="1">
        <w:r w:rsidRPr="00983C67">
          <w:rPr>
            <w:rStyle w:val="Hipervnculo"/>
          </w:rPr>
          <w:t>CERD/C/TKM/CO/8-11</w:t>
        </w:r>
      </w:hyperlink>
      <w:r w:rsidRPr="00983C67">
        <w:t xml:space="preserve">, párr. 23; y </w:t>
      </w:r>
      <w:hyperlink r:id="rId14" w:history="1">
        <w:r w:rsidRPr="00983C67">
          <w:rPr>
            <w:rStyle w:val="Hipervnculo"/>
          </w:rPr>
          <w:t>CERD/C/TKM/12-13</w:t>
        </w:r>
      </w:hyperlink>
      <w:r w:rsidRPr="00983C67">
        <w:t>, párrs. 169 a 175.</w:t>
      </w:r>
    </w:p>
  </w:footnote>
  <w:footnote w:id="9">
    <w:p w14:paraId="5D91B0CC" w14:textId="7E679278" w:rsidR="00983C67" w:rsidRPr="00983C67" w:rsidRDefault="00983C67" w:rsidP="00983C67">
      <w:pPr>
        <w:pStyle w:val="Textonotapie"/>
      </w:pPr>
      <w:r w:rsidRPr="00983C67">
        <w:tab/>
      </w:r>
      <w:r w:rsidRPr="00983C67">
        <w:rPr>
          <w:rStyle w:val="Refdenotaalpie"/>
        </w:rPr>
        <w:footnoteRef/>
      </w:r>
      <w:r w:rsidRPr="00983C67">
        <w:tab/>
      </w:r>
      <w:hyperlink r:id="rId15" w:history="1">
        <w:r w:rsidRPr="00983C67">
          <w:rPr>
            <w:rStyle w:val="Hipervnculo"/>
          </w:rPr>
          <w:t>CERD/C/TKM/CO/8-11</w:t>
        </w:r>
      </w:hyperlink>
      <w:r w:rsidRPr="00983C67">
        <w:t xml:space="preserve">, párr. 11; y </w:t>
      </w:r>
      <w:hyperlink r:id="rId16" w:history="1">
        <w:r w:rsidRPr="00983C67">
          <w:rPr>
            <w:rStyle w:val="Hipervnculo"/>
          </w:rPr>
          <w:t>CERD/C/TKM/12-13</w:t>
        </w:r>
      </w:hyperlink>
      <w:r w:rsidRPr="00983C67">
        <w:t xml:space="preserve">, párrs. 33 a 68. </w:t>
      </w:r>
    </w:p>
  </w:footnote>
  <w:footnote w:id="10">
    <w:p w14:paraId="3938671D" w14:textId="26635BFE" w:rsidR="00983C67" w:rsidRPr="00983C67" w:rsidRDefault="00983C67" w:rsidP="00983C67">
      <w:pPr>
        <w:pStyle w:val="Textonotapie"/>
      </w:pPr>
      <w:r w:rsidRPr="00983C67">
        <w:tab/>
      </w:r>
      <w:r w:rsidRPr="00983C67">
        <w:rPr>
          <w:rStyle w:val="Refdenotaalpie"/>
        </w:rPr>
        <w:footnoteRef/>
      </w:r>
      <w:r w:rsidRPr="00983C67">
        <w:tab/>
      </w:r>
      <w:hyperlink r:id="rId17" w:history="1">
        <w:r w:rsidRPr="00983C67">
          <w:rPr>
            <w:rStyle w:val="Hipervnculo"/>
          </w:rPr>
          <w:t>CERD/C/TKM/CO/8-11</w:t>
        </w:r>
      </w:hyperlink>
      <w:r w:rsidRPr="00983C67">
        <w:t xml:space="preserve">, párr. 9; y </w:t>
      </w:r>
      <w:hyperlink r:id="rId18" w:history="1">
        <w:r w:rsidRPr="00983C67">
          <w:rPr>
            <w:rStyle w:val="Hipervnculo"/>
          </w:rPr>
          <w:t>CERD/C/TKM/12-13</w:t>
        </w:r>
      </w:hyperlink>
      <w:r w:rsidRPr="00983C67">
        <w:t>, párrs. 28 a 32.</w:t>
      </w:r>
    </w:p>
  </w:footnote>
  <w:footnote w:id="11">
    <w:p w14:paraId="43D897AE" w14:textId="22CB0AEE" w:rsidR="00983C67" w:rsidRPr="00983C67" w:rsidRDefault="00983C67" w:rsidP="00983C67">
      <w:pPr>
        <w:pStyle w:val="Textonotapie"/>
      </w:pPr>
      <w:r w:rsidRPr="00983C67">
        <w:tab/>
      </w:r>
      <w:r w:rsidRPr="00983C67">
        <w:rPr>
          <w:rStyle w:val="Refdenotaalpie"/>
        </w:rPr>
        <w:footnoteRef/>
      </w:r>
      <w:r w:rsidRPr="00983C67">
        <w:tab/>
      </w:r>
      <w:hyperlink r:id="rId19" w:history="1">
        <w:r w:rsidRPr="00983C67">
          <w:rPr>
            <w:rStyle w:val="Hipervnculo"/>
          </w:rPr>
          <w:t>CERD/C/TKM/CO/8-11</w:t>
        </w:r>
      </w:hyperlink>
      <w:r w:rsidRPr="00983C67">
        <w:t xml:space="preserve">, párr. 9. </w:t>
      </w:r>
    </w:p>
  </w:footnote>
  <w:footnote w:id="12">
    <w:p w14:paraId="673FC760" w14:textId="0ED017AA" w:rsidR="00983C67" w:rsidRPr="00983C67" w:rsidRDefault="00983C67" w:rsidP="00983C67">
      <w:pPr>
        <w:pStyle w:val="Textonotapie"/>
      </w:pPr>
      <w:r w:rsidRPr="00983C67">
        <w:tab/>
      </w:r>
      <w:r w:rsidRPr="00983C67">
        <w:rPr>
          <w:rStyle w:val="Refdenotaalpie"/>
        </w:rPr>
        <w:footnoteRef/>
      </w:r>
      <w:r w:rsidRPr="00983C67">
        <w:tab/>
      </w:r>
      <w:r w:rsidRPr="00983C67">
        <w:rPr>
          <w:i/>
          <w:iCs/>
        </w:rPr>
        <w:t>Ibid</w:t>
      </w:r>
      <w:r w:rsidRPr="00983C67">
        <w:t xml:space="preserve">., párr. 29; y </w:t>
      </w:r>
      <w:hyperlink r:id="rId20" w:history="1">
        <w:r w:rsidRPr="00983C67">
          <w:rPr>
            <w:rStyle w:val="Hipervnculo"/>
          </w:rPr>
          <w:t>CERD/C/TKM/12-13</w:t>
        </w:r>
      </w:hyperlink>
      <w:r w:rsidRPr="00983C67">
        <w:t>, párr. 199.</w:t>
      </w:r>
    </w:p>
  </w:footnote>
  <w:footnote w:id="13">
    <w:p w14:paraId="14D08D90" w14:textId="5249F34D" w:rsidR="00983C67" w:rsidRPr="00983C67" w:rsidRDefault="00983C67" w:rsidP="00983C67">
      <w:pPr>
        <w:pStyle w:val="Textonotapie"/>
      </w:pPr>
      <w:r w:rsidRPr="00983C67">
        <w:tab/>
      </w:r>
      <w:r w:rsidRPr="00983C67">
        <w:rPr>
          <w:rStyle w:val="Refdenotaalpie"/>
        </w:rPr>
        <w:footnoteRef/>
      </w:r>
      <w:r w:rsidRPr="00983C67">
        <w:tab/>
      </w:r>
      <w:hyperlink r:id="rId21" w:history="1">
        <w:r w:rsidRPr="00983C67">
          <w:rPr>
            <w:rStyle w:val="Hipervnculo"/>
          </w:rPr>
          <w:t>CERD/C/TKM/CO/8-11</w:t>
        </w:r>
      </w:hyperlink>
      <w:r w:rsidRPr="00983C67">
        <w:t xml:space="preserve">, párr. 15; y </w:t>
      </w:r>
      <w:hyperlink r:id="rId22" w:history="1">
        <w:r w:rsidRPr="00983C67">
          <w:rPr>
            <w:rStyle w:val="Hipervnculo"/>
          </w:rPr>
          <w:t>CERD/C/TKM/12-13</w:t>
        </w:r>
      </w:hyperlink>
      <w:r w:rsidRPr="00983C67">
        <w:t>, párrs. 104 a 112.</w:t>
      </w:r>
    </w:p>
  </w:footnote>
  <w:footnote w:id="14">
    <w:p w14:paraId="1FD37F11" w14:textId="3F88C120" w:rsidR="00983C67" w:rsidRPr="00983C67" w:rsidRDefault="00983C67" w:rsidP="00983C67">
      <w:pPr>
        <w:pStyle w:val="Textonotapie"/>
      </w:pPr>
      <w:r w:rsidRPr="00983C67">
        <w:tab/>
      </w:r>
      <w:r w:rsidRPr="00983C67">
        <w:rPr>
          <w:rStyle w:val="Refdenotaalpie"/>
        </w:rPr>
        <w:footnoteRef/>
      </w:r>
      <w:r w:rsidRPr="00983C67">
        <w:tab/>
      </w:r>
      <w:hyperlink r:id="rId23" w:history="1">
        <w:r w:rsidRPr="00983C67">
          <w:rPr>
            <w:rStyle w:val="Hipervnculo"/>
          </w:rPr>
          <w:t>CERD/C/TKM/CO/8-11</w:t>
        </w:r>
      </w:hyperlink>
      <w:r w:rsidRPr="00983C67">
        <w:t xml:space="preserve">, párr. 15; y </w:t>
      </w:r>
      <w:hyperlink r:id="rId24" w:history="1">
        <w:r w:rsidRPr="00983C67">
          <w:rPr>
            <w:rStyle w:val="Hipervnculo"/>
          </w:rPr>
          <w:t>CERD/C/TKM/12-13</w:t>
        </w:r>
      </w:hyperlink>
      <w:r w:rsidRPr="00983C67">
        <w:t>, párrs. 113 a 133 y 145 a 151.</w:t>
      </w:r>
    </w:p>
  </w:footnote>
  <w:footnote w:id="15">
    <w:p w14:paraId="0FBE7A08" w14:textId="71A67EFB" w:rsidR="00983C67" w:rsidRPr="00983C67" w:rsidRDefault="00983C67" w:rsidP="00983C67">
      <w:pPr>
        <w:pStyle w:val="Textonotapie"/>
      </w:pPr>
      <w:r w:rsidRPr="00983C67">
        <w:tab/>
      </w:r>
      <w:r w:rsidRPr="00983C67">
        <w:rPr>
          <w:rStyle w:val="Refdenotaalpie"/>
        </w:rPr>
        <w:footnoteRef/>
      </w:r>
      <w:r w:rsidRPr="00983C67">
        <w:tab/>
      </w:r>
      <w:hyperlink r:id="rId25" w:history="1">
        <w:r w:rsidRPr="00983C67">
          <w:rPr>
            <w:rStyle w:val="Hipervnculo"/>
          </w:rPr>
          <w:t>CERD/C/TKM/CO/8-11</w:t>
        </w:r>
      </w:hyperlink>
      <w:r w:rsidRPr="00983C67">
        <w:t xml:space="preserve">, párr. 13; y </w:t>
      </w:r>
      <w:hyperlink r:id="rId26" w:history="1">
        <w:r w:rsidRPr="00983C67">
          <w:rPr>
            <w:rStyle w:val="Hipervnculo"/>
          </w:rPr>
          <w:t>CERD/C/TKM/12-13</w:t>
        </w:r>
      </w:hyperlink>
      <w:r w:rsidRPr="00983C67">
        <w:t>, párrs. 69 a 103.</w:t>
      </w:r>
    </w:p>
  </w:footnote>
  <w:footnote w:id="16">
    <w:p w14:paraId="195C49FE" w14:textId="382AD843" w:rsidR="00983C67" w:rsidRPr="00983C67" w:rsidRDefault="00983C67" w:rsidP="00983C67">
      <w:pPr>
        <w:pStyle w:val="Textonotapie"/>
      </w:pPr>
      <w:r w:rsidRPr="00983C67">
        <w:tab/>
      </w:r>
      <w:r w:rsidRPr="00983C67">
        <w:rPr>
          <w:rStyle w:val="Refdenotaalpie"/>
        </w:rPr>
        <w:footnoteRef/>
      </w:r>
      <w:r w:rsidRPr="00983C67">
        <w:tab/>
      </w:r>
      <w:hyperlink r:id="rId27" w:history="1">
        <w:r w:rsidRPr="00983C67">
          <w:rPr>
            <w:rStyle w:val="Hipervnculo"/>
          </w:rPr>
          <w:t>CERD/C/TKM/CO/8-11</w:t>
        </w:r>
      </w:hyperlink>
      <w:r w:rsidRPr="00983C67">
        <w:t xml:space="preserve">, párr. 17; y </w:t>
      </w:r>
      <w:hyperlink r:id="rId28" w:history="1">
        <w:r w:rsidRPr="00983C67">
          <w:rPr>
            <w:rStyle w:val="Hipervnculo"/>
          </w:rPr>
          <w:t>CERD/C/TKM/12-13</w:t>
        </w:r>
      </w:hyperlink>
      <w:r w:rsidRPr="00983C67">
        <w:t>, párrs. 152, 153 y 148 a 151.</w:t>
      </w:r>
    </w:p>
  </w:footnote>
  <w:footnote w:id="17">
    <w:p w14:paraId="048F5AE3" w14:textId="00F76C07" w:rsidR="00983C67" w:rsidRPr="00983C67" w:rsidRDefault="00983C67" w:rsidP="00983C67">
      <w:pPr>
        <w:pStyle w:val="Textonotapie"/>
      </w:pPr>
      <w:r w:rsidRPr="00983C67">
        <w:tab/>
      </w:r>
      <w:r w:rsidRPr="00983C67">
        <w:rPr>
          <w:rStyle w:val="Refdenotaalpie"/>
        </w:rPr>
        <w:footnoteRef/>
      </w:r>
      <w:r w:rsidRPr="00983C67">
        <w:tab/>
      </w:r>
      <w:hyperlink r:id="rId29" w:history="1">
        <w:r w:rsidRPr="00983C67">
          <w:rPr>
            <w:rStyle w:val="Hipervnculo"/>
          </w:rPr>
          <w:t>CERD/C/TKM/CO/8-11</w:t>
        </w:r>
      </w:hyperlink>
      <w:r w:rsidRPr="00983C67">
        <w:t xml:space="preserve">, párr. 19; y </w:t>
      </w:r>
      <w:hyperlink r:id="rId30" w:history="1">
        <w:r w:rsidRPr="00983C67">
          <w:rPr>
            <w:rStyle w:val="Hipervnculo"/>
          </w:rPr>
          <w:t>CERD/C/TKM/12-13</w:t>
        </w:r>
      </w:hyperlink>
      <w:r w:rsidRPr="00983C67">
        <w:t xml:space="preserve">, párrs. 154 a 162. </w:t>
      </w:r>
    </w:p>
  </w:footnote>
  <w:footnote w:id="18">
    <w:p w14:paraId="0A9E6021" w14:textId="14B06426" w:rsidR="00983C67" w:rsidRPr="00983C67" w:rsidRDefault="00983C67" w:rsidP="00983C67">
      <w:pPr>
        <w:pStyle w:val="Textonotapie"/>
      </w:pPr>
      <w:r w:rsidRPr="00983C67">
        <w:tab/>
      </w:r>
      <w:r w:rsidRPr="00983C67">
        <w:rPr>
          <w:rStyle w:val="Refdenotaalpie"/>
        </w:rPr>
        <w:footnoteRef/>
      </w:r>
      <w:r w:rsidRPr="00983C67">
        <w:tab/>
      </w:r>
      <w:hyperlink r:id="rId31" w:history="1">
        <w:r w:rsidRPr="00983C67">
          <w:rPr>
            <w:rStyle w:val="Hipervnculo"/>
          </w:rPr>
          <w:t>CERD/C/TKM/CO/8-11</w:t>
        </w:r>
      </w:hyperlink>
      <w:r w:rsidRPr="00983C67">
        <w:t xml:space="preserve">, párr. 17; y </w:t>
      </w:r>
      <w:hyperlink r:id="rId32" w:history="1">
        <w:r w:rsidRPr="00983C67">
          <w:rPr>
            <w:rStyle w:val="Hipervnculo"/>
          </w:rPr>
          <w:t>CERD/C/TKM/12-13</w:t>
        </w:r>
      </w:hyperlink>
      <w:r w:rsidRPr="00983C67">
        <w:t>, párrs. 139 a 151.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A1A6B" w14:textId="1D50CA32" w:rsidR="00983C67" w:rsidRPr="00983C67" w:rsidRDefault="00B15486">
    <w:pPr>
      <w:pStyle w:val="Encabezado"/>
    </w:pPr>
    <w:r>
      <w:fldChar w:fldCharType="begin"/>
    </w:r>
    <w:r>
      <w:instrText xml:space="preserve"> TITLE  \* MERGEFORMAT </w:instrText>
    </w:r>
    <w:r>
      <w:fldChar w:fldCharType="separate"/>
    </w:r>
    <w:r>
      <w:t>CERD/C/TKM/Q/12-13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F62D39" w14:textId="512682AE" w:rsidR="00983C67" w:rsidRPr="00983C67" w:rsidRDefault="00B15486" w:rsidP="00983C67">
    <w:pPr>
      <w:pStyle w:val="Encabezado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CERD/C/TKM/Q/12-13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EDE29DAE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1A52BD"/>
    <w:multiLevelType w:val="multilevel"/>
    <w:tmpl w:val="77FA4BF8"/>
    <w:lvl w:ilvl="0">
      <w:start w:val="1"/>
      <w:numFmt w:val="decimal"/>
      <w:lvlText w:val="%1."/>
      <w:lvlJc w:val="left"/>
      <w:pPr>
        <w:tabs>
          <w:tab w:val="num" w:pos="1134"/>
        </w:tabs>
        <w:ind w:left="1134" w:firstLine="0"/>
      </w:pPr>
      <w:rPr>
        <w:rFonts w:hint="default"/>
        <w:b w:val="0"/>
        <w:i w:val="0"/>
        <w:sz w:val="20"/>
      </w:rPr>
    </w:lvl>
    <w:lvl w:ilvl="1">
      <w:start w:val="1"/>
      <w:numFmt w:val="lowerLetter"/>
      <w:pStyle w:val="1ParNoG"/>
      <w:lvlText w:val="%2)"/>
      <w:lvlJc w:val="left"/>
      <w:pPr>
        <w:tabs>
          <w:tab w:val="num" w:pos="1701"/>
        </w:tabs>
        <w:ind w:left="1134" w:firstLine="567"/>
      </w:pPr>
      <w:rPr>
        <w:rFonts w:hint="default"/>
      </w:rPr>
    </w:lvl>
    <w:lvl w:ilvl="2">
      <w:start w:val="1"/>
      <w:numFmt w:val="lowerRoman"/>
      <w:pStyle w:val="1ParNoG0"/>
      <w:lvlText w:val="%3)"/>
      <w:lvlJc w:val="left"/>
      <w:pPr>
        <w:tabs>
          <w:tab w:val="num" w:pos="1701"/>
        </w:tabs>
        <w:ind w:left="1701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 w16cid:durableId="484706431">
    <w:abstractNumId w:val="14"/>
  </w:num>
  <w:num w:numId="2" w16cid:durableId="1837568494">
    <w:abstractNumId w:val="11"/>
  </w:num>
  <w:num w:numId="3" w16cid:durableId="333731292">
    <w:abstractNumId w:val="16"/>
  </w:num>
  <w:num w:numId="4" w16cid:durableId="994147231">
    <w:abstractNumId w:val="15"/>
  </w:num>
  <w:num w:numId="5" w16cid:durableId="1349258968">
    <w:abstractNumId w:val="13"/>
  </w:num>
  <w:num w:numId="6" w16cid:durableId="1307278000">
    <w:abstractNumId w:val="8"/>
  </w:num>
  <w:num w:numId="7" w16cid:durableId="1097945080">
    <w:abstractNumId w:val="3"/>
  </w:num>
  <w:num w:numId="8" w16cid:durableId="266888137">
    <w:abstractNumId w:val="2"/>
  </w:num>
  <w:num w:numId="9" w16cid:durableId="1875076276">
    <w:abstractNumId w:val="1"/>
  </w:num>
  <w:num w:numId="10" w16cid:durableId="313879327">
    <w:abstractNumId w:val="0"/>
  </w:num>
  <w:num w:numId="11" w16cid:durableId="1363552403">
    <w:abstractNumId w:val="9"/>
  </w:num>
  <w:num w:numId="12" w16cid:durableId="905411639">
    <w:abstractNumId w:val="7"/>
  </w:num>
  <w:num w:numId="13" w16cid:durableId="1603412692">
    <w:abstractNumId w:val="6"/>
  </w:num>
  <w:num w:numId="14" w16cid:durableId="1253903467">
    <w:abstractNumId w:val="5"/>
  </w:num>
  <w:num w:numId="15" w16cid:durableId="527527826">
    <w:abstractNumId w:val="4"/>
  </w:num>
  <w:num w:numId="16" w16cid:durableId="1371222243">
    <w:abstractNumId w:val="10"/>
  </w:num>
  <w:num w:numId="17" w16cid:durableId="2098204912">
    <w:abstractNumId w:val="14"/>
  </w:num>
  <w:num w:numId="18" w16cid:durableId="1502311751">
    <w:abstractNumId w:val="11"/>
  </w:num>
  <w:num w:numId="19" w16cid:durableId="2046901645">
    <w:abstractNumId w:val="10"/>
  </w:num>
  <w:num w:numId="20" w16cid:durableId="1965385951">
    <w:abstractNumId w:val="16"/>
  </w:num>
  <w:num w:numId="21" w16cid:durableId="925381858">
    <w:abstractNumId w:val="15"/>
  </w:num>
  <w:num w:numId="22" w16cid:durableId="889000440">
    <w:abstractNumId w:val="12"/>
  </w:num>
  <w:num w:numId="23" w16cid:durableId="867837471">
    <w:abstractNumId w:val="12"/>
  </w:num>
  <w:num w:numId="24" w16cid:durableId="1083143647">
    <w:abstractNumId w:val="13"/>
  </w:num>
  <w:num w:numId="25" w16cid:durableId="65037548">
    <w:abstractNumId w:val="9"/>
  </w:num>
  <w:num w:numId="26" w16cid:durableId="1465201411">
    <w:abstractNumId w:val="7"/>
  </w:num>
  <w:num w:numId="27" w16cid:durableId="1327825700">
    <w:abstractNumId w:val="6"/>
  </w:num>
  <w:num w:numId="28" w16cid:durableId="595551743">
    <w:abstractNumId w:val="5"/>
  </w:num>
  <w:num w:numId="29" w16cid:durableId="509174359">
    <w:abstractNumId w:val="4"/>
  </w:num>
  <w:num w:numId="30" w16cid:durableId="335764400">
    <w:abstractNumId w:val="8"/>
  </w:num>
  <w:num w:numId="31" w16cid:durableId="1048381900">
    <w:abstractNumId w:val="3"/>
  </w:num>
  <w:num w:numId="32" w16cid:durableId="87427349">
    <w:abstractNumId w:val="2"/>
  </w:num>
  <w:num w:numId="33" w16cid:durableId="478112900">
    <w:abstractNumId w:val="1"/>
  </w:num>
  <w:num w:numId="34" w16cid:durableId="2053261526">
    <w:abstractNumId w:val="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1EC"/>
    <w:rsid w:val="00006BB9"/>
    <w:rsid w:val="000107A1"/>
    <w:rsid w:val="0002339D"/>
    <w:rsid w:val="00036733"/>
    <w:rsid w:val="000B57E7"/>
    <w:rsid w:val="000F09DF"/>
    <w:rsid w:val="000F5804"/>
    <w:rsid w:val="000F61B2"/>
    <w:rsid w:val="00100EA7"/>
    <w:rsid w:val="00103A93"/>
    <w:rsid w:val="001075E9"/>
    <w:rsid w:val="00133DFF"/>
    <w:rsid w:val="00145F2F"/>
    <w:rsid w:val="00160FF7"/>
    <w:rsid w:val="00180183"/>
    <w:rsid w:val="00196389"/>
    <w:rsid w:val="001C7A89"/>
    <w:rsid w:val="00201F1A"/>
    <w:rsid w:val="00213632"/>
    <w:rsid w:val="002433EC"/>
    <w:rsid w:val="0025226E"/>
    <w:rsid w:val="00281DDE"/>
    <w:rsid w:val="00283ED7"/>
    <w:rsid w:val="002A2EFC"/>
    <w:rsid w:val="002C0E18"/>
    <w:rsid w:val="002C33BB"/>
    <w:rsid w:val="002D5AAC"/>
    <w:rsid w:val="00301299"/>
    <w:rsid w:val="00322004"/>
    <w:rsid w:val="003402C2"/>
    <w:rsid w:val="00381C24"/>
    <w:rsid w:val="003958D0"/>
    <w:rsid w:val="004031F0"/>
    <w:rsid w:val="00454E07"/>
    <w:rsid w:val="00471CB3"/>
    <w:rsid w:val="004B5CEF"/>
    <w:rsid w:val="0050108D"/>
    <w:rsid w:val="0051740C"/>
    <w:rsid w:val="00572E19"/>
    <w:rsid w:val="005F0B42"/>
    <w:rsid w:val="00634841"/>
    <w:rsid w:val="00655A21"/>
    <w:rsid w:val="0067198A"/>
    <w:rsid w:val="006725B3"/>
    <w:rsid w:val="006808A9"/>
    <w:rsid w:val="006B12B8"/>
    <w:rsid w:val="006D631C"/>
    <w:rsid w:val="006F35EE"/>
    <w:rsid w:val="007021FF"/>
    <w:rsid w:val="007076CB"/>
    <w:rsid w:val="007967DF"/>
    <w:rsid w:val="007B21EC"/>
    <w:rsid w:val="007F6465"/>
    <w:rsid w:val="00834B71"/>
    <w:rsid w:val="0086445C"/>
    <w:rsid w:val="00865A80"/>
    <w:rsid w:val="00865FAC"/>
    <w:rsid w:val="008728CD"/>
    <w:rsid w:val="008A08D7"/>
    <w:rsid w:val="008A13F9"/>
    <w:rsid w:val="008C0F65"/>
    <w:rsid w:val="008C29C4"/>
    <w:rsid w:val="00906890"/>
    <w:rsid w:val="00951972"/>
    <w:rsid w:val="00954E65"/>
    <w:rsid w:val="00983C67"/>
    <w:rsid w:val="00A17DFD"/>
    <w:rsid w:val="00A22EC9"/>
    <w:rsid w:val="00A414EF"/>
    <w:rsid w:val="00A4674B"/>
    <w:rsid w:val="00A917B3"/>
    <w:rsid w:val="00AB4B51"/>
    <w:rsid w:val="00B066FC"/>
    <w:rsid w:val="00B10CC7"/>
    <w:rsid w:val="00B12C80"/>
    <w:rsid w:val="00B15486"/>
    <w:rsid w:val="00B62458"/>
    <w:rsid w:val="00B644C1"/>
    <w:rsid w:val="00B778C8"/>
    <w:rsid w:val="00B80DE7"/>
    <w:rsid w:val="00BA3587"/>
    <w:rsid w:val="00BB0F33"/>
    <w:rsid w:val="00BB36EA"/>
    <w:rsid w:val="00BB58DC"/>
    <w:rsid w:val="00BD33EE"/>
    <w:rsid w:val="00C60F0C"/>
    <w:rsid w:val="00C63C2A"/>
    <w:rsid w:val="00C805C9"/>
    <w:rsid w:val="00C907F0"/>
    <w:rsid w:val="00CA1679"/>
    <w:rsid w:val="00CC15A3"/>
    <w:rsid w:val="00D045A7"/>
    <w:rsid w:val="00D05347"/>
    <w:rsid w:val="00D43FF0"/>
    <w:rsid w:val="00D90138"/>
    <w:rsid w:val="00DA26B8"/>
    <w:rsid w:val="00DD4E25"/>
    <w:rsid w:val="00E05C6B"/>
    <w:rsid w:val="00E2656E"/>
    <w:rsid w:val="00E73F76"/>
    <w:rsid w:val="00EA31D8"/>
    <w:rsid w:val="00EA5579"/>
    <w:rsid w:val="00EF1360"/>
    <w:rsid w:val="00EF3220"/>
    <w:rsid w:val="00EF7198"/>
    <w:rsid w:val="00F41883"/>
    <w:rsid w:val="00F45524"/>
    <w:rsid w:val="00F94155"/>
    <w:rsid w:val="00FC28A5"/>
    <w:rsid w:val="00FD2EF7"/>
    <w:rsid w:val="00FD4AD6"/>
    <w:rsid w:val="00FF1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5AA1F2"/>
  <w15:docId w15:val="{1690821C-3495-4959-89B3-8BBB0B047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uiPriority="3" w:qFormat="1"/>
    <w:lsdException w:name="heading 1" w:uiPriority="9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" w:unhideWhenUsed="1"/>
    <w:lsdException w:name="toc 2" w:semiHidden="1" w:uiPriority="5" w:unhideWhenUsed="1"/>
    <w:lsdException w:name="toc 3" w:semiHidden="1" w:uiPriority="5" w:unhideWhenUsed="1"/>
    <w:lsdException w:name="toc 4" w:semiHidden="1" w:uiPriority="5" w:unhideWhenUsed="1"/>
    <w:lsdException w:name="toc 5" w:semiHidden="1" w:uiPriority="5" w:unhideWhenUsed="1"/>
    <w:lsdException w:name="toc 6" w:semiHidden="1" w:uiPriority="5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3" w:unhideWhenUsed="1" w:qFormat="1"/>
    <w:lsdException w:name="annotation text" w:semiHidden="1" w:unhideWhenUsed="1"/>
    <w:lsdException w:name="header" w:semiHidden="1" w:uiPriority="3" w:unhideWhenUsed="1" w:qFormat="1"/>
    <w:lsdException w:name="footer" w:semiHidden="1" w:uiPriority="3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3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3" w:unhideWhenUsed="1" w:qFormat="1"/>
    <w:lsdException w:name="endnote reference" w:semiHidden="1" w:uiPriority="3" w:unhideWhenUsed="1" w:qFormat="1"/>
    <w:lsdException w:name="endnote text" w:semiHidden="1" w:uiPriority="3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4" w:unhideWhenUsed="1"/>
    <w:lsdException w:name="FollowedHyperlink" w:semiHidden="1" w:uiPriority="4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3"/>
    <w:qFormat/>
    <w:rsid w:val="007F6465"/>
    <w:pPr>
      <w:spacing w:line="240" w:lineRule="atLeast"/>
    </w:pPr>
    <w:rPr>
      <w:lang w:val="es-ES" w:eastAsia="es-ES"/>
    </w:rPr>
  </w:style>
  <w:style w:type="paragraph" w:styleId="Ttulo1">
    <w:name w:val="heading 1"/>
    <w:aliases w:val="Cuadro_G"/>
    <w:basedOn w:val="SingleTxtG"/>
    <w:next w:val="SingleTxtG"/>
    <w:link w:val="Ttulo1Car"/>
    <w:uiPriority w:val="9"/>
    <w:qFormat/>
    <w:rsid w:val="007F6465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Ttulo2">
    <w:name w:val="heading 2"/>
    <w:basedOn w:val="Normal"/>
    <w:next w:val="Normal"/>
    <w:semiHidden/>
    <w:rsid w:val="007F6465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7F646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7F646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7F646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7F6465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7F6465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7F6465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7F6465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uiPriority w:val="3"/>
    <w:qFormat/>
    <w:rsid w:val="007F6465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7F646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7F6465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7F6465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7F646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7F646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7F646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5"/>
    </w:pPr>
  </w:style>
  <w:style w:type="paragraph" w:styleId="Encabezado">
    <w:name w:val="header"/>
    <w:aliases w:val="6_G"/>
    <w:basedOn w:val="Normal"/>
    <w:next w:val="Normal"/>
    <w:link w:val="EncabezadoCar"/>
    <w:uiPriority w:val="3"/>
    <w:qFormat/>
    <w:rsid w:val="007F6465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har"/>
    <w:uiPriority w:val="1"/>
    <w:qFormat/>
    <w:rsid w:val="007F6465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uiPriority w:val="5"/>
    <w:rsid w:val="007F6465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uiPriority w:val="5"/>
    <w:rsid w:val="007F646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uiPriority w:val="5"/>
    <w:rsid w:val="007F6465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link w:val="PiedepginaCar"/>
    <w:uiPriority w:val="3"/>
    <w:qFormat/>
    <w:rsid w:val="007F6465"/>
    <w:rPr>
      <w:sz w:val="16"/>
    </w:rPr>
  </w:style>
  <w:style w:type="paragraph" w:customStyle="1" w:styleId="XLargeG">
    <w:name w:val="__XLarge_G"/>
    <w:basedOn w:val="Normal"/>
    <w:next w:val="Normal"/>
    <w:uiPriority w:val="5"/>
    <w:rsid w:val="007F646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link w:val="TextonotapieCar"/>
    <w:uiPriority w:val="3"/>
    <w:qFormat/>
    <w:rsid w:val="007F6465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rsid w:val="007F6465"/>
    <w:pPr>
      <w:numPr>
        <w:numId w:val="3"/>
      </w:numPr>
    </w:pPr>
  </w:style>
  <w:style w:type="numbering" w:styleId="1ai">
    <w:name w:val="Outline List 1"/>
    <w:basedOn w:val="Sinlista"/>
    <w:rsid w:val="007F6465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7F6465"/>
  </w:style>
  <w:style w:type="numbering" w:styleId="ArtculoSeccin">
    <w:name w:val="Outline List 3"/>
    <w:basedOn w:val="Sinlista"/>
    <w:rsid w:val="007F6465"/>
    <w:pPr>
      <w:numPr>
        <w:numId w:val="5"/>
      </w:numPr>
    </w:pPr>
  </w:style>
  <w:style w:type="paragraph" w:styleId="Cierre">
    <w:name w:val="Closing"/>
    <w:basedOn w:val="Normal"/>
    <w:link w:val="CierreCar"/>
    <w:semiHidden/>
    <w:rsid w:val="007F6465"/>
    <w:pPr>
      <w:ind w:left="4252"/>
    </w:pPr>
  </w:style>
  <w:style w:type="character" w:styleId="CitaHTML">
    <w:name w:val="HTML Cite"/>
    <w:semiHidden/>
    <w:rsid w:val="007F6465"/>
    <w:rPr>
      <w:i/>
      <w:iCs/>
    </w:rPr>
  </w:style>
  <w:style w:type="character" w:styleId="CdigoHTML">
    <w:name w:val="HTML Code"/>
    <w:semiHidden/>
    <w:rsid w:val="007F6465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7F6465"/>
    <w:pPr>
      <w:spacing w:after="120"/>
      <w:ind w:left="283"/>
    </w:pPr>
  </w:style>
  <w:style w:type="paragraph" w:styleId="Continuarlista2">
    <w:name w:val="List Continue 2"/>
    <w:basedOn w:val="Normal"/>
    <w:semiHidden/>
    <w:rsid w:val="007F6465"/>
    <w:pPr>
      <w:spacing w:after="120"/>
      <w:ind w:left="566"/>
    </w:pPr>
  </w:style>
  <w:style w:type="paragraph" w:styleId="Continuarlista3">
    <w:name w:val="List Continue 3"/>
    <w:basedOn w:val="Normal"/>
    <w:semiHidden/>
    <w:rsid w:val="007F6465"/>
    <w:pPr>
      <w:spacing w:after="120"/>
      <w:ind w:left="849"/>
    </w:pPr>
  </w:style>
  <w:style w:type="paragraph" w:styleId="Continuarlista4">
    <w:name w:val="List Continue 4"/>
    <w:basedOn w:val="Normal"/>
    <w:semiHidden/>
    <w:rsid w:val="007F6465"/>
    <w:pPr>
      <w:spacing w:after="120"/>
      <w:ind w:left="1132"/>
    </w:pPr>
  </w:style>
  <w:style w:type="paragraph" w:styleId="Continuarlista5">
    <w:name w:val="List Continue 5"/>
    <w:basedOn w:val="Normal"/>
    <w:semiHidden/>
    <w:rsid w:val="007F6465"/>
    <w:pPr>
      <w:spacing w:after="120"/>
      <w:ind w:left="1415"/>
    </w:pPr>
  </w:style>
  <w:style w:type="character" w:styleId="DefinicinHTML">
    <w:name w:val="HTML Definition"/>
    <w:semiHidden/>
    <w:rsid w:val="007F6465"/>
    <w:rPr>
      <w:i/>
      <w:iCs/>
    </w:rPr>
  </w:style>
  <w:style w:type="paragraph" w:styleId="DireccinHTML">
    <w:name w:val="HTML Address"/>
    <w:basedOn w:val="Normal"/>
    <w:link w:val="DireccinHTMLCar"/>
    <w:semiHidden/>
    <w:rsid w:val="007F6465"/>
    <w:rPr>
      <w:i/>
      <w:iCs/>
    </w:rPr>
  </w:style>
  <w:style w:type="paragraph" w:styleId="Direccinsobre">
    <w:name w:val="envelope address"/>
    <w:basedOn w:val="Normal"/>
    <w:semiHidden/>
    <w:rsid w:val="007F6465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semiHidden/>
    <w:rsid w:val="007F6465"/>
    <w:rPr>
      <w:rFonts w:ascii="Courier New" w:hAnsi="Courier New" w:cs="Courier New"/>
    </w:rPr>
  </w:style>
  <w:style w:type="paragraph" w:styleId="Encabezadodemensaje">
    <w:name w:val="Message Header"/>
    <w:basedOn w:val="Normal"/>
    <w:link w:val="EncabezadodemensajeCar"/>
    <w:semiHidden/>
    <w:rsid w:val="007F646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link w:val="EncabezadodenotaCar"/>
    <w:semiHidden/>
    <w:rsid w:val="007F6465"/>
  </w:style>
  <w:style w:type="character" w:styleId="nfasis">
    <w:name w:val="Emphasis"/>
    <w:semiHidden/>
    <w:rsid w:val="007F6465"/>
    <w:rPr>
      <w:i/>
      <w:iCs/>
    </w:rPr>
  </w:style>
  <w:style w:type="paragraph" w:styleId="Fecha">
    <w:name w:val="Date"/>
    <w:basedOn w:val="Normal"/>
    <w:next w:val="Normal"/>
    <w:link w:val="FechaCar"/>
    <w:semiHidden/>
    <w:rsid w:val="007F6465"/>
  </w:style>
  <w:style w:type="paragraph" w:styleId="Firma">
    <w:name w:val="Signature"/>
    <w:basedOn w:val="Normal"/>
    <w:link w:val="FirmaCar"/>
    <w:semiHidden/>
    <w:rsid w:val="007F6465"/>
    <w:pPr>
      <w:ind w:left="4252"/>
    </w:pPr>
  </w:style>
  <w:style w:type="paragraph" w:styleId="Firmadecorreoelectrnico">
    <w:name w:val="E-mail Signature"/>
    <w:basedOn w:val="Normal"/>
    <w:link w:val="FirmadecorreoelectrnicoCar"/>
    <w:semiHidden/>
    <w:rsid w:val="007F6465"/>
  </w:style>
  <w:style w:type="character" w:styleId="Hipervnculo">
    <w:name w:val="Hyperlink"/>
    <w:uiPriority w:val="4"/>
    <w:rsid w:val="007F6465"/>
    <w:rPr>
      <w:color w:val="0000FF"/>
      <w:u w:val="none"/>
    </w:rPr>
  </w:style>
  <w:style w:type="character" w:styleId="Hipervnculovisitado">
    <w:name w:val="FollowedHyperlink"/>
    <w:uiPriority w:val="4"/>
    <w:rsid w:val="007F6465"/>
    <w:rPr>
      <w:color w:val="0000FF"/>
      <w:u w:val="none"/>
    </w:rPr>
  </w:style>
  <w:style w:type="paragraph" w:styleId="HTMLconformatoprevio">
    <w:name w:val="HTML Preformatted"/>
    <w:basedOn w:val="Normal"/>
    <w:link w:val="HTMLconformatoprevioCar"/>
    <w:semiHidden/>
    <w:rsid w:val="007F6465"/>
    <w:rPr>
      <w:rFonts w:ascii="Courier New" w:hAnsi="Courier New" w:cs="Courier New"/>
    </w:rPr>
  </w:style>
  <w:style w:type="paragraph" w:styleId="Lista">
    <w:name w:val="List"/>
    <w:basedOn w:val="Normal"/>
    <w:semiHidden/>
    <w:rsid w:val="007F6465"/>
    <w:pPr>
      <w:ind w:left="283" w:hanging="283"/>
    </w:pPr>
  </w:style>
  <w:style w:type="paragraph" w:styleId="Lista2">
    <w:name w:val="List 2"/>
    <w:basedOn w:val="Normal"/>
    <w:semiHidden/>
    <w:rsid w:val="007F6465"/>
    <w:pPr>
      <w:ind w:left="566" w:hanging="283"/>
    </w:pPr>
  </w:style>
  <w:style w:type="paragraph" w:styleId="Lista3">
    <w:name w:val="List 3"/>
    <w:basedOn w:val="Normal"/>
    <w:semiHidden/>
    <w:rsid w:val="007F6465"/>
    <w:pPr>
      <w:ind w:left="849" w:hanging="283"/>
    </w:pPr>
  </w:style>
  <w:style w:type="paragraph" w:styleId="Lista4">
    <w:name w:val="List 4"/>
    <w:basedOn w:val="Normal"/>
    <w:semiHidden/>
    <w:rsid w:val="007F6465"/>
    <w:pPr>
      <w:ind w:left="1132" w:hanging="283"/>
    </w:pPr>
  </w:style>
  <w:style w:type="paragraph" w:styleId="Lista5">
    <w:name w:val="List 5"/>
    <w:basedOn w:val="Normal"/>
    <w:semiHidden/>
    <w:rsid w:val="007F6465"/>
    <w:pPr>
      <w:ind w:left="1415" w:hanging="283"/>
    </w:pPr>
  </w:style>
  <w:style w:type="paragraph" w:styleId="Listaconnmeros">
    <w:name w:val="List Number"/>
    <w:basedOn w:val="Normal"/>
    <w:semiHidden/>
    <w:rsid w:val="007F6465"/>
    <w:pPr>
      <w:numPr>
        <w:numId w:val="30"/>
      </w:numPr>
    </w:pPr>
  </w:style>
  <w:style w:type="paragraph" w:styleId="Listaconnmeros2">
    <w:name w:val="List Number 2"/>
    <w:basedOn w:val="Normal"/>
    <w:semiHidden/>
    <w:rsid w:val="007F6465"/>
    <w:pPr>
      <w:numPr>
        <w:numId w:val="31"/>
      </w:numPr>
    </w:pPr>
  </w:style>
  <w:style w:type="paragraph" w:styleId="Listaconnmeros3">
    <w:name w:val="List Number 3"/>
    <w:basedOn w:val="Normal"/>
    <w:semiHidden/>
    <w:rsid w:val="007F6465"/>
    <w:pPr>
      <w:numPr>
        <w:numId w:val="32"/>
      </w:numPr>
    </w:pPr>
  </w:style>
  <w:style w:type="paragraph" w:styleId="Listaconnmeros4">
    <w:name w:val="List Number 4"/>
    <w:basedOn w:val="Normal"/>
    <w:semiHidden/>
    <w:rsid w:val="007F6465"/>
    <w:pPr>
      <w:numPr>
        <w:numId w:val="33"/>
      </w:numPr>
    </w:pPr>
  </w:style>
  <w:style w:type="paragraph" w:styleId="Listaconnmeros5">
    <w:name w:val="List Number 5"/>
    <w:basedOn w:val="Normal"/>
    <w:semiHidden/>
    <w:rsid w:val="007F6465"/>
    <w:pPr>
      <w:numPr>
        <w:numId w:val="34"/>
      </w:numPr>
    </w:pPr>
  </w:style>
  <w:style w:type="paragraph" w:styleId="Listaconvietas">
    <w:name w:val="List Bullet"/>
    <w:basedOn w:val="Normal"/>
    <w:semiHidden/>
    <w:rsid w:val="007F6465"/>
    <w:pPr>
      <w:numPr>
        <w:numId w:val="25"/>
      </w:numPr>
    </w:pPr>
  </w:style>
  <w:style w:type="paragraph" w:styleId="Listaconvietas2">
    <w:name w:val="List Bullet 2"/>
    <w:basedOn w:val="Normal"/>
    <w:semiHidden/>
    <w:rsid w:val="007F6465"/>
    <w:pPr>
      <w:numPr>
        <w:numId w:val="26"/>
      </w:numPr>
    </w:pPr>
  </w:style>
  <w:style w:type="paragraph" w:styleId="Listaconvietas3">
    <w:name w:val="List Bullet 3"/>
    <w:basedOn w:val="Normal"/>
    <w:semiHidden/>
    <w:rsid w:val="007F6465"/>
    <w:pPr>
      <w:numPr>
        <w:numId w:val="27"/>
      </w:numPr>
    </w:pPr>
  </w:style>
  <w:style w:type="paragraph" w:styleId="Listaconvietas4">
    <w:name w:val="List Bullet 4"/>
    <w:basedOn w:val="Normal"/>
    <w:semiHidden/>
    <w:rsid w:val="007F6465"/>
    <w:pPr>
      <w:numPr>
        <w:numId w:val="28"/>
      </w:numPr>
    </w:pPr>
  </w:style>
  <w:style w:type="paragraph" w:styleId="Listaconvietas5">
    <w:name w:val="List Bullet 5"/>
    <w:basedOn w:val="Normal"/>
    <w:semiHidden/>
    <w:rsid w:val="007F6465"/>
    <w:pPr>
      <w:numPr>
        <w:numId w:val="29"/>
      </w:numPr>
    </w:pPr>
  </w:style>
  <w:style w:type="character" w:styleId="MquinadeescribirHTML">
    <w:name w:val="HTML Typewriter"/>
    <w:semiHidden/>
    <w:rsid w:val="007F6465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7F6465"/>
    <w:rPr>
      <w:sz w:val="24"/>
      <w:szCs w:val="24"/>
    </w:rPr>
  </w:style>
  <w:style w:type="character" w:styleId="Nmerodelnea">
    <w:name w:val="line number"/>
    <w:basedOn w:val="Fuentedeprrafopredeter"/>
    <w:semiHidden/>
    <w:rsid w:val="007F6465"/>
  </w:style>
  <w:style w:type="character" w:styleId="Nmerodepgina">
    <w:name w:val="page number"/>
    <w:aliases w:val="7_G"/>
    <w:uiPriority w:val="3"/>
    <w:qFormat/>
    <w:rsid w:val="007F6465"/>
    <w:rPr>
      <w:b/>
      <w:sz w:val="18"/>
    </w:rPr>
  </w:style>
  <w:style w:type="character" w:styleId="Refdenotaalfinal">
    <w:name w:val="endnote reference"/>
    <w:aliases w:val="1_G"/>
    <w:uiPriority w:val="3"/>
    <w:qFormat/>
    <w:rsid w:val="007F6465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7F6465"/>
    <w:rPr>
      <w:rFonts w:ascii="Arial" w:hAnsi="Arial" w:cs="Arial"/>
    </w:rPr>
  </w:style>
  <w:style w:type="paragraph" w:styleId="Saludo">
    <w:name w:val="Salutation"/>
    <w:basedOn w:val="Normal"/>
    <w:next w:val="Normal"/>
    <w:link w:val="SaludoCar"/>
    <w:semiHidden/>
    <w:rsid w:val="007F6465"/>
  </w:style>
  <w:style w:type="paragraph" w:styleId="Sangra2detindependiente">
    <w:name w:val="Body Text Indent 2"/>
    <w:basedOn w:val="Normal"/>
    <w:link w:val="Sangra2detindependienteCar"/>
    <w:semiHidden/>
    <w:rsid w:val="007F6465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link w:val="Sangra3detindependienteCar"/>
    <w:semiHidden/>
    <w:rsid w:val="007F6465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link w:val="SangradetextonormalCar"/>
    <w:semiHidden/>
    <w:rsid w:val="007F6465"/>
    <w:pPr>
      <w:spacing w:after="120"/>
      <w:ind w:left="283"/>
    </w:pPr>
  </w:style>
  <w:style w:type="paragraph" w:styleId="Sangranormal">
    <w:name w:val="Normal Indent"/>
    <w:basedOn w:val="Normal"/>
    <w:semiHidden/>
    <w:rsid w:val="007F6465"/>
    <w:pPr>
      <w:ind w:left="567"/>
    </w:pPr>
  </w:style>
  <w:style w:type="paragraph" w:styleId="Subttulo">
    <w:name w:val="Subtitle"/>
    <w:basedOn w:val="Normal"/>
    <w:link w:val="SubttuloCar"/>
    <w:semiHidden/>
    <w:rsid w:val="007F6465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rsid w:val="007F6465"/>
    <w:pPr>
      <w:spacing w:line="240" w:lineRule="atLeast"/>
    </w:pPr>
    <w:rPr>
      <w:lang w:eastAsia="en-US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rsid w:val="007F6465"/>
    <w:pPr>
      <w:spacing w:line="240" w:lineRule="atLeast"/>
    </w:pPr>
    <w:rPr>
      <w:color w:val="000080"/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rsid w:val="007F6465"/>
    <w:pPr>
      <w:spacing w:line="240" w:lineRule="atLeast"/>
    </w:pPr>
    <w:rPr>
      <w:b/>
      <w:bCs/>
      <w:lang w:eastAsia="en-US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rsid w:val="007F6465"/>
    <w:pPr>
      <w:spacing w:line="240" w:lineRule="atLeast"/>
    </w:pPr>
    <w:rPr>
      <w:b/>
      <w:bCs/>
      <w:lang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rsid w:val="007F6465"/>
    <w:pPr>
      <w:spacing w:line="240" w:lineRule="atLeast"/>
    </w:pPr>
    <w:rPr>
      <w:b/>
      <w:bCs/>
      <w:lang w:eastAsia="en-US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rsid w:val="007F6465"/>
    <w:pPr>
      <w:spacing w:line="240" w:lineRule="atLeast"/>
    </w:pPr>
    <w:rPr>
      <w:lang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rsid w:val="007F6465"/>
    <w:pPr>
      <w:spacing w:line="240" w:lineRule="atLeast"/>
    </w:pPr>
    <w:rPr>
      <w:lang w:eastAsia="en-US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2">
    <w:name w:val="Table Grid 2"/>
    <w:basedOn w:val="Tablanormal"/>
    <w:rsid w:val="007F6465"/>
    <w:pPr>
      <w:spacing w:line="240" w:lineRule="atLeast"/>
    </w:pPr>
    <w:rPr>
      <w:lang w:eastAsia="en-US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3">
    <w:name w:val="Table Grid 3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4">
    <w:name w:val="Table Grid 4"/>
    <w:basedOn w:val="Tablanormal"/>
    <w:rsid w:val="007F6465"/>
    <w:pPr>
      <w:spacing w:line="240" w:lineRule="atLeast"/>
    </w:pPr>
    <w:rPr>
      <w:lang w:eastAsia="en-US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rsid w:val="007F6465"/>
    <w:pPr>
      <w:spacing w:line="240" w:lineRule="atLeast"/>
    </w:pPr>
    <w:rPr>
      <w:b/>
      <w:bCs/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rsid w:val="007F6465"/>
    <w:pPr>
      <w:spacing w:line="240" w:lineRule="atLeast"/>
    </w:pPr>
    <w:rPr>
      <w:lang w:eastAsia="en-US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rsid w:val="007F6465"/>
    <w:pPr>
      <w:spacing w:line="240" w:lineRule="atLeast"/>
    </w:pPr>
    <w:rPr>
      <w:lang w:eastAsia="en-US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rsid w:val="007F6465"/>
    <w:pPr>
      <w:spacing w:line="240" w:lineRule="atLeast"/>
    </w:pPr>
    <w:rPr>
      <w:lang w:eastAsia="en-US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rsid w:val="007F6465"/>
    <w:pPr>
      <w:spacing w:line="240" w:lineRule="atLeast"/>
    </w:pPr>
    <w:rPr>
      <w:lang w:eastAsia="en-US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rsid w:val="007F6465"/>
    <w:pPr>
      <w:spacing w:line="240" w:lineRule="atLeast"/>
    </w:pPr>
    <w:rPr>
      <w:lang w:eastAsia="en-US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rsid w:val="007F6465"/>
    <w:pPr>
      <w:spacing w:line="240" w:lineRule="atLeast"/>
    </w:pPr>
    <w:rPr>
      <w:lang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rsid w:val="007F6465"/>
    <w:pPr>
      <w:spacing w:line="240" w:lineRule="atLeast"/>
    </w:pPr>
    <w:rPr>
      <w:lang w:eastAsia="en-US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rsid w:val="007F6465"/>
    <w:pPr>
      <w:spacing w:line="240" w:lineRule="atLeast"/>
    </w:pPr>
    <w:rPr>
      <w:lang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rsid w:val="007F6465"/>
    <w:pPr>
      <w:spacing w:line="240" w:lineRule="atLeast"/>
    </w:pPr>
    <w:rPr>
      <w:lang w:eastAsia="en-US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rsid w:val="007F6465"/>
    <w:pPr>
      <w:spacing w:line="240" w:lineRule="atLeast"/>
    </w:pPr>
    <w:rPr>
      <w:lang w:eastAsia="en-US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rsid w:val="007F6465"/>
    <w:pPr>
      <w:spacing w:line="240" w:lineRule="atLeast"/>
    </w:pPr>
    <w:rPr>
      <w:lang w:eastAsia="en-US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rsid w:val="007F6465"/>
    <w:pPr>
      <w:spacing w:line="240" w:lineRule="atLeast"/>
    </w:pPr>
    <w:rPr>
      <w:lang w:eastAsia="en-US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rsid w:val="007F6465"/>
    <w:pPr>
      <w:spacing w:line="240" w:lineRule="atLeast"/>
    </w:pPr>
    <w:rPr>
      <w:color w:val="FFFFFF"/>
      <w:lang w:eastAsia="en-US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rsid w:val="007F6465"/>
    <w:pPr>
      <w:spacing w:line="240" w:lineRule="atLeast"/>
    </w:pPr>
    <w:rPr>
      <w:lang w:eastAsia="en-US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rsid w:val="007F6465"/>
    <w:pPr>
      <w:spacing w:line="240" w:lineRule="atLeast"/>
    </w:pPr>
    <w:rPr>
      <w:lang w:eastAsia="en-US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rsid w:val="007F6465"/>
    <w:pPr>
      <w:spacing w:line="240" w:lineRule="atLeast"/>
    </w:pPr>
    <w:rPr>
      <w:lang w:eastAsia="en-US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rsid w:val="007F6465"/>
    <w:pPr>
      <w:spacing w:line="240" w:lineRule="atLeast"/>
    </w:pPr>
    <w:rPr>
      <w:lang w:eastAsia="en-US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semiHidden/>
    <w:rsid w:val="007F6465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7F6465"/>
    <w:pPr>
      <w:spacing w:after="120"/>
      <w:ind w:left="1440" w:right="1440"/>
    </w:pPr>
  </w:style>
  <w:style w:type="character" w:styleId="Textoennegrita">
    <w:name w:val="Strong"/>
    <w:semiHidden/>
    <w:rsid w:val="007F6465"/>
    <w:rPr>
      <w:b/>
      <w:bCs/>
    </w:rPr>
  </w:style>
  <w:style w:type="paragraph" w:styleId="Textoindependiente">
    <w:name w:val="Body Text"/>
    <w:basedOn w:val="Normal"/>
    <w:link w:val="TextoindependienteCar"/>
    <w:semiHidden/>
    <w:rsid w:val="007F6465"/>
    <w:pPr>
      <w:spacing w:after="120"/>
    </w:pPr>
  </w:style>
  <w:style w:type="paragraph" w:styleId="Textoindependiente2">
    <w:name w:val="Body Text 2"/>
    <w:basedOn w:val="Normal"/>
    <w:link w:val="Textoindependiente2Car"/>
    <w:semiHidden/>
    <w:rsid w:val="007F6465"/>
    <w:pPr>
      <w:spacing w:after="120" w:line="480" w:lineRule="auto"/>
    </w:pPr>
  </w:style>
  <w:style w:type="paragraph" w:styleId="Textoindependiente3">
    <w:name w:val="Body Text 3"/>
    <w:basedOn w:val="Normal"/>
    <w:link w:val="Textoindependiente3Car"/>
    <w:semiHidden/>
    <w:rsid w:val="007F6465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link w:val="TextoindependienteprimerasangraCar"/>
    <w:semiHidden/>
    <w:rsid w:val="007F6465"/>
    <w:pPr>
      <w:ind w:firstLine="210"/>
    </w:pPr>
  </w:style>
  <w:style w:type="paragraph" w:styleId="Textoindependienteprimerasangra2">
    <w:name w:val="Body Text First Indent 2"/>
    <w:basedOn w:val="Sangradetextonormal"/>
    <w:link w:val="Textoindependienteprimerasangra2Car"/>
    <w:semiHidden/>
    <w:rsid w:val="007F6465"/>
    <w:pPr>
      <w:ind w:firstLine="210"/>
    </w:pPr>
  </w:style>
  <w:style w:type="paragraph" w:styleId="Textonotaalfinal">
    <w:name w:val="endnote text"/>
    <w:aliases w:val="2_G"/>
    <w:basedOn w:val="Textonotapie"/>
    <w:link w:val="TextonotaalfinalCar"/>
    <w:uiPriority w:val="3"/>
    <w:qFormat/>
    <w:rsid w:val="007F6465"/>
  </w:style>
  <w:style w:type="paragraph" w:styleId="Textosinformato">
    <w:name w:val="Plain Text"/>
    <w:basedOn w:val="Normal"/>
    <w:link w:val="TextosinformatoCar"/>
    <w:semiHidden/>
    <w:rsid w:val="007F6465"/>
    <w:rPr>
      <w:rFonts w:ascii="Courier New" w:hAnsi="Courier New" w:cs="Courier New"/>
    </w:rPr>
  </w:style>
  <w:style w:type="paragraph" w:styleId="Ttulo">
    <w:name w:val="Title"/>
    <w:basedOn w:val="Normal"/>
    <w:link w:val="TtuloCar"/>
    <w:semiHidden/>
    <w:rsid w:val="007F6465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semiHidden/>
    <w:rsid w:val="007F6465"/>
    <w:rPr>
      <w:i/>
      <w:iCs/>
    </w:rPr>
  </w:style>
  <w:style w:type="paragraph" w:customStyle="1" w:styleId="Bullet1G">
    <w:name w:val="_Bullet 1_G"/>
    <w:basedOn w:val="Normal"/>
    <w:uiPriority w:val="1"/>
    <w:qFormat/>
    <w:rsid w:val="007F6465"/>
    <w:pPr>
      <w:numPr>
        <w:numId w:val="17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uiPriority w:val="1"/>
    <w:qFormat/>
    <w:rsid w:val="007F6465"/>
    <w:pPr>
      <w:numPr>
        <w:numId w:val="18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unhideWhenUsed/>
    <w:rsid w:val="007F646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F6465"/>
    <w:rPr>
      <w:rFonts w:ascii="Segoe UI" w:hAnsi="Segoe UI" w:cs="Segoe UI"/>
      <w:sz w:val="18"/>
      <w:szCs w:val="18"/>
      <w:lang w:val="es-ES" w:eastAsia="es-ES"/>
    </w:rPr>
  </w:style>
  <w:style w:type="paragraph" w:customStyle="1" w:styleId="ParNoG">
    <w:name w:val="_ParNo_G"/>
    <w:basedOn w:val="Normal"/>
    <w:uiPriority w:val="1"/>
    <w:qFormat/>
    <w:rsid w:val="007F6465"/>
    <w:pPr>
      <w:numPr>
        <w:numId w:val="19"/>
      </w:num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  <w:lang w:eastAsia="en-US"/>
    </w:rPr>
  </w:style>
  <w:style w:type="character" w:customStyle="1" w:styleId="SingleTxtGChar">
    <w:name w:val="_ Single Txt_G Char"/>
    <w:link w:val="SingleTxtG"/>
    <w:uiPriority w:val="1"/>
    <w:rsid w:val="007F6465"/>
    <w:rPr>
      <w:lang w:val="es-ES" w:eastAsia="es-ES"/>
    </w:rPr>
  </w:style>
  <w:style w:type="paragraph" w:customStyle="1" w:styleId="1ParNoG">
    <w:name w:val="1 _ParNo_G"/>
    <w:basedOn w:val="Normal"/>
    <w:uiPriority w:val="1"/>
    <w:qFormat/>
    <w:rsid w:val="007F6465"/>
    <w:pPr>
      <w:numPr>
        <w:ilvl w:val="1"/>
        <w:numId w:val="23"/>
      </w:numPr>
      <w:spacing w:after="120"/>
      <w:jc w:val="both"/>
    </w:pPr>
    <w:rPr>
      <w:rFonts w:eastAsiaTheme="minorHAnsi"/>
      <w:lang w:eastAsia="en-US"/>
    </w:rPr>
  </w:style>
  <w:style w:type="paragraph" w:customStyle="1" w:styleId="1ParNoG0">
    <w:name w:val="1_ParNo_G"/>
    <w:basedOn w:val="Normal"/>
    <w:uiPriority w:val="1"/>
    <w:qFormat/>
    <w:rsid w:val="007F6465"/>
    <w:pPr>
      <w:numPr>
        <w:ilvl w:val="2"/>
        <w:numId w:val="23"/>
      </w:numPr>
      <w:tabs>
        <w:tab w:val="clear" w:pos="1701"/>
      </w:tabs>
      <w:spacing w:after="120"/>
      <w:jc w:val="both"/>
    </w:pPr>
    <w:rPr>
      <w:rFonts w:eastAsiaTheme="minorHAnsi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7F6465"/>
    <w:rPr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7F6465"/>
    <w:rPr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7F6465"/>
    <w:rPr>
      <w:sz w:val="16"/>
      <w:szCs w:val="16"/>
      <w:lang w:val="es-ES" w:eastAsia="es-ES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semiHidden/>
    <w:rsid w:val="007F6465"/>
    <w:rPr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7F6465"/>
    <w:rPr>
      <w:lang w:val="es-ES" w:eastAsia="es-E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semiHidden/>
    <w:rsid w:val="007F6465"/>
    <w:rPr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7F6465"/>
    <w:rPr>
      <w:lang w:val="es-ES"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7F6465"/>
    <w:rPr>
      <w:sz w:val="16"/>
      <w:szCs w:val="16"/>
      <w:lang w:val="es-ES" w:eastAsia="es-ES"/>
    </w:rPr>
  </w:style>
  <w:style w:type="character" w:customStyle="1" w:styleId="CierreCar">
    <w:name w:val="Cierre Car"/>
    <w:basedOn w:val="Fuentedeprrafopredeter"/>
    <w:link w:val="Cierre"/>
    <w:semiHidden/>
    <w:rsid w:val="007F6465"/>
    <w:rPr>
      <w:lang w:val="es-ES" w:eastAsia="es-ES"/>
    </w:rPr>
  </w:style>
  <w:style w:type="character" w:customStyle="1" w:styleId="FechaCar">
    <w:name w:val="Fecha Car"/>
    <w:basedOn w:val="Fuentedeprrafopredeter"/>
    <w:link w:val="Fecha"/>
    <w:semiHidden/>
    <w:rsid w:val="007F6465"/>
    <w:rPr>
      <w:lang w:val="es-ES" w:eastAsia="es-ES"/>
    </w:rPr>
  </w:style>
  <w:style w:type="character" w:customStyle="1" w:styleId="FirmadecorreoelectrnicoCar">
    <w:name w:val="Firma de correo electrónico Car"/>
    <w:basedOn w:val="Fuentedeprrafopredeter"/>
    <w:link w:val="Firmadecorreoelectrnico"/>
    <w:semiHidden/>
    <w:rsid w:val="007F6465"/>
    <w:rPr>
      <w:lang w:val="es-ES" w:eastAsia="es-ES"/>
    </w:rPr>
  </w:style>
  <w:style w:type="character" w:customStyle="1" w:styleId="TextonotapieCar">
    <w:name w:val="Texto nota pie Car"/>
    <w:aliases w:val="5_G Car"/>
    <w:basedOn w:val="Fuentedeprrafopredeter"/>
    <w:link w:val="Textonotapie"/>
    <w:uiPriority w:val="3"/>
    <w:rsid w:val="007F6465"/>
    <w:rPr>
      <w:sz w:val="18"/>
      <w:lang w:val="es-ES" w:eastAsia="es-ES"/>
    </w:rPr>
  </w:style>
  <w:style w:type="character" w:customStyle="1" w:styleId="TextonotaalfinalCar">
    <w:name w:val="Texto nota al final Car"/>
    <w:aliases w:val="2_G Car"/>
    <w:basedOn w:val="Fuentedeprrafopredeter"/>
    <w:link w:val="Textonotaalfinal"/>
    <w:uiPriority w:val="3"/>
    <w:rsid w:val="007F6465"/>
    <w:rPr>
      <w:sz w:val="18"/>
      <w:lang w:val="es-ES" w:eastAsia="es-ES"/>
    </w:rPr>
  </w:style>
  <w:style w:type="character" w:customStyle="1" w:styleId="PiedepginaCar">
    <w:name w:val="Pie de página Car"/>
    <w:aliases w:val="3_G Car"/>
    <w:basedOn w:val="Fuentedeprrafopredeter"/>
    <w:link w:val="Piedepgina"/>
    <w:uiPriority w:val="3"/>
    <w:rsid w:val="007F6465"/>
    <w:rPr>
      <w:sz w:val="16"/>
      <w:lang w:val="es-ES" w:eastAsia="es-ES"/>
    </w:rPr>
  </w:style>
  <w:style w:type="character" w:customStyle="1" w:styleId="EncabezadoCar">
    <w:name w:val="Encabezado Car"/>
    <w:aliases w:val="6_G Car"/>
    <w:basedOn w:val="Fuentedeprrafopredeter"/>
    <w:link w:val="Encabezado"/>
    <w:uiPriority w:val="3"/>
    <w:rsid w:val="007F6465"/>
    <w:rPr>
      <w:b/>
      <w:sz w:val="18"/>
      <w:lang w:val="es-ES" w:eastAsia="es-ES"/>
    </w:rPr>
  </w:style>
  <w:style w:type="character" w:customStyle="1" w:styleId="Ttulo1Car">
    <w:name w:val="Título 1 Car"/>
    <w:aliases w:val="Cuadro_G Car"/>
    <w:basedOn w:val="Fuentedeprrafopredeter"/>
    <w:link w:val="Ttulo1"/>
    <w:uiPriority w:val="9"/>
    <w:rsid w:val="007F6465"/>
    <w:rPr>
      <w:lang w:val="fr-CH" w:eastAsia="en-US"/>
    </w:rPr>
  </w:style>
  <w:style w:type="character" w:customStyle="1" w:styleId="DireccinHTMLCar">
    <w:name w:val="Dirección HTML Car"/>
    <w:basedOn w:val="Fuentedeprrafopredeter"/>
    <w:link w:val="DireccinHTML"/>
    <w:semiHidden/>
    <w:rsid w:val="007F6465"/>
    <w:rPr>
      <w:i/>
      <w:iCs/>
      <w:lang w:val="es-ES" w:eastAsia="es-ES"/>
    </w:rPr>
  </w:style>
  <w:style w:type="character" w:customStyle="1" w:styleId="HTMLconformatoprevioCar">
    <w:name w:val="HTML con formato previo Car"/>
    <w:basedOn w:val="Fuentedeprrafopredeter"/>
    <w:link w:val="HTMLconformatoprevio"/>
    <w:semiHidden/>
    <w:rsid w:val="007F6465"/>
    <w:rPr>
      <w:rFonts w:ascii="Courier New" w:hAnsi="Courier New" w:cs="Courier New"/>
      <w:lang w:val="es-ES" w:eastAsia="es-ES"/>
    </w:rPr>
  </w:style>
  <w:style w:type="character" w:styleId="nfasisintenso">
    <w:name w:val="Intense Emphasis"/>
    <w:uiPriority w:val="21"/>
    <w:rsid w:val="007F6465"/>
    <w:rPr>
      <w:b/>
      <w:bCs/>
      <w:i/>
      <w:iCs/>
      <w:color w:val="4F81BD"/>
    </w:rPr>
  </w:style>
  <w:style w:type="paragraph" w:styleId="Citadestacada">
    <w:name w:val="Intense Quote"/>
    <w:basedOn w:val="Normal"/>
    <w:next w:val="Normal"/>
    <w:link w:val="CitadestacadaCar"/>
    <w:uiPriority w:val="30"/>
    <w:rsid w:val="007F6465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destacadaCar">
    <w:name w:val="Cita destacada Car"/>
    <w:link w:val="Citadestacada"/>
    <w:uiPriority w:val="30"/>
    <w:rsid w:val="007F6465"/>
    <w:rPr>
      <w:b/>
      <w:bCs/>
      <w:i/>
      <w:iCs/>
      <w:color w:val="4F81BD"/>
      <w:lang w:val="es-ES" w:eastAsia="es-ES"/>
    </w:rPr>
  </w:style>
  <w:style w:type="character" w:customStyle="1" w:styleId="EncabezadodemensajeCar">
    <w:name w:val="Encabezado de mensaje Car"/>
    <w:basedOn w:val="Fuentedeprrafopredeter"/>
    <w:link w:val="Encabezadodemensaje"/>
    <w:semiHidden/>
    <w:rsid w:val="007F6465"/>
    <w:rPr>
      <w:rFonts w:ascii="Arial" w:hAnsi="Arial" w:cs="Arial"/>
      <w:sz w:val="24"/>
      <w:szCs w:val="24"/>
      <w:shd w:val="pct20" w:color="auto" w:fill="auto"/>
      <w:lang w:val="es-ES" w:eastAsia="es-ES"/>
    </w:rPr>
  </w:style>
  <w:style w:type="character" w:customStyle="1" w:styleId="EncabezadodenotaCar">
    <w:name w:val="Encabezado de nota Car"/>
    <w:basedOn w:val="Fuentedeprrafopredeter"/>
    <w:link w:val="Encabezadodenota"/>
    <w:semiHidden/>
    <w:rsid w:val="007F6465"/>
    <w:rPr>
      <w:lang w:val="es-ES" w:eastAsia="es-ES"/>
    </w:rPr>
  </w:style>
  <w:style w:type="character" w:customStyle="1" w:styleId="TextosinformatoCar">
    <w:name w:val="Texto sin formato Car"/>
    <w:basedOn w:val="Fuentedeprrafopredeter"/>
    <w:link w:val="Textosinformato"/>
    <w:semiHidden/>
    <w:rsid w:val="007F6465"/>
    <w:rPr>
      <w:rFonts w:ascii="Courier New" w:hAnsi="Courier New" w:cs="Courier New"/>
      <w:lang w:val="es-ES" w:eastAsia="es-ES"/>
    </w:rPr>
  </w:style>
  <w:style w:type="character" w:customStyle="1" w:styleId="SaludoCar">
    <w:name w:val="Saludo Car"/>
    <w:basedOn w:val="Fuentedeprrafopredeter"/>
    <w:link w:val="Saludo"/>
    <w:semiHidden/>
    <w:rsid w:val="007F6465"/>
    <w:rPr>
      <w:lang w:val="es-ES" w:eastAsia="es-ES"/>
    </w:rPr>
  </w:style>
  <w:style w:type="character" w:customStyle="1" w:styleId="FirmaCar">
    <w:name w:val="Firma Car"/>
    <w:basedOn w:val="Fuentedeprrafopredeter"/>
    <w:link w:val="Firma"/>
    <w:semiHidden/>
    <w:rsid w:val="007F6465"/>
    <w:rPr>
      <w:lang w:val="es-ES" w:eastAsia="es-ES"/>
    </w:rPr>
  </w:style>
  <w:style w:type="character" w:customStyle="1" w:styleId="SubttuloCar">
    <w:name w:val="Subtítulo Car"/>
    <w:basedOn w:val="Fuentedeprrafopredeter"/>
    <w:link w:val="Subttulo"/>
    <w:semiHidden/>
    <w:rsid w:val="007F6465"/>
    <w:rPr>
      <w:rFonts w:ascii="Arial" w:hAnsi="Arial" w:cs="Arial"/>
      <w:sz w:val="24"/>
      <w:szCs w:val="24"/>
      <w:lang w:val="es-ES" w:eastAsia="es-ES"/>
    </w:rPr>
  </w:style>
  <w:style w:type="paragraph" w:customStyle="1" w:styleId="Table1G">
    <w:name w:val="Table_1_G"/>
    <w:basedOn w:val="Normal"/>
    <w:next w:val="Normal"/>
    <w:uiPriority w:val="2"/>
    <w:qFormat/>
    <w:rsid w:val="007F6465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line="240" w:lineRule="auto"/>
      <w:ind w:left="1134"/>
    </w:pPr>
    <w:rPr>
      <w:rFonts w:eastAsiaTheme="minorHAnsi"/>
      <w:lang w:eastAsia="en-US"/>
    </w:rPr>
  </w:style>
  <w:style w:type="paragraph" w:customStyle="1" w:styleId="Table1line2G">
    <w:name w:val="Table_1_line2_G"/>
    <w:basedOn w:val="Table1G"/>
    <w:next w:val="Normal"/>
    <w:uiPriority w:val="2"/>
    <w:qFormat/>
    <w:rsid w:val="007F6465"/>
    <w:pPr>
      <w:spacing w:after="120"/>
    </w:pPr>
    <w:rPr>
      <w:b/>
    </w:rPr>
  </w:style>
  <w:style w:type="paragraph" w:customStyle="1" w:styleId="Table1Line3G">
    <w:name w:val="Table_1_Line3_G"/>
    <w:basedOn w:val="Table1line2G"/>
    <w:next w:val="Normal"/>
    <w:uiPriority w:val="2"/>
    <w:qFormat/>
    <w:rsid w:val="007F6465"/>
    <w:rPr>
      <w:b w:val="0"/>
      <w:sz w:val="16"/>
    </w:rPr>
  </w:style>
  <w:style w:type="paragraph" w:customStyle="1" w:styleId="TableH23G">
    <w:name w:val="Table_H2/3_G"/>
    <w:basedOn w:val="H23G"/>
    <w:uiPriority w:val="2"/>
    <w:qFormat/>
    <w:rsid w:val="007F6465"/>
    <w:pPr>
      <w:kinsoku w:val="0"/>
      <w:overflowPunct w:val="0"/>
      <w:autoSpaceDE w:val="0"/>
      <w:autoSpaceDN w:val="0"/>
      <w:adjustRightInd w:val="0"/>
      <w:snapToGrid w:val="0"/>
      <w:spacing w:before="0"/>
      <w:ind w:right="0" w:firstLine="0"/>
      <w:outlineLvl w:val="9"/>
    </w:pPr>
    <w:rPr>
      <w:rFonts w:eastAsiaTheme="minorHAnsi"/>
      <w:lang w:eastAsia="en-US"/>
    </w:rPr>
  </w:style>
  <w:style w:type="character" w:customStyle="1" w:styleId="TtuloCar">
    <w:name w:val="Título Car"/>
    <w:basedOn w:val="Fuentedeprrafopredeter"/>
    <w:link w:val="Ttulo"/>
    <w:semiHidden/>
    <w:rsid w:val="007F6465"/>
    <w:rPr>
      <w:rFonts w:ascii="Arial" w:hAnsi="Arial" w:cs="Arial"/>
      <w:b/>
      <w:bCs/>
      <w:kern w:val="28"/>
      <w:sz w:val="32"/>
      <w:szCs w:val="32"/>
      <w:lang w:val="es-ES" w:eastAsia="es-ES"/>
    </w:rPr>
  </w:style>
  <w:style w:type="paragraph" w:styleId="TDC1">
    <w:name w:val="toc 1"/>
    <w:basedOn w:val="Normal"/>
    <w:next w:val="Normal"/>
    <w:uiPriority w:val="5"/>
    <w:unhideWhenUsed/>
    <w:rsid w:val="007F6465"/>
    <w:pPr>
      <w:tabs>
        <w:tab w:val="right" w:pos="851"/>
        <w:tab w:val="left" w:leader="dot" w:pos="9072"/>
        <w:tab w:val="right" w:pos="9639"/>
      </w:tabs>
      <w:spacing w:after="120"/>
      <w:ind w:left="1134" w:right="851" w:hanging="1134"/>
    </w:pPr>
    <w:rPr>
      <w:rFonts w:eastAsiaTheme="minorHAnsi"/>
      <w:lang w:eastAsia="en-US"/>
    </w:rPr>
  </w:style>
  <w:style w:type="paragraph" w:styleId="TDC2">
    <w:name w:val="toc 2"/>
    <w:basedOn w:val="TDC1"/>
    <w:next w:val="Normal"/>
    <w:uiPriority w:val="5"/>
    <w:unhideWhenUsed/>
    <w:rsid w:val="007F6465"/>
    <w:pPr>
      <w:tabs>
        <w:tab w:val="clear" w:pos="851"/>
      </w:tabs>
      <w:ind w:left="1559" w:hanging="425"/>
    </w:pPr>
  </w:style>
  <w:style w:type="paragraph" w:styleId="TDC3">
    <w:name w:val="toc 3"/>
    <w:basedOn w:val="TDC2"/>
    <w:next w:val="Normal"/>
    <w:uiPriority w:val="5"/>
    <w:unhideWhenUsed/>
    <w:rsid w:val="007F6465"/>
    <w:pPr>
      <w:tabs>
        <w:tab w:val="left" w:pos="1985"/>
      </w:tabs>
      <w:ind w:left="1984"/>
    </w:pPr>
  </w:style>
  <w:style w:type="paragraph" w:styleId="TDC4">
    <w:name w:val="toc 4"/>
    <w:basedOn w:val="TDC1"/>
    <w:next w:val="Normal"/>
    <w:uiPriority w:val="5"/>
    <w:unhideWhenUsed/>
    <w:rsid w:val="007F6465"/>
    <w:pPr>
      <w:tabs>
        <w:tab w:val="clear" w:pos="9072"/>
        <w:tab w:val="left" w:leader="dot" w:pos="7938"/>
        <w:tab w:val="right" w:pos="8930"/>
      </w:tabs>
      <w:ind w:right="1701"/>
    </w:pPr>
  </w:style>
  <w:style w:type="paragraph" w:styleId="TDC5">
    <w:name w:val="toc 5"/>
    <w:basedOn w:val="TDC4"/>
    <w:next w:val="Normal"/>
    <w:uiPriority w:val="5"/>
    <w:unhideWhenUsed/>
    <w:rsid w:val="007F6465"/>
    <w:pPr>
      <w:tabs>
        <w:tab w:val="clear" w:pos="851"/>
      </w:tabs>
      <w:ind w:left="1559" w:hanging="425"/>
    </w:pPr>
  </w:style>
  <w:style w:type="paragraph" w:styleId="TDC6">
    <w:name w:val="toc 6"/>
    <w:basedOn w:val="TDC5"/>
    <w:next w:val="Normal"/>
    <w:uiPriority w:val="5"/>
    <w:unhideWhenUsed/>
    <w:rsid w:val="007F6465"/>
    <w:pPr>
      <w:tabs>
        <w:tab w:val="left" w:pos="1985"/>
      </w:tabs>
      <w:ind w:left="1984"/>
    </w:pPr>
  </w:style>
  <w:style w:type="character" w:styleId="Mencinsinresolver">
    <w:name w:val="Unresolved Mention"/>
    <w:basedOn w:val="Fuentedeprrafopredeter"/>
    <w:uiPriority w:val="99"/>
    <w:semiHidden/>
    <w:unhideWhenUsed/>
    <w:rsid w:val="00983C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07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sp/CERD/C/TKM/12-13" TargetMode="External"/><Relationship Id="rId13" Type="http://schemas.openxmlformats.org/officeDocument/2006/relationships/hyperlink" Target="http://undocs.org/sp/CERD/C/TKM/CO/8-11" TargetMode="External"/><Relationship Id="rId18" Type="http://schemas.openxmlformats.org/officeDocument/2006/relationships/hyperlink" Target="http://undocs.org/sp/CERD/C/TKM/12-13" TargetMode="External"/><Relationship Id="rId26" Type="http://schemas.openxmlformats.org/officeDocument/2006/relationships/hyperlink" Target="http://undocs.org/sp/CERD/C/TKM/12-13" TargetMode="External"/><Relationship Id="rId3" Type="http://schemas.openxmlformats.org/officeDocument/2006/relationships/hyperlink" Target="http://undocs.org/sp/CERD/C/TKM/12-13" TargetMode="External"/><Relationship Id="rId21" Type="http://schemas.openxmlformats.org/officeDocument/2006/relationships/hyperlink" Target="http://undocs.org/sp/CERD/C/TKM/CO/8-11" TargetMode="External"/><Relationship Id="rId7" Type="http://schemas.openxmlformats.org/officeDocument/2006/relationships/hyperlink" Target="http://undocs.org/sp/CERD/C/TKM/CO/8-11" TargetMode="External"/><Relationship Id="rId12" Type="http://schemas.openxmlformats.org/officeDocument/2006/relationships/hyperlink" Target="http://undocs.org/sp/CERD/C/TKM/12-13" TargetMode="External"/><Relationship Id="rId17" Type="http://schemas.openxmlformats.org/officeDocument/2006/relationships/hyperlink" Target="http://undocs.org/sp/CERD/C/TKM/CO/8-11" TargetMode="External"/><Relationship Id="rId25" Type="http://schemas.openxmlformats.org/officeDocument/2006/relationships/hyperlink" Target="http://undocs.org/sp/CERD/C/TKM/CO/8-11" TargetMode="External"/><Relationship Id="rId2" Type="http://schemas.openxmlformats.org/officeDocument/2006/relationships/hyperlink" Target="http://undocs.org/sp/CERD/C/TKM/CO/8-11" TargetMode="External"/><Relationship Id="rId16" Type="http://schemas.openxmlformats.org/officeDocument/2006/relationships/hyperlink" Target="http://undocs.org/sp/CERD/C/TKM/12-13" TargetMode="External"/><Relationship Id="rId20" Type="http://schemas.openxmlformats.org/officeDocument/2006/relationships/hyperlink" Target="http://undocs.org/sp/CERD/C/TKM/12-13" TargetMode="External"/><Relationship Id="rId29" Type="http://schemas.openxmlformats.org/officeDocument/2006/relationships/hyperlink" Target="http://undocs.org/sp/CERD/C/TKM/CO/8-11" TargetMode="External"/><Relationship Id="rId1" Type="http://schemas.openxmlformats.org/officeDocument/2006/relationships/hyperlink" Target="http://undocs.org/sp/A/65/18" TargetMode="External"/><Relationship Id="rId6" Type="http://schemas.openxmlformats.org/officeDocument/2006/relationships/hyperlink" Target="http://undocs.org/sp/CERD/C/TKM/CO/8-11" TargetMode="External"/><Relationship Id="rId11" Type="http://schemas.openxmlformats.org/officeDocument/2006/relationships/hyperlink" Target="http://undocs.org/sp/CERD/C/TKM/CO/8-11" TargetMode="External"/><Relationship Id="rId24" Type="http://schemas.openxmlformats.org/officeDocument/2006/relationships/hyperlink" Target="http://undocs.org/sp/CERD/C/TKM/12-13" TargetMode="External"/><Relationship Id="rId32" Type="http://schemas.openxmlformats.org/officeDocument/2006/relationships/hyperlink" Target="http://undocs.org/sp/CERD/C/TKM/12-13" TargetMode="External"/><Relationship Id="rId5" Type="http://schemas.openxmlformats.org/officeDocument/2006/relationships/hyperlink" Target="http://undocs.org/sp/CERD/C/TKM/12-13" TargetMode="External"/><Relationship Id="rId15" Type="http://schemas.openxmlformats.org/officeDocument/2006/relationships/hyperlink" Target="http://undocs.org/sp/CERD/C/TKM/CO/8-11" TargetMode="External"/><Relationship Id="rId23" Type="http://schemas.openxmlformats.org/officeDocument/2006/relationships/hyperlink" Target="http://undocs.org/sp/CERD/C/TKM/CO/8-11" TargetMode="External"/><Relationship Id="rId28" Type="http://schemas.openxmlformats.org/officeDocument/2006/relationships/hyperlink" Target="http://undocs.org/sp/CERD/C/TKM/12-13" TargetMode="External"/><Relationship Id="rId10" Type="http://schemas.openxmlformats.org/officeDocument/2006/relationships/hyperlink" Target="http://undocs.org/sp/CERD/C/TKM/12-13" TargetMode="External"/><Relationship Id="rId19" Type="http://schemas.openxmlformats.org/officeDocument/2006/relationships/hyperlink" Target="http://undocs.org/sp/CERD/C/TKM/CO/8-11" TargetMode="External"/><Relationship Id="rId31" Type="http://schemas.openxmlformats.org/officeDocument/2006/relationships/hyperlink" Target="http://undocs.org/sp/CERD/C/TKM/CO/8-11" TargetMode="External"/><Relationship Id="rId4" Type="http://schemas.openxmlformats.org/officeDocument/2006/relationships/hyperlink" Target="http://undocs.org/sp/CERD/C/TKM/CO/8-11" TargetMode="External"/><Relationship Id="rId9" Type="http://schemas.openxmlformats.org/officeDocument/2006/relationships/hyperlink" Target="http://undocs.org/sp/CERD/C/TKM/CO/8-11" TargetMode="External"/><Relationship Id="rId14" Type="http://schemas.openxmlformats.org/officeDocument/2006/relationships/hyperlink" Target="http://undocs.org/sp/CERD/C/TKM/12-13" TargetMode="External"/><Relationship Id="rId22" Type="http://schemas.openxmlformats.org/officeDocument/2006/relationships/hyperlink" Target="http://undocs.org/sp/CERD/C/TKM/12-13" TargetMode="External"/><Relationship Id="rId27" Type="http://schemas.openxmlformats.org/officeDocument/2006/relationships/hyperlink" Target="http://undocs.org/sp/CERD/C/TKM/CO/8-11" TargetMode="External"/><Relationship Id="rId30" Type="http://schemas.openxmlformats.org/officeDocument/2006/relationships/hyperlink" Target="http://undocs.org/sp/CERD/C/TKM/12-13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CER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2</TotalTime>
  <Pages>3</Pages>
  <Words>1278</Words>
  <Characters>7290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CERD/C/TKM/Q/12-13</vt:lpstr>
    </vt:vector>
  </TitlesOfParts>
  <Company/>
  <LinksUpToDate>false</LinksUpToDate>
  <CharactersWithSpaces>8551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CERD/C/TKM/Q/12-13</dc:title>
  <dc:subject/>
  <dc:creator>Marcel GONZALEZ-PEREZ</dc:creator>
  <cp:keywords/>
  <cp:lastModifiedBy>Juan Korol</cp:lastModifiedBy>
  <cp:revision>3</cp:revision>
  <cp:lastPrinted>2023-07-24T12:12:00Z</cp:lastPrinted>
  <dcterms:created xsi:type="dcterms:W3CDTF">2023-07-24T12:12:00Z</dcterms:created>
  <dcterms:modified xsi:type="dcterms:W3CDTF">2023-07-24T12:13:00Z</dcterms:modified>
</cp:coreProperties>
</file>