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8C5F157" w14:textId="77777777" w:rsidTr="00E6618E">
        <w:trPr>
          <w:trHeight w:hRule="exact" w:val="851"/>
        </w:trPr>
        <w:tc>
          <w:tcPr>
            <w:tcW w:w="1276" w:type="dxa"/>
            <w:tcBorders>
              <w:bottom w:val="single" w:sz="4" w:space="0" w:color="auto"/>
            </w:tcBorders>
          </w:tcPr>
          <w:p w14:paraId="428E9553" w14:textId="77777777" w:rsidR="00A12E20" w:rsidRPr="00DB58B5" w:rsidRDefault="00A12E20" w:rsidP="00CE5F7B"/>
        </w:tc>
        <w:tc>
          <w:tcPr>
            <w:tcW w:w="2268" w:type="dxa"/>
            <w:tcBorders>
              <w:bottom w:val="single" w:sz="4" w:space="0" w:color="auto"/>
            </w:tcBorders>
            <w:vAlign w:val="bottom"/>
          </w:tcPr>
          <w:p w14:paraId="73037AB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8808C9" w14:textId="2675A11E" w:rsidR="00A12E20" w:rsidRPr="00DB58B5" w:rsidRDefault="00CE5F7B" w:rsidP="00CE5F7B">
            <w:pPr>
              <w:jc w:val="right"/>
            </w:pPr>
            <w:r w:rsidRPr="00CE5F7B">
              <w:rPr>
                <w:sz w:val="40"/>
              </w:rPr>
              <w:t>A</w:t>
            </w:r>
            <w:r>
              <w:t>/HRC/RES/55/19</w:t>
            </w:r>
          </w:p>
        </w:tc>
      </w:tr>
      <w:tr w:rsidR="00A12E20" w:rsidRPr="00DB58B5" w14:paraId="23127B7D" w14:textId="77777777" w:rsidTr="00E6618E">
        <w:trPr>
          <w:trHeight w:hRule="exact" w:val="2835"/>
        </w:trPr>
        <w:tc>
          <w:tcPr>
            <w:tcW w:w="1276" w:type="dxa"/>
            <w:tcBorders>
              <w:top w:val="single" w:sz="4" w:space="0" w:color="auto"/>
              <w:bottom w:val="single" w:sz="12" w:space="0" w:color="auto"/>
            </w:tcBorders>
          </w:tcPr>
          <w:p w14:paraId="0CC88D25" w14:textId="77777777" w:rsidR="00A12E20" w:rsidRPr="00DB58B5" w:rsidRDefault="00A12E20" w:rsidP="00E6618E">
            <w:pPr>
              <w:spacing w:before="120"/>
              <w:jc w:val="center"/>
            </w:pPr>
            <w:r>
              <w:rPr>
                <w:noProof/>
                <w:lang w:eastAsia="fr-CH"/>
              </w:rPr>
              <w:drawing>
                <wp:inline distT="0" distB="0" distL="0" distR="0" wp14:anchorId="1C4E886E" wp14:editId="0BD49A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DB858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D536615" w14:textId="77777777" w:rsidR="00A12E20" w:rsidRDefault="00CE5F7B" w:rsidP="00E6618E">
            <w:pPr>
              <w:spacing w:before="240"/>
            </w:pPr>
            <w:r>
              <w:t>Distr. générale</w:t>
            </w:r>
          </w:p>
          <w:p w14:paraId="780692F3" w14:textId="77777777" w:rsidR="00CE5F7B" w:rsidRDefault="00CE5F7B" w:rsidP="00CE5F7B">
            <w:pPr>
              <w:spacing w:line="240" w:lineRule="exact"/>
            </w:pPr>
            <w:r>
              <w:t>8 avril 2024</w:t>
            </w:r>
          </w:p>
          <w:p w14:paraId="660F6388" w14:textId="77777777" w:rsidR="00CE5F7B" w:rsidRDefault="00CE5F7B" w:rsidP="00CE5F7B">
            <w:pPr>
              <w:spacing w:line="240" w:lineRule="exact"/>
            </w:pPr>
            <w:r>
              <w:t>Français</w:t>
            </w:r>
          </w:p>
          <w:p w14:paraId="749F6C81" w14:textId="4800E5E6" w:rsidR="00CE5F7B" w:rsidRPr="00DB58B5" w:rsidRDefault="00CE5F7B" w:rsidP="00CE5F7B">
            <w:pPr>
              <w:spacing w:line="240" w:lineRule="exact"/>
            </w:pPr>
            <w:r>
              <w:t>Original : anglais</w:t>
            </w:r>
          </w:p>
        </w:tc>
      </w:tr>
    </w:tbl>
    <w:p w14:paraId="1718302C" w14:textId="77777777" w:rsidR="00D45432" w:rsidRDefault="00D45432" w:rsidP="00D45432">
      <w:pPr>
        <w:spacing w:before="120"/>
        <w:rPr>
          <w:b/>
          <w:sz w:val="24"/>
          <w:szCs w:val="24"/>
        </w:rPr>
      </w:pPr>
      <w:r w:rsidRPr="00BA184E">
        <w:rPr>
          <w:b/>
          <w:sz w:val="24"/>
          <w:szCs w:val="24"/>
        </w:rPr>
        <w:t>Conseil des droits de l’homme</w:t>
      </w:r>
    </w:p>
    <w:p w14:paraId="6F0E52EA" w14:textId="77777777" w:rsidR="00CE5F7B" w:rsidRPr="00BB1FFB" w:rsidRDefault="00CE5F7B" w:rsidP="00CE5F7B">
      <w:pPr>
        <w:rPr>
          <w:b/>
          <w:lang w:val="fr-FR"/>
        </w:rPr>
      </w:pPr>
      <w:r w:rsidRPr="00BB1FFB">
        <w:rPr>
          <w:b/>
          <w:bCs/>
          <w:lang w:val="fr-FR"/>
        </w:rPr>
        <w:t>Cinquante-cinquième session</w:t>
      </w:r>
    </w:p>
    <w:p w14:paraId="138FBB25" w14:textId="77777777" w:rsidR="00CE5F7B" w:rsidRPr="00BB1FFB" w:rsidRDefault="00CE5F7B" w:rsidP="00CE5F7B">
      <w:pPr>
        <w:rPr>
          <w:lang w:val="fr-FR"/>
        </w:rPr>
      </w:pPr>
      <w:r w:rsidRPr="00BB1FFB">
        <w:rPr>
          <w:lang w:val="fr-FR"/>
        </w:rPr>
        <w:t>26 février-5 avril 2024</w:t>
      </w:r>
    </w:p>
    <w:p w14:paraId="0C0B2FB8" w14:textId="77777777" w:rsidR="00CE5F7B" w:rsidRPr="00BB1FFB" w:rsidRDefault="00CE5F7B" w:rsidP="00CE5F7B">
      <w:pPr>
        <w:rPr>
          <w:lang w:val="fr-FR"/>
        </w:rPr>
      </w:pPr>
      <w:r w:rsidRPr="00BB1FFB">
        <w:rPr>
          <w:lang w:val="fr-FR"/>
        </w:rPr>
        <w:t>Point 4 de l’ordre du jour</w:t>
      </w:r>
    </w:p>
    <w:p w14:paraId="24325EF1" w14:textId="42959606" w:rsidR="00CE5F7B" w:rsidRPr="00BB1FFB" w:rsidRDefault="00CE5F7B" w:rsidP="00CE5F7B">
      <w:pPr>
        <w:ind w:right="5952"/>
        <w:rPr>
          <w:b/>
          <w:lang w:val="fr-FR"/>
        </w:rPr>
      </w:pPr>
      <w:r w:rsidRPr="00BB1FFB">
        <w:rPr>
          <w:b/>
          <w:bCs/>
          <w:lang w:val="fr-FR"/>
        </w:rPr>
        <w:t xml:space="preserve">Situations relatives aux droits de l’homme </w:t>
      </w:r>
      <w:r w:rsidR="00A37CD5">
        <w:rPr>
          <w:b/>
          <w:bCs/>
          <w:lang w:val="fr-FR"/>
        </w:rPr>
        <w:br/>
      </w:r>
      <w:r w:rsidRPr="00BB1FFB">
        <w:rPr>
          <w:b/>
          <w:bCs/>
          <w:lang w:val="fr-FR"/>
        </w:rPr>
        <w:t>qui requièrent l’attention du Conseil</w:t>
      </w:r>
    </w:p>
    <w:p w14:paraId="3B7106C3" w14:textId="5A5B267C" w:rsidR="00CE5F7B" w:rsidRPr="00BB1FFB" w:rsidRDefault="00CE5F7B" w:rsidP="00CE5F7B">
      <w:pPr>
        <w:pStyle w:val="HChG"/>
        <w:rPr>
          <w:lang w:val="fr-FR"/>
        </w:rPr>
      </w:pPr>
      <w:r w:rsidRPr="00BB1FFB">
        <w:rPr>
          <w:lang w:val="fr-FR"/>
        </w:rPr>
        <w:tab/>
      </w:r>
      <w:r w:rsidRPr="00BB1FFB">
        <w:rPr>
          <w:lang w:val="fr-FR"/>
        </w:rPr>
        <w:tab/>
        <w:t xml:space="preserve">Résolution adoptée par le Conseil des droits de l’homme </w:t>
      </w:r>
      <w:r>
        <w:rPr>
          <w:lang w:val="fr-FR"/>
        </w:rPr>
        <w:br/>
      </w:r>
      <w:r w:rsidRPr="00BB1FFB">
        <w:rPr>
          <w:lang w:val="fr-FR"/>
        </w:rPr>
        <w:t>le 4 avril 2024</w:t>
      </w:r>
    </w:p>
    <w:p w14:paraId="7A1D3E0E" w14:textId="1259CFC6" w:rsidR="00CE5F7B" w:rsidRPr="00BB1FFB" w:rsidRDefault="00CE5F7B" w:rsidP="00CE5F7B">
      <w:pPr>
        <w:pStyle w:val="H1G"/>
        <w:rPr>
          <w:lang w:val="fr-FR"/>
        </w:rPr>
      </w:pPr>
      <w:r>
        <w:rPr>
          <w:lang w:val="fr-FR"/>
        </w:rPr>
        <w:tab/>
      </w:r>
      <w:r w:rsidRPr="00BB1FFB">
        <w:rPr>
          <w:lang w:val="fr-FR"/>
        </w:rPr>
        <w:t>55/19</w:t>
      </w:r>
      <w:r>
        <w:rPr>
          <w:lang w:val="fr-FR"/>
        </w:rPr>
        <w:t>.</w:t>
      </w:r>
      <w:r w:rsidRPr="00BB1FFB">
        <w:rPr>
          <w:lang w:val="fr-FR"/>
        </w:rPr>
        <w:tab/>
        <w:t>Situation des droits de l’homme en République islamique d’Iran</w:t>
      </w:r>
    </w:p>
    <w:p w14:paraId="4EE28969" w14:textId="77777777" w:rsidR="00CE5F7B" w:rsidRPr="00BB1FFB" w:rsidRDefault="00CE5F7B" w:rsidP="00CE5F7B">
      <w:pPr>
        <w:pStyle w:val="SingleTxtG"/>
        <w:tabs>
          <w:tab w:val="clear" w:pos="1701"/>
          <w:tab w:val="clear" w:pos="2268"/>
          <w:tab w:val="clear" w:pos="2835"/>
        </w:tabs>
        <w:ind w:firstLine="567"/>
        <w:rPr>
          <w:rFonts w:eastAsia="SimSun"/>
          <w:lang w:val="fr-FR"/>
        </w:rPr>
      </w:pPr>
      <w:r w:rsidRPr="00BB1FFB">
        <w:rPr>
          <w:i/>
          <w:iCs/>
          <w:lang w:val="fr-FR"/>
        </w:rPr>
        <w:t>Le Conseil des droits de l’homme</w:t>
      </w:r>
      <w:r w:rsidRPr="00BB1FFB">
        <w:rPr>
          <w:lang w:val="fr-FR"/>
        </w:rPr>
        <w:t>,</w:t>
      </w:r>
    </w:p>
    <w:p w14:paraId="63BE5164" w14:textId="77777777" w:rsidR="00CE5F7B" w:rsidRPr="00BB1FFB" w:rsidRDefault="00CE5F7B" w:rsidP="00CE5F7B">
      <w:pPr>
        <w:pStyle w:val="SingleTxtG"/>
        <w:tabs>
          <w:tab w:val="clear" w:pos="1701"/>
          <w:tab w:val="clear" w:pos="2268"/>
          <w:tab w:val="clear" w:pos="2835"/>
        </w:tabs>
        <w:ind w:firstLine="567"/>
        <w:rPr>
          <w:lang w:val="fr-FR"/>
        </w:rPr>
      </w:pPr>
      <w:r w:rsidRPr="00BB1FFB">
        <w:rPr>
          <w:i/>
          <w:iCs/>
          <w:lang w:val="fr-FR"/>
        </w:rPr>
        <w:t xml:space="preserve">Guidé </w:t>
      </w:r>
      <w:r w:rsidRPr="00BB1FFB">
        <w:rPr>
          <w:lang w:val="fr-FR"/>
        </w:rPr>
        <w:t>par la Charte des Nations Unies, la Déclaration universelle des droits de l’homme, les Pactes internationaux relatifs aux droits de l’homme et les autres instruments internationaux pertinents relatifs aux droits de l’homme,</w:t>
      </w:r>
    </w:p>
    <w:p w14:paraId="174557C6" w14:textId="7E5A432C" w:rsidR="00CE5F7B" w:rsidRPr="00BB1FFB" w:rsidRDefault="00CE5F7B" w:rsidP="00CE5F7B">
      <w:pPr>
        <w:pStyle w:val="SingleTxtG"/>
        <w:tabs>
          <w:tab w:val="clear" w:pos="1701"/>
          <w:tab w:val="clear" w:pos="2268"/>
          <w:tab w:val="clear" w:pos="2835"/>
        </w:tabs>
        <w:ind w:firstLine="567"/>
        <w:rPr>
          <w:lang w:val="fr-FR"/>
        </w:rPr>
      </w:pPr>
      <w:r w:rsidRPr="00BB1FFB">
        <w:rPr>
          <w:i/>
          <w:iCs/>
          <w:spacing w:val="-2"/>
          <w:lang w:val="fr-FR"/>
        </w:rPr>
        <w:t xml:space="preserve">Rappelant </w:t>
      </w:r>
      <w:r w:rsidRPr="00BB1FFB">
        <w:rPr>
          <w:spacing w:val="-2"/>
          <w:lang w:val="fr-FR"/>
        </w:rPr>
        <w:t>toutes les résolutions que lui-même et l’Assemblée générale ont adoptées sur la question, en particulier les plus récentes, notamment ses résolutions 52/27 du 4</w:t>
      </w:r>
      <w:r w:rsidR="00A37CD5">
        <w:rPr>
          <w:spacing w:val="-2"/>
          <w:lang w:val="fr-FR"/>
        </w:rPr>
        <w:t> </w:t>
      </w:r>
      <w:r w:rsidRPr="00BB1FFB">
        <w:rPr>
          <w:spacing w:val="-2"/>
          <w:lang w:val="fr-FR"/>
        </w:rPr>
        <w:t>avril 2023 et S-35/1 du 24</w:t>
      </w:r>
      <w:r w:rsidR="00A37CD5">
        <w:rPr>
          <w:spacing w:val="-2"/>
          <w:lang w:val="fr-FR"/>
        </w:rPr>
        <w:t> </w:t>
      </w:r>
      <w:r w:rsidRPr="00BB1FFB">
        <w:rPr>
          <w:spacing w:val="-2"/>
          <w:lang w:val="fr-FR"/>
        </w:rPr>
        <w:t>novembre 2022 et la résolution de l’Assemblée 78/220 du 19</w:t>
      </w:r>
      <w:r w:rsidR="00A37CD5">
        <w:rPr>
          <w:spacing w:val="-2"/>
          <w:lang w:val="fr-FR"/>
        </w:rPr>
        <w:t> </w:t>
      </w:r>
      <w:r w:rsidRPr="00BB1FFB">
        <w:rPr>
          <w:spacing w:val="-2"/>
          <w:lang w:val="fr-FR"/>
        </w:rPr>
        <w:t xml:space="preserve">décembre 2023 </w:t>
      </w:r>
      <w:r w:rsidRPr="00BB1FFB">
        <w:rPr>
          <w:lang w:val="fr-FR"/>
        </w:rPr>
        <w:t>sur la situation des droits de l’homme en République islamique d’Iran,</w:t>
      </w:r>
    </w:p>
    <w:p w14:paraId="5A4516BA" w14:textId="77777777" w:rsidR="00CE5F7B" w:rsidRPr="00BB1FFB" w:rsidRDefault="00CE5F7B" w:rsidP="00CE5F7B">
      <w:pPr>
        <w:pStyle w:val="SingleTxtG"/>
        <w:tabs>
          <w:tab w:val="clear" w:pos="1701"/>
          <w:tab w:val="clear" w:pos="2268"/>
          <w:tab w:val="clear" w:pos="2835"/>
        </w:tabs>
        <w:ind w:firstLine="567"/>
        <w:rPr>
          <w:lang w:val="fr-FR"/>
        </w:rPr>
      </w:pPr>
      <w:r w:rsidRPr="00BB1FFB">
        <w:rPr>
          <w:i/>
          <w:iCs/>
          <w:lang w:val="fr-FR"/>
        </w:rPr>
        <w:t>Prenant note avec satisfaction</w:t>
      </w:r>
      <w:r w:rsidRPr="00BB1FFB">
        <w:rPr>
          <w:lang w:val="fr-FR"/>
        </w:rPr>
        <w:t xml:space="preserve"> du rapport et des recommandations que le Rapporteur spécial sur la situation des droits de l’homme en République islamique d’Iran lui a soumis</w:t>
      </w:r>
      <w:r w:rsidRPr="00BB1FFB">
        <w:rPr>
          <w:rStyle w:val="Appelnotedebasdep"/>
          <w:lang w:val="fr-FR"/>
        </w:rPr>
        <w:footnoteReference w:id="2"/>
      </w:r>
      <w:r w:rsidRPr="00BB1FFB">
        <w:rPr>
          <w:lang w:val="fr-FR"/>
        </w:rPr>
        <w:t>, et soulignant que les recommandations figurant dans le rapport devraient être dûment prises en considération par le Gouvernement iranien,</w:t>
      </w:r>
    </w:p>
    <w:p w14:paraId="2785C892" w14:textId="2C7174B5" w:rsidR="00CE5F7B" w:rsidRPr="00BB1FFB" w:rsidRDefault="00CE5F7B" w:rsidP="00CE5F7B">
      <w:pPr>
        <w:pStyle w:val="SingleTxtG"/>
        <w:tabs>
          <w:tab w:val="clear" w:pos="1701"/>
          <w:tab w:val="clear" w:pos="2268"/>
          <w:tab w:val="clear" w:pos="2835"/>
        </w:tabs>
        <w:ind w:firstLine="567"/>
        <w:rPr>
          <w:lang w:val="fr-FR"/>
        </w:rPr>
      </w:pPr>
      <w:r w:rsidRPr="00BB1FFB">
        <w:rPr>
          <w:i/>
          <w:iCs/>
          <w:lang w:val="fr-FR"/>
        </w:rPr>
        <w:t>Prenant également note avec satisfaction</w:t>
      </w:r>
      <w:r w:rsidRPr="00BB1FFB">
        <w:rPr>
          <w:lang w:val="fr-FR"/>
        </w:rPr>
        <w:t xml:space="preserve"> du travail accompli à ce jour par la Mission internationale indépendante d’établissement des faits sur la République islamique d’Iran s’agissant d’enquêter sur les allégations de violations des droits de l’homme commises, en particulier contre des femmes et des enfants, dans le contexte des manifestations qui ont débuté le 16</w:t>
      </w:r>
      <w:r w:rsidR="00A37CD5">
        <w:rPr>
          <w:lang w:val="fr-FR"/>
        </w:rPr>
        <w:t> </w:t>
      </w:r>
      <w:r w:rsidRPr="00BB1FFB">
        <w:rPr>
          <w:lang w:val="fr-FR"/>
        </w:rPr>
        <w:t>septembre 2022</w:t>
      </w:r>
      <w:r w:rsidRPr="00BB1FFB">
        <w:rPr>
          <w:rStyle w:val="Appelnotedebasdep"/>
          <w:lang w:val="fr-FR"/>
        </w:rPr>
        <w:footnoteReference w:id="3"/>
      </w:r>
      <w:r w:rsidRPr="00BB1FFB">
        <w:rPr>
          <w:lang w:val="fr-FR"/>
        </w:rPr>
        <w:t>, et notant qu’elle a besoin de plus de temps pour accomplir son mandat,</w:t>
      </w:r>
    </w:p>
    <w:p w14:paraId="526C4B33" w14:textId="77777777" w:rsidR="00CE5F7B" w:rsidRPr="00BB1FFB" w:rsidRDefault="00CE5F7B" w:rsidP="00CE5F7B">
      <w:pPr>
        <w:pStyle w:val="SingleTxtG"/>
        <w:tabs>
          <w:tab w:val="clear" w:pos="1701"/>
          <w:tab w:val="clear" w:pos="2268"/>
          <w:tab w:val="clear" w:pos="2835"/>
        </w:tabs>
        <w:ind w:firstLine="567"/>
        <w:rPr>
          <w:lang w:val="fr-FR"/>
        </w:rPr>
      </w:pPr>
      <w:r w:rsidRPr="00BB1FFB">
        <w:rPr>
          <w:i/>
          <w:iCs/>
          <w:lang w:val="fr-FR"/>
        </w:rPr>
        <w:t>Regrettant profondément</w:t>
      </w:r>
      <w:r w:rsidRPr="00BB1FFB">
        <w:rPr>
          <w:lang w:val="fr-FR"/>
        </w:rPr>
        <w:t xml:space="preserve"> que le Rapporteur spécial et la Mission internationale indépendante d’établissement des faits n’aient pas été autorisés à se rendre en République islamique d’Iran,</w:t>
      </w:r>
    </w:p>
    <w:p w14:paraId="1F8DCC48" w14:textId="77777777" w:rsidR="00CE5F7B" w:rsidRPr="00BB1FFB" w:rsidRDefault="00CE5F7B" w:rsidP="00CE5F7B">
      <w:pPr>
        <w:pStyle w:val="SingleTxtG"/>
        <w:tabs>
          <w:tab w:val="clear" w:pos="1701"/>
          <w:tab w:val="clear" w:pos="2268"/>
          <w:tab w:val="clear" w:pos="2835"/>
        </w:tabs>
        <w:ind w:firstLine="567"/>
        <w:rPr>
          <w:lang w:val="fr-FR"/>
        </w:rPr>
      </w:pPr>
      <w:r w:rsidRPr="00BB1FFB">
        <w:rPr>
          <w:i/>
          <w:iCs/>
          <w:spacing w:val="-2"/>
          <w:lang w:val="fr-FR"/>
        </w:rPr>
        <w:t>Rappelant</w:t>
      </w:r>
      <w:r w:rsidRPr="00BB1FFB">
        <w:rPr>
          <w:spacing w:val="-2"/>
          <w:lang w:val="fr-FR"/>
        </w:rPr>
        <w:t xml:space="preserve"> ses résolutions 5/1, sur la mise en place de ses institutions, et 5/2, sur le Code de conduite pour les titulaires de mandat au titre de ses procédures spéciales, du 18 juin 2007,</w:t>
      </w:r>
      <w:r w:rsidRPr="00BB1FFB">
        <w:rPr>
          <w:lang w:val="fr-FR"/>
        </w:rPr>
        <w:t xml:space="preserve"> et soulignant que les titulaires de mandat doivent s’acquitter de leurs fonctions conformément auxdites résolutions et à leurs annexes,</w:t>
      </w:r>
    </w:p>
    <w:p w14:paraId="1DE29716" w14:textId="5EF5EE40" w:rsidR="00CE5F7B" w:rsidRPr="00BB1FFB" w:rsidRDefault="00CE5F7B" w:rsidP="00CE5F7B">
      <w:pPr>
        <w:pStyle w:val="SingleTxtG"/>
        <w:tabs>
          <w:tab w:val="clear" w:pos="1701"/>
          <w:tab w:val="clear" w:pos="2268"/>
          <w:tab w:val="clear" w:pos="2835"/>
        </w:tabs>
        <w:ind w:firstLine="567"/>
        <w:rPr>
          <w:lang w:val="fr-FR"/>
        </w:rPr>
      </w:pPr>
      <w:r w:rsidRPr="00BB1FFB">
        <w:rPr>
          <w:lang w:val="fr-FR"/>
        </w:rPr>
        <w:t>1.</w:t>
      </w:r>
      <w:r w:rsidRPr="00BB1FFB">
        <w:rPr>
          <w:lang w:val="fr-FR"/>
        </w:rPr>
        <w:tab/>
      </w:r>
      <w:r w:rsidRPr="00BB1FFB">
        <w:rPr>
          <w:i/>
          <w:iCs/>
          <w:lang w:val="fr-FR"/>
        </w:rPr>
        <w:t xml:space="preserve">Décide </w:t>
      </w:r>
      <w:r w:rsidRPr="00BB1FFB">
        <w:rPr>
          <w:lang w:val="fr-FR"/>
        </w:rPr>
        <w:t xml:space="preserve">de proroger le mandat de Rapporteur spécial sur la situation des droits de l’homme en République islamique d’Iran pour une nouvelle période d’un an afin de </w:t>
      </w:r>
      <w:r w:rsidRPr="00BB1FFB">
        <w:rPr>
          <w:lang w:val="fr-FR"/>
        </w:rPr>
        <w:lastRenderedPageBreak/>
        <w:t>continuer à surveiller l’évolution de la situation des droits de l’homme, y compris les droits civils, politiques, économiques, sociaux et culturels, et de mesurer les progrès accomplis dans l’application des recommandations formulées par le Rapporteur spécial, et prie le Rapporteur spécial de lui soumettre, à sa cinquante-huitième session, ainsi qu’à l’Assemblée générale, à sa soixante-dix-neuvième session, un rapport sur l’exécution de son mandat</w:t>
      </w:r>
      <w:r>
        <w:rPr>
          <w:lang w:val="fr-FR"/>
        </w:rPr>
        <w:t> ;</w:t>
      </w:r>
    </w:p>
    <w:p w14:paraId="18CAF1EC" w14:textId="1896E194" w:rsidR="00CE5F7B" w:rsidRPr="00BB1FFB" w:rsidRDefault="00CE5F7B" w:rsidP="00CE5F7B">
      <w:pPr>
        <w:pStyle w:val="SingleTxtG"/>
        <w:tabs>
          <w:tab w:val="clear" w:pos="1701"/>
          <w:tab w:val="clear" w:pos="2268"/>
          <w:tab w:val="clear" w:pos="2835"/>
        </w:tabs>
        <w:ind w:firstLine="567"/>
        <w:rPr>
          <w:lang w:val="fr-FR"/>
        </w:rPr>
      </w:pPr>
      <w:r w:rsidRPr="00BB1FFB">
        <w:rPr>
          <w:lang w:val="fr-FR"/>
        </w:rPr>
        <w:t>2.</w:t>
      </w:r>
      <w:r w:rsidRPr="00BB1FFB">
        <w:rPr>
          <w:lang w:val="fr-FR"/>
        </w:rPr>
        <w:tab/>
      </w:r>
      <w:r w:rsidRPr="00BB1FFB">
        <w:rPr>
          <w:i/>
          <w:iCs/>
          <w:lang w:val="fr-FR"/>
        </w:rPr>
        <w:t xml:space="preserve">Décide également </w:t>
      </w:r>
      <w:r w:rsidRPr="00BB1FFB">
        <w:rPr>
          <w:lang w:val="fr-FR"/>
        </w:rPr>
        <w:t>de proroger le mandat de la Mission internationale indépendante d’établissement des faits sur la République islamique d’Iran pour une nouvelle période d’un an afin de lui permettre d’accomplir son mandat, notamment en veillant à ce que les nombreuses preuves des violations des droits de l’homme commises en République islamique d’Iran, en particulier contre des femmes et des enfants, dans le contexte des manifestations qui ont débuté le 16</w:t>
      </w:r>
      <w:r w:rsidR="00A37CD5">
        <w:rPr>
          <w:lang w:val="fr-FR"/>
        </w:rPr>
        <w:t> </w:t>
      </w:r>
      <w:r w:rsidRPr="00BB1FFB">
        <w:rPr>
          <w:lang w:val="fr-FR"/>
        </w:rPr>
        <w:t>septembre 2022, soient pleinement et efficacement documentées, vérifiées, consolidées et préservées, et prie la Mission internationale indépendante d’établissement des faits de lui présenter un rapport et des recommandations à sa cinquante-huitième session, au cours d’un dialogue tenu conjointement avec le Rapporteur spécial</w:t>
      </w:r>
      <w:r>
        <w:rPr>
          <w:lang w:val="fr-FR"/>
        </w:rPr>
        <w:t> ;</w:t>
      </w:r>
    </w:p>
    <w:p w14:paraId="3CAFB6CA" w14:textId="4618434F" w:rsidR="00CE5F7B" w:rsidRPr="00BB1FFB" w:rsidRDefault="00CE5F7B" w:rsidP="00CE5F7B">
      <w:pPr>
        <w:pStyle w:val="SingleTxtG"/>
        <w:tabs>
          <w:tab w:val="clear" w:pos="1701"/>
          <w:tab w:val="clear" w:pos="2268"/>
          <w:tab w:val="clear" w:pos="2835"/>
        </w:tabs>
        <w:ind w:firstLine="567"/>
        <w:rPr>
          <w:lang w:val="fr-FR"/>
        </w:rPr>
      </w:pPr>
      <w:r w:rsidRPr="00BB1FFB">
        <w:rPr>
          <w:lang w:val="fr-FR"/>
        </w:rPr>
        <w:t>3.</w:t>
      </w:r>
      <w:r w:rsidRPr="00BB1FFB">
        <w:rPr>
          <w:lang w:val="fr-FR"/>
        </w:rPr>
        <w:tab/>
      </w:r>
      <w:r w:rsidRPr="00BB1FFB">
        <w:rPr>
          <w:i/>
          <w:iCs/>
          <w:lang w:val="fr-FR"/>
        </w:rPr>
        <w:t xml:space="preserve">Demande </w:t>
      </w:r>
      <w:r w:rsidRPr="00BB1FFB">
        <w:rPr>
          <w:lang w:val="fr-FR"/>
        </w:rPr>
        <w:t>au Gouvernement iranien de collaborer pleinement avec le Rapporteur spécial et la Mission internationale indépendante d’établissement des faits, de leur accorder un accès sans entrave au pays et de leur fournir tous les renseignements dont ils auront besoin pour s’acquitter de leur mandat, comme prévu dans son invitation permanente</w:t>
      </w:r>
      <w:r>
        <w:rPr>
          <w:lang w:val="fr-FR"/>
        </w:rPr>
        <w:t> ;</w:t>
      </w:r>
    </w:p>
    <w:p w14:paraId="3C0424DF" w14:textId="0BF6B3BB" w:rsidR="00CE5F7B" w:rsidRPr="00BB1FFB" w:rsidRDefault="00CE5F7B" w:rsidP="00CE5F7B">
      <w:pPr>
        <w:pStyle w:val="SingleTxtG"/>
        <w:tabs>
          <w:tab w:val="clear" w:pos="1701"/>
          <w:tab w:val="clear" w:pos="2268"/>
          <w:tab w:val="clear" w:pos="2835"/>
        </w:tabs>
        <w:ind w:firstLine="567"/>
        <w:rPr>
          <w:lang w:val="fr-FR"/>
        </w:rPr>
      </w:pPr>
      <w:r w:rsidRPr="00BB1FFB">
        <w:rPr>
          <w:lang w:val="fr-FR"/>
        </w:rPr>
        <w:t>4.</w:t>
      </w:r>
      <w:r w:rsidRPr="00BB1FFB">
        <w:rPr>
          <w:lang w:val="fr-FR"/>
        </w:rPr>
        <w:tab/>
      </w:r>
      <w:r w:rsidRPr="00BB1FFB">
        <w:rPr>
          <w:i/>
          <w:iCs/>
          <w:lang w:val="fr-FR"/>
        </w:rPr>
        <w:t xml:space="preserve">Engage </w:t>
      </w:r>
      <w:r w:rsidRPr="00BB1FFB">
        <w:rPr>
          <w:lang w:val="fr-FR"/>
        </w:rPr>
        <w:t>le Rapporteur spécial et la Mission internationale indépendante d’établissement des faits à coopérer étroitement, en vue de favoriser les synergies</w:t>
      </w:r>
      <w:r>
        <w:rPr>
          <w:lang w:val="fr-FR"/>
        </w:rPr>
        <w:t> ;</w:t>
      </w:r>
      <w:bookmarkStart w:id="0" w:name="OLE_LINK11"/>
      <w:bookmarkStart w:id="1" w:name="OLE_LINK8"/>
      <w:bookmarkEnd w:id="0"/>
      <w:bookmarkEnd w:id="1"/>
    </w:p>
    <w:p w14:paraId="06074F6A" w14:textId="77777777" w:rsidR="00CE5F7B" w:rsidRPr="00BB1FFB" w:rsidRDefault="00CE5F7B" w:rsidP="00CE5F7B">
      <w:pPr>
        <w:pStyle w:val="SingleTxtG"/>
        <w:tabs>
          <w:tab w:val="clear" w:pos="1701"/>
          <w:tab w:val="clear" w:pos="2268"/>
          <w:tab w:val="clear" w:pos="2835"/>
        </w:tabs>
        <w:ind w:firstLine="567"/>
        <w:rPr>
          <w:lang w:val="fr-FR"/>
        </w:rPr>
      </w:pPr>
      <w:r w:rsidRPr="00BB1FFB">
        <w:rPr>
          <w:lang w:val="fr-FR"/>
        </w:rPr>
        <w:t>5.</w:t>
      </w:r>
      <w:r w:rsidRPr="00BB1FFB">
        <w:rPr>
          <w:lang w:val="fr-FR"/>
        </w:rPr>
        <w:tab/>
      </w:r>
      <w:r w:rsidRPr="00BB1FFB">
        <w:rPr>
          <w:i/>
          <w:iCs/>
          <w:lang w:val="fr-FR"/>
        </w:rPr>
        <w:t xml:space="preserve">Prie </w:t>
      </w:r>
      <w:r w:rsidRPr="00BB1FFB">
        <w:rPr>
          <w:lang w:val="fr-FR"/>
        </w:rPr>
        <w:t>le Secrétaire général de fournir au Rapporteur spécial et à la Mission internationale indépendante d’établissement des faits les ressources nécessaires à l’exécution de leurs mandats.</w:t>
      </w:r>
    </w:p>
    <w:p w14:paraId="617E4529" w14:textId="77777777" w:rsidR="00CE5F7B" w:rsidRPr="00BB1FFB" w:rsidRDefault="00CE5F7B" w:rsidP="00CE5F7B">
      <w:pPr>
        <w:pStyle w:val="SingleTxtG"/>
        <w:tabs>
          <w:tab w:val="clear" w:pos="1701"/>
          <w:tab w:val="clear" w:pos="2268"/>
          <w:tab w:val="clear" w:pos="2835"/>
        </w:tabs>
        <w:spacing w:after="0"/>
        <w:ind w:firstLine="567"/>
        <w:jc w:val="right"/>
        <w:rPr>
          <w:i/>
          <w:iCs/>
          <w:lang w:val="fr-FR"/>
        </w:rPr>
      </w:pPr>
      <w:r w:rsidRPr="00BB1FFB">
        <w:rPr>
          <w:i/>
          <w:iCs/>
          <w:lang w:val="fr-FR"/>
        </w:rPr>
        <w:t>54</w:t>
      </w:r>
      <w:r w:rsidRPr="00BB1FFB">
        <w:rPr>
          <w:i/>
          <w:iCs/>
          <w:vertAlign w:val="superscript"/>
          <w:lang w:val="fr-FR"/>
        </w:rPr>
        <w:t>e</w:t>
      </w:r>
      <w:r w:rsidRPr="00BB1FFB">
        <w:rPr>
          <w:i/>
          <w:iCs/>
          <w:lang w:val="fr-FR"/>
        </w:rPr>
        <w:t xml:space="preserve"> séance</w:t>
      </w:r>
    </w:p>
    <w:p w14:paraId="443023D0" w14:textId="77777777" w:rsidR="00CE5F7B" w:rsidRPr="00CE5F7B" w:rsidRDefault="00CE5F7B" w:rsidP="00CE5F7B">
      <w:pPr>
        <w:pStyle w:val="SingleTxtG"/>
        <w:tabs>
          <w:tab w:val="clear" w:pos="1701"/>
          <w:tab w:val="clear" w:pos="2268"/>
          <w:tab w:val="clear" w:pos="2835"/>
        </w:tabs>
        <w:ind w:firstLine="567"/>
        <w:jc w:val="right"/>
        <w:rPr>
          <w:i/>
          <w:iCs/>
          <w:lang w:val="fr-FR"/>
        </w:rPr>
      </w:pPr>
      <w:r w:rsidRPr="00CE5F7B">
        <w:rPr>
          <w:i/>
          <w:iCs/>
          <w:lang w:val="fr-FR"/>
        </w:rPr>
        <w:t>4 avril 2024</w:t>
      </w:r>
    </w:p>
    <w:p w14:paraId="05DACE50" w14:textId="71EF6EC1" w:rsidR="00CE5F7B" w:rsidRPr="00CE5F7B" w:rsidRDefault="00CE5F7B" w:rsidP="00CE5F7B">
      <w:pPr>
        <w:pStyle w:val="SingleTxtG"/>
        <w:rPr>
          <w:rFonts w:asciiTheme="majorBidi" w:hAnsiTheme="majorBidi" w:cstheme="majorBidi"/>
          <w:lang w:val="fr-FR"/>
        </w:rPr>
      </w:pPr>
      <w:r w:rsidRPr="00CE5F7B">
        <w:rPr>
          <w:rFonts w:asciiTheme="majorBidi" w:hAnsiTheme="majorBidi" w:cstheme="majorBidi"/>
          <w:lang w:val="fr-FR"/>
        </w:rPr>
        <w:t>[Adoptée à l’issue d’un vote enregistré par 24 voix contre 8, avec 15 abstentions. Les voix se sont réparties comme suit</w:t>
      </w:r>
      <w:r w:rsidRPr="00CE5F7B">
        <w:rPr>
          <w:rFonts w:asciiTheme="majorBidi" w:hAnsiTheme="majorBidi" w:cstheme="majorBidi"/>
          <w:lang w:val="fr-FR"/>
        </w:rPr>
        <w:t> :</w:t>
      </w:r>
    </w:p>
    <w:p w14:paraId="7340609C" w14:textId="7A02B809" w:rsidR="00CE5F7B" w:rsidRPr="00CE5F7B" w:rsidRDefault="00CE5F7B" w:rsidP="00CE5F7B">
      <w:pPr>
        <w:pStyle w:val="SingleTxtG"/>
        <w:spacing w:after="0"/>
        <w:rPr>
          <w:rFonts w:asciiTheme="majorBidi" w:hAnsiTheme="majorBidi" w:cstheme="majorBidi"/>
          <w:lang w:val="fr-FR"/>
        </w:rPr>
      </w:pPr>
      <w:r w:rsidRPr="00CE5F7B">
        <w:rPr>
          <w:rFonts w:asciiTheme="majorBidi" w:hAnsiTheme="majorBidi" w:cstheme="majorBidi"/>
          <w:i/>
          <w:iCs/>
          <w:lang w:val="fr-FR"/>
        </w:rPr>
        <w:t>Ont voté pour</w:t>
      </w:r>
      <w:r w:rsidRPr="00CE5F7B">
        <w:rPr>
          <w:rFonts w:asciiTheme="majorBidi" w:hAnsiTheme="majorBidi" w:cstheme="majorBidi"/>
          <w:lang w:val="fr-FR"/>
        </w:rPr>
        <w:t> :</w:t>
      </w:r>
    </w:p>
    <w:p w14:paraId="149C395F" w14:textId="77777777" w:rsidR="00CE5F7B" w:rsidRPr="00CE5F7B" w:rsidRDefault="00CE5F7B" w:rsidP="00CE5F7B">
      <w:pPr>
        <w:pStyle w:val="SingleTxtG"/>
        <w:ind w:left="1701"/>
      </w:pPr>
      <w:r w:rsidRPr="00CE5F7B">
        <w:t>Albanie, Allemagne, Argentine, Belgique, Bénin, Bulgarie, Chili, Costa Rica, États-Unis d’Amérique, Finlande, France, Gambie, Honduras, Japon, Lituanie, Luxembourg, Malawi, Maroc, Monténégro, Paraguay, Pays-Bas (Royaume des), République dominicaine, Roumanie et Somalie</w:t>
      </w:r>
    </w:p>
    <w:p w14:paraId="023EA10F" w14:textId="272F5926" w:rsidR="00CE5F7B" w:rsidRPr="00CE5F7B" w:rsidRDefault="00CE5F7B" w:rsidP="00CE5F7B">
      <w:pPr>
        <w:pStyle w:val="SingleTxtG"/>
        <w:spacing w:after="0"/>
        <w:rPr>
          <w:rFonts w:asciiTheme="majorBidi" w:hAnsiTheme="majorBidi" w:cstheme="majorBidi"/>
          <w:lang w:val="fr-FR"/>
        </w:rPr>
      </w:pPr>
      <w:r w:rsidRPr="00CE5F7B">
        <w:rPr>
          <w:rFonts w:asciiTheme="majorBidi" w:hAnsiTheme="majorBidi" w:cstheme="majorBidi"/>
          <w:i/>
          <w:iCs/>
          <w:lang w:val="fr-FR"/>
        </w:rPr>
        <w:t>Ont voté contre</w:t>
      </w:r>
      <w:r w:rsidRPr="00CE5F7B">
        <w:rPr>
          <w:rFonts w:asciiTheme="majorBidi" w:hAnsiTheme="majorBidi" w:cstheme="majorBidi"/>
          <w:lang w:val="fr-FR"/>
        </w:rPr>
        <w:t> :</w:t>
      </w:r>
    </w:p>
    <w:p w14:paraId="37B55ADF" w14:textId="52DA2952" w:rsidR="00CE5F7B" w:rsidRPr="00CE5F7B" w:rsidRDefault="00CE5F7B" w:rsidP="00CE5F7B">
      <w:pPr>
        <w:pStyle w:val="SingleTxtG"/>
        <w:ind w:left="1701"/>
        <w:rPr>
          <w:lang w:val="fr-FR"/>
        </w:rPr>
      </w:pPr>
      <w:r w:rsidRPr="00CE5F7B">
        <w:t>Algérie, Burundi, Chine, Cuba, Érythrée, Indonésie, Soudan et Viet Nam</w:t>
      </w:r>
    </w:p>
    <w:p w14:paraId="436BED1D" w14:textId="517A0AB5" w:rsidR="00CE5F7B" w:rsidRPr="00CE5F7B" w:rsidRDefault="00CE5F7B" w:rsidP="00CE5F7B">
      <w:pPr>
        <w:pStyle w:val="SingleTxtG"/>
        <w:spacing w:after="0"/>
        <w:rPr>
          <w:rFonts w:asciiTheme="majorBidi" w:hAnsiTheme="majorBidi" w:cstheme="majorBidi"/>
          <w:lang w:val="fr-FR"/>
        </w:rPr>
      </w:pPr>
      <w:r w:rsidRPr="00CE5F7B">
        <w:rPr>
          <w:rFonts w:asciiTheme="majorBidi" w:hAnsiTheme="majorBidi" w:cstheme="majorBidi"/>
          <w:i/>
          <w:iCs/>
          <w:lang w:val="fr-FR"/>
        </w:rPr>
        <w:t xml:space="preserve">Se </w:t>
      </w:r>
      <w:r w:rsidRPr="00A37CD5">
        <w:rPr>
          <w:rFonts w:asciiTheme="majorBidi" w:hAnsiTheme="majorBidi" w:cstheme="majorBidi"/>
          <w:i/>
          <w:iCs/>
          <w:lang w:val="fr-FR"/>
        </w:rPr>
        <w:t>sont</w:t>
      </w:r>
      <w:r w:rsidRPr="00CE5F7B">
        <w:rPr>
          <w:rFonts w:asciiTheme="majorBidi" w:hAnsiTheme="majorBidi" w:cstheme="majorBidi"/>
          <w:i/>
          <w:iCs/>
          <w:lang w:val="fr-FR"/>
        </w:rPr>
        <w:t xml:space="preserve"> abstenus</w:t>
      </w:r>
      <w:r w:rsidRPr="00CE5F7B">
        <w:rPr>
          <w:rFonts w:asciiTheme="majorBidi" w:hAnsiTheme="majorBidi" w:cstheme="majorBidi"/>
          <w:lang w:val="fr-FR"/>
        </w:rPr>
        <w:t> :</w:t>
      </w:r>
    </w:p>
    <w:p w14:paraId="1E7442AF" w14:textId="1B0A8C6D" w:rsidR="00CE5F7B" w:rsidRPr="00CE5F7B" w:rsidRDefault="00CE5F7B" w:rsidP="00CE5F7B">
      <w:pPr>
        <w:pStyle w:val="SingleTxtG"/>
        <w:ind w:left="1701"/>
        <w:rPr>
          <w:rFonts w:asciiTheme="majorBidi" w:eastAsia="SimSun" w:hAnsiTheme="majorBidi" w:cstheme="majorBidi"/>
          <w:lang w:val="fr-FR" w:eastAsia="ar-SA"/>
        </w:rPr>
      </w:pPr>
      <w:r w:rsidRPr="00CE5F7B">
        <w:t>Afrique du Sud, Bangladesh, Brésil, Cameroun, Côte d’Ivoire, Émirats arabes unis, Géorgie, Ghana, Inde, Kazakhstan, Kirghizistan, Koweït, Malaisie, Maldives et Qatar</w:t>
      </w:r>
      <w:r w:rsidRPr="00CE5F7B">
        <w:rPr>
          <w:rFonts w:asciiTheme="majorBidi" w:eastAsia="SimSun" w:hAnsiTheme="majorBidi" w:cstheme="majorBidi"/>
          <w:lang w:val="fr-FR" w:eastAsia="ar-SA"/>
        </w:rPr>
        <w:t>]</w:t>
      </w:r>
    </w:p>
    <w:p w14:paraId="75FA20F1" w14:textId="6D4B31CE" w:rsidR="00552797" w:rsidRPr="00CE5F7B" w:rsidRDefault="00CE5F7B" w:rsidP="00CE5F7B">
      <w:pPr>
        <w:pStyle w:val="SingleTxtG"/>
        <w:spacing w:before="240" w:after="0"/>
        <w:jc w:val="center"/>
        <w:rPr>
          <w:u w:val="single"/>
        </w:rPr>
      </w:pPr>
      <w:r>
        <w:rPr>
          <w:u w:val="single"/>
        </w:rPr>
        <w:tab/>
      </w:r>
      <w:r>
        <w:rPr>
          <w:u w:val="single"/>
        </w:rPr>
        <w:tab/>
      </w:r>
      <w:r>
        <w:rPr>
          <w:u w:val="single"/>
        </w:rPr>
        <w:tab/>
      </w:r>
    </w:p>
    <w:sectPr w:rsidR="00552797" w:rsidRPr="00CE5F7B" w:rsidSect="00CE5F7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08A2E" w14:textId="77777777" w:rsidR="004C7816" w:rsidRPr="00EF7F30" w:rsidRDefault="004C7816" w:rsidP="00EF7F30">
      <w:pPr>
        <w:pStyle w:val="Pieddepage"/>
      </w:pPr>
    </w:p>
  </w:endnote>
  <w:endnote w:type="continuationSeparator" w:id="0">
    <w:p w14:paraId="69040629" w14:textId="77777777" w:rsidR="004C7816" w:rsidRPr="00EF7F30" w:rsidRDefault="004C7816" w:rsidP="00EF7F30">
      <w:pPr>
        <w:pStyle w:val="Pieddepage"/>
      </w:pPr>
    </w:p>
  </w:endnote>
  <w:endnote w:type="continuationNotice" w:id="1">
    <w:p w14:paraId="2F13F804" w14:textId="77777777" w:rsidR="004C7816" w:rsidRDefault="004C78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8BBD7" w14:textId="5CC2BEEA" w:rsidR="00CE5F7B" w:rsidRPr="00CE5F7B" w:rsidRDefault="00CE5F7B" w:rsidP="00CE5F7B">
    <w:pPr>
      <w:pStyle w:val="Pieddepage"/>
      <w:tabs>
        <w:tab w:val="right" w:pos="9638"/>
      </w:tabs>
    </w:pPr>
    <w:r w:rsidRPr="00CE5F7B">
      <w:rPr>
        <w:b/>
        <w:sz w:val="18"/>
      </w:rPr>
      <w:fldChar w:fldCharType="begin"/>
    </w:r>
    <w:r w:rsidRPr="00CE5F7B">
      <w:rPr>
        <w:b/>
        <w:sz w:val="18"/>
      </w:rPr>
      <w:instrText xml:space="preserve"> PAGE  \* MERGEFORMAT </w:instrText>
    </w:r>
    <w:r w:rsidRPr="00CE5F7B">
      <w:rPr>
        <w:b/>
        <w:sz w:val="18"/>
      </w:rPr>
      <w:fldChar w:fldCharType="separate"/>
    </w:r>
    <w:r w:rsidRPr="00CE5F7B">
      <w:rPr>
        <w:b/>
        <w:noProof/>
        <w:sz w:val="18"/>
      </w:rPr>
      <w:t>2</w:t>
    </w:r>
    <w:r w:rsidRPr="00CE5F7B">
      <w:rPr>
        <w:b/>
        <w:sz w:val="18"/>
      </w:rPr>
      <w:fldChar w:fldCharType="end"/>
    </w:r>
    <w:r>
      <w:rPr>
        <w:b/>
        <w:sz w:val="18"/>
      </w:rPr>
      <w:tab/>
    </w:r>
    <w:r>
      <w:t>GE.24-06311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F922D" w14:textId="50C15087" w:rsidR="00CE5F7B" w:rsidRPr="00CE5F7B" w:rsidRDefault="00CE5F7B" w:rsidP="00CE5F7B">
    <w:pPr>
      <w:pStyle w:val="Pieddepage"/>
      <w:tabs>
        <w:tab w:val="right" w:pos="9638"/>
      </w:tabs>
      <w:rPr>
        <w:b/>
        <w:sz w:val="18"/>
      </w:rPr>
    </w:pPr>
    <w:r>
      <w:t>GE.24-06311</w:t>
    </w:r>
    <w:r>
      <w:tab/>
    </w:r>
    <w:r w:rsidRPr="00CE5F7B">
      <w:rPr>
        <w:b/>
        <w:sz w:val="18"/>
      </w:rPr>
      <w:fldChar w:fldCharType="begin"/>
    </w:r>
    <w:r w:rsidRPr="00CE5F7B">
      <w:rPr>
        <w:b/>
        <w:sz w:val="18"/>
      </w:rPr>
      <w:instrText xml:space="preserve"> PAGE  \* MERGEFORMAT </w:instrText>
    </w:r>
    <w:r w:rsidRPr="00CE5F7B">
      <w:rPr>
        <w:b/>
        <w:sz w:val="18"/>
      </w:rPr>
      <w:fldChar w:fldCharType="separate"/>
    </w:r>
    <w:r w:rsidRPr="00CE5F7B">
      <w:rPr>
        <w:b/>
        <w:noProof/>
        <w:sz w:val="18"/>
      </w:rPr>
      <w:t>3</w:t>
    </w:r>
    <w:r w:rsidRPr="00CE5F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DC2AF" w14:textId="41F6D62D" w:rsidR="0094352E" w:rsidRPr="00CE5F7B" w:rsidRDefault="00CE5F7B" w:rsidP="00CE5F7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5D7F560" wp14:editId="66C65CE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24-06311  (F)</w:t>
    </w:r>
    <w:r>
      <w:rPr>
        <w:noProof/>
        <w:sz w:val="20"/>
      </w:rPr>
      <w:drawing>
        <wp:anchor distT="0" distB="0" distL="114300" distR="114300" simplePos="0" relativeHeight="251660288" behindDoc="0" locked="0" layoutInCell="1" allowOverlap="1" wp14:anchorId="2AE291EA" wp14:editId="33F67EE2">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8500E" w14:textId="77777777" w:rsidR="004C7816" w:rsidRPr="00EF7F30" w:rsidRDefault="004C7816"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02C8940" w14:textId="77777777" w:rsidR="004C7816" w:rsidRPr="00EF7F30" w:rsidRDefault="004C7816" w:rsidP="000E5ADA">
      <w:pPr>
        <w:pStyle w:val="Pieddepage"/>
        <w:tabs>
          <w:tab w:val="right" w:pos="2155"/>
        </w:tabs>
        <w:spacing w:after="80" w:line="240" w:lineRule="atLeast"/>
        <w:ind w:left="680"/>
      </w:pPr>
      <w:r w:rsidRPr="00EF7F30">
        <w:rPr>
          <w:u w:val="single"/>
        </w:rPr>
        <w:tab/>
      </w:r>
    </w:p>
  </w:footnote>
  <w:footnote w:type="continuationNotice" w:id="1">
    <w:p w14:paraId="436FF2A3" w14:textId="77777777" w:rsidR="004C7816" w:rsidRPr="000F2457" w:rsidRDefault="004C7816">
      <w:pPr>
        <w:spacing w:line="240" w:lineRule="auto"/>
        <w:rPr>
          <w:sz w:val="2"/>
          <w:szCs w:val="2"/>
        </w:rPr>
      </w:pPr>
    </w:p>
  </w:footnote>
  <w:footnote w:id="2">
    <w:p w14:paraId="6D2F028C" w14:textId="5AA78A96" w:rsidR="00CE5F7B" w:rsidRPr="00BF3FC9" w:rsidRDefault="00CE5F7B" w:rsidP="00CE5F7B">
      <w:pPr>
        <w:pStyle w:val="Notedebasdepage"/>
        <w:rPr>
          <w:lang w:val="fr-FR"/>
        </w:rPr>
      </w:pPr>
      <w:r>
        <w:rPr>
          <w:lang w:val="fr-FR"/>
        </w:rPr>
        <w:tab/>
      </w:r>
      <w:r w:rsidRPr="00BB1FFB">
        <w:rPr>
          <w:rStyle w:val="Appelnotedebasdep"/>
        </w:rPr>
        <w:footnoteRef/>
      </w:r>
      <w:r>
        <w:rPr>
          <w:lang w:val="fr-FR"/>
        </w:rPr>
        <w:tab/>
      </w:r>
      <w:hyperlink r:id="rId1" w:history="1">
        <w:r w:rsidRPr="00CE5F7B">
          <w:rPr>
            <w:rStyle w:val="Lienhypertexte"/>
            <w:lang w:val="fr-FR"/>
          </w:rPr>
          <w:t>A/HRC/55/62</w:t>
        </w:r>
      </w:hyperlink>
      <w:r>
        <w:rPr>
          <w:lang w:val="fr-FR"/>
        </w:rPr>
        <w:t>.</w:t>
      </w:r>
    </w:p>
  </w:footnote>
  <w:footnote w:id="3">
    <w:p w14:paraId="3F819FEF" w14:textId="69DCE666" w:rsidR="00CE5F7B" w:rsidRPr="00BF3FC9" w:rsidRDefault="00CE5F7B" w:rsidP="00CE5F7B">
      <w:pPr>
        <w:pStyle w:val="Notedebasdepage"/>
        <w:rPr>
          <w:lang w:val="fr-FR"/>
        </w:rPr>
      </w:pPr>
      <w:r>
        <w:rPr>
          <w:lang w:val="fr-FR"/>
        </w:rPr>
        <w:tab/>
      </w:r>
      <w:r w:rsidRPr="00BB1FFB">
        <w:rPr>
          <w:rStyle w:val="Appelnotedebasdep"/>
        </w:rPr>
        <w:footnoteRef/>
      </w:r>
      <w:r>
        <w:rPr>
          <w:lang w:val="fr-FR"/>
        </w:rPr>
        <w:tab/>
        <w:t xml:space="preserve">Voir </w:t>
      </w:r>
      <w:hyperlink r:id="rId2" w:history="1">
        <w:r w:rsidRPr="00CE5F7B">
          <w:rPr>
            <w:rStyle w:val="Lienhypertexte"/>
            <w:lang w:val="fr-FR"/>
          </w:rPr>
          <w:t>A/HRC/55/67</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A7BAF" w14:textId="19FBF0CC" w:rsidR="00CE5F7B" w:rsidRPr="00CE5F7B" w:rsidRDefault="00CE5F7B">
    <w:pPr>
      <w:pStyle w:val="En-tte"/>
    </w:pPr>
    <w:fldSimple w:instr=" TITLE  \* MERGEFORMAT ">
      <w:r>
        <w:t>A/HRC/RES/55/19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1F08E" w14:textId="022E41F3" w:rsidR="00CE5F7B" w:rsidRPr="00CE5F7B" w:rsidRDefault="00CE5F7B" w:rsidP="00CE5F7B">
    <w:pPr>
      <w:pStyle w:val="En-tte"/>
      <w:jc w:val="right"/>
    </w:pPr>
    <w:fldSimple w:instr=" TITLE  \* MERGEFORMAT ">
      <w:r>
        <w:t>A/HRC/RES/55/19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816"/>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051A7"/>
    <w:rsid w:val="00446FE5"/>
    <w:rsid w:val="004C7816"/>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37CD5"/>
    <w:rsid w:val="00AC7BEB"/>
    <w:rsid w:val="00AD1972"/>
    <w:rsid w:val="00AE323C"/>
    <w:rsid w:val="00B16AAF"/>
    <w:rsid w:val="00B22A9E"/>
    <w:rsid w:val="00B24C75"/>
    <w:rsid w:val="00B528BF"/>
    <w:rsid w:val="00BE2FA2"/>
    <w:rsid w:val="00C02897"/>
    <w:rsid w:val="00C12613"/>
    <w:rsid w:val="00CE5F7B"/>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7E6BF"/>
  <w15:docId w15:val="{08B75C6D-80C4-42A0-926E-C3A96F4C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rsid w:val="00CE5F7B"/>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E5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HRC/55/67" TargetMode="External"/><Relationship Id="rId1" Type="http://schemas.openxmlformats.org/officeDocument/2006/relationships/hyperlink" Target="http://undocs.org/fr/A/HRC/55/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763</Words>
  <Characters>4400</Characters>
  <Application>Microsoft Office Word</Application>
  <DocSecurity>0</DocSecurity>
  <Lines>86</Lines>
  <Paragraphs>40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A/HRC/RES/55/19</dc:title>
  <dc:subject/>
  <dc:creator>Nicolas MORIN</dc:creator>
  <cp:keywords/>
  <cp:lastModifiedBy>Nicolas Morin</cp:lastModifiedBy>
  <cp:revision>2</cp:revision>
  <dcterms:created xsi:type="dcterms:W3CDTF">2024-04-11T14:50:00Z</dcterms:created>
  <dcterms:modified xsi:type="dcterms:W3CDTF">2024-04-11T14:50:00Z</dcterms:modified>
</cp:coreProperties>
</file>