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1F8C" w:rsidRDefault="00091F8C" w:rsidP="00091F8C">
      <w:pPr>
        <w:spacing w:line="60" w:lineRule="exact"/>
        <w:rPr>
          <w:sz w:val="6"/>
        </w:rPr>
        <w:sectPr w:rsidR="00091F8C" w:rsidSect="00091F8C">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091F8C" w:rsidRDefault="00091F8C" w:rsidP="00091F8C">
      <w:pPr>
        <w:spacing w:line="60" w:lineRule="exact"/>
        <w:rPr>
          <w:sz w:val="6"/>
        </w:rPr>
      </w:pPr>
    </w:p>
    <w:p w:rsidR="00B50316" w:rsidRPr="00191DD6" w:rsidRDefault="00B50316" w:rsidP="00191DD6">
      <w:pPr>
        <w:pStyle w:val="SingleTxt"/>
        <w:spacing w:after="60"/>
        <w:ind w:left="0"/>
        <w:rPr>
          <w:rFonts w:ascii="SimHei" w:eastAsia="SimHei" w:hint="eastAsia"/>
          <w:color w:val="FF0000"/>
          <w:sz w:val="24"/>
        </w:rPr>
      </w:pPr>
      <w:r w:rsidRPr="00191DD6">
        <w:rPr>
          <w:rFonts w:ascii="SimHei" w:eastAsia="SimHei" w:hint="eastAsia"/>
          <w:color w:val="FF0000"/>
          <w:sz w:val="24"/>
        </w:rPr>
        <w:t>消除对妇女歧视委员会</w:t>
      </w:r>
    </w:p>
    <w:p w:rsidR="00B50316" w:rsidRPr="00191DD6" w:rsidRDefault="00B50316" w:rsidP="00191DD6">
      <w:pPr>
        <w:pStyle w:val="SingleTxt"/>
        <w:spacing w:after="60"/>
        <w:ind w:left="0"/>
        <w:rPr>
          <w:rFonts w:ascii="SimHei" w:eastAsia="SimHei" w:hint="eastAsia"/>
          <w:color w:val="FF0000"/>
        </w:rPr>
      </w:pPr>
      <w:r w:rsidRPr="00191DD6">
        <w:rPr>
          <w:rFonts w:ascii="SimHei" w:eastAsia="SimHei" w:hint="eastAsia"/>
          <w:color w:val="FF0000"/>
        </w:rPr>
        <w:t>第四十届会议</w:t>
      </w:r>
    </w:p>
    <w:p w:rsidR="00B50316" w:rsidRDefault="00B50316" w:rsidP="00B50316">
      <w:pPr>
        <w:pStyle w:val="SingleTxt"/>
        <w:spacing w:after="0"/>
        <w:ind w:left="0"/>
        <w:rPr>
          <w:rFonts w:hint="eastAsia"/>
        </w:rPr>
      </w:pPr>
      <w:r>
        <w:rPr>
          <w:rFonts w:hint="eastAsia"/>
        </w:rPr>
        <w:t>2008年1月14日至2月1日</w:t>
      </w:r>
    </w:p>
    <w:p w:rsidR="00B50316" w:rsidRPr="00CF4A96" w:rsidRDefault="00B50316" w:rsidP="00B50316">
      <w:pPr>
        <w:pStyle w:val="SingleTxt"/>
        <w:spacing w:after="0" w:line="120" w:lineRule="exact"/>
        <w:ind w:right="0"/>
        <w:rPr>
          <w:rFonts w:hint="eastAsia"/>
          <w:sz w:val="10"/>
        </w:rPr>
      </w:pPr>
    </w:p>
    <w:p w:rsidR="00B50316" w:rsidRPr="00CF4A96" w:rsidRDefault="00B50316" w:rsidP="00B50316">
      <w:pPr>
        <w:pStyle w:val="SingleTxt"/>
        <w:spacing w:after="0" w:line="120" w:lineRule="exact"/>
        <w:ind w:right="0"/>
        <w:rPr>
          <w:rFonts w:hint="eastAsia"/>
          <w:sz w:val="10"/>
        </w:rPr>
      </w:pPr>
    </w:p>
    <w:p w:rsidR="00B50316" w:rsidRPr="00CF4A96" w:rsidRDefault="00B50316" w:rsidP="00B50316">
      <w:pPr>
        <w:pStyle w:val="SingleTxt"/>
        <w:spacing w:after="0" w:line="120" w:lineRule="exact"/>
        <w:ind w:right="0"/>
        <w:rPr>
          <w:rFonts w:hint="eastAsia"/>
          <w:sz w:val="10"/>
        </w:rPr>
      </w:pPr>
    </w:p>
    <w:p w:rsidR="00191DD6" w:rsidRDefault="00B50316" w:rsidP="00B50316">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消除对妇女歧视委员会的结论意见</w:t>
      </w:r>
    </w:p>
    <w:p w:rsidR="00191DD6" w:rsidRPr="00191DD6" w:rsidRDefault="00191DD6" w:rsidP="00191DD6">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191DD6" w:rsidRPr="00191DD6" w:rsidRDefault="00191DD6" w:rsidP="00191DD6">
      <w:pPr>
        <w:pStyle w:val="HCh"/>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rFonts w:hint="eastAsia"/>
          <w:sz w:val="10"/>
        </w:rPr>
      </w:pPr>
    </w:p>
    <w:p w:rsidR="00B50316" w:rsidRDefault="00191DD6" w:rsidP="00191DD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r>
      <w:r w:rsidR="00B50316">
        <w:rPr>
          <w:rFonts w:hint="eastAsia"/>
        </w:rPr>
        <w:t>沙特阿拉伯</w:t>
      </w:r>
    </w:p>
    <w:p w:rsidR="00B50316" w:rsidRPr="00CF4A96" w:rsidRDefault="00B50316" w:rsidP="00B50316">
      <w:pPr>
        <w:pStyle w:val="SingleTxt"/>
        <w:spacing w:after="0" w:line="120" w:lineRule="exact"/>
        <w:ind w:right="0"/>
        <w:rPr>
          <w:rFonts w:hint="eastAsia"/>
          <w:sz w:val="10"/>
        </w:rPr>
      </w:pPr>
    </w:p>
    <w:p w:rsidR="00B50316" w:rsidRDefault="00B50316" w:rsidP="00B50316">
      <w:pPr>
        <w:pStyle w:val="SingleTxt"/>
        <w:rPr>
          <w:rFonts w:hint="eastAsia"/>
        </w:rPr>
      </w:pPr>
      <w:r>
        <w:rPr>
          <w:rFonts w:hint="eastAsia"/>
        </w:rPr>
        <w:t>1.</w:t>
      </w:r>
      <w:r>
        <w:rPr>
          <w:rFonts w:hint="eastAsia"/>
        </w:rPr>
        <w:tab/>
        <w:t>2008年1月17日，委员会第815次和第816次会议审议了沙特阿拉伯第一次和第二次合并定期报告（CEDAW/C/SAU/2）（见CEDAW/C/SR.815</w:t>
      </w:r>
      <w:r>
        <w:t>(A)</w:t>
      </w:r>
      <w:r>
        <w:rPr>
          <w:rFonts w:hint="eastAsia"/>
        </w:rPr>
        <w:t>和816</w:t>
      </w:r>
      <w:r>
        <w:t>(A)</w:t>
      </w:r>
      <w:r>
        <w:rPr>
          <w:rFonts w:hint="eastAsia"/>
        </w:rPr>
        <w:t>）。委员会的议题和问题清单载于CEDAW/C/SAU/Q/2号文件，沙特阿拉伯政府的答复载于CEDAW/C/SAU/Q/2/Add.1号文件。</w:t>
      </w:r>
    </w:p>
    <w:p w:rsidR="00B50316" w:rsidRDefault="00B50316" w:rsidP="00191D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导言</w:t>
      </w:r>
    </w:p>
    <w:p w:rsidR="00B50316" w:rsidRPr="00CF4A96" w:rsidRDefault="00B50316" w:rsidP="00B50316">
      <w:pPr>
        <w:pStyle w:val="SingleTxt"/>
        <w:spacing w:after="0" w:line="120" w:lineRule="exact"/>
        <w:ind w:right="0"/>
        <w:rPr>
          <w:rFonts w:hint="eastAsia"/>
          <w:sz w:val="10"/>
        </w:rPr>
      </w:pPr>
    </w:p>
    <w:p w:rsidR="00B50316" w:rsidRDefault="00B50316" w:rsidP="00B50316">
      <w:pPr>
        <w:pStyle w:val="SingleTxt"/>
        <w:spacing w:line="332" w:lineRule="exact"/>
        <w:rPr>
          <w:rFonts w:hint="eastAsia"/>
        </w:rPr>
      </w:pPr>
      <w:r>
        <w:rPr>
          <w:rFonts w:hint="eastAsia"/>
        </w:rPr>
        <w:t>2．</w:t>
      </w:r>
      <w:r>
        <w:rPr>
          <w:rFonts w:hint="eastAsia"/>
        </w:rPr>
        <w:tab/>
        <w:t>委员会祝贺缔约国批准《消除对妇女一切形式歧视公约》。委员会赞赏缔约国提交逾期的第一次和第二次合并定期报告以及一些具体数字。尽管报告没有提及委员会的一般性建议，但大体遵循了委员会初次报告编写导则。委员会还赞赏缔约国对会前工作组提出的议题和问题清单的书面答复和口头说明以及对委员会提出的问题作出的答复。</w:t>
      </w:r>
    </w:p>
    <w:p w:rsidR="00B50316" w:rsidRDefault="00B50316" w:rsidP="00B50316">
      <w:pPr>
        <w:pStyle w:val="SingleTxt"/>
        <w:spacing w:line="332" w:lineRule="exact"/>
        <w:rPr>
          <w:rFonts w:hint="eastAsia"/>
        </w:rPr>
      </w:pPr>
      <w:r>
        <w:rPr>
          <w:rFonts w:hint="eastAsia"/>
        </w:rPr>
        <w:t>3．</w:t>
      </w:r>
      <w:r>
        <w:rPr>
          <w:rFonts w:hint="eastAsia"/>
        </w:rPr>
        <w:tab/>
        <w:t>委员会赞赏沙特阿拉伯派遣人权委员会副主席率领的大型重要代表团出席会议，成员包括负责在《公约》所涉范围内采取措施的许多部委和其他政府机构的男女代表以及大学人员。委员会赞赏代表团和委员会成员之间的建设性对话对了解沙特阿拉伯妇女状况提供了真知灼见。</w:t>
      </w:r>
    </w:p>
    <w:p w:rsidR="00B50316" w:rsidRDefault="00B50316" w:rsidP="00B50316">
      <w:pPr>
        <w:pStyle w:val="SingleTxt"/>
        <w:spacing w:line="332" w:lineRule="exact"/>
        <w:rPr>
          <w:rFonts w:hint="eastAsia"/>
        </w:rPr>
      </w:pPr>
      <w:r>
        <w:rPr>
          <w:rFonts w:hint="eastAsia"/>
        </w:rPr>
        <w:t>4．</w:t>
      </w:r>
      <w:r>
        <w:rPr>
          <w:rFonts w:hint="eastAsia"/>
        </w:rPr>
        <w:tab/>
        <w:t>委员会注意到缔约国对《公约》提出的一般性保留以及对《公约》第九条第2款和第二十九条第1款的具体保留。根据一般性保留，缔约国在伊斯兰法条款与《公约》条款相抵触的情况下，优先适用伊斯兰法。</w:t>
      </w:r>
    </w:p>
    <w:p w:rsidR="00B50316" w:rsidRDefault="00191DD6" w:rsidP="00191D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br w:type="page"/>
      </w:r>
      <w:r w:rsidR="00B50316">
        <w:rPr>
          <w:rFonts w:hint="eastAsia"/>
        </w:rPr>
        <w:tab/>
      </w:r>
      <w:r w:rsidR="00B50316">
        <w:rPr>
          <w:rFonts w:hint="eastAsia"/>
        </w:rPr>
        <w:tab/>
        <w:t>积极方面</w:t>
      </w:r>
    </w:p>
    <w:p w:rsidR="00B50316" w:rsidRPr="00CF4A96" w:rsidRDefault="00B50316" w:rsidP="00B50316">
      <w:pPr>
        <w:pStyle w:val="SingleTxt"/>
        <w:spacing w:after="0" w:line="120" w:lineRule="exact"/>
        <w:ind w:right="0"/>
        <w:rPr>
          <w:rFonts w:hint="eastAsia"/>
          <w:sz w:val="10"/>
        </w:rPr>
      </w:pPr>
    </w:p>
    <w:p w:rsidR="00B50316" w:rsidRDefault="00B50316" w:rsidP="00B50316">
      <w:pPr>
        <w:pStyle w:val="SingleTxt"/>
        <w:rPr>
          <w:rFonts w:hint="eastAsia"/>
        </w:rPr>
      </w:pPr>
      <w:r>
        <w:rPr>
          <w:rFonts w:hint="eastAsia"/>
        </w:rPr>
        <w:t>5.</w:t>
      </w:r>
      <w:r>
        <w:rPr>
          <w:rFonts w:hint="eastAsia"/>
        </w:rPr>
        <w:tab/>
        <w:t>委员会赞赏沙特阿拉伯的现代化基础设施和高标准的基本社会服务，特别是向社会许多部门提供政府资助的医疗保健和教育服务。</w:t>
      </w:r>
    </w:p>
    <w:p w:rsidR="00B50316" w:rsidRDefault="00B50316" w:rsidP="00B50316">
      <w:pPr>
        <w:pStyle w:val="SingleTxt"/>
        <w:rPr>
          <w:rFonts w:hint="eastAsia"/>
        </w:rPr>
      </w:pPr>
      <w:r>
        <w:rPr>
          <w:rFonts w:hint="eastAsia"/>
        </w:rPr>
        <w:t>6.</w:t>
      </w:r>
      <w:r>
        <w:rPr>
          <w:rFonts w:hint="eastAsia"/>
        </w:rPr>
        <w:tab/>
        <w:t>委员会祝贺缔约国建立提高妇女地位和保护妇女不受暴力侵犯的体制，特别是2004年设立的专门处理妇女事务的全国高级委员会和13个社会保护委员会。委员会还满意地注意到，沙特阿拉伯目前正在起草一项关于落实妇女权利的新法律，并注意到缔约国计划书面编集伊斯兰法关于人身关系的规定。</w:t>
      </w:r>
    </w:p>
    <w:p w:rsidR="00B50316" w:rsidRDefault="00B50316" w:rsidP="00B50316">
      <w:pPr>
        <w:pStyle w:val="SingleTxt"/>
        <w:rPr>
          <w:rFonts w:hint="eastAsia"/>
        </w:rPr>
      </w:pPr>
      <w:r>
        <w:rPr>
          <w:rFonts w:hint="eastAsia"/>
        </w:rPr>
        <w:t>7.</w:t>
      </w:r>
      <w:r>
        <w:rPr>
          <w:rFonts w:hint="eastAsia"/>
        </w:rPr>
        <w:tab/>
        <w:t>委员会还注意到2004年皇家法令设立了一个人权委员会，负责履行缔约国在人权方面的承诺，并设立了全国人权协会。</w:t>
      </w:r>
    </w:p>
    <w:p w:rsidR="00B50316" w:rsidRDefault="00B50316" w:rsidP="00191D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hint="eastAsia"/>
        </w:rPr>
      </w:pPr>
      <w:r>
        <w:rPr>
          <w:rFonts w:hint="eastAsia"/>
        </w:rPr>
        <w:tab/>
      </w:r>
      <w:r>
        <w:rPr>
          <w:rFonts w:hint="eastAsia"/>
        </w:rPr>
        <w:tab/>
        <w:t>主要关切领域和建议</w:t>
      </w:r>
    </w:p>
    <w:p w:rsidR="00B50316" w:rsidRPr="00CF4A96" w:rsidRDefault="00B50316" w:rsidP="00B50316">
      <w:pPr>
        <w:pStyle w:val="SingleTxt"/>
        <w:spacing w:after="0" w:line="120" w:lineRule="exact"/>
        <w:ind w:right="0"/>
        <w:rPr>
          <w:rFonts w:hint="eastAsia"/>
          <w:sz w:val="10"/>
        </w:rPr>
      </w:pPr>
    </w:p>
    <w:p w:rsidR="00B50316" w:rsidRDefault="00B50316" w:rsidP="00B50316">
      <w:pPr>
        <w:pStyle w:val="SingleTxt"/>
        <w:rPr>
          <w:rFonts w:hint="eastAsia"/>
        </w:rPr>
      </w:pPr>
      <w:r>
        <w:rPr>
          <w:rFonts w:hint="eastAsia"/>
        </w:rPr>
        <w:t>8.</w:t>
      </w:r>
      <w:r>
        <w:rPr>
          <w:rFonts w:hint="eastAsia"/>
        </w:rPr>
        <w:tab/>
      </w:r>
      <w:r w:rsidRPr="00CF4A96">
        <w:rPr>
          <w:rFonts w:ascii="SimHei" w:eastAsia="SimHei" w:hint="eastAsia"/>
          <w:color w:val="FF0000"/>
        </w:rPr>
        <w:t>委员会回顾沙特阿拉伯有义务系统地、持续地执行《公约》各项规定，同时认为，从现在到提交下一次定期报告期间，缔约国必须优先注意本结论意见提出的各项关切和建议。因此，委员会吁请沙特阿拉伯将执行活动的重点放在这些领域上，并在下一次定期报告中汇报所采取的行动和取得的成果。委员会还吁请沙特阿拉伯将本结论意见发交各相关部委和协商会议（舒拉），以确保这些意见得到充分执行</w:t>
      </w:r>
      <w:r>
        <w:rPr>
          <w:rFonts w:hint="eastAsia"/>
        </w:rPr>
        <w:t>。</w:t>
      </w:r>
    </w:p>
    <w:p w:rsidR="00B50316" w:rsidRDefault="00B50316" w:rsidP="00B50316">
      <w:pPr>
        <w:pStyle w:val="SingleTxt"/>
        <w:spacing w:line="330" w:lineRule="exact"/>
        <w:rPr>
          <w:rFonts w:hint="eastAsia"/>
        </w:rPr>
      </w:pPr>
      <w:r>
        <w:rPr>
          <w:rFonts w:hint="eastAsia"/>
        </w:rPr>
        <w:t>9.</w:t>
      </w:r>
      <w:r>
        <w:rPr>
          <w:rFonts w:hint="eastAsia"/>
        </w:rPr>
        <w:tab/>
        <w:t>委员会对缔约国批准《公约》时所作的一般性保留表示关切。该保留范围甚广，以致违背《公约》的宗旨和目的。</w:t>
      </w:r>
    </w:p>
    <w:p w:rsidR="00B50316" w:rsidRDefault="00B50316" w:rsidP="00B50316">
      <w:pPr>
        <w:pStyle w:val="SingleTxt"/>
        <w:rPr>
          <w:rFonts w:hint="eastAsia"/>
        </w:rPr>
      </w:pPr>
      <w:r>
        <w:rPr>
          <w:rFonts w:hint="eastAsia"/>
        </w:rPr>
        <w:t>10.</w:t>
      </w:r>
      <w:r>
        <w:rPr>
          <w:rFonts w:hint="eastAsia"/>
        </w:rPr>
        <w:tab/>
      </w:r>
      <w:r w:rsidRPr="00CF4A96">
        <w:rPr>
          <w:rFonts w:ascii="SimHei" w:eastAsia="SimHei" w:hint="eastAsia"/>
          <w:color w:val="FF0000"/>
        </w:rPr>
        <w:t>委员会敦促缔约国考虑撤消对《公约》的一般性保留，尤其鉴于代表团保证《公约》和伊斯兰教法两者之间并无实质性的矛盾</w:t>
      </w:r>
      <w:r>
        <w:rPr>
          <w:rFonts w:hint="eastAsia"/>
        </w:rPr>
        <w:t>。</w:t>
      </w:r>
    </w:p>
    <w:p w:rsidR="00B50316" w:rsidRDefault="00B50316" w:rsidP="00B50316">
      <w:pPr>
        <w:pStyle w:val="SingleTxt"/>
        <w:spacing w:line="330" w:lineRule="exact"/>
        <w:rPr>
          <w:rFonts w:hint="eastAsia"/>
        </w:rPr>
      </w:pPr>
      <w:r>
        <w:rPr>
          <w:rFonts w:hint="eastAsia"/>
        </w:rPr>
        <w:t>11.</w:t>
      </w:r>
      <w:r>
        <w:rPr>
          <w:rFonts w:hint="eastAsia"/>
        </w:rPr>
        <w:tab/>
        <w:t>委员会满意地注意到，《施政基本法》和国内的规章制度规定：皇家法令颁布的条约是国内法的一部分；在实践中，国际条约优先于国内法。但委员会同时关切公众对《公约》的认识和实际执行情况。委员会尤其对《公约》尚未在缔约国充分落实表示关切，因为相关法律依然尚待通过。在这方面，委员会关切地注意到，缔约国未能提供法院直接援引《公约》条款的案例资料。</w:t>
      </w:r>
    </w:p>
    <w:p w:rsidR="00B50316" w:rsidRDefault="00B50316" w:rsidP="00B50316">
      <w:pPr>
        <w:pStyle w:val="SingleTxt"/>
        <w:spacing w:line="332" w:lineRule="exact"/>
        <w:rPr>
          <w:rFonts w:hint="eastAsia"/>
        </w:rPr>
      </w:pPr>
      <w:r>
        <w:rPr>
          <w:rFonts w:hint="eastAsia"/>
        </w:rPr>
        <w:t>12.</w:t>
      </w:r>
      <w:r>
        <w:rPr>
          <w:rFonts w:hint="eastAsia"/>
        </w:rPr>
        <w:tab/>
      </w:r>
      <w:r w:rsidRPr="00CF4A96">
        <w:rPr>
          <w:rFonts w:ascii="SimHei" w:eastAsia="SimHei" w:hint="eastAsia"/>
          <w:color w:val="FF0000"/>
        </w:rPr>
        <w:t>委员会鼓励缔约国修正立法，确认国际条约优先于国内法。委员会吁请缔约国制定一项全面的两性平等法律，并加强努力，提高广大公众对《公约》的认识。委员会还吁请缔约国确保《公约》成为对司法人员（包括法官和治安法官、律师和检察官，特别是家庭法院的工作人员）进行法律教育和培训的一个组成部分，以便在全国牢固建立一个有利于男女平等和不因性别而歧视的法律文化。委员会还邀请缔约国通过扫盲方案和法律援助等，提高妇女对其权利的认识</w:t>
      </w:r>
      <w:r>
        <w:rPr>
          <w:rFonts w:hint="eastAsia"/>
        </w:rPr>
        <w:t>。</w:t>
      </w:r>
    </w:p>
    <w:p w:rsidR="00B50316" w:rsidRDefault="00B50316" w:rsidP="00B50316">
      <w:pPr>
        <w:pStyle w:val="SingleTxt"/>
        <w:spacing w:line="332" w:lineRule="exact"/>
        <w:rPr>
          <w:rFonts w:hint="eastAsia"/>
        </w:rPr>
      </w:pPr>
      <w:r>
        <w:rPr>
          <w:rFonts w:hint="eastAsia"/>
        </w:rPr>
        <w:t>13.</w:t>
      </w:r>
      <w:r>
        <w:rPr>
          <w:rFonts w:hint="eastAsia"/>
        </w:rPr>
        <w:tab/>
        <w:t>委员会关切缔约国对平等原则的不同理解。这种理解意味着男女权利相似，男女相辅相成，而不是男女权利平等。委员会关切，虽然缔约国的《基本法》第8条和第26条保障平等原则，但《宪法》和其他立法都没有体现男女平等的原则。委员会感到关切的是，《宪法》和其他立法没有按照《公约》第一条，载列对妇女的歧视的定义，包括直接和非直接歧视，也没有按照《公约》第二条承担禁止公、私行为体歧视行为的国家责任。</w:t>
      </w:r>
    </w:p>
    <w:p w:rsidR="00B50316" w:rsidRDefault="00B50316" w:rsidP="00B50316">
      <w:pPr>
        <w:pStyle w:val="SingleTxt"/>
        <w:rPr>
          <w:rFonts w:hint="eastAsia"/>
        </w:rPr>
      </w:pPr>
      <w:r>
        <w:rPr>
          <w:rFonts w:hint="eastAsia"/>
        </w:rPr>
        <w:t>14.</w:t>
      </w:r>
      <w:r w:rsidRPr="00CF4A96">
        <w:rPr>
          <w:rFonts w:ascii="SimHei" w:eastAsia="SimHei" w:hint="eastAsia"/>
          <w:color w:val="FF0000"/>
        </w:rPr>
        <w:tab/>
        <w:t>委员会吁请缔约国将男女平等的原则充分纳入立法，并按照《公约》第一条，将性别歧视的定义包括在内，按照《公约》第二条承担国家责任，以包括公、私行为体歧视行为，并采取适当步骤，以落实形式和实质平等的原则</w:t>
      </w:r>
      <w:r>
        <w:rPr>
          <w:rFonts w:hint="eastAsia"/>
        </w:rPr>
        <w:t>。</w:t>
      </w:r>
    </w:p>
    <w:p w:rsidR="00B50316" w:rsidRDefault="00B50316" w:rsidP="00B50316">
      <w:pPr>
        <w:pStyle w:val="SingleTxt"/>
        <w:rPr>
          <w:rFonts w:hint="eastAsia"/>
        </w:rPr>
      </w:pPr>
      <w:r>
        <w:rPr>
          <w:rFonts w:hint="eastAsia"/>
        </w:rPr>
        <w:t>15.</w:t>
      </w:r>
      <w:r>
        <w:rPr>
          <w:rFonts w:hint="eastAsia"/>
        </w:rPr>
        <w:tab/>
        <w:t>委员会关切地注意到，男子对妇女的监护权这一概念虽然可能没有从法律上加以规定，但似乎已为人们普遍接受。这一概念严重限制妇女行使《公约》规定的权利，特别是关于其法律能力以及涉及人身关系问题的权利，包括结婚、离婚、子女监护权、继承遗产、财产所有权、家庭决策权、选择住所、教育和就业等。委员会关切，男子监护权的概念助长了父权社会意识形态和陈规定型观念的流行，并使根深蒂固的歧视妇女的文化规范、习俗和传统顽固存在，严重妨碍她们享有人权。沙特阿拉伯境内流行的其他做法，诸如实际上禁止妇女开车，从而限制她们的行动自由，也使这类陈规定型得以维持。委员会对缔约国在直接克服这种歧视性的文化做法和陈规定型观念方面仅作出有限的努力表示关切。</w:t>
      </w:r>
    </w:p>
    <w:p w:rsidR="00B50316" w:rsidRDefault="00B50316" w:rsidP="00B50316">
      <w:pPr>
        <w:pStyle w:val="SingleTxt"/>
        <w:rPr>
          <w:rFonts w:hint="eastAsia"/>
        </w:rPr>
      </w:pPr>
      <w:r>
        <w:rPr>
          <w:rFonts w:hint="eastAsia"/>
        </w:rPr>
        <w:t>16.</w:t>
      </w:r>
      <w:r>
        <w:rPr>
          <w:rFonts w:hint="eastAsia"/>
        </w:rPr>
        <w:tab/>
      </w:r>
      <w:r w:rsidRPr="00CF4A96">
        <w:rPr>
          <w:rFonts w:ascii="SimHei" w:eastAsia="SimHei" w:hint="eastAsia"/>
          <w:color w:val="FF0000"/>
        </w:rPr>
        <w:t>委员会敦促缔约国立即采取步骤，包括开展宣传运动，结束男子对妇女的监护权的做法。委员会敦促该缔约国采取更加积极主动的态度，立即根据《公约》第二条(f)项和第五条(a)项实行一项综合战略，制定明确的目标和时间表，以改变或消除损害和歧视妇女的不良文化习俗和陈规定型观念，促进妇女充分享受其人权。委员会还吁请缔约国最后确定对禁止妇女开车所作的审查。委员会请缔约国在下一次定期报告中说明男子监护权的概念，并说明这一概念如何影响《公约》在沙特阿拉伯的执行。</w:t>
      </w:r>
    </w:p>
    <w:p w:rsidR="00B50316" w:rsidRDefault="00B50316" w:rsidP="00B50316">
      <w:pPr>
        <w:pStyle w:val="SingleTxt"/>
        <w:spacing w:line="332" w:lineRule="exact"/>
        <w:rPr>
          <w:rFonts w:hint="eastAsia"/>
        </w:rPr>
      </w:pPr>
      <w:r>
        <w:rPr>
          <w:rFonts w:hint="eastAsia"/>
        </w:rPr>
        <w:t>17.</w:t>
      </w:r>
      <w:r>
        <w:rPr>
          <w:rFonts w:hint="eastAsia"/>
        </w:rPr>
        <w:tab/>
        <w:t>委员会对缔约国尚未根据《北京宣言和行动纲要》、北京会议五周年和《公约》的实质性规定，制定促进两性平等的全国行动计划感到关切。</w:t>
      </w:r>
    </w:p>
    <w:p w:rsidR="00B50316" w:rsidRDefault="00B50316" w:rsidP="00B50316">
      <w:pPr>
        <w:pStyle w:val="SingleTxt"/>
        <w:spacing w:line="332" w:lineRule="exact"/>
        <w:rPr>
          <w:rFonts w:hint="eastAsia"/>
        </w:rPr>
      </w:pPr>
      <w:r>
        <w:rPr>
          <w:rFonts w:hint="eastAsia"/>
        </w:rPr>
        <w:t>18.</w:t>
      </w:r>
      <w:r>
        <w:rPr>
          <w:rFonts w:hint="eastAsia"/>
        </w:rPr>
        <w:tab/>
      </w:r>
      <w:r w:rsidRPr="00CF4A96">
        <w:rPr>
          <w:rFonts w:ascii="SimHei" w:eastAsia="SimHei" w:hint="eastAsia"/>
          <w:color w:val="FF0000"/>
        </w:rPr>
        <w:t>委员会鼓励缔约国根据《公约》、委员会的结论意见、《北京宣言和行动纲要》和北京会议五周年，在政府各部门的参与下，与相关非政府组织磋商，制订一项全国行动计划，在其中包括两性平等的有效战略。委员会请缔约国在下一次报告中提供资料，说明实施这一计划取得的影响和结果。委员会鼓励缔约国在制订这一计划以及收集和分析数据、培训负责拟定和实施这一计划的国家小组时寻求联合国实体的技术支助</w:t>
      </w:r>
      <w:r>
        <w:rPr>
          <w:rFonts w:hint="eastAsia"/>
        </w:rPr>
        <w:t>。</w:t>
      </w:r>
    </w:p>
    <w:p w:rsidR="00B50316" w:rsidRDefault="00B50316" w:rsidP="00B50316">
      <w:pPr>
        <w:pStyle w:val="SingleTxt"/>
        <w:spacing w:line="332" w:lineRule="exact"/>
        <w:rPr>
          <w:rFonts w:hint="eastAsia"/>
        </w:rPr>
      </w:pPr>
      <w:r>
        <w:rPr>
          <w:rFonts w:hint="eastAsia"/>
        </w:rPr>
        <w:t>19.</w:t>
      </w:r>
      <w:r>
        <w:rPr>
          <w:rFonts w:hint="eastAsia"/>
        </w:rPr>
        <w:tab/>
        <w:t>委员会注意到缔约国正在加强提高妇女地位的国家机制，包括在政府机构内设立科股，为妇女提供服务，但同时令委员会感到关切的是，委员会没有收到详细资料，说明关于妇女权利的国家机制，其体制和法律框架，特别是其在决策和执行方面的情况。</w:t>
      </w:r>
    </w:p>
    <w:p w:rsidR="00B50316" w:rsidRDefault="00B50316" w:rsidP="00B50316">
      <w:pPr>
        <w:pStyle w:val="SingleTxt"/>
        <w:rPr>
          <w:rFonts w:hint="eastAsia"/>
        </w:rPr>
      </w:pPr>
      <w:r>
        <w:rPr>
          <w:rFonts w:hint="eastAsia"/>
        </w:rPr>
        <w:t>20.</w:t>
      </w:r>
      <w:r>
        <w:rPr>
          <w:rFonts w:hint="eastAsia"/>
        </w:rPr>
        <w:tab/>
      </w:r>
      <w:r w:rsidRPr="00CF4A96">
        <w:rPr>
          <w:rFonts w:ascii="SimHei" w:eastAsia="SimHei" w:hint="eastAsia"/>
          <w:color w:val="FF0000"/>
        </w:rPr>
        <w:t>委员会吁请缔约国确保提高妇女地位的国家机制具有必要的知名度和决策权，并具有协调权，使其能够有效地完成促进两性平等的任务。委员会请缔约国在下一次报告中更为清楚和详细地说明国家机制，包括其管辖权、职能、权力和资源。考虑到已责成人权委员会负责《公约》和其他人权条约的实施工作，委员会还建议人权委员会的工作人员和主席团成员的男女人数要相等</w:t>
      </w:r>
      <w:r>
        <w:rPr>
          <w:rFonts w:hint="eastAsia"/>
        </w:rPr>
        <w:t>。</w:t>
      </w:r>
    </w:p>
    <w:p w:rsidR="00B50316" w:rsidRDefault="00B50316" w:rsidP="00B50316">
      <w:pPr>
        <w:pStyle w:val="SingleTxt"/>
        <w:rPr>
          <w:rFonts w:hint="eastAsia"/>
        </w:rPr>
      </w:pPr>
      <w:r>
        <w:rPr>
          <w:rFonts w:hint="eastAsia"/>
        </w:rPr>
        <w:t>21.</w:t>
      </w:r>
      <w:r>
        <w:rPr>
          <w:rFonts w:hint="eastAsia"/>
        </w:rPr>
        <w:tab/>
        <w:t>委员会注意到目前正在起草家庭暴力法，而且最近建立了社会保护委员会，但委员会对暴力侵害妇女的事件、缺乏有关暴力侵害妇女的具体法律以及对暴力侵害妇女（包括家庭暴力）的行为人不予起诉和惩罚的现象感到关切。委员会担心，社会上的态度以及男子对妇女的监护权的观念使受害人不敢举报暴力事件，而且往往防止受害人举报。委员会还关切的是，报告缺乏资料和数据，说明不同形式的暴力侵害妇女行为的普遍程度，特别是关于行为人的数据。</w:t>
      </w:r>
    </w:p>
    <w:p w:rsidR="00B50316" w:rsidRDefault="00B50316" w:rsidP="00B50316">
      <w:pPr>
        <w:pStyle w:val="SingleTxt"/>
        <w:rPr>
          <w:rFonts w:hint="eastAsia"/>
        </w:rPr>
      </w:pPr>
      <w:r>
        <w:rPr>
          <w:rFonts w:hint="eastAsia"/>
        </w:rPr>
        <w:t>22.</w:t>
      </w:r>
      <w:r>
        <w:rPr>
          <w:rFonts w:hint="eastAsia"/>
        </w:rPr>
        <w:tab/>
      </w:r>
      <w:r w:rsidRPr="00CF4A96">
        <w:rPr>
          <w:rFonts w:ascii="SimHei" w:eastAsia="SimHei" w:hint="eastAsia"/>
          <w:color w:val="FF0000"/>
        </w:rPr>
        <w:t>委员会请缔约国最优先地考虑对付一切形式的暴力侵害妇女和女孩的全面措施，确认暴力是对妇女的一种歧视形式，是对《公约》赋予妇女的人权的侵犯。委员会吁请缔约国尽快颁布关于暴力侵害妇女行为的立法，包括关于家庭暴力的全面法律，确保把暴力侵害妇女和女孩行为定为刑事犯罪；遭受暴力侵害的妇女和女孩可立即得到补救；起诉和惩罚犯罪行为人。委员会建议缔约国针对执法人员、司法部门、医疗保健人员、社会工作者、社区领袖和公众开展教育和提高认识活动，确保他们认识到一切形式的暴力侵害妇女行为，包括家庭暴力，都是不可接受的。委员会鼓励该缔约国在这项工作中充分利用委员会的一般性建议19和秘书长关于一切形式的暴力侵害妇女行为的深入研究报告（A/61/122和Add.1以及Add.1/Corr.1）和秘书长最近启动的在全球范围消除暴力的多年运动。委员会请缔约国在下一次报告中介绍所实行的处理一切形式的暴力侵害妇女行为的法律、政策和方案，特别是13个社会保护委员会的方针，并说明这类措施的影响以及各种形式的暴力侵害妇女行为流行情况的统计数据和趋势</w:t>
      </w:r>
      <w:r>
        <w:rPr>
          <w:rFonts w:hint="eastAsia"/>
        </w:rPr>
        <w:t>。</w:t>
      </w:r>
    </w:p>
    <w:p w:rsidR="00B50316" w:rsidRDefault="00B50316" w:rsidP="00B50316">
      <w:pPr>
        <w:pStyle w:val="SingleTxt"/>
        <w:spacing w:line="330" w:lineRule="exact"/>
        <w:rPr>
          <w:rFonts w:hint="eastAsia"/>
        </w:rPr>
      </w:pPr>
      <w:r>
        <w:rPr>
          <w:rFonts w:hint="eastAsia"/>
        </w:rPr>
        <w:t>23.</w:t>
      </w:r>
      <w:r>
        <w:rPr>
          <w:rFonts w:hint="eastAsia"/>
        </w:rPr>
        <w:tab/>
        <w:t>委员会关切地注意到，缔约国没有充分提供居住在缔约国境内的非沙特阿拉伯妇女情况的资料和统计数据。委员会特别关切移徙帮佣女工的地位和情况，特别是因为现有的劳工法尚未将她们包括在内，而且她们往往不知道自己的权利，在受到虐待时，实际上也无法方便地投诉和获得补救。委员会也对这些妇女的子女的权利感到关切，特别是居住以及获得医疗保健服务和教育方面。委员会赞赏缔约国打击贩运妇女和女孩的努力，包括加入《联合国打击跨国有组织犯罪公约关于预防、禁止和惩治贩运人口特别是妇女和儿童行为的补充议定书》（《巴勒莫议定书》），制定打击贩运活动的国家计划和打击贩运人口的法律草案，但同时委员会对受雇做帮佣的年轻移徙女工继续遭受贩运以及经济剥削和性剥削并受到虐待感到关切。</w:t>
      </w:r>
    </w:p>
    <w:p w:rsidR="00B50316" w:rsidRPr="008337F9" w:rsidRDefault="00B50316" w:rsidP="00B50316">
      <w:pPr>
        <w:pStyle w:val="SingleTxt"/>
        <w:rPr>
          <w:rFonts w:ascii="SimHei" w:eastAsia="SimHei" w:hint="eastAsia"/>
          <w:color w:val="FF0000"/>
        </w:rPr>
      </w:pPr>
      <w:r w:rsidRPr="008337F9">
        <w:rPr>
          <w:rFonts w:ascii="SimHei" w:eastAsia="SimHei" w:hint="eastAsia"/>
          <w:color w:val="FF0000"/>
        </w:rPr>
        <w:t>24.</w:t>
      </w:r>
      <w:r w:rsidRPr="008337F9">
        <w:rPr>
          <w:rFonts w:ascii="SimHei" w:eastAsia="SimHei" w:hint="eastAsia"/>
          <w:color w:val="FF0000"/>
        </w:rPr>
        <w:tab/>
        <w:t>委员会敦促缔约国在下一次报告中提供详细资料，说明非沙特妇女的状况，特别是家庭帮佣的情况，并说明其享有《公约》所规定的权利的情况。委员会吁请缔约国在法律和实践中允许帮佣移徙女工，包括她们的子女，享有《公约》规定的权利，并采取措施，使她们了解这些权利。委员会还敦促缔约国通过一项关于家政工人的劳工法，将此作为优先事项。委员会还敦促缔约国充分实施《公约》第六条，包括为此迅速实行关于贩运</w:t>
      </w:r>
      <w:r>
        <w:rPr>
          <w:rFonts w:ascii="SimHei" w:eastAsia="SimHei" w:hint="eastAsia"/>
          <w:color w:val="FF0000"/>
        </w:rPr>
        <w:t>人口</w:t>
      </w:r>
      <w:r w:rsidRPr="008337F9">
        <w:rPr>
          <w:rFonts w:ascii="SimHei" w:eastAsia="SimHei" w:hint="eastAsia"/>
          <w:color w:val="FF0000"/>
        </w:rPr>
        <w:t>的具体和全面的国家立法，确保受害</w:t>
      </w:r>
      <w:r>
        <w:rPr>
          <w:rFonts w:ascii="SimHei" w:eastAsia="SimHei" w:hint="eastAsia"/>
          <w:color w:val="FF0000"/>
        </w:rPr>
        <w:t>人</w:t>
      </w:r>
      <w:r w:rsidRPr="008337F9">
        <w:rPr>
          <w:rFonts w:ascii="SimHei" w:eastAsia="SimHei" w:hint="eastAsia"/>
          <w:color w:val="FF0000"/>
        </w:rPr>
        <w:t>得到充分保护和援助。委员会还建议缔约国加强预防工作，通过与原籍国的双边和（或）多边合作，消除贩运的根源，使妇女和女孩不再有被贩运到沙特阿拉伯的风险</w:t>
      </w:r>
      <w:r>
        <w:rPr>
          <w:rFonts w:ascii="SimHei" w:eastAsia="SimHei" w:hint="eastAsia"/>
          <w:color w:val="FF0000"/>
        </w:rPr>
        <w:t>，利</w:t>
      </w:r>
      <w:r w:rsidRPr="008337F9">
        <w:rPr>
          <w:rFonts w:ascii="SimHei" w:eastAsia="SimHei" w:hint="eastAsia"/>
          <w:color w:val="FF0000"/>
        </w:rPr>
        <w:t>用联合国人权事务高级专员办事处的《建议的人权与贩运人口问题原则</w:t>
      </w:r>
      <w:r>
        <w:rPr>
          <w:rFonts w:ascii="SimHei" w:eastAsia="SimHei" w:hint="eastAsia"/>
          <w:color w:val="FF0000"/>
        </w:rPr>
        <w:t>和导则</w:t>
      </w:r>
      <w:r w:rsidRPr="008337F9">
        <w:rPr>
          <w:rFonts w:ascii="SimHei" w:eastAsia="SimHei" w:hint="eastAsia"/>
          <w:color w:val="FF0000"/>
        </w:rPr>
        <w:t>》</w:t>
      </w:r>
      <w:r>
        <w:rPr>
          <w:rFonts w:ascii="SimHei" w:eastAsia="SimHei" w:hint="eastAsia"/>
          <w:color w:val="FF0000"/>
        </w:rPr>
        <w:t>（</w:t>
      </w:r>
      <w:r w:rsidRPr="008337F9">
        <w:rPr>
          <w:rFonts w:ascii="SimHei" w:eastAsia="SimHei" w:hint="eastAsia"/>
          <w:color w:val="FF0000"/>
        </w:rPr>
        <w:t>E/2002/68/Add.1</w:t>
      </w:r>
      <w:r>
        <w:rPr>
          <w:rFonts w:ascii="SimHei" w:eastAsia="SimHei" w:hint="eastAsia"/>
          <w:color w:val="FF0000"/>
        </w:rPr>
        <w:t>）</w:t>
      </w:r>
      <w:r w:rsidRPr="008337F9">
        <w:rPr>
          <w:rFonts w:ascii="SimHei" w:eastAsia="SimHei" w:hint="eastAsia"/>
          <w:color w:val="FF0000"/>
        </w:rPr>
        <w:t>，为这些贩运受害</w:t>
      </w:r>
      <w:r>
        <w:rPr>
          <w:rFonts w:ascii="SimHei" w:eastAsia="SimHei" w:hint="eastAsia"/>
          <w:color w:val="FF0000"/>
        </w:rPr>
        <w:t>人</w:t>
      </w:r>
      <w:r w:rsidRPr="008337F9">
        <w:rPr>
          <w:rFonts w:ascii="SimHei" w:eastAsia="SimHei" w:hint="eastAsia"/>
          <w:color w:val="FF0000"/>
        </w:rPr>
        <w:t>提供援助和帮助。</w:t>
      </w:r>
    </w:p>
    <w:p w:rsidR="00B50316" w:rsidRDefault="00B50316" w:rsidP="00B50316">
      <w:pPr>
        <w:pStyle w:val="SingleTxt"/>
        <w:rPr>
          <w:rFonts w:hint="eastAsia"/>
        </w:rPr>
      </w:pPr>
      <w:r>
        <w:rPr>
          <w:rFonts w:hint="eastAsia"/>
        </w:rPr>
        <w:t>25.</w:t>
      </w:r>
      <w:r>
        <w:rPr>
          <w:rFonts w:hint="eastAsia"/>
        </w:rPr>
        <w:tab/>
        <w:t>妇女加入劳动大军的人数虽有显著改善，尤其是在公共部门，但在地方、国家和国际各级，特别是在决策岗位上，妇女的代表人数依然很少，委员会对此表示关切。还令委员会感到关切的是，沙特阿拉伯的第一次市政选举将妇女排除在外。委员会注意到一些妇女担任顾问角色，但对妇女没有参加国家的协商会议（舒拉）也感到关切。</w:t>
      </w:r>
    </w:p>
    <w:p w:rsidR="00B50316" w:rsidRPr="008337F9" w:rsidRDefault="00B50316" w:rsidP="00B50316">
      <w:pPr>
        <w:pStyle w:val="SingleTxt"/>
        <w:rPr>
          <w:rFonts w:ascii="SimHei" w:eastAsia="SimHei" w:hint="eastAsia"/>
          <w:color w:val="FF0000"/>
        </w:rPr>
      </w:pPr>
      <w:r w:rsidRPr="008337F9">
        <w:rPr>
          <w:rFonts w:ascii="SimHei" w:eastAsia="SimHei" w:hint="eastAsia"/>
          <w:color w:val="FF0000"/>
        </w:rPr>
        <w:t>26.</w:t>
      </w:r>
      <w:r w:rsidRPr="008337F9">
        <w:rPr>
          <w:rFonts w:ascii="SimHei" w:eastAsia="SimHei" w:hint="eastAsia"/>
          <w:color w:val="FF0000"/>
        </w:rPr>
        <w:tab/>
        <w:t>委员会鼓励缔约国采取可持续的措施，包括根据《公约》第四条第1款的规定以及委员会一般性建议2</w:t>
      </w:r>
      <w:r>
        <w:rPr>
          <w:rFonts w:ascii="SimHei" w:eastAsia="SimHei" w:hint="eastAsia"/>
          <w:color w:val="FF0000"/>
        </w:rPr>
        <w:t>3</w:t>
      </w:r>
      <w:r w:rsidRPr="008337F9">
        <w:rPr>
          <w:rFonts w:ascii="SimHei" w:eastAsia="SimHei" w:hint="eastAsia"/>
          <w:color w:val="FF0000"/>
        </w:rPr>
        <w:t>和2</w:t>
      </w:r>
      <w:r>
        <w:rPr>
          <w:rFonts w:ascii="SimHei" w:eastAsia="SimHei" w:hint="eastAsia"/>
          <w:color w:val="FF0000"/>
        </w:rPr>
        <w:t>5</w:t>
      </w:r>
      <w:r w:rsidRPr="008337F9">
        <w:rPr>
          <w:rFonts w:ascii="SimHei" w:eastAsia="SimHei" w:hint="eastAsia"/>
          <w:color w:val="FF0000"/>
        </w:rPr>
        <w:t>采取暂行特别措施，确定具体目标和时限，加快步伐，增加妇女参加舒拉以及各个领域的其他民选和任命机构并参加各级公共和政治生活的人数和代表人数。委员会建议缔约国为当前和未来的妇女领袖开办关于领导能力和谈判技巧的培训方案。委员会吁请缔约国围绕妇女参与决策对整个社会的重要意义开展提高认识活动。</w:t>
      </w:r>
    </w:p>
    <w:p w:rsidR="00B50316" w:rsidRDefault="00B50316" w:rsidP="00B50316">
      <w:pPr>
        <w:pStyle w:val="SingleTxt"/>
        <w:rPr>
          <w:rFonts w:hint="eastAsia"/>
        </w:rPr>
      </w:pPr>
      <w:r>
        <w:rPr>
          <w:rFonts w:hint="eastAsia"/>
        </w:rPr>
        <w:t>27.</w:t>
      </w:r>
      <w:r>
        <w:rPr>
          <w:rFonts w:hint="eastAsia"/>
        </w:rPr>
        <w:tab/>
        <w:t>委员会关切地注意到，沙特阿拉伯国籍法的某些规定不符合《公约》第九条，继续歧视与非沙特国民结婚的沙特阿拉伯妇女。委员会还关切地注意到，这类婚姻所生的子女不能享有沙特男子与非沙特妇女结婚所生子女同等的国籍权利。</w:t>
      </w:r>
    </w:p>
    <w:p w:rsidR="00B50316" w:rsidRPr="008337F9" w:rsidRDefault="00B50316" w:rsidP="00B50316">
      <w:pPr>
        <w:pStyle w:val="SingleTxt"/>
        <w:rPr>
          <w:rFonts w:ascii="SimHei" w:eastAsia="SimHei" w:hint="eastAsia"/>
          <w:color w:val="FF0000"/>
        </w:rPr>
      </w:pPr>
      <w:r w:rsidRPr="008337F9">
        <w:rPr>
          <w:rFonts w:ascii="SimHei" w:eastAsia="SimHei" w:hint="eastAsia"/>
          <w:color w:val="FF0000"/>
        </w:rPr>
        <w:t>28.</w:t>
      </w:r>
      <w:r w:rsidRPr="008337F9">
        <w:rPr>
          <w:rFonts w:ascii="SimHei" w:eastAsia="SimHei" w:hint="eastAsia"/>
          <w:color w:val="FF0000"/>
        </w:rPr>
        <w:tab/>
        <w:t>委员会请缔约国修正国籍法，使其符合《公约》第九条，并撤回对第九条第2款的保留。</w:t>
      </w:r>
    </w:p>
    <w:p w:rsidR="00B50316" w:rsidRDefault="00B50316" w:rsidP="00B50316">
      <w:pPr>
        <w:pStyle w:val="SingleTxt"/>
        <w:spacing w:line="332" w:lineRule="exact"/>
        <w:rPr>
          <w:rFonts w:hint="eastAsia"/>
        </w:rPr>
      </w:pPr>
      <w:r>
        <w:rPr>
          <w:rFonts w:hint="eastAsia"/>
        </w:rPr>
        <w:t>29.</w:t>
      </w:r>
      <w:r>
        <w:rPr>
          <w:rFonts w:hint="eastAsia"/>
        </w:rPr>
        <w:tab/>
        <w:t>委员会承认在妇女教育领域取得的显著进展，并感谢缔约国修订学校课程，删除关于男女形象的定型观念内容，但对妇女文盲比例高感到关切，这说明第十条所涉的直接和间接歧视型式。委员会还对妇女在进入某些研究领域方面受到的歧视感到关切。委员会对接受高等教育的妇女人数依然少于男子表示关切。委员会感到遗憾的是，国家不能提供充分的资料和统计数据说明来自农村的妇女和女孩以及非沙特国民的教育程度和接受教育的机会。</w:t>
      </w:r>
    </w:p>
    <w:p w:rsidR="00B50316" w:rsidRPr="008337F9" w:rsidRDefault="00B50316" w:rsidP="00B50316">
      <w:pPr>
        <w:pStyle w:val="SingleTxt"/>
        <w:spacing w:line="332" w:lineRule="exact"/>
        <w:rPr>
          <w:rFonts w:ascii="SimHei" w:eastAsia="SimHei" w:hint="eastAsia"/>
          <w:color w:val="FF0000"/>
        </w:rPr>
      </w:pPr>
      <w:r w:rsidRPr="008337F9">
        <w:rPr>
          <w:rFonts w:ascii="SimHei" w:eastAsia="SimHei" w:hint="eastAsia"/>
          <w:color w:val="FF0000"/>
        </w:rPr>
        <w:t>30.</w:t>
      </w:r>
      <w:r w:rsidRPr="008337F9">
        <w:rPr>
          <w:rFonts w:ascii="SimHei" w:eastAsia="SimHei" w:hint="eastAsia"/>
          <w:color w:val="FF0000"/>
        </w:rPr>
        <w:tab/>
        <w:t>委员会鼓励缔约国使人们更好地意识到，教育作为一项人权以及作为增强妇女能力的基础具有重要意义。委员会建议缔约国采取措施，保证女孩和妇女可以平等地接受各级和各领域的教育，并使女孩不辍学。委员会吁请缔约国尽一切努力，提高女孩和妇女的识字率，为此举办全面的</w:t>
      </w:r>
      <w:r>
        <w:rPr>
          <w:rFonts w:ascii="SimHei" w:eastAsia="SimHei" w:hint="eastAsia"/>
          <w:color w:val="FF0000"/>
        </w:rPr>
        <w:t>正规</w:t>
      </w:r>
      <w:r w:rsidRPr="008337F9">
        <w:rPr>
          <w:rFonts w:ascii="SimHei" w:eastAsia="SimHei" w:hint="eastAsia"/>
          <w:color w:val="FF0000"/>
        </w:rPr>
        <w:t>和非</w:t>
      </w:r>
      <w:r>
        <w:rPr>
          <w:rFonts w:ascii="SimHei" w:eastAsia="SimHei" w:hint="eastAsia"/>
          <w:color w:val="FF0000"/>
        </w:rPr>
        <w:t>正规</w:t>
      </w:r>
      <w:r w:rsidRPr="008337F9">
        <w:rPr>
          <w:rFonts w:ascii="SimHei" w:eastAsia="SimHei" w:hint="eastAsia"/>
          <w:color w:val="FF0000"/>
        </w:rPr>
        <w:t>教育方案，并进行成人教育和培训。委员会请缔</w:t>
      </w:r>
      <w:r>
        <w:rPr>
          <w:rFonts w:ascii="SimHei" w:eastAsia="SimHei" w:hint="eastAsia"/>
          <w:color w:val="FF0000"/>
        </w:rPr>
        <w:t>约国在下一次报告中提供关于妇女和女孩的详细资料和统计数据，包括</w:t>
      </w:r>
      <w:r w:rsidRPr="008337F9">
        <w:rPr>
          <w:rFonts w:ascii="SimHei" w:eastAsia="SimHei" w:hint="eastAsia"/>
          <w:color w:val="FF0000"/>
        </w:rPr>
        <w:t>关于来自农村的妇女和女孩以及非沙特国民的资料和数据。</w:t>
      </w:r>
    </w:p>
    <w:p w:rsidR="00B50316" w:rsidRDefault="00B50316" w:rsidP="00B50316">
      <w:pPr>
        <w:pStyle w:val="SingleTxt"/>
        <w:spacing w:line="324" w:lineRule="exact"/>
        <w:rPr>
          <w:rFonts w:hint="eastAsia"/>
        </w:rPr>
      </w:pPr>
      <w:r>
        <w:rPr>
          <w:rFonts w:hint="eastAsia"/>
        </w:rPr>
        <w:t>31.</w:t>
      </w:r>
      <w:r>
        <w:rPr>
          <w:rFonts w:hint="eastAsia"/>
        </w:rPr>
        <w:tab/>
        <w:t>委员会赞赏缔约国在劳工立法方面采取的积极步骤，包括取消工作场所两性隔离的规定，但同时委员会对妇女参加劳动队伍的人数依然很少感到关切。委员会关切地注意到所提供的关于妇女就业数据中的空白。委员会注意到研究私营部门产假的报告正在定稿，但委员会对目前只有公共部门提供带薪产假感到关切。委员会还对阻碍妇女就业的障碍表示关切，诸如私营部门缺乏足够的儿童保育设施，工作场所实际存在的两性隔离情况。</w:t>
      </w:r>
    </w:p>
    <w:p w:rsidR="00B50316" w:rsidRPr="008337F9" w:rsidRDefault="00B50316" w:rsidP="00B50316">
      <w:pPr>
        <w:pStyle w:val="SingleTxt"/>
        <w:spacing w:line="332" w:lineRule="exact"/>
        <w:rPr>
          <w:rFonts w:ascii="SimHei" w:eastAsia="SimHei" w:hint="eastAsia"/>
          <w:color w:val="FF0000"/>
        </w:rPr>
      </w:pPr>
      <w:r w:rsidRPr="008337F9">
        <w:rPr>
          <w:rFonts w:ascii="SimHei" w:eastAsia="SimHei" w:hint="eastAsia"/>
          <w:color w:val="FF0000"/>
        </w:rPr>
        <w:t>32.</w:t>
      </w:r>
      <w:r w:rsidRPr="008337F9">
        <w:rPr>
          <w:rFonts w:ascii="SimHei" w:eastAsia="SimHei" w:hint="eastAsia"/>
          <w:color w:val="FF0000"/>
        </w:rPr>
        <w:tab/>
      </w:r>
      <w:r>
        <w:rPr>
          <w:rFonts w:ascii="SimHei" w:eastAsia="SimHei" w:hint="eastAsia"/>
          <w:color w:val="FF0000"/>
        </w:rPr>
        <w:t>委员会请缔约国立即采取更有针对性的步骤，</w:t>
      </w:r>
      <w:r w:rsidRPr="008337F9">
        <w:rPr>
          <w:rFonts w:ascii="SimHei" w:eastAsia="SimHei" w:hint="eastAsia"/>
          <w:color w:val="FF0000"/>
        </w:rPr>
        <w:t>使更多的妇女加入劳动大军，特别是为此确保实施为提高妇女地位而制定的法律。委员会还敦促缔约国优先通过一项关于私营部门产假的法律，并吁请缔约国排除妨碍妇女就业的障碍，包括为此取消事实上在工作场所存在的两性隔离情况，并确保各个领域都有充分的儿童保育设施。委员会还请缔约国在下一次报告中提供妇女就业方面的更详细的资料和数据，包括性骚扰事件和妇女在公私部门任职的情况。</w:t>
      </w:r>
    </w:p>
    <w:p w:rsidR="00B50316" w:rsidRDefault="00B50316" w:rsidP="00B50316">
      <w:pPr>
        <w:pStyle w:val="SingleTxt"/>
        <w:rPr>
          <w:rFonts w:hint="eastAsia"/>
        </w:rPr>
      </w:pPr>
      <w:r>
        <w:rPr>
          <w:rFonts w:hint="eastAsia"/>
        </w:rPr>
        <w:t>33.</w:t>
      </w:r>
      <w:r>
        <w:rPr>
          <w:rFonts w:hint="eastAsia"/>
        </w:rPr>
        <w:tab/>
        <w:t>委员会赞赏缔约国为改善保健基础设施作出的努力，但同时对缺乏不涉及孕产的其他保健问题的资料和数据感到关切，并对来自农村地区以及非沙特籍的妇女和女孩获得适当保健服务的机会感到关切。委员会还对妇女需要征求其男性监护人的同意才能使用保健设施表示关切。</w:t>
      </w:r>
    </w:p>
    <w:p w:rsidR="00B50316" w:rsidRPr="008337F9" w:rsidRDefault="00B50316" w:rsidP="00B50316">
      <w:pPr>
        <w:pStyle w:val="SingleTxt"/>
        <w:spacing w:line="332" w:lineRule="exact"/>
        <w:rPr>
          <w:rFonts w:ascii="SimHei" w:eastAsia="SimHei" w:hint="eastAsia"/>
          <w:color w:val="FF0000"/>
        </w:rPr>
      </w:pPr>
      <w:r w:rsidRPr="008337F9">
        <w:rPr>
          <w:rFonts w:ascii="SimHei" w:eastAsia="SimHei" w:hint="eastAsia"/>
          <w:color w:val="FF0000"/>
        </w:rPr>
        <w:t>34.</w:t>
      </w:r>
      <w:r w:rsidRPr="008337F9">
        <w:rPr>
          <w:rFonts w:ascii="SimHei" w:eastAsia="SimHei" w:hint="eastAsia"/>
          <w:color w:val="FF0000"/>
        </w:rPr>
        <w:tab/>
        <w:t>委员会吁请缔约国在一般性建议24的框架内，采取一切必要措施，增加妇女获得医疗保健和健康相关服务及信息的途径。委员会还建议特别关注来自农村地区的妇女和非沙特籍妇女的保健需要。委员会还建议对医院工作人员进行培训，使其了解妇女在保健方面的权利，并建议实行监督制度，确保工作人员尊重这些权利。</w:t>
      </w:r>
    </w:p>
    <w:p w:rsidR="00B50316" w:rsidRDefault="00B50316" w:rsidP="00B50316">
      <w:pPr>
        <w:pStyle w:val="SingleTxt"/>
        <w:spacing w:line="332" w:lineRule="exact"/>
        <w:rPr>
          <w:rFonts w:hint="eastAsia"/>
        </w:rPr>
      </w:pPr>
      <w:r>
        <w:rPr>
          <w:rFonts w:hint="eastAsia"/>
        </w:rPr>
        <w:t>35.</w:t>
      </w:r>
      <w:r>
        <w:rPr>
          <w:rFonts w:hint="eastAsia"/>
        </w:rPr>
        <w:tab/>
        <w:t>委员会对法律没有规定男孩和女孩的最低婚龄感到关切。委员会对有关人身关系，特别是结婚、离婚、子女监管权和继承权方面的法律没有为妇女和男子规定同等权利表示关切。</w:t>
      </w:r>
    </w:p>
    <w:p w:rsidR="00B50316" w:rsidRPr="008337F9" w:rsidRDefault="00B50316" w:rsidP="00B50316">
      <w:pPr>
        <w:pStyle w:val="SingleTxt"/>
        <w:spacing w:line="332" w:lineRule="exact"/>
        <w:rPr>
          <w:rFonts w:ascii="SimHei" w:eastAsia="SimHei" w:hint="eastAsia"/>
          <w:color w:val="FF0000"/>
        </w:rPr>
      </w:pPr>
      <w:r w:rsidRPr="008337F9">
        <w:rPr>
          <w:rFonts w:ascii="SimHei" w:eastAsia="SimHei" w:hint="eastAsia"/>
          <w:color w:val="FF0000"/>
        </w:rPr>
        <w:t>36.</w:t>
      </w:r>
      <w:r w:rsidRPr="008337F9">
        <w:rPr>
          <w:rFonts w:ascii="SimHei" w:eastAsia="SimHei" w:hint="eastAsia"/>
          <w:color w:val="FF0000"/>
        </w:rPr>
        <w:tab/>
        <w:t>委员会敦促会员国按照《公约》第十六条第2款和《儿童权利公约》，为妇女和男子规定并强制执行18岁结婚的最低年龄，并进行立法改革，在结婚、离婚、子女</w:t>
      </w:r>
      <w:r>
        <w:rPr>
          <w:rFonts w:ascii="SimHei" w:eastAsia="SimHei" w:hint="eastAsia"/>
          <w:color w:val="FF0000"/>
        </w:rPr>
        <w:t>监护</w:t>
      </w:r>
      <w:r w:rsidRPr="008337F9">
        <w:rPr>
          <w:rFonts w:ascii="SimHei" w:eastAsia="SimHei" w:hint="eastAsia"/>
          <w:color w:val="FF0000"/>
        </w:rPr>
        <w:t>权和继承权方面为妇女提供同等权利。委员会吁请缔约国按照委员会关于婚姻和家庭关系平等的一般性建议21，结束一夫多妻制的做法。</w:t>
      </w:r>
    </w:p>
    <w:p w:rsidR="00B50316" w:rsidRDefault="00B50316" w:rsidP="00690C8B">
      <w:pPr>
        <w:pStyle w:val="SingleTxt"/>
        <w:spacing w:after="120" w:line="332" w:lineRule="exact"/>
        <w:rPr>
          <w:rFonts w:hint="eastAsia"/>
        </w:rPr>
      </w:pPr>
      <w:r>
        <w:rPr>
          <w:rFonts w:hint="eastAsia"/>
        </w:rPr>
        <w:t>37.</w:t>
      </w:r>
      <w:r>
        <w:rPr>
          <w:rFonts w:hint="eastAsia"/>
        </w:rPr>
        <w:tab/>
        <w:t>委员会感到关切的是，缔约国的报告没有充分提供关于妇女在《公约》所涉各领域情况的统计数据，并按年龄和城乡等因素分列。委员会感到关切的还有，缺乏资料说明在实施《公约》各种规定方面采取的措施和取得的成果。</w:t>
      </w:r>
    </w:p>
    <w:p w:rsidR="00B50316" w:rsidRPr="008337F9" w:rsidRDefault="00B50316" w:rsidP="00690C8B">
      <w:pPr>
        <w:pStyle w:val="SingleTxt"/>
        <w:spacing w:after="120" w:line="332" w:lineRule="exact"/>
        <w:rPr>
          <w:rFonts w:ascii="SimHei" w:eastAsia="SimHei" w:hint="eastAsia"/>
          <w:color w:val="FF0000"/>
        </w:rPr>
      </w:pPr>
      <w:r w:rsidRPr="008337F9">
        <w:rPr>
          <w:rFonts w:ascii="SimHei" w:eastAsia="SimHei" w:hint="eastAsia"/>
          <w:color w:val="FF0000"/>
        </w:rPr>
        <w:t>38.</w:t>
      </w:r>
      <w:r w:rsidRPr="008337F9">
        <w:rPr>
          <w:rFonts w:ascii="SimHei" w:eastAsia="SimHei" w:hint="eastAsia"/>
          <w:color w:val="FF0000"/>
        </w:rPr>
        <w:tab/>
        <w:t>委员会吁请缔约国在下一次报告中包括更为详细的关于妇女情况的统计数据和分析，并按性别、年龄和城乡分列。委员会还要求提供资料，说明为实施《公约》而采取的措施的影响以及切实实现妇女实质平等的结果。</w:t>
      </w:r>
    </w:p>
    <w:p w:rsidR="00B50316" w:rsidRPr="00050DF0" w:rsidRDefault="00B50316" w:rsidP="00690C8B">
      <w:pPr>
        <w:pStyle w:val="SingleTxt"/>
        <w:spacing w:after="120"/>
        <w:rPr>
          <w:rFonts w:ascii="SimHei" w:eastAsia="SimHei" w:hint="eastAsia"/>
          <w:color w:val="FF0000"/>
        </w:rPr>
      </w:pPr>
      <w:r w:rsidRPr="00050DF0">
        <w:rPr>
          <w:rFonts w:ascii="SimHei" w:eastAsia="SimHei" w:hint="eastAsia"/>
          <w:color w:val="FF0000"/>
        </w:rPr>
        <w:t>39.</w:t>
      </w:r>
      <w:r w:rsidRPr="00050DF0">
        <w:rPr>
          <w:rFonts w:ascii="SimHei" w:eastAsia="SimHei" w:hint="eastAsia"/>
          <w:color w:val="FF0000"/>
        </w:rPr>
        <w:tab/>
        <w:t>委员会鼓励缔约国批准《消除对妇女一切形式歧视公约任择议定书》，并尽快接受对关于委员会会议时间的《公约》第二十条第1款的修正。</w:t>
      </w:r>
    </w:p>
    <w:p w:rsidR="00B50316" w:rsidRPr="008337F9" w:rsidRDefault="00B50316" w:rsidP="00690C8B">
      <w:pPr>
        <w:pStyle w:val="SingleTxt"/>
        <w:spacing w:after="120"/>
        <w:rPr>
          <w:rFonts w:ascii="SimHei" w:eastAsia="SimHei" w:hint="eastAsia"/>
          <w:color w:val="FF0000"/>
        </w:rPr>
      </w:pPr>
      <w:r w:rsidRPr="008337F9">
        <w:rPr>
          <w:rFonts w:ascii="SimHei" w:eastAsia="SimHei" w:hint="eastAsia"/>
          <w:color w:val="FF0000"/>
        </w:rPr>
        <w:t>40.</w:t>
      </w:r>
      <w:r w:rsidRPr="008337F9">
        <w:rPr>
          <w:rFonts w:ascii="SimHei" w:eastAsia="SimHei" w:hint="eastAsia"/>
          <w:color w:val="FF0000"/>
        </w:rPr>
        <w:tab/>
        <w:t>委员会鼓励缔约国加强与妇女协会等民间社会组织的合作与协调，加强实施《公约》的规定，并在</w:t>
      </w:r>
      <w:r>
        <w:rPr>
          <w:rFonts w:ascii="SimHei" w:eastAsia="SimHei" w:hint="eastAsia"/>
          <w:color w:val="FF0000"/>
        </w:rPr>
        <w:t>编写</w:t>
      </w:r>
      <w:r w:rsidRPr="008337F9">
        <w:rPr>
          <w:rFonts w:ascii="SimHei" w:eastAsia="SimHei" w:hint="eastAsia"/>
          <w:color w:val="FF0000"/>
        </w:rPr>
        <w:t>下一次报告时，与这些组织进行磋商。</w:t>
      </w:r>
    </w:p>
    <w:p w:rsidR="00B50316" w:rsidRPr="008337F9" w:rsidRDefault="00B50316" w:rsidP="00690C8B">
      <w:pPr>
        <w:pStyle w:val="SingleTxt"/>
        <w:spacing w:after="120"/>
        <w:rPr>
          <w:rFonts w:ascii="SimHei" w:eastAsia="SimHei" w:hint="eastAsia"/>
          <w:color w:val="FF0000"/>
        </w:rPr>
      </w:pPr>
      <w:r w:rsidRPr="008337F9">
        <w:rPr>
          <w:rFonts w:ascii="SimHei" w:eastAsia="SimHei" w:hint="eastAsia"/>
          <w:color w:val="FF0000"/>
        </w:rPr>
        <w:t>41.</w:t>
      </w:r>
      <w:r w:rsidRPr="008337F9">
        <w:rPr>
          <w:rFonts w:ascii="SimHei" w:eastAsia="SimHei" w:hint="eastAsia"/>
          <w:color w:val="FF0000"/>
        </w:rPr>
        <w:tab/>
        <w:t>委员会敦促缔约国在履行《公约》义务时，充分利用加强《公约》各项规定的《北京宣言和行动纲要》，并请缔约国在下一次定期报告中提供有关资料。</w:t>
      </w:r>
    </w:p>
    <w:p w:rsidR="00B50316" w:rsidRPr="008337F9" w:rsidRDefault="00B50316" w:rsidP="00690C8B">
      <w:pPr>
        <w:pStyle w:val="SingleTxt"/>
        <w:spacing w:after="120"/>
        <w:rPr>
          <w:rFonts w:ascii="SimHei" w:eastAsia="SimHei" w:hint="eastAsia"/>
          <w:color w:val="FF0000"/>
        </w:rPr>
      </w:pPr>
      <w:r w:rsidRPr="008337F9">
        <w:rPr>
          <w:rFonts w:ascii="SimHei" w:eastAsia="SimHei" w:hint="eastAsia"/>
          <w:color w:val="FF0000"/>
        </w:rPr>
        <w:t>42.</w:t>
      </w:r>
      <w:r w:rsidRPr="008337F9">
        <w:rPr>
          <w:rFonts w:ascii="SimHei" w:eastAsia="SimHei" w:hint="eastAsia"/>
          <w:color w:val="FF0000"/>
        </w:rPr>
        <w:tab/>
        <w:t>委员会还强调充分和有效地执行《公约》对实现千年发展目标不可或缺。委员会要求在实现千年发展目标的一切工作中纳入性别观点，明确体现《公约》各项规定，并请缔约国在下一次定期报告中提供有关资料。</w:t>
      </w:r>
    </w:p>
    <w:p w:rsidR="00B50316" w:rsidRPr="008337F9" w:rsidRDefault="00B50316" w:rsidP="00690C8B">
      <w:pPr>
        <w:pStyle w:val="SingleTxt"/>
        <w:spacing w:after="120"/>
        <w:rPr>
          <w:rFonts w:ascii="SimHei" w:eastAsia="SimHei" w:hint="eastAsia"/>
          <w:color w:val="FF0000"/>
        </w:rPr>
      </w:pPr>
      <w:r w:rsidRPr="008337F9">
        <w:rPr>
          <w:rFonts w:ascii="SimHei" w:eastAsia="SimHei" w:hint="eastAsia"/>
          <w:color w:val="FF0000"/>
        </w:rPr>
        <w:t>43.</w:t>
      </w:r>
      <w:r w:rsidRPr="008337F9">
        <w:rPr>
          <w:rFonts w:ascii="SimHei" w:eastAsia="SimHei" w:hint="eastAsia"/>
          <w:color w:val="FF0000"/>
        </w:rPr>
        <w:tab/>
        <w:t>委员会指出，各国参加9项主要国际人权文书，</w:t>
      </w:r>
      <w:r w:rsidRPr="00910C38">
        <w:rPr>
          <w:rStyle w:val="FootnoteReference"/>
          <w:rFonts w:ascii="SimHei" w:eastAsia="SimHei"/>
        </w:rPr>
        <w:footnoteReference w:id="1"/>
      </w:r>
      <w:r w:rsidRPr="008337F9">
        <w:rPr>
          <w:rFonts w:ascii="SimHei" w:eastAsia="SimHei" w:hint="eastAsia"/>
          <w:color w:val="FF0000"/>
        </w:rPr>
        <w:t xml:space="preserve"> 有助于促进妇女在生活的各个方面享受人权和基本自由。因此，委员会敦促沙特阿拉伯政府考虑批准它尚未成为缔约国的条约，即《公民及政治权利国际公约》、《经济、社会、文化权利国际公约》、《保护所有移徙工人及其家庭成员权利国际公约》、《保护所有人免遭强迫失踪国际公约》和《残疾人权利公约》。</w:t>
      </w:r>
    </w:p>
    <w:p w:rsidR="00B50316" w:rsidRPr="008337F9" w:rsidRDefault="00B50316" w:rsidP="00690C8B">
      <w:pPr>
        <w:pStyle w:val="SingleTxt"/>
        <w:spacing w:after="120"/>
        <w:rPr>
          <w:rFonts w:ascii="SimHei" w:eastAsia="SimHei" w:hint="eastAsia"/>
          <w:color w:val="FF0000"/>
        </w:rPr>
      </w:pPr>
      <w:r w:rsidRPr="008337F9">
        <w:rPr>
          <w:rFonts w:ascii="SimHei" w:eastAsia="SimHei" w:hint="eastAsia"/>
          <w:color w:val="FF0000"/>
        </w:rPr>
        <w:t>44.</w:t>
      </w:r>
      <w:r w:rsidRPr="008337F9">
        <w:rPr>
          <w:rFonts w:ascii="SimHei" w:eastAsia="SimHei" w:hint="eastAsia"/>
          <w:color w:val="FF0000"/>
        </w:rPr>
        <w:tab/>
        <w:t>委员会请沙特阿拉伯在国内广为传播本结论意见，使人民，包括政府官员、政界人士、议员以及妇女组织和人权组织，了解为确保妇女在法律上和事实上的平等而采取的步骤以及在这方面应进一步采取的步骤。委员会请缔约国继续以适当形式，广泛宣传《公约》及其任择议定书、委员会各项一般性建议、《北京宣言和行动纲要》以及题为“2000年妇女：二十一世纪两性平等、发展与和平”的大会第二十三届特别会议成果，特别是向妇女组织和人权组织开展宣传。</w:t>
      </w:r>
    </w:p>
    <w:p w:rsidR="00B50316" w:rsidRDefault="00B50316" w:rsidP="00690C8B">
      <w:pPr>
        <w:pStyle w:val="SingleTxt"/>
        <w:spacing w:after="120"/>
      </w:pPr>
      <w:r w:rsidRPr="008337F9">
        <w:rPr>
          <w:rFonts w:ascii="SimHei" w:eastAsia="SimHei" w:hint="eastAsia"/>
          <w:color w:val="FF0000"/>
        </w:rPr>
        <w:t>45.</w:t>
      </w:r>
      <w:r w:rsidRPr="008337F9">
        <w:rPr>
          <w:rFonts w:ascii="SimHei" w:eastAsia="SimHei" w:hint="eastAsia"/>
          <w:color w:val="FF0000"/>
        </w:rPr>
        <w:tab/>
        <w:t>委员会请缔约国在根据《公约》第十八条提交的下一次定期报告中答复本结论意见所提出的各项关切。委员会请缔约国</w:t>
      </w:r>
      <w:r>
        <w:rPr>
          <w:rFonts w:ascii="SimHei" w:eastAsia="SimHei" w:hint="eastAsia"/>
          <w:color w:val="FF0000"/>
        </w:rPr>
        <w:t>将应于2009年10月提交的第三次定期报告和应于2013年10月提交的第四</w:t>
      </w:r>
      <w:r w:rsidRPr="008337F9">
        <w:rPr>
          <w:rFonts w:ascii="SimHei" w:eastAsia="SimHei" w:hint="eastAsia"/>
          <w:color w:val="FF0000"/>
        </w:rPr>
        <w:t>次定期报告</w:t>
      </w:r>
      <w:r>
        <w:rPr>
          <w:rFonts w:ascii="SimHei" w:eastAsia="SimHei" w:hint="eastAsia"/>
          <w:color w:val="FF0000"/>
        </w:rPr>
        <w:t>合并为一份，于2013年提交</w:t>
      </w:r>
      <w:r w:rsidRPr="008337F9">
        <w:rPr>
          <w:rFonts w:ascii="SimHei" w:eastAsia="SimHei" w:hint="eastAsia"/>
          <w:color w:val="FF0000"/>
        </w:rPr>
        <w:t>。</w:t>
      </w:r>
    </w:p>
    <w:p w:rsidR="00B50316" w:rsidRPr="00B50316" w:rsidRDefault="00B50316" w:rsidP="00B50316">
      <w:pPr>
        <w:pStyle w:val="SingleTxt"/>
        <w:spacing w:after="0" w:line="240" w:lineRule="auto"/>
        <w:rPr>
          <w:rFonts w:hint="eastAsia"/>
          <w:sz w:val="20"/>
        </w:rPr>
      </w:pPr>
      <w:r>
        <w:rPr>
          <w:rFonts w:hint="eastAsia"/>
          <w:noProof/>
          <w:sz w:val="20"/>
        </w:rPr>
        <w:pict>
          <v:line id="_x0000_s1026" style="position:absolute;left:0;text-align:left;z-index:1" from="210.25pt,16.6pt" to="282.25pt,16.6pt" strokeweight=".25pt"/>
        </w:pict>
      </w:r>
    </w:p>
    <w:sectPr w:rsidR="00B50316" w:rsidRPr="00B50316" w:rsidSect="00091F8C">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4-30T15:32:00Z" w:initials="Start">
    <w:p w:rsidR="00690C8B" w:rsidRDefault="00690C8B">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NO&gt;&gt;N0829879C&lt;&lt;ODS JOB NO&gt;&gt;</w:t>
      </w:r>
    </w:p>
    <w:p w:rsidR="00690C8B" w:rsidRDefault="00690C8B">
      <w:pPr>
        <w:pStyle w:val="CommentText"/>
      </w:pPr>
      <w:r>
        <w:t>&lt;&lt;ODS DOC SYMBOL1&gt;&gt;CEDAW/C/SAU/CO/2&lt;&lt;ODS DOC SYMBOL1&gt;&gt;</w:t>
      </w:r>
    </w:p>
    <w:p w:rsidR="00690C8B" w:rsidRDefault="00690C8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7886" w:rsidRDefault="001D7886" w:rsidP="00091F8C">
      <w:r>
        <w:separator/>
      </w:r>
    </w:p>
  </w:endnote>
  <w:endnote w:type="continuationSeparator" w:id="0">
    <w:p w:rsidR="001D7886" w:rsidRDefault="001D7886" w:rsidP="00091F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90C8B" w:rsidTr="00091F8C">
      <w:tblPrEx>
        <w:tblCellMar>
          <w:top w:w="0" w:type="dxa"/>
          <w:bottom w:w="0" w:type="dxa"/>
        </w:tblCellMar>
      </w:tblPrEx>
      <w:tc>
        <w:tcPr>
          <w:tcW w:w="5033" w:type="dxa"/>
          <w:shd w:val="clear" w:color="auto" w:fill="auto"/>
        </w:tcPr>
        <w:p w:rsidR="00690C8B" w:rsidRPr="00091F8C" w:rsidRDefault="00690C8B" w:rsidP="00091F8C">
          <w:pPr>
            <w:pStyle w:val="Footer"/>
            <w:jc w:val="right"/>
            <w:rPr>
              <w:b w:val="0"/>
              <w:w w:val="103"/>
              <w:sz w:val="14"/>
            </w:rPr>
          </w:pPr>
          <w:r>
            <w:rPr>
              <w:b w:val="0"/>
              <w:w w:val="103"/>
              <w:sz w:val="14"/>
            </w:rPr>
            <w:t>08-29879 (C)</w:t>
          </w:r>
        </w:p>
      </w:tc>
      <w:tc>
        <w:tcPr>
          <w:tcW w:w="5033" w:type="dxa"/>
          <w:shd w:val="clear" w:color="auto" w:fill="auto"/>
        </w:tcPr>
        <w:p w:rsidR="00690C8B" w:rsidRPr="00091F8C" w:rsidRDefault="00690C8B" w:rsidP="00091F8C">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01745B">
            <w:rPr>
              <w:w w:val="103"/>
              <w:sz w:val="17"/>
            </w:rPr>
            <w:t>6</w:t>
          </w:r>
          <w:r>
            <w:rPr>
              <w:w w:val="103"/>
              <w:sz w:val="17"/>
            </w:rPr>
            <w:fldChar w:fldCharType="end"/>
          </w:r>
        </w:p>
      </w:tc>
    </w:tr>
  </w:tbl>
  <w:p w:rsidR="00690C8B" w:rsidRPr="00091F8C" w:rsidRDefault="00690C8B" w:rsidP="00091F8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90C8B" w:rsidTr="00091F8C">
      <w:tblPrEx>
        <w:tblCellMar>
          <w:top w:w="0" w:type="dxa"/>
          <w:bottom w:w="0" w:type="dxa"/>
        </w:tblCellMar>
      </w:tblPrEx>
      <w:tc>
        <w:tcPr>
          <w:tcW w:w="5033" w:type="dxa"/>
          <w:shd w:val="clear" w:color="auto" w:fill="auto"/>
        </w:tcPr>
        <w:p w:rsidR="00690C8B" w:rsidRPr="00091F8C" w:rsidRDefault="00690C8B" w:rsidP="00091F8C">
          <w:pPr>
            <w:pStyle w:val="Footer"/>
            <w:jc w:val="right"/>
          </w:pPr>
          <w:r>
            <w:fldChar w:fldCharType="begin"/>
          </w:r>
          <w:r>
            <w:instrText xml:space="preserve"> PAGE  \* MERGEFORMAT </w:instrText>
          </w:r>
          <w:r>
            <w:fldChar w:fldCharType="separate"/>
          </w:r>
          <w:r w:rsidR="0001745B">
            <w:t>7</w:t>
          </w:r>
          <w:r>
            <w:fldChar w:fldCharType="end"/>
          </w:r>
        </w:p>
      </w:tc>
      <w:tc>
        <w:tcPr>
          <w:tcW w:w="5033" w:type="dxa"/>
          <w:shd w:val="clear" w:color="auto" w:fill="auto"/>
        </w:tcPr>
        <w:p w:rsidR="00690C8B" w:rsidRPr="00091F8C" w:rsidRDefault="00690C8B" w:rsidP="00091F8C">
          <w:pPr>
            <w:pStyle w:val="Footer"/>
            <w:jc w:val="left"/>
            <w:rPr>
              <w:b w:val="0"/>
              <w:w w:val="103"/>
              <w:sz w:val="14"/>
            </w:rPr>
          </w:pPr>
          <w:r>
            <w:rPr>
              <w:b w:val="0"/>
              <w:w w:val="103"/>
              <w:sz w:val="14"/>
            </w:rPr>
            <w:t>08-29879 (C)</w:t>
          </w:r>
        </w:p>
      </w:tc>
    </w:tr>
  </w:tbl>
  <w:p w:rsidR="00690C8B" w:rsidRPr="00091F8C" w:rsidRDefault="00690C8B" w:rsidP="00091F8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C8B" w:rsidRDefault="00690C8B" w:rsidP="00091F8C">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08-29879 (C)</w:t>
    </w:r>
    <w:r>
      <w:rPr>
        <w:b w:val="0"/>
        <w:sz w:val="21"/>
      </w:rPr>
      <w:fldChar w:fldCharType="end"/>
    </w:r>
    <w:r>
      <w:rPr>
        <w:b w:val="0"/>
        <w:sz w:val="21"/>
      </w:rPr>
      <w:t xml:space="preserve">    300408    </w:t>
    </w:r>
    <w:r>
      <w:rPr>
        <w:rFonts w:hint="eastAsia"/>
        <w:b w:val="0"/>
        <w:sz w:val="21"/>
      </w:rPr>
      <w:t>0105</w:t>
    </w:r>
    <w:r>
      <w:rPr>
        <w:b w:val="0"/>
        <w:sz w:val="21"/>
      </w:rPr>
      <w:t>08</w:t>
    </w:r>
  </w:p>
  <w:p w:rsidR="00690C8B" w:rsidRPr="00091F8C" w:rsidRDefault="00690C8B" w:rsidP="00091F8C">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*0829879*</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7886" w:rsidRPr="00910C38" w:rsidRDefault="001D7886" w:rsidP="00910C38">
      <w:pPr>
        <w:pStyle w:val="Footer"/>
        <w:spacing w:after="80"/>
        <w:ind w:left="792"/>
        <w:rPr>
          <w:sz w:val="16"/>
        </w:rPr>
      </w:pPr>
      <w:r w:rsidRPr="00910C38">
        <w:rPr>
          <w:sz w:val="16"/>
        </w:rPr>
        <w:t>__________________</w:t>
      </w:r>
    </w:p>
  </w:footnote>
  <w:footnote w:type="continuationSeparator" w:id="0">
    <w:p w:rsidR="001D7886" w:rsidRPr="00910C38" w:rsidRDefault="001D7886" w:rsidP="00910C38">
      <w:pPr>
        <w:pStyle w:val="Footer"/>
        <w:spacing w:after="80"/>
        <w:ind w:left="792"/>
        <w:rPr>
          <w:sz w:val="16"/>
        </w:rPr>
      </w:pPr>
      <w:r w:rsidRPr="00910C38">
        <w:rPr>
          <w:sz w:val="16"/>
        </w:rPr>
        <w:t>__________________</w:t>
      </w:r>
    </w:p>
  </w:footnote>
  <w:footnote w:id="1">
    <w:p w:rsidR="00690C8B" w:rsidRPr="008337F9" w:rsidRDefault="00690C8B" w:rsidP="00910C38">
      <w:pPr>
        <w:pStyle w:val="FootnoteText"/>
        <w:tabs>
          <w:tab w:val="clear" w:pos="418"/>
          <w:tab w:val="right" w:pos="1195"/>
          <w:tab w:val="left" w:pos="1264"/>
          <w:tab w:val="left" w:pos="1695"/>
          <w:tab w:val="left" w:pos="2126"/>
          <w:tab w:val="left" w:pos="2557"/>
        </w:tabs>
        <w:ind w:left="1264" w:right="1264" w:hanging="432"/>
      </w:pPr>
      <w:r>
        <w:tab/>
      </w:r>
      <w:r>
        <w:rPr>
          <w:rStyle w:val="FootnoteReference"/>
        </w:rPr>
        <w:footnoteRef/>
      </w:r>
      <w:r>
        <w:tab/>
      </w:r>
      <w:r w:rsidRPr="008337F9">
        <w:rPr>
          <w:rFonts w:hint="eastAsia"/>
        </w:rPr>
        <w:t>《经济、社会、文化权利国际公约》、《公民及政治权利国际公约》、《消除一切形式种族歧视国际公约》、《消除对妇女一切形式歧视公约》、《禁止酷刑和其他残忍、不人道或有辱人格的待遇或处罚公约》、《儿童权利公约》、《保护所有移徙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90C8B" w:rsidTr="00091F8C">
      <w:tblPrEx>
        <w:tblCellMar>
          <w:top w:w="0" w:type="dxa"/>
          <w:bottom w:w="0" w:type="dxa"/>
        </w:tblCellMar>
      </w:tblPrEx>
      <w:trPr>
        <w:trHeight w:hRule="exact" w:val="864"/>
      </w:trPr>
      <w:tc>
        <w:tcPr>
          <w:tcW w:w="4838" w:type="dxa"/>
          <w:shd w:val="clear" w:color="auto" w:fill="auto"/>
          <w:vAlign w:val="bottom"/>
        </w:tcPr>
        <w:p w:rsidR="00690C8B" w:rsidRPr="00091F8C" w:rsidRDefault="00690C8B" w:rsidP="00091F8C">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CEDAW/C/SAU/CO/2</w:t>
          </w:r>
          <w:r>
            <w:rPr>
              <w:b/>
              <w:sz w:val="17"/>
            </w:rPr>
            <w:fldChar w:fldCharType="end"/>
          </w:r>
        </w:p>
      </w:tc>
      <w:tc>
        <w:tcPr>
          <w:tcW w:w="5033" w:type="dxa"/>
          <w:shd w:val="clear" w:color="auto" w:fill="auto"/>
          <w:vAlign w:val="bottom"/>
        </w:tcPr>
        <w:p w:rsidR="00690C8B" w:rsidRDefault="00690C8B" w:rsidP="00091F8C">
          <w:pPr>
            <w:pStyle w:val="Header"/>
          </w:pPr>
        </w:p>
      </w:tc>
    </w:tr>
  </w:tbl>
  <w:p w:rsidR="00690C8B" w:rsidRPr="00091F8C" w:rsidRDefault="00690C8B" w:rsidP="00091F8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90C8B" w:rsidTr="00091F8C">
      <w:tblPrEx>
        <w:tblCellMar>
          <w:top w:w="0" w:type="dxa"/>
          <w:bottom w:w="0" w:type="dxa"/>
        </w:tblCellMar>
      </w:tblPrEx>
      <w:trPr>
        <w:trHeight w:hRule="exact" w:val="864"/>
      </w:trPr>
      <w:tc>
        <w:tcPr>
          <w:tcW w:w="4838" w:type="dxa"/>
          <w:shd w:val="clear" w:color="auto" w:fill="auto"/>
          <w:vAlign w:val="bottom"/>
        </w:tcPr>
        <w:p w:rsidR="00690C8B" w:rsidRDefault="00690C8B" w:rsidP="00091F8C">
          <w:pPr>
            <w:pStyle w:val="Header"/>
          </w:pPr>
        </w:p>
      </w:tc>
      <w:tc>
        <w:tcPr>
          <w:tcW w:w="5033" w:type="dxa"/>
          <w:shd w:val="clear" w:color="auto" w:fill="auto"/>
          <w:vAlign w:val="bottom"/>
        </w:tcPr>
        <w:p w:rsidR="00690C8B" w:rsidRPr="00091F8C" w:rsidRDefault="00690C8B" w:rsidP="00091F8C">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CEDAW/C/SAU/CO/2</w:t>
          </w:r>
          <w:r>
            <w:rPr>
              <w:b/>
              <w:sz w:val="17"/>
            </w:rPr>
            <w:fldChar w:fldCharType="end"/>
          </w:r>
        </w:p>
      </w:tc>
    </w:tr>
  </w:tbl>
  <w:p w:rsidR="00690C8B" w:rsidRPr="00091F8C" w:rsidRDefault="00690C8B" w:rsidP="00091F8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690C8B" w:rsidTr="00091F8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90C8B" w:rsidRDefault="00690C8B" w:rsidP="00091F8C">
          <w:pPr>
            <w:pStyle w:val="Header"/>
            <w:spacing w:after="120"/>
          </w:pPr>
        </w:p>
      </w:tc>
      <w:tc>
        <w:tcPr>
          <w:tcW w:w="1872" w:type="dxa"/>
          <w:tcBorders>
            <w:bottom w:val="single" w:sz="4" w:space="0" w:color="auto"/>
          </w:tcBorders>
          <w:shd w:val="clear" w:color="auto" w:fill="auto"/>
          <w:vAlign w:val="bottom"/>
        </w:tcPr>
        <w:p w:rsidR="00690C8B" w:rsidRPr="00091F8C" w:rsidRDefault="00690C8B" w:rsidP="00091F8C">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690C8B" w:rsidRDefault="00690C8B" w:rsidP="00091F8C">
          <w:pPr>
            <w:pStyle w:val="Header"/>
            <w:spacing w:after="120"/>
          </w:pPr>
        </w:p>
      </w:tc>
      <w:tc>
        <w:tcPr>
          <w:tcW w:w="6523" w:type="dxa"/>
          <w:gridSpan w:val="3"/>
          <w:tcBorders>
            <w:bottom w:val="single" w:sz="4" w:space="0" w:color="auto"/>
          </w:tcBorders>
          <w:shd w:val="clear" w:color="auto" w:fill="auto"/>
          <w:vAlign w:val="bottom"/>
        </w:tcPr>
        <w:p w:rsidR="00690C8B" w:rsidRPr="00091F8C" w:rsidRDefault="00690C8B" w:rsidP="00091F8C">
          <w:pPr>
            <w:spacing w:after="80" w:line="240" w:lineRule="auto"/>
            <w:jc w:val="right"/>
            <w:rPr>
              <w:rFonts w:ascii="Times New Roman"/>
              <w:position w:val="-4"/>
            </w:rPr>
          </w:pPr>
          <w:r>
            <w:rPr>
              <w:rFonts w:ascii="Times New Roman"/>
              <w:position w:val="-4"/>
              <w:sz w:val="40"/>
            </w:rPr>
            <w:t>CEDAW</w:t>
          </w:r>
          <w:r>
            <w:rPr>
              <w:rFonts w:ascii="Times New Roman"/>
              <w:position w:val="-4"/>
            </w:rPr>
            <w:t>/C/SAU/CO/2</w:t>
          </w:r>
        </w:p>
      </w:tc>
    </w:tr>
    <w:tr w:rsidR="00690C8B" w:rsidRPr="00091F8C" w:rsidTr="00091F8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90C8B" w:rsidRDefault="00690C8B" w:rsidP="00091F8C">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90C8B" w:rsidRPr="00091F8C" w:rsidRDefault="00690C8B" w:rsidP="00091F8C">
          <w:pPr>
            <w:pStyle w:val="Header"/>
            <w:spacing w:before="109"/>
            <w:ind w:left="-72"/>
          </w:pPr>
        </w:p>
      </w:tc>
      <w:tc>
        <w:tcPr>
          <w:tcW w:w="5227" w:type="dxa"/>
          <w:gridSpan w:val="3"/>
          <w:tcBorders>
            <w:top w:val="single" w:sz="4" w:space="0" w:color="auto"/>
            <w:bottom w:val="single" w:sz="12" w:space="0" w:color="auto"/>
          </w:tcBorders>
          <w:shd w:val="clear" w:color="auto" w:fill="auto"/>
        </w:tcPr>
        <w:p w:rsidR="00690C8B" w:rsidRPr="00091F8C" w:rsidRDefault="00690C8B" w:rsidP="00091F8C">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690C8B" w:rsidRPr="00091F8C" w:rsidRDefault="00690C8B" w:rsidP="00091F8C">
          <w:pPr>
            <w:pStyle w:val="Header"/>
            <w:spacing w:before="109"/>
          </w:pPr>
        </w:p>
      </w:tc>
      <w:tc>
        <w:tcPr>
          <w:tcW w:w="3180" w:type="dxa"/>
          <w:gridSpan w:val="2"/>
          <w:tcBorders>
            <w:top w:val="single" w:sz="4" w:space="0" w:color="auto"/>
            <w:bottom w:val="single" w:sz="12" w:space="0" w:color="auto"/>
          </w:tcBorders>
          <w:shd w:val="clear" w:color="auto" w:fill="auto"/>
        </w:tcPr>
        <w:p w:rsidR="00690C8B" w:rsidRDefault="00690C8B" w:rsidP="00091F8C">
          <w:pPr>
            <w:spacing w:before="240" w:line="240" w:lineRule="exact"/>
            <w:rPr>
              <w:rFonts w:ascii="Times New Roman"/>
            </w:rPr>
          </w:pPr>
          <w:r>
            <w:rPr>
              <w:rFonts w:ascii="Times New Roman"/>
            </w:rPr>
            <w:t>Distr.: General</w:t>
          </w:r>
        </w:p>
        <w:p w:rsidR="00690C8B" w:rsidRDefault="00690C8B" w:rsidP="00091F8C">
          <w:pPr>
            <w:spacing w:line="240" w:lineRule="exact"/>
            <w:rPr>
              <w:rFonts w:ascii="Times New Roman"/>
            </w:rPr>
          </w:pPr>
          <w:r>
            <w:rPr>
              <w:rFonts w:ascii="Times New Roman"/>
            </w:rPr>
            <w:t>8 April 2008</w:t>
          </w:r>
        </w:p>
        <w:p w:rsidR="00690C8B" w:rsidRDefault="00690C8B" w:rsidP="00091F8C">
          <w:pPr>
            <w:spacing w:line="240" w:lineRule="exact"/>
            <w:rPr>
              <w:rFonts w:ascii="Times New Roman"/>
            </w:rPr>
          </w:pPr>
          <w:r>
            <w:rPr>
              <w:rFonts w:ascii="Times New Roman"/>
            </w:rPr>
            <w:t>Chinese</w:t>
          </w:r>
        </w:p>
        <w:p w:rsidR="00690C8B" w:rsidRPr="00091F8C" w:rsidRDefault="00690C8B" w:rsidP="00091F8C">
          <w:pPr>
            <w:spacing w:line="240" w:lineRule="exact"/>
            <w:rPr>
              <w:rFonts w:ascii="Times New Roman"/>
            </w:rPr>
          </w:pPr>
          <w:r>
            <w:rPr>
              <w:rFonts w:ascii="Times New Roman"/>
            </w:rPr>
            <w:t>Original: English</w:t>
          </w:r>
        </w:p>
      </w:tc>
    </w:tr>
  </w:tbl>
  <w:p w:rsidR="00690C8B" w:rsidRPr="00091F8C" w:rsidRDefault="00690C8B" w:rsidP="00091F8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9879*"/>
    <w:docVar w:name="CreationDt" w:val="30/04/2008 15:22:45"/>
    <w:docVar w:name="DocCategory" w:val="Doc"/>
    <w:docVar w:name="DocType" w:val="Final"/>
    <w:docVar w:name="FooterJN" w:val="08-29879"/>
    <w:docVar w:name="jobn" w:val="08-29879 (C)"/>
    <w:docVar w:name="jobnDT" w:val="08-29879 (C)   300408"/>
    <w:docVar w:name="jobnDTDT" w:val="08-29879 (C)   300408   300408"/>
    <w:docVar w:name="JobNo" w:val="0829879C"/>
    <w:docVar w:name="OandT" w:val="Zhang DY"/>
    <w:docVar w:name="sss1" w:val="CEDAW/C/SAU/CO/2"/>
    <w:docVar w:name="sss2" w:val="-"/>
    <w:docVar w:name="Symbol1" w:val="CEDAW/C/SAU/CO/2"/>
    <w:docVar w:name="Symbol2" w:val="-"/>
  </w:docVars>
  <w:rsids>
    <w:rsidRoot w:val="002127EC"/>
    <w:rsid w:val="000125BC"/>
    <w:rsid w:val="0001745B"/>
    <w:rsid w:val="00021A2B"/>
    <w:rsid w:val="00037B39"/>
    <w:rsid w:val="00044CA4"/>
    <w:rsid w:val="00045EFE"/>
    <w:rsid w:val="0007337D"/>
    <w:rsid w:val="000758DF"/>
    <w:rsid w:val="00076EB8"/>
    <w:rsid w:val="00091F8C"/>
    <w:rsid w:val="00095C67"/>
    <w:rsid w:val="000A31F9"/>
    <w:rsid w:val="000C1786"/>
    <w:rsid w:val="000E240F"/>
    <w:rsid w:val="000E49A4"/>
    <w:rsid w:val="000F1058"/>
    <w:rsid w:val="001113F8"/>
    <w:rsid w:val="001212F9"/>
    <w:rsid w:val="00121328"/>
    <w:rsid w:val="0012708E"/>
    <w:rsid w:val="00141322"/>
    <w:rsid w:val="0015066B"/>
    <w:rsid w:val="00150D3A"/>
    <w:rsid w:val="00153D29"/>
    <w:rsid w:val="00156A2D"/>
    <w:rsid w:val="00161E69"/>
    <w:rsid w:val="00161F54"/>
    <w:rsid w:val="00170FBE"/>
    <w:rsid w:val="0017506F"/>
    <w:rsid w:val="00191DD6"/>
    <w:rsid w:val="001B2814"/>
    <w:rsid w:val="001B4F95"/>
    <w:rsid w:val="001C3F7F"/>
    <w:rsid w:val="001C5166"/>
    <w:rsid w:val="001D0354"/>
    <w:rsid w:val="001D7886"/>
    <w:rsid w:val="001E20EC"/>
    <w:rsid w:val="001E4442"/>
    <w:rsid w:val="001E5A51"/>
    <w:rsid w:val="001F03A7"/>
    <w:rsid w:val="00207135"/>
    <w:rsid w:val="002127EC"/>
    <w:rsid w:val="00231575"/>
    <w:rsid w:val="00247382"/>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5503"/>
    <w:rsid w:val="002E66D5"/>
    <w:rsid w:val="002F41E2"/>
    <w:rsid w:val="00320C99"/>
    <w:rsid w:val="003274A9"/>
    <w:rsid w:val="00331221"/>
    <w:rsid w:val="003649EE"/>
    <w:rsid w:val="00371BC6"/>
    <w:rsid w:val="00373A15"/>
    <w:rsid w:val="00394A02"/>
    <w:rsid w:val="003C7B20"/>
    <w:rsid w:val="003E4565"/>
    <w:rsid w:val="003E748F"/>
    <w:rsid w:val="003E7612"/>
    <w:rsid w:val="00414423"/>
    <w:rsid w:val="004411AD"/>
    <w:rsid w:val="004424EF"/>
    <w:rsid w:val="00453BB0"/>
    <w:rsid w:val="00460162"/>
    <w:rsid w:val="004620A8"/>
    <w:rsid w:val="00487444"/>
    <w:rsid w:val="004A06D1"/>
    <w:rsid w:val="004A11FC"/>
    <w:rsid w:val="004C0224"/>
    <w:rsid w:val="004C3255"/>
    <w:rsid w:val="004D07E1"/>
    <w:rsid w:val="004D1C19"/>
    <w:rsid w:val="004F29B8"/>
    <w:rsid w:val="0050413E"/>
    <w:rsid w:val="00515657"/>
    <w:rsid w:val="00521275"/>
    <w:rsid w:val="0052216F"/>
    <w:rsid w:val="005232CA"/>
    <w:rsid w:val="00523636"/>
    <w:rsid w:val="005335B9"/>
    <w:rsid w:val="00536CCE"/>
    <w:rsid w:val="005541E4"/>
    <w:rsid w:val="0058302A"/>
    <w:rsid w:val="005B7338"/>
    <w:rsid w:val="005C02AB"/>
    <w:rsid w:val="005D0F04"/>
    <w:rsid w:val="005F12F0"/>
    <w:rsid w:val="005F3273"/>
    <w:rsid w:val="005F34A3"/>
    <w:rsid w:val="00610CF2"/>
    <w:rsid w:val="006328DE"/>
    <w:rsid w:val="006479F1"/>
    <w:rsid w:val="00650BEE"/>
    <w:rsid w:val="006520FA"/>
    <w:rsid w:val="0065377D"/>
    <w:rsid w:val="00666F57"/>
    <w:rsid w:val="006740A7"/>
    <w:rsid w:val="00690C8B"/>
    <w:rsid w:val="00691524"/>
    <w:rsid w:val="006A654B"/>
    <w:rsid w:val="006E2924"/>
    <w:rsid w:val="006E7A26"/>
    <w:rsid w:val="006F2B3D"/>
    <w:rsid w:val="007319E0"/>
    <w:rsid w:val="00737B00"/>
    <w:rsid w:val="0075155C"/>
    <w:rsid w:val="00753A05"/>
    <w:rsid w:val="00757193"/>
    <w:rsid w:val="00761190"/>
    <w:rsid w:val="00776537"/>
    <w:rsid w:val="00783A25"/>
    <w:rsid w:val="007877F4"/>
    <w:rsid w:val="007E1B5E"/>
    <w:rsid w:val="007E6253"/>
    <w:rsid w:val="007F2278"/>
    <w:rsid w:val="00805783"/>
    <w:rsid w:val="00806F57"/>
    <w:rsid w:val="00806F90"/>
    <w:rsid w:val="00824C19"/>
    <w:rsid w:val="00826250"/>
    <w:rsid w:val="008378D1"/>
    <w:rsid w:val="00846462"/>
    <w:rsid w:val="0086691F"/>
    <w:rsid w:val="00883DB0"/>
    <w:rsid w:val="00884C8F"/>
    <w:rsid w:val="00896D38"/>
    <w:rsid w:val="008C3296"/>
    <w:rsid w:val="008E2D03"/>
    <w:rsid w:val="008F2BB5"/>
    <w:rsid w:val="008F425D"/>
    <w:rsid w:val="008F5472"/>
    <w:rsid w:val="008F5D0F"/>
    <w:rsid w:val="00910C38"/>
    <w:rsid w:val="009122E0"/>
    <w:rsid w:val="00913351"/>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06AB1"/>
    <w:rsid w:val="00A14EB8"/>
    <w:rsid w:val="00A17A85"/>
    <w:rsid w:val="00A20856"/>
    <w:rsid w:val="00A22C97"/>
    <w:rsid w:val="00A24399"/>
    <w:rsid w:val="00A24CA5"/>
    <w:rsid w:val="00A33D6D"/>
    <w:rsid w:val="00A33EA8"/>
    <w:rsid w:val="00A37345"/>
    <w:rsid w:val="00A5206D"/>
    <w:rsid w:val="00A72E47"/>
    <w:rsid w:val="00A74A89"/>
    <w:rsid w:val="00A95404"/>
    <w:rsid w:val="00A968C5"/>
    <w:rsid w:val="00AA3C28"/>
    <w:rsid w:val="00AA759D"/>
    <w:rsid w:val="00AB2786"/>
    <w:rsid w:val="00AD4308"/>
    <w:rsid w:val="00AF2A33"/>
    <w:rsid w:val="00B309DD"/>
    <w:rsid w:val="00B36621"/>
    <w:rsid w:val="00B36D64"/>
    <w:rsid w:val="00B41B48"/>
    <w:rsid w:val="00B50316"/>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61690"/>
    <w:rsid w:val="00C76854"/>
    <w:rsid w:val="00CB2B1E"/>
    <w:rsid w:val="00CC3E8B"/>
    <w:rsid w:val="00CC4E84"/>
    <w:rsid w:val="00CD5641"/>
    <w:rsid w:val="00CE64AC"/>
    <w:rsid w:val="00CF3E5F"/>
    <w:rsid w:val="00CF7718"/>
    <w:rsid w:val="00D177F1"/>
    <w:rsid w:val="00D323B5"/>
    <w:rsid w:val="00D42ACC"/>
    <w:rsid w:val="00D51DC5"/>
    <w:rsid w:val="00D676D7"/>
    <w:rsid w:val="00D71517"/>
    <w:rsid w:val="00D7168D"/>
    <w:rsid w:val="00D874E1"/>
    <w:rsid w:val="00D9586D"/>
    <w:rsid w:val="00DB0932"/>
    <w:rsid w:val="00DC2506"/>
    <w:rsid w:val="00DC49FA"/>
    <w:rsid w:val="00DD3D6B"/>
    <w:rsid w:val="00DD4467"/>
    <w:rsid w:val="00DD61C8"/>
    <w:rsid w:val="00DD772B"/>
    <w:rsid w:val="00E050BA"/>
    <w:rsid w:val="00E25442"/>
    <w:rsid w:val="00E25A1F"/>
    <w:rsid w:val="00E37EEB"/>
    <w:rsid w:val="00E710FB"/>
    <w:rsid w:val="00E806D9"/>
    <w:rsid w:val="00E82CA2"/>
    <w:rsid w:val="00E94E5A"/>
    <w:rsid w:val="00E95594"/>
    <w:rsid w:val="00EA31C3"/>
    <w:rsid w:val="00EB33AC"/>
    <w:rsid w:val="00EC6F21"/>
    <w:rsid w:val="00EE0913"/>
    <w:rsid w:val="00F01440"/>
    <w:rsid w:val="00F12F13"/>
    <w:rsid w:val="00F13305"/>
    <w:rsid w:val="00F40463"/>
    <w:rsid w:val="00F50336"/>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38</TotalTime>
  <Pages>1</Pages>
  <Words>1062</Words>
  <Characters>6060</Characters>
  <Application>Microsoft Office Word</Application>
  <DocSecurity>4</DocSecurity>
  <Lines>50</Lines>
  <Paragraphs>14</Paragraphs>
  <ScaleCrop>false</ScaleCrop>
  <Company>United Nations</Company>
  <LinksUpToDate>false</LinksUpToDate>
  <CharactersWithSpaces>7108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Daoyi.Zhang</dc:creator>
  <cp:keywords/>
  <dc:description/>
  <cp:lastModifiedBy>Daoyi.Zhang</cp:lastModifiedBy>
  <cp:revision>19</cp:revision>
  <cp:lastPrinted>2008-05-01T08:54:00Z</cp:lastPrinted>
  <dcterms:created xsi:type="dcterms:W3CDTF">2008-04-30T14:21:00Z</dcterms:created>
  <dcterms:modified xsi:type="dcterms:W3CDTF">2008-05-01T08:56:00Z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0829879</vt:lpwstr>
  </property>
  <property fmtid="{D5CDD505-2E9C-101B-9397-08002B2CF9AE}" pid="3" name="Symbol1">
    <vt:lpwstr>CEDAW/C/SAU/CO/2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Zhang DY</vt:lpwstr>
  </property>
</Properties>
</file>