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769" w:rsidRDefault="00D52769" w:rsidP="00D52769">
      <w:pPr>
        <w:spacing w:line="60" w:lineRule="exact"/>
        <w:sectPr w:rsidR="00D52769" w:rsidSect="00D5276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4-5 Size =1Lang = C"/>
            <w10:wrap anchorx="page" anchory="page"/>
          </v:shape>
        </w:pict>
      </w:r>
      <w:commentRangeEnd w:id="0"/>
      <w:r>
        <w:rPr>
          <w:rStyle w:val="CommentReference"/>
        </w:rPr>
        <w:commentReference w:id="0"/>
      </w:r>
    </w:p>
    <w:p w:rsidR="00D52769" w:rsidRDefault="00D52769" w:rsidP="00D52769">
      <w:pPr>
        <w:spacing w:line="60" w:lineRule="exact"/>
        <w:rPr>
          <w:rFonts w:hint="eastAsia"/>
        </w:rPr>
      </w:pPr>
    </w:p>
    <w:p w:rsidR="00127570" w:rsidRPr="00127570" w:rsidRDefault="00127570" w:rsidP="0012757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127570">
        <w:rPr>
          <w:rFonts w:hint="eastAsia"/>
        </w:rPr>
        <w:t>消除对妇女歧视委员会</w:t>
      </w:r>
    </w:p>
    <w:p w:rsidR="00127570" w:rsidRPr="00127570" w:rsidRDefault="00127570" w:rsidP="0012757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ascii="SimHei" w:eastAsia="SimHei" w:hint="eastAsia"/>
        </w:rPr>
      </w:pPr>
      <w:r w:rsidRPr="00127570">
        <w:rPr>
          <w:rFonts w:ascii="SimHei" w:eastAsia="SimHei" w:hint="eastAsia"/>
        </w:rPr>
        <w:t>第五十五届会议</w:t>
      </w:r>
    </w:p>
    <w:p w:rsidR="00127570" w:rsidRDefault="00127570" w:rsidP="00127570">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27570">
        <w:rPr>
          <w:rFonts w:hint="eastAsia"/>
        </w:rPr>
        <w:t>2013</w:t>
      </w:r>
      <w:r>
        <w:rPr>
          <w:rFonts w:hint="eastAsia"/>
        </w:rPr>
        <w:t>年7月8日至26日</w:t>
      </w:r>
    </w:p>
    <w:p w:rsidR="00127570" w:rsidRPr="00127570" w:rsidRDefault="00127570" w:rsidP="00127570">
      <w:pPr>
        <w:pStyle w:val="SingleTxt"/>
        <w:spacing w:after="0" w:line="120" w:lineRule="exact"/>
        <w:rPr>
          <w:rFonts w:hint="eastAsia"/>
          <w:sz w:val="10"/>
        </w:rPr>
      </w:pPr>
    </w:p>
    <w:p w:rsidR="00127570" w:rsidRPr="00127570" w:rsidRDefault="00127570" w:rsidP="00127570">
      <w:pPr>
        <w:pStyle w:val="SingleTxt"/>
        <w:spacing w:after="0" w:line="120" w:lineRule="exact"/>
        <w:rPr>
          <w:rFonts w:hint="eastAsia"/>
          <w:sz w:val="10"/>
        </w:rPr>
      </w:pPr>
    </w:p>
    <w:p w:rsidR="00127570" w:rsidRDefault="00127570" w:rsidP="0012757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127570" w:rsidRPr="00127570" w:rsidRDefault="00127570" w:rsidP="0012757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27570" w:rsidRPr="00127570" w:rsidRDefault="00127570" w:rsidP="0012757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27570" w:rsidRDefault="00127570" w:rsidP="0012757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波斯尼亚和黑塞哥维那</w:t>
      </w:r>
    </w:p>
    <w:p w:rsidR="00127570" w:rsidRPr="00127570" w:rsidRDefault="00127570" w:rsidP="00127570">
      <w:pPr>
        <w:pStyle w:val="SingleTxt"/>
        <w:spacing w:after="0" w:line="120" w:lineRule="exact"/>
        <w:rPr>
          <w:rFonts w:hint="eastAsia"/>
          <w:sz w:val="10"/>
        </w:rPr>
      </w:pP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tab/>
      </w:r>
      <w:r>
        <w:rPr>
          <w:rFonts w:hint="eastAsia"/>
        </w:rPr>
        <w:t>会前工作组审议了波斯尼亚和黑塞哥维那第四次和第五次合并定期报告 (CEDAW/C/BIH/4-5)。</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一般性问题</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1.</w:t>
      </w:r>
      <w:r>
        <w:rPr>
          <w:rFonts w:hint="eastAsia"/>
        </w:rPr>
        <w:tab/>
        <w:t xml:space="preserve">请提供资料，说明报告的编写和通过过程，以及与非政府组织和其他主要利益攸关方进行相关协商的程度。 </w:t>
      </w:r>
    </w:p>
    <w:p w:rsidR="00127570" w:rsidRDefault="00127570" w:rsidP="00127570">
      <w:pPr>
        <w:pStyle w:val="SingleTxt"/>
        <w:rPr>
          <w:rFonts w:hint="eastAsia"/>
        </w:rPr>
      </w:pPr>
      <w:r>
        <w:rPr>
          <w:rFonts w:hint="eastAsia"/>
        </w:rPr>
        <w:t>2.</w:t>
      </w:r>
      <w:r>
        <w:rPr>
          <w:rFonts w:hint="eastAsia"/>
        </w:rPr>
        <w:tab/>
        <w:t>报告载有与《公约》涵盖的所有领域相关的按照性别分列的有限数据。请提供资料，说明缔约国的数据收集和分析工作的总体情况，并说明根据性别、年龄、城市和农村地区以及其他相关要素开展这种数据收集的程度。请说明缔约国准备如何按照其《两性平等法》第22条的要求来改进与《公约》涵盖领域有关的按性别分列的数据收集工作，以及何时将开展人口普查(第26段)。</w:t>
      </w:r>
      <w:r>
        <w:rPr>
          <w:rStyle w:val="FootnoteReference"/>
        </w:rPr>
        <w:footnoteReference w:id="1"/>
      </w:r>
      <w:r>
        <w:rPr>
          <w:rFonts w:hint="eastAsia"/>
        </w:rPr>
        <w:t xml:space="preserve"> </w:t>
      </w:r>
    </w:p>
    <w:p w:rsidR="00127570" w:rsidRDefault="00127570" w:rsidP="00127570">
      <w:pPr>
        <w:pStyle w:val="SingleTxt"/>
        <w:rPr>
          <w:rFonts w:hint="eastAsia"/>
        </w:rPr>
      </w:pPr>
      <w:r>
        <w:rPr>
          <w:rFonts w:hint="eastAsia"/>
        </w:rPr>
        <w:t>3.</w:t>
      </w:r>
      <w:r>
        <w:rPr>
          <w:rFonts w:hint="eastAsia"/>
        </w:rPr>
        <w:tab/>
        <w:t>鉴于《公约》直接适用于缔约国，请提供资料，说明国内法院曾经援引或提到《公约》的案件，以及这些案件的结果。还请提供资料，说明自从《禁止歧视法》生效以来，被提交到波斯尼亚和黑塞哥维那国内法院和人权监察员机构的对歧视妇女的投诉数量，以及这些案件援引的理由和处理结果(第46段)。</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冲突后局势中的妇女</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4.</w:t>
      </w:r>
      <w:r>
        <w:rPr>
          <w:rFonts w:hint="eastAsia"/>
        </w:rPr>
        <w:tab/>
        <w:t>请说明，根据禁止酷刑委员会结论意见的建议(CAT/C/BIH/CO/2-5，第9段)，缔约国采取了什么步骤来修正作为战争罪和危害人类罪的强奸及其他形式的性暴力的定义，使其符合国际判例法。请提供最新资料，说明《处理战争罪的国家战略》的执行情况，对妇女犯下的战争罪行的起诉情况(特别是性暴力)，以及对受害者和证人采取的保护措施。请说明是否建立了任何评估机制，对2010年7月通过的旨在执行安全理事会第1325(2000)号决议的行动计划进行评估，并衡量其影响。请介绍迄今为止在执行过程中采取的具体行动，尤其是为确保妇女全面参与政治进程以及向战争中的女性受害者提供援助和赔偿采取的措施。请提供资料，说明《全国过渡时期司法战略》的状况(第303段)，并提供最新资料，说明为强迫或非自愿失踪的女性受害者制订的赔偿方案。</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宪法和立法框架</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5.</w:t>
      </w:r>
      <w:r>
        <w:rPr>
          <w:rFonts w:hint="eastAsia"/>
        </w:rPr>
        <w:tab/>
        <w:t>请提供资料，说明按照委员会此前结论意见的建议(CEDAW/C/BIH/CO/3，第16段)推动法律统一化进程，使所有国家和实体法律以及其他相关条例符合《两性平等法》条款的工作状况。请说明两性平等机构为了能够在波黑部长会议通过法律文件前提出意见而提交的《波黑部长会议议事规则拟议修正案》的现状(第17段)。尽管报告仅表示塞尔维亚共和国通过了《免费法律援助法》(第43段)，委员会收到的资料提及2012年4月波黑部长会议收到了一份关于法律援助的法律草案。请提供资料，说明该法律草案的状况，并详细介绍其内容以及通过该法律的时间表。</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提高妇女地位的国家机制</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6.</w:t>
      </w:r>
      <w:r>
        <w:rPr>
          <w:rFonts w:hint="eastAsia"/>
        </w:rPr>
        <w:tab/>
        <w:t>请提供资料，说明作为负责提高妇女地位的中央机关，两性平等机构和各实体的两性问题中心的人力和财政资源状况。请介绍为了在两性平等机构、各部委和部长会议之间加强协调采取的措施。还请说明为了确保在两性平等机构、两性问题中心以及国家、实体、州和市级立法机构内设立的两性平等委员会之间继续开展协调所采取的措施。还请提供资料，说明在执行《波斯尼亚和黑塞哥维那两性平等行动计划》方面迄今为止的主要成绩和挑战。</w:t>
      </w:r>
    </w:p>
    <w:p w:rsidR="00127570" w:rsidRDefault="00127570" w:rsidP="00127570">
      <w:pPr>
        <w:pStyle w:val="SingleTxt"/>
        <w:rPr>
          <w:rFonts w:hint="eastAsia"/>
        </w:rPr>
      </w:pPr>
      <w:r>
        <w:rPr>
          <w:rFonts w:hint="eastAsia"/>
        </w:rPr>
        <w:t>7.</w:t>
      </w:r>
      <w:r>
        <w:rPr>
          <w:rFonts w:hint="eastAsia"/>
        </w:rPr>
        <w:tab/>
        <w:t>此外，鉴于《两性平等法》第26条的授权包括对违反该法的指控展开调查，请提供资料，说明两性平等机构收到的投诉数量，开展调查的数量及调查结果。</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临时特别措施</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8.</w:t>
      </w:r>
      <w:r>
        <w:rPr>
          <w:rFonts w:hint="eastAsia"/>
        </w:rPr>
        <w:tab/>
        <w:t>鉴于缔约国的综合法律框架规定可通过和执行临时特别措施(第51段到53段)，即《两性平等法》第8条和第24条，以及《禁止歧视法》第5条的规定。请说明缔约国是否为加速实现男女的实质平等采取了这样的措施，并提供这方面的范例。</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陈规定型观念</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9.</w:t>
      </w:r>
      <w:r>
        <w:rPr>
          <w:rFonts w:hint="eastAsia"/>
        </w:rPr>
        <w:tab/>
        <w:t>请说明缔约国根据“协调职业和家庭生活”研究的结果(第391段)，采取了哪些措施以鼓励男女在家庭中平等地分担家庭责任，并消除关于男女角色和责任的传统陈规定型观念。请说明缔约国是否设想在此领域采取一项适用于缔约国境内各地的综合战略。</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暴力侵害妇女行为</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10.</w:t>
      </w:r>
      <w:r>
        <w:rPr>
          <w:rFonts w:hint="eastAsia"/>
        </w:rPr>
        <w:tab/>
        <w:t>注意到关于家庭暴力的实体法律修正案得到通过，请澄清这些修正案的内容并说明缔约国为了统一所有关于家庭暴力的刑事和民事法规采取的立法行动。请告知委员会对《2009</w:t>
      </w:r>
      <w:r w:rsidR="002B108D">
        <w:rPr>
          <w:rFonts w:hint="eastAsia"/>
        </w:rPr>
        <w:t>-</w:t>
      </w:r>
      <w:r>
        <w:rPr>
          <w:rFonts w:hint="eastAsia"/>
        </w:rPr>
        <w:t>2011年波斯尼亚和黑塞哥维那防止和打击家庭暴力国家战略》执行情况的评估结果，并介绍在建立家庭暴力统计数据的统一收集方法上取得的进展(第72段)。</w:t>
      </w:r>
    </w:p>
    <w:p w:rsidR="00127570" w:rsidRDefault="00127570" w:rsidP="00127570">
      <w:pPr>
        <w:pStyle w:val="SingleTxt"/>
        <w:rPr>
          <w:rFonts w:hint="eastAsia"/>
        </w:rPr>
      </w:pPr>
      <w:r>
        <w:rPr>
          <w:rFonts w:hint="eastAsia"/>
        </w:rPr>
        <w:t>11.</w:t>
      </w:r>
      <w:r>
        <w:rPr>
          <w:rFonts w:hint="eastAsia"/>
        </w:rPr>
        <w:tab/>
        <w:t>请告知委员会对暴力侵害妇女行为普遍性的研究情况(第79段)。请提供报告所述期间的统计数据，说明各种形式的暴力侵害妇女行为的投诉和相关的调查、起诉和刑事制裁情况，以及对受害者提供的任何赔偿。请提供最新资料，说明司法和检察培训中心开展的活动和方案。</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贩运妇女和利用妇女卖淫营利</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12.</w:t>
      </w:r>
      <w:r>
        <w:rPr>
          <w:rFonts w:hint="eastAsia"/>
        </w:rPr>
        <w:tab/>
        <w:t>请说明缔约国为了将两个实体以及布尔奇科地区的刑法典与《全国刑法典》经过修正的条款，包括第186条对贩运人口的新定义(第118段和119段)，进行统一所采取的步骤。请提供国家和实体层面的数据，说明2009年以来确定的贩运妇女的受害者人数，开展调查和起诉的数量，以及对犯罪人的判决情况。请提供统计数据(如有)，说明特别是城市地区在利用妇女卖淫营利中沦为受害者的妇女和少女的人数，包括罗姆族受害者的人数。请说明为贩运妇女和利用妇女卖淫营利的受害者提供援助和保护的庇护设施的数量。还请告知委员会为解决贩运妇女和妇女卖淫的主要根源所采取的措施(第133段)。</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参与政治和公共生活以及决策</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13.</w:t>
      </w:r>
      <w:r>
        <w:rPr>
          <w:rFonts w:hint="eastAsia"/>
        </w:rPr>
        <w:tab/>
        <w:t>报告表示，根据《两性平等法》的要求对《选举法》进行修正的提案遭到否决(第151段)，而2009年开展的研究表明，现行的公开候选人名单，以及这些名单的配额机制对提高妇女在政治和公共生活中的代表权并不尽如人意(第162段)。鉴于2014年将举行大选，请说明缔约国是否设想为执行《两性平等法》第20条而采取必要的临时特别措施，从而实现男女之间的实质平等。请提供最新资料，说明决策职位和国际服务机构中妇女的人数，最近市政选举中女性候选人的人数，以及当选为市政参事和市长的妇女人数。</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r>
      <w:r>
        <w:rPr>
          <w:rFonts w:hint="eastAsia"/>
        </w:rPr>
        <w:tab/>
        <w:t>教育</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14.</w:t>
      </w:r>
      <w:r>
        <w:rPr>
          <w:rFonts w:hint="eastAsia"/>
        </w:rPr>
        <w:tab/>
        <w:t>报告提及为促进课本和教学实践与两性平等原则相统一而开展的分析(第195段)，请说明是否已经从教学材料和实践中删除了关于男女角色的陈规定型观念的内容。请说明是否为了消除教育体系中对女孩的基于种族的歧视而对改革现有的单族裔学校系统作出了努力。报告表示，由于缺乏实施或监测机制，2004年通过的《罗姆人和其他少数族裔教育需求行动计划》在实践中影响有限(第203段)。请说明发现此问题后为了更广泛地将罗姆族女孩纳入教育进程中采取的措施。还请提供详细数据，说明罗姆族女孩在初等和中等教育中的入学率和辍学率，以及罗姆族妇女和女孩接受高等教育的情况。</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就业</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15.</w:t>
      </w:r>
      <w:r>
        <w:rPr>
          <w:rFonts w:hint="eastAsia"/>
        </w:rPr>
        <w:tab/>
        <w:t>请告知委员会，波黑各实体和布尔奇科地区根据国际劳工组织的标准将同工同酬原则纳入立法的情况，以及缔约国通过新的《波斯尼亚和黑塞哥维那联邦劳动法》的进展(第237段)。请提供资料，说明为缩小缔约国的两性薪资差距，解决职业上的隔离采取的步骤。关于报告的第239段，请介绍为了加强现有的监管和检查框架，包括整顿非正规劳动市场，以确保家庭工人和在贸易及农业部门工作的妇女得到充分保护采取的措施。</w:t>
      </w:r>
    </w:p>
    <w:p w:rsidR="00127570" w:rsidRDefault="00127570" w:rsidP="00127570">
      <w:pPr>
        <w:pStyle w:val="SingleTxt"/>
        <w:rPr>
          <w:rFonts w:hint="eastAsia"/>
        </w:rPr>
      </w:pPr>
      <w:r>
        <w:rPr>
          <w:rFonts w:hint="eastAsia"/>
        </w:rPr>
        <w:t>16.</w:t>
      </w:r>
      <w:r>
        <w:rPr>
          <w:rFonts w:hint="eastAsia"/>
        </w:rPr>
        <w:tab/>
        <w:t>请提供最新资料，说明两性平等机构为了确保缔约国为所有居住地的妇女平等提供产假福利而拟议的《波斯尼亚和黑塞哥维那机构薪金和津贴法》修正案的状况，特别是宪法法院于2010年9月就此作出判决后的进展。</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健康</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17.</w:t>
      </w:r>
      <w:r>
        <w:rPr>
          <w:rFonts w:hint="eastAsia"/>
        </w:rPr>
        <w:tab/>
        <w:t>请说明，考虑到城市和农村地区的差异，缔约国为确保妇女能够平等获得医疗保健服务采取的步骤(第329段)。还请告知委员会波斯尼亚和黑塞哥维那联邦性和生殖健康战略的起草工作状况(第314段)，并说明是否打算在塞尔维亚共和国及布尔奇科地区制订这样的战略。注意到生殖和性健康及权利的统一立法得以通过，请提供资料，说明在这方面开展的提高认识运动，以及现代避孕方法和计划生育服务的可供性和可获性。请说明缔约国是否设想在学校课程中列入生殖和性健康及权利的教育。</w:t>
      </w:r>
    </w:p>
    <w:p w:rsidR="00127570" w:rsidRDefault="00127570" w:rsidP="001275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妇女弱势群体</w:t>
      </w:r>
    </w:p>
    <w:p w:rsidR="00127570" w:rsidRPr="00127570" w:rsidRDefault="00127570" w:rsidP="00127570">
      <w:pPr>
        <w:pStyle w:val="SingleTxt"/>
        <w:spacing w:after="0" w:line="120" w:lineRule="exact"/>
        <w:rPr>
          <w:rFonts w:hint="eastAsia"/>
          <w:sz w:val="10"/>
        </w:rPr>
      </w:pPr>
    </w:p>
    <w:p w:rsidR="00127570" w:rsidRDefault="00127570" w:rsidP="00127570">
      <w:pPr>
        <w:pStyle w:val="SingleTxt"/>
        <w:rPr>
          <w:rFonts w:hint="eastAsia"/>
        </w:rPr>
      </w:pPr>
      <w:r>
        <w:rPr>
          <w:rFonts w:hint="eastAsia"/>
        </w:rPr>
        <w:t>18.</w:t>
      </w:r>
      <w:r>
        <w:rPr>
          <w:rFonts w:hint="eastAsia"/>
        </w:rPr>
        <w:tab/>
        <w:t>报告表示，缔约国一半以上的家庭(58.5%)在农村地区(第382段)，农村地区的妇女更易面临贫穷和经济困难(第366段)。请提供资料，说明缔约国为增强特别是女性户主的农村妇女的经济权能，帮助她们获取土地和信贷所开展的方案。在此方面，还请提供资料，说明为执行《提高塞尔维亚共和国农村妇女地位行动计划》(2009年至2015年)以及波斯尼亚和黑塞哥维那联邦通过的《农村发展基本战略》采取的具体步骤。</w:t>
      </w:r>
    </w:p>
    <w:p w:rsidR="00127570" w:rsidRDefault="00127570" w:rsidP="00127570">
      <w:pPr>
        <w:pStyle w:val="SingleTxt"/>
        <w:rPr>
          <w:rFonts w:hint="eastAsia"/>
        </w:rPr>
      </w:pPr>
      <w:r>
        <w:rPr>
          <w:rFonts w:hint="eastAsia"/>
        </w:rPr>
        <w:t>19.</w:t>
      </w:r>
      <w:r>
        <w:rPr>
          <w:rFonts w:hint="eastAsia"/>
        </w:rPr>
        <w:tab/>
        <w:t>报告表示，女性回归者以及国内流离失所妇女在确保可持续返回家园方面面临诸多障碍(第351段到354段)。请提供资料，说明缔约国为促进女性回归者和国内流离失所妇女实现持久的社会经济融入采取的措施，包括提供适当住房。</w:t>
      </w:r>
    </w:p>
    <w:p w:rsidR="00127570" w:rsidRDefault="00127570" w:rsidP="00127570">
      <w:pPr>
        <w:pStyle w:val="SingleTxt"/>
        <w:rPr>
          <w:rFonts w:hint="eastAsia"/>
        </w:rPr>
      </w:pPr>
      <w:r>
        <w:rPr>
          <w:rFonts w:hint="eastAsia"/>
        </w:rPr>
        <w:t>20.</w:t>
      </w:r>
      <w:r>
        <w:rPr>
          <w:rFonts w:hint="eastAsia"/>
        </w:rPr>
        <w:tab/>
        <w:t>报告表示，尽管罗姆族是缔约国最大的少数族裔，约90%的罗姆族妇女仍享受不到医疗保健、社会福利或就业机会(第346段和第347段)。请提供详细资料，说明在2008年通过了实施“罗姆人融入社会的十年”的行动计划后(第346段)，为消除特别是教育、就业和健康领域对罗姆族妇女和女孩的各种形式的歧视，以及防止早婚并确保新生儿获得出生登记所采取的措施，包括临时特别措施。</w:t>
      </w:r>
    </w:p>
    <w:p w:rsidR="00EA31C3" w:rsidRPr="002B108D" w:rsidRDefault="002B108D" w:rsidP="002B108D">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weight=".25pt"/>
        </w:pict>
      </w:r>
    </w:p>
    <w:sectPr w:rsidR="00EA31C3" w:rsidRPr="002B108D" w:rsidSect="00D52769">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5T12:09:00Z" w:initials="Start">
    <w:p w:rsidR="002B108D" w:rsidRDefault="002B108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NO&gt;&gt;N1257208C&lt;&lt;ODS JOB NO&gt;&gt;</w:t>
      </w:r>
    </w:p>
    <w:p w:rsidR="002B108D" w:rsidRDefault="002B108D">
      <w:pPr>
        <w:pStyle w:val="CommentText"/>
      </w:pPr>
      <w:r>
        <w:t>&lt;&lt;ODS DOC SYMBOL1&gt;&gt;CEDAW/C/BIH/Q/4-5&lt;&lt;ODS DOC SYMBOL1&gt;&gt;</w:t>
      </w:r>
    </w:p>
    <w:p w:rsidR="002B108D" w:rsidRDefault="002B108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4CDC" w:rsidRDefault="00434CDC">
      <w:r>
        <w:separator/>
      </w:r>
    </w:p>
  </w:endnote>
  <w:endnote w:type="continuationSeparator" w:id="0">
    <w:p w:rsidR="00434CDC" w:rsidRDefault="00434C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B108D" w:rsidTr="00D52769">
      <w:tblPrEx>
        <w:tblCellMar>
          <w:top w:w="0" w:type="dxa"/>
          <w:bottom w:w="0" w:type="dxa"/>
        </w:tblCellMar>
      </w:tblPrEx>
      <w:tc>
        <w:tcPr>
          <w:tcW w:w="5033" w:type="dxa"/>
          <w:shd w:val="clear" w:color="auto" w:fill="auto"/>
        </w:tcPr>
        <w:p w:rsidR="002B108D" w:rsidRPr="00D52769" w:rsidRDefault="002B108D" w:rsidP="00D52769">
          <w:pPr>
            <w:pStyle w:val="Footer"/>
            <w:jc w:val="right"/>
            <w:rPr>
              <w:b w:val="0"/>
              <w:w w:val="103"/>
              <w:sz w:val="14"/>
            </w:rPr>
          </w:pPr>
          <w:fldSimple w:instr=" DOCVARIABLE &quot;FooterJN&quot; \* MERGEFORMAT ">
            <w:r>
              <w:rPr>
                <w:b w:val="0"/>
                <w:w w:val="103"/>
                <w:sz w:val="14"/>
              </w:rPr>
              <w:t>12-57208 (C)</w:t>
            </w:r>
          </w:fldSimple>
        </w:p>
      </w:tc>
      <w:tc>
        <w:tcPr>
          <w:tcW w:w="5033" w:type="dxa"/>
          <w:shd w:val="clear" w:color="auto" w:fill="auto"/>
        </w:tcPr>
        <w:p w:rsidR="002B108D" w:rsidRPr="00D52769" w:rsidRDefault="002B108D" w:rsidP="00D52769">
          <w:pPr>
            <w:pStyle w:val="Footer"/>
            <w:jc w:val="left"/>
            <w:rPr>
              <w:w w:val="103"/>
            </w:rPr>
          </w:pPr>
          <w:r>
            <w:rPr>
              <w:w w:val="103"/>
            </w:rPr>
            <w:fldChar w:fldCharType="begin"/>
          </w:r>
          <w:r>
            <w:rPr>
              <w:w w:val="103"/>
            </w:rPr>
            <w:instrText xml:space="preserve"> PAGE  \* MERGEFORMAT </w:instrText>
          </w:r>
          <w:r>
            <w:rPr>
              <w:w w:val="103"/>
            </w:rPr>
            <w:fldChar w:fldCharType="separate"/>
          </w:r>
          <w:r w:rsidR="006A3459">
            <w:rPr>
              <w:w w:val="103"/>
            </w:rPr>
            <w:t>4</w:t>
          </w:r>
          <w:r>
            <w:rPr>
              <w:w w:val="103"/>
            </w:rPr>
            <w:fldChar w:fldCharType="end"/>
          </w:r>
        </w:p>
      </w:tc>
    </w:tr>
  </w:tbl>
  <w:p w:rsidR="002B108D" w:rsidRPr="00D52769" w:rsidRDefault="002B108D" w:rsidP="00D527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B108D" w:rsidTr="00D52769">
      <w:tblPrEx>
        <w:tblCellMar>
          <w:top w:w="0" w:type="dxa"/>
          <w:bottom w:w="0" w:type="dxa"/>
        </w:tblCellMar>
      </w:tblPrEx>
      <w:tc>
        <w:tcPr>
          <w:tcW w:w="5033" w:type="dxa"/>
          <w:shd w:val="clear" w:color="auto" w:fill="auto"/>
        </w:tcPr>
        <w:p w:rsidR="002B108D" w:rsidRPr="00D52769" w:rsidRDefault="002B108D" w:rsidP="00D52769">
          <w:pPr>
            <w:pStyle w:val="Footer"/>
            <w:jc w:val="right"/>
          </w:pPr>
          <w:fldSimple w:instr=" PAGE  \* MERGEFORMAT ">
            <w:r w:rsidR="006A3459">
              <w:t>5</w:t>
            </w:r>
          </w:fldSimple>
        </w:p>
      </w:tc>
      <w:tc>
        <w:tcPr>
          <w:tcW w:w="5033" w:type="dxa"/>
          <w:shd w:val="clear" w:color="auto" w:fill="auto"/>
        </w:tcPr>
        <w:p w:rsidR="002B108D" w:rsidRPr="00D52769" w:rsidRDefault="002B108D" w:rsidP="00D52769">
          <w:pPr>
            <w:pStyle w:val="Footer"/>
            <w:jc w:val="left"/>
            <w:rPr>
              <w:b w:val="0"/>
              <w:w w:val="103"/>
              <w:sz w:val="14"/>
            </w:rPr>
          </w:pPr>
          <w:fldSimple w:instr=" DOCVARIABLE &quot;FooterJN&quot; \* MERGEFORMAT ">
            <w:r>
              <w:rPr>
                <w:b w:val="0"/>
                <w:w w:val="103"/>
                <w:sz w:val="14"/>
              </w:rPr>
              <w:t>12-57208 (C)</w:t>
            </w:r>
          </w:fldSimple>
        </w:p>
      </w:tc>
    </w:tr>
  </w:tbl>
  <w:p w:rsidR="002B108D" w:rsidRPr="00D52769" w:rsidRDefault="002B108D" w:rsidP="00D5276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2B108D" w:rsidTr="00D52769">
      <w:tblPrEx>
        <w:tblCellMar>
          <w:top w:w="0" w:type="dxa"/>
          <w:bottom w:w="0" w:type="dxa"/>
        </w:tblCellMar>
      </w:tblPrEx>
      <w:tc>
        <w:tcPr>
          <w:tcW w:w="5033" w:type="dxa"/>
        </w:tcPr>
        <w:p w:rsidR="002B108D" w:rsidRDefault="002B108D" w:rsidP="00D52769">
          <w:pPr>
            <w:pStyle w:val="Footer"/>
            <w:rPr>
              <w:b w:val="0"/>
              <w:sz w:val="21"/>
            </w:rPr>
          </w:pPr>
          <w:fldSimple w:instr=" DOCVARIABLE &quot;jobn&quot; \* MERGEFORMAT ">
            <w:r>
              <w:rPr>
                <w:b w:val="0"/>
                <w:sz w:val="21"/>
              </w:rPr>
              <w:t>12-57208 (C)</w:t>
            </w:r>
          </w:fldSimple>
          <w:r>
            <w:rPr>
              <w:b w:val="0"/>
              <w:sz w:val="21"/>
            </w:rPr>
            <w:t xml:space="preserve">    151112    </w:t>
          </w:r>
          <w:r>
            <w:rPr>
              <w:rFonts w:hint="eastAsia"/>
              <w:b w:val="0"/>
              <w:sz w:val="21"/>
            </w:rPr>
            <w:t>21</w:t>
          </w:r>
          <w:r>
            <w:rPr>
              <w:b w:val="0"/>
              <w:sz w:val="21"/>
            </w:rPr>
            <w:t>1112</w:t>
          </w:r>
        </w:p>
        <w:p w:rsidR="002B108D" w:rsidRPr="00D52769" w:rsidRDefault="002B108D" w:rsidP="00D52769">
          <w:pPr>
            <w:spacing w:before="80" w:line="210" w:lineRule="exact"/>
            <w:rPr>
              <w:rFonts w:ascii="Barcode 3 of 9 by request" w:hAnsi="Barcode 3 of 9 by request"/>
              <w:sz w:val="24"/>
            </w:rPr>
          </w:pPr>
          <w:r>
            <w:rPr>
              <w:rFonts w:ascii="Barcode 3 of 9 by request" w:hAnsi="Barcode 3 of 9 by request"/>
              <w:sz w:val="24"/>
            </w:rPr>
            <w:t>*1257208C*</w:t>
          </w:r>
        </w:p>
      </w:tc>
      <w:tc>
        <w:tcPr>
          <w:tcW w:w="3686" w:type="dxa"/>
        </w:tcPr>
        <w:p w:rsidR="002B108D" w:rsidRDefault="002B108D" w:rsidP="00D52769">
          <w:pPr>
            <w:pStyle w:val="Footer"/>
            <w:jc w:val="right"/>
            <w:rPr>
              <w:b w:val="0"/>
              <w:sz w:val="21"/>
            </w:rPr>
          </w:pPr>
          <w:r w:rsidRPr="00D52769">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2B108D" w:rsidRPr="00D52769" w:rsidRDefault="002B108D" w:rsidP="00D52769">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4CDC" w:rsidRPr="00127570" w:rsidRDefault="00434CDC" w:rsidP="00127570">
      <w:pPr>
        <w:pStyle w:val="Footer"/>
        <w:spacing w:after="80"/>
        <w:ind w:left="792"/>
        <w:rPr>
          <w:sz w:val="16"/>
        </w:rPr>
      </w:pPr>
      <w:r w:rsidRPr="00127570">
        <w:rPr>
          <w:sz w:val="16"/>
        </w:rPr>
        <w:t>__________________</w:t>
      </w:r>
    </w:p>
  </w:footnote>
  <w:footnote w:type="continuationSeparator" w:id="0">
    <w:p w:rsidR="00434CDC" w:rsidRPr="00127570" w:rsidRDefault="00434CDC" w:rsidP="00127570">
      <w:pPr>
        <w:pStyle w:val="Footer"/>
        <w:spacing w:after="80"/>
        <w:ind w:left="792"/>
        <w:rPr>
          <w:sz w:val="16"/>
        </w:rPr>
      </w:pPr>
      <w:r w:rsidRPr="00127570">
        <w:rPr>
          <w:sz w:val="16"/>
        </w:rPr>
        <w:t>__________________</w:t>
      </w:r>
    </w:p>
  </w:footnote>
  <w:footnote w:id="1">
    <w:p w:rsidR="002B108D" w:rsidRPr="00127570" w:rsidRDefault="002B108D" w:rsidP="0012757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27570">
        <w:rPr>
          <w:rFonts w:hint="eastAsia"/>
        </w:rPr>
        <w:t>除非另有说明，段号均为缔约国第四次和第五次合并定期报告(CEDAW/C/BIH/4-5)中的段号。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B108D" w:rsidTr="00D52769">
      <w:tblPrEx>
        <w:tblCellMar>
          <w:top w:w="0" w:type="dxa"/>
          <w:bottom w:w="0" w:type="dxa"/>
        </w:tblCellMar>
      </w:tblPrEx>
      <w:trPr>
        <w:trHeight w:hRule="exact" w:val="864"/>
      </w:trPr>
      <w:tc>
        <w:tcPr>
          <w:tcW w:w="4838" w:type="dxa"/>
          <w:shd w:val="clear" w:color="auto" w:fill="auto"/>
          <w:vAlign w:val="bottom"/>
        </w:tcPr>
        <w:p w:rsidR="002B108D" w:rsidRPr="00D52769" w:rsidRDefault="002B108D" w:rsidP="00D52769">
          <w:pPr>
            <w:pStyle w:val="Header"/>
            <w:spacing w:after="80"/>
            <w:jc w:val="left"/>
            <w:rPr>
              <w:b/>
              <w:sz w:val="17"/>
            </w:rPr>
          </w:pPr>
          <w:fldSimple w:instr=" DOCVARIABLE &quot;sss1&quot; \* MERGEFORMAT ">
            <w:r>
              <w:rPr>
                <w:b/>
                <w:sz w:val="17"/>
              </w:rPr>
              <w:t xml:space="preserve">CEDAW/C/BIH/Q/4-5 </w:t>
            </w:r>
          </w:fldSimple>
        </w:p>
      </w:tc>
      <w:tc>
        <w:tcPr>
          <w:tcW w:w="5033" w:type="dxa"/>
          <w:shd w:val="clear" w:color="auto" w:fill="auto"/>
          <w:vAlign w:val="bottom"/>
        </w:tcPr>
        <w:p w:rsidR="002B108D" w:rsidRDefault="002B108D" w:rsidP="00D52769">
          <w:pPr>
            <w:pStyle w:val="Header"/>
          </w:pPr>
        </w:p>
      </w:tc>
    </w:tr>
  </w:tbl>
  <w:p w:rsidR="002B108D" w:rsidRPr="00D52769" w:rsidRDefault="002B108D" w:rsidP="00D527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B108D" w:rsidTr="00D52769">
      <w:tblPrEx>
        <w:tblCellMar>
          <w:top w:w="0" w:type="dxa"/>
          <w:bottom w:w="0" w:type="dxa"/>
        </w:tblCellMar>
      </w:tblPrEx>
      <w:trPr>
        <w:trHeight w:hRule="exact" w:val="864"/>
      </w:trPr>
      <w:tc>
        <w:tcPr>
          <w:tcW w:w="4838" w:type="dxa"/>
          <w:shd w:val="clear" w:color="auto" w:fill="auto"/>
          <w:vAlign w:val="bottom"/>
        </w:tcPr>
        <w:p w:rsidR="002B108D" w:rsidRDefault="002B108D" w:rsidP="00D52769">
          <w:pPr>
            <w:pStyle w:val="Header"/>
          </w:pPr>
        </w:p>
      </w:tc>
      <w:tc>
        <w:tcPr>
          <w:tcW w:w="5033" w:type="dxa"/>
          <w:shd w:val="clear" w:color="auto" w:fill="auto"/>
          <w:vAlign w:val="bottom"/>
        </w:tcPr>
        <w:p w:rsidR="002B108D" w:rsidRPr="00D52769" w:rsidRDefault="002B108D" w:rsidP="00D52769">
          <w:pPr>
            <w:pStyle w:val="Header"/>
            <w:spacing w:after="80"/>
            <w:jc w:val="right"/>
            <w:rPr>
              <w:b/>
              <w:sz w:val="17"/>
            </w:rPr>
          </w:pPr>
          <w:fldSimple w:instr=" DOCVARIABLE &quot;sss1&quot; \* MERGEFORMAT ">
            <w:r>
              <w:rPr>
                <w:b/>
                <w:sz w:val="17"/>
              </w:rPr>
              <w:t xml:space="preserve">CEDAW/C/BIH/Q/4-5 </w:t>
            </w:r>
          </w:fldSimple>
        </w:p>
      </w:tc>
    </w:tr>
  </w:tbl>
  <w:p w:rsidR="002B108D" w:rsidRPr="00D52769" w:rsidRDefault="002B108D" w:rsidP="00D5276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2B108D" w:rsidTr="00D5276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B108D" w:rsidRDefault="002B108D" w:rsidP="00D52769">
          <w:pPr>
            <w:pStyle w:val="Header"/>
            <w:spacing w:after="120"/>
          </w:pPr>
        </w:p>
      </w:tc>
      <w:tc>
        <w:tcPr>
          <w:tcW w:w="1872" w:type="dxa"/>
          <w:tcBorders>
            <w:bottom w:val="single" w:sz="4" w:space="0" w:color="auto"/>
          </w:tcBorders>
          <w:shd w:val="clear" w:color="auto" w:fill="auto"/>
          <w:vAlign w:val="bottom"/>
        </w:tcPr>
        <w:p w:rsidR="002B108D" w:rsidRPr="00D52769" w:rsidRDefault="002B108D" w:rsidP="00D5276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B108D" w:rsidRDefault="002B108D" w:rsidP="00D52769">
          <w:pPr>
            <w:pStyle w:val="Header"/>
            <w:spacing w:after="120"/>
          </w:pPr>
        </w:p>
      </w:tc>
      <w:tc>
        <w:tcPr>
          <w:tcW w:w="6523" w:type="dxa"/>
          <w:gridSpan w:val="3"/>
          <w:tcBorders>
            <w:bottom w:val="single" w:sz="4" w:space="0" w:color="auto"/>
          </w:tcBorders>
          <w:shd w:val="clear" w:color="auto" w:fill="auto"/>
          <w:vAlign w:val="bottom"/>
        </w:tcPr>
        <w:p w:rsidR="002B108D" w:rsidRPr="00D52769" w:rsidRDefault="002B108D" w:rsidP="00D52769">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/C/BIH/Q/4-5 </w:t>
          </w:r>
        </w:p>
      </w:tc>
    </w:tr>
    <w:tr w:rsidR="002B108D" w:rsidRPr="00D52769" w:rsidTr="00D5276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B108D" w:rsidRDefault="002B108D" w:rsidP="00D5276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B108D" w:rsidRPr="00D52769" w:rsidRDefault="002B108D" w:rsidP="00D52769">
          <w:pPr>
            <w:pStyle w:val="Header"/>
            <w:spacing w:before="109"/>
            <w:ind w:left="-72"/>
          </w:pPr>
        </w:p>
      </w:tc>
      <w:tc>
        <w:tcPr>
          <w:tcW w:w="5227" w:type="dxa"/>
          <w:gridSpan w:val="3"/>
          <w:tcBorders>
            <w:top w:val="single" w:sz="4" w:space="0" w:color="auto"/>
            <w:bottom w:val="single" w:sz="12" w:space="0" w:color="auto"/>
          </w:tcBorders>
          <w:shd w:val="clear" w:color="auto" w:fill="auto"/>
        </w:tcPr>
        <w:p w:rsidR="002B108D" w:rsidRPr="00D52769" w:rsidRDefault="002B108D" w:rsidP="00D5276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B108D" w:rsidRPr="00D52769" w:rsidRDefault="002B108D" w:rsidP="00D52769">
          <w:pPr>
            <w:pStyle w:val="Header"/>
            <w:spacing w:before="109"/>
          </w:pPr>
        </w:p>
      </w:tc>
      <w:tc>
        <w:tcPr>
          <w:tcW w:w="3180" w:type="dxa"/>
          <w:gridSpan w:val="2"/>
          <w:tcBorders>
            <w:top w:val="single" w:sz="4" w:space="0" w:color="auto"/>
            <w:bottom w:val="single" w:sz="12" w:space="0" w:color="auto"/>
          </w:tcBorders>
          <w:shd w:val="clear" w:color="auto" w:fill="auto"/>
        </w:tcPr>
        <w:p w:rsidR="002B108D" w:rsidRDefault="002B108D" w:rsidP="00D52769">
          <w:pPr>
            <w:spacing w:before="240" w:line="240" w:lineRule="exact"/>
            <w:rPr>
              <w:rFonts w:ascii="Times New Roman"/>
            </w:rPr>
          </w:pPr>
          <w:r>
            <w:rPr>
              <w:rFonts w:ascii="Times New Roman"/>
            </w:rPr>
            <w:t>Distr.: General</w:t>
          </w:r>
        </w:p>
        <w:p w:rsidR="002B108D" w:rsidRDefault="002B108D" w:rsidP="00D52769">
          <w:pPr>
            <w:spacing w:line="240" w:lineRule="exact"/>
            <w:rPr>
              <w:rFonts w:ascii="Times New Roman"/>
            </w:rPr>
          </w:pPr>
          <w:r>
            <w:rPr>
              <w:rFonts w:ascii="Times New Roman"/>
            </w:rPr>
            <w:t>2 November 2012</w:t>
          </w:r>
        </w:p>
        <w:p w:rsidR="002B108D" w:rsidRDefault="002B108D" w:rsidP="00D52769">
          <w:pPr>
            <w:spacing w:line="240" w:lineRule="exact"/>
            <w:rPr>
              <w:rFonts w:ascii="Times New Roman"/>
            </w:rPr>
          </w:pPr>
          <w:r>
            <w:rPr>
              <w:rFonts w:ascii="Times New Roman"/>
            </w:rPr>
            <w:t>Chinese</w:t>
          </w:r>
        </w:p>
        <w:p w:rsidR="002B108D" w:rsidRPr="00D52769" w:rsidRDefault="002B108D" w:rsidP="00D52769">
          <w:pPr>
            <w:spacing w:line="240" w:lineRule="exact"/>
            <w:rPr>
              <w:rFonts w:ascii="Times New Roman"/>
            </w:rPr>
          </w:pPr>
          <w:r>
            <w:rPr>
              <w:rFonts w:ascii="Times New Roman"/>
            </w:rPr>
            <w:t>Original: English</w:t>
          </w:r>
        </w:p>
      </w:tc>
    </w:tr>
  </w:tbl>
  <w:p w:rsidR="002B108D" w:rsidRPr="00D52769" w:rsidRDefault="002B108D" w:rsidP="00D5276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08*"/>
    <w:docVar w:name="CreationDt" w:val="15/11/2012 11:56:34"/>
    <w:docVar w:name="DocCategory" w:val="Doc"/>
    <w:docVar w:name="DocType" w:val="Final"/>
    <w:docVar w:name="FooterJN" w:val="12-57208 (C)"/>
    <w:docVar w:name="jobn" w:val="12-57208 (C)"/>
    <w:docVar w:name="jobnDT" w:val="12-57208 (C)   151112"/>
    <w:docVar w:name="jobnDTDT" w:val="12-57208 (C)   151112   151112"/>
    <w:docVar w:name="JobNo" w:val="1257208C"/>
    <w:docVar w:name="OandT" w:val="yhb"/>
    <w:docVar w:name="sss1" w:val="CEDAW/C/BIH/Q/4-5 "/>
    <w:docVar w:name="sss2" w:val="-"/>
    <w:docVar w:name="Symbol1" w:val="CEDAW/C/BIH/Q/4-5 "/>
    <w:docVar w:name="Symbol2" w:val="-"/>
  </w:docVars>
  <w:rsids>
    <w:rsidRoot w:val="00413B40"/>
    <w:rsid w:val="0000347C"/>
    <w:rsid w:val="000125BC"/>
    <w:rsid w:val="0001645E"/>
    <w:rsid w:val="00021A2B"/>
    <w:rsid w:val="00036AA2"/>
    <w:rsid w:val="00037B39"/>
    <w:rsid w:val="00044CA4"/>
    <w:rsid w:val="00044EE9"/>
    <w:rsid w:val="00045EFE"/>
    <w:rsid w:val="00061889"/>
    <w:rsid w:val="0007337D"/>
    <w:rsid w:val="000758DF"/>
    <w:rsid w:val="00076EB8"/>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27570"/>
    <w:rsid w:val="001329F7"/>
    <w:rsid w:val="00141322"/>
    <w:rsid w:val="0015066B"/>
    <w:rsid w:val="00150D3A"/>
    <w:rsid w:val="00153D29"/>
    <w:rsid w:val="00161E69"/>
    <w:rsid w:val="00161F54"/>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108D"/>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4A9"/>
    <w:rsid w:val="00331221"/>
    <w:rsid w:val="00346223"/>
    <w:rsid w:val="00363610"/>
    <w:rsid w:val="003649EE"/>
    <w:rsid w:val="00371BC6"/>
    <w:rsid w:val="00373A15"/>
    <w:rsid w:val="00383ACA"/>
    <w:rsid w:val="00384CB1"/>
    <w:rsid w:val="00387556"/>
    <w:rsid w:val="00394A02"/>
    <w:rsid w:val="003C7B20"/>
    <w:rsid w:val="003D075F"/>
    <w:rsid w:val="003E4565"/>
    <w:rsid w:val="003E748F"/>
    <w:rsid w:val="003E7612"/>
    <w:rsid w:val="00413B40"/>
    <w:rsid w:val="00414423"/>
    <w:rsid w:val="00434CDC"/>
    <w:rsid w:val="004411AD"/>
    <w:rsid w:val="004424EF"/>
    <w:rsid w:val="00453BB0"/>
    <w:rsid w:val="00460162"/>
    <w:rsid w:val="004620A8"/>
    <w:rsid w:val="00466BB5"/>
    <w:rsid w:val="004700CF"/>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7094A"/>
    <w:rsid w:val="00570BD4"/>
    <w:rsid w:val="0057450D"/>
    <w:rsid w:val="0058302A"/>
    <w:rsid w:val="005A175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3459"/>
    <w:rsid w:val="006A654B"/>
    <w:rsid w:val="006C4BB3"/>
    <w:rsid w:val="006E2924"/>
    <w:rsid w:val="006E7A26"/>
    <w:rsid w:val="006F04EF"/>
    <w:rsid w:val="006F2B3D"/>
    <w:rsid w:val="006F7672"/>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7F6F0C"/>
    <w:rsid w:val="00803014"/>
    <w:rsid w:val="00805783"/>
    <w:rsid w:val="00806F57"/>
    <w:rsid w:val="00806F90"/>
    <w:rsid w:val="008246FC"/>
    <w:rsid w:val="00824C19"/>
    <w:rsid w:val="00826250"/>
    <w:rsid w:val="0083056F"/>
    <w:rsid w:val="008378D1"/>
    <w:rsid w:val="00846462"/>
    <w:rsid w:val="00860742"/>
    <w:rsid w:val="0086691F"/>
    <w:rsid w:val="00883DB0"/>
    <w:rsid w:val="00884C8F"/>
    <w:rsid w:val="00896D38"/>
    <w:rsid w:val="008A0216"/>
    <w:rsid w:val="008C3296"/>
    <w:rsid w:val="008C3413"/>
    <w:rsid w:val="008E2D03"/>
    <w:rsid w:val="008F2BB5"/>
    <w:rsid w:val="008F425D"/>
    <w:rsid w:val="008F5472"/>
    <w:rsid w:val="008F5D0F"/>
    <w:rsid w:val="009122E0"/>
    <w:rsid w:val="00913351"/>
    <w:rsid w:val="0096193C"/>
    <w:rsid w:val="009769E1"/>
    <w:rsid w:val="00977E0D"/>
    <w:rsid w:val="00982D5C"/>
    <w:rsid w:val="00986132"/>
    <w:rsid w:val="00986C04"/>
    <w:rsid w:val="009A11E3"/>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0EA9"/>
    <w:rsid w:val="00A4532A"/>
    <w:rsid w:val="00A5206D"/>
    <w:rsid w:val="00A72E47"/>
    <w:rsid w:val="00A90956"/>
    <w:rsid w:val="00A95404"/>
    <w:rsid w:val="00A968C5"/>
    <w:rsid w:val="00AA3C28"/>
    <w:rsid w:val="00AA759D"/>
    <w:rsid w:val="00AB2786"/>
    <w:rsid w:val="00AD4308"/>
    <w:rsid w:val="00AF2A33"/>
    <w:rsid w:val="00B03EFA"/>
    <w:rsid w:val="00B0795E"/>
    <w:rsid w:val="00B309DD"/>
    <w:rsid w:val="00B36621"/>
    <w:rsid w:val="00B36D64"/>
    <w:rsid w:val="00B41B48"/>
    <w:rsid w:val="00B56194"/>
    <w:rsid w:val="00B60F41"/>
    <w:rsid w:val="00B61A34"/>
    <w:rsid w:val="00B64E8E"/>
    <w:rsid w:val="00B65E8B"/>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725D"/>
    <w:rsid w:val="00C31E79"/>
    <w:rsid w:val="00C403C9"/>
    <w:rsid w:val="00C42033"/>
    <w:rsid w:val="00C464DD"/>
    <w:rsid w:val="00C52423"/>
    <w:rsid w:val="00C62EF9"/>
    <w:rsid w:val="00C672B6"/>
    <w:rsid w:val="00C76854"/>
    <w:rsid w:val="00C900C5"/>
    <w:rsid w:val="00C92AE0"/>
    <w:rsid w:val="00C943B4"/>
    <w:rsid w:val="00CA450F"/>
    <w:rsid w:val="00CB2B1E"/>
    <w:rsid w:val="00CC3E8B"/>
    <w:rsid w:val="00CC4E84"/>
    <w:rsid w:val="00CD4380"/>
    <w:rsid w:val="00CD5641"/>
    <w:rsid w:val="00CE64AC"/>
    <w:rsid w:val="00CF49BA"/>
    <w:rsid w:val="00CF7718"/>
    <w:rsid w:val="00D03D38"/>
    <w:rsid w:val="00D177F1"/>
    <w:rsid w:val="00D323B5"/>
    <w:rsid w:val="00D42ACC"/>
    <w:rsid w:val="00D51DC5"/>
    <w:rsid w:val="00D52769"/>
    <w:rsid w:val="00D676D7"/>
    <w:rsid w:val="00D71517"/>
    <w:rsid w:val="00D7168D"/>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37EEB"/>
    <w:rsid w:val="00E710FB"/>
    <w:rsid w:val="00E806D9"/>
    <w:rsid w:val="00E82CA2"/>
    <w:rsid w:val="00E94E5A"/>
    <w:rsid w:val="00E95594"/>
    <w:rsid w:val="00EA31C3"/>
    <w:rsid w:val="00EB33AC"/>
    <w:rsid w:val="00EC669D"/>
    <w:rsid w:val="00EC6F21"/>
    <w:rsid w:val="00EE0913"/>
    <w:rsid w:val="00F01440"/>
    <w:rsid w:val="00F04C64"/>
    <w:rsid w:val="00F13305"/>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SingleTxt"/>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577</Words>
  <Characters>3293</Characters>
  <Application>Microsoft Office Outlook</Application>
  <DocSecurity>4</DocSecurity>
  <Lines>27</Lines>
  <Paragraphs>7</Paragraphs>
  <ScaleCrop>false</ScaleCrop>
  <Company>United Nations</Company>
  <LinksUpToDate>false</LinksUpToDate>
  <CharactersWithSpaces>3863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CTPU DCZ</cp:lastModifiedBy>
  <cp:revision>16</cp:revision>
  <cp:lastPrinted>2012-11-15T10:11:00Z</cp:lastPrinted>
  <dcterms:created xsi:type="dcterms:W3CDTF">2012-11-15T09:53:00Z</dcterms:created>
  <dcterms:modified xsi:type="dcterms:W3CDTF">2012-11-15T12:24:00Z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1257208</vt:lpwstr>
  </property>
  <property fmtid="{D5CDD505-2E9C-101B-9397-08002B2CF9AE}" pid="3" name="Symbol1">
    <vt:lpwstr>CEDAW/C/BIH/Q/4-5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yhb</vt:lpwstr>
  </property>
</Properties>
</file>