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F71EA" w:rsidRPr="00DB58B5" w:rsidTr="004419DB">
        <w:trPr>
          <w:trHeight w:hRule="exact" w:val="851"/>
        </w:trPr>
        <w:tc>
          <w:tcPr>
            <w:tcW w:w="1276" w:type="dxa"/>
            <w:tcBorders>
              <w:bottom w:val="single" w:sz="4" w:space="0" w:color="auto"/>
            </w:tcBorders>
          </w:tcPr>
          <w:p w:rsidR="006F71EA" w:rsidRPr="00DB58B5" w:rsidRDefault="006F71EA" w:rsidP="004419DB"/>
        </w:tc>
        <w:tc>
          <w:tcPr>
            <w:tcW w:w="2268" w:type="dxa"/>
            <w:tcBorders>
              <w:bottom w:val="single" w:sz="4" w:space="0" w:color="auto"/>
            </w:tcBorders>
            <w:vAlign w:val="bottom"/>
          </w:tcPr>
          <w:p w:rsidR="006F71EA" w:rsidRPr="00DB58B5" w:rsidRDefault="006F71EA" w:rsidP="004419D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4419DB" w:rsidP="004419DB">
            <w:pPr>
              <w:jc w:val="right"/>
            </w:pPr>
            <w:r w:rsidRPr="004419DB">
              <w:rPr>
                <w:sz w:val="40"/>
              </w:rPr>
              <w:t>CCPR</w:t>
            </w:r>
            <w:r>
              <w:t>/C/GC/35</w:t>
            </w:r>
          </w:p>
        </w:tc>
      </w:tr>
      <w:tr w:rsidR="006F71EA" w:rsidRPr="00DB58B5" w:rsidTr="004419DB">
        <w:trPr>
          <w:trHeight w:hRule="exact" w:val="2835"/>
        </w:trPr>
        <w:tc>
          <w:tcPr>
            <w:tcW w:w="1276" w:type="dxa"/>
            <w:tcBorders>
              <w:top w:val="single" w:sz="4" w:space="0" w:color="auto"/>
              <w:bottom w:val="single" w:sz="12" w:space="0" w:color="auto"/>
            </w:tcBorders>
          </w:tcPr>
          <w:p w:rsidR="006F71EA" w:rsidRPr="00DB58B5" w:rsidRDefault="00926F09" w:rsidP="004419DB">
            <w:pPr>
              <w:spacing w:before="120"/>
              <w:jc w:val="center"/>
            </w:pPr>
            <w:r w:rsidRPr="00926F0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6F71EA" w:rsidRPr="00AB51C8" w:rsidRDefault="006F71EA" w:rsidP="004419DB">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419DB" w:rsidP="004419DB">
            <w:pPr>
              <w:spacing w:before="240"/>
            </w:pPr>
            <w:r>
              <w:t>Distr. générale</w:t>
            </w:r>
          </w:p>
          <w:p w:rsidR="004419DB" w:rsidRDefault="004419DB" w:rsidP="004419DB">
            <w:pPr>
              <w:spacing w:line="240" w:lineRule="exact"/>
            </w:pPr>
            <w:r>
              <w:t>16 décembre 2014</w:t>
            </w:r>
          </w:p>
          <w:p w:rsidR="004419DB" w:rsidRDefault="004419DB" w:rsidP="004419DB">
            <w:pPr>
              <w:spacing w:line="240" w:lineRule="exact"/>
            </w:pPr>
            <w:r>
              <w:t>Français</w:t>
            </w:r>
          </w:p>
          <w:p w:rsidR="004419DB" w:rsidRPr="00DB58B5" w:rsidRDefault="004419DB" w:rsidP="004419DB">
            <w:pPr>
              <w:spacing w:line="240" w:lineRule="exact"/>
            </w:pPr>
            <w:r>
              <w:t>Original: anglais</w:t>
            </w:r>
          </w:p>
        </w:tc>
      </w:tr>
    </w:tbl>
    <w:p w:rsidR="006F71EA" w:rsidRDefault="006F71EA" w:rsidP="006F71EA">
      <w:pPr>
        <w:spacing w:before="120"/>
        <w:rPr>
          <w:b/>
          <w:sz w:val="24"/>
          <w:szCs w:val="24"/>
        </w:rPr>
      </w:pPr>
      <w:r w:rsidRPr="00DF3BF1">
        <w:rPr>
          <w:b/>
          <w:sz w:val="24"/>
          <w:szCs w:val="24"/>
        </w:rPr>
        <w:t>Comité des droits de l</w:t>
      </w:r>
      <w:r w:rsidR="00F100CC">
        <w:rPr>
          <w:b/>
          <w:sz w:val="24"/>
          <w:szCs w:val="24"/>
        </w:rPr>
        <w:t>’</w:t>
      </w:r>
      <w:r w:rsidRPr="00DF3BF1">
        <w:rPr>
          <w:b/>
          <w:sz w:val="24"/>
          <w:szCs w:val="24"/>
        </w:rPr>
        <w:t>homme</w:t>
      </w:r>
    </w:p>
    <w:p w:rsidR="004419DB" w:rsidRPr="004419DB" w:rsidRDefault="004419DB" w:rsidP="00D2007A">
      <w:pPr>
        <w:pStyle w:val="HChG"/>
        <w:rPr>
          <w:lang w:val="fr-FR"/>
        </w:rPr>
      </w:pPr>
      <w:r w:rsidRPr="004419DB">
        <w:rPr>
          <w:lang w:val="fr-FR"/>
        </w:rPr>
        <w:tab/>
      </w:r>
      <w:r w:rsidRPr="004419DB">
        <w:rPr>
          <w:lang w:val="fr-FR"/>
        </w:rPr>
        <w:tab/>
        <w:t xml:space="preserve">Observation </w:t>
      </w:r>
      <w:r w:rsidRPr="004419DB">
        <w:t>générale</w:t>
      </w:r>
      <w:r w:rsidRPr="004419DB">
        <w:rPr>
          <w:lang w:val="fr-FR"/>
        </w:rPr>
        <w:t xml:space="preserve"> n</w:t>
      </w:r>
      <w:r w:rsidRPr="004419DB">
        <w:rPr>
          <w:vertAlign w:val="superscript"/>
          <w:lang w:val="fr-FR"/>
        </w:rPr>
        <w:t>o</w:t>
      </w:r>
      <w:r w:rsidRPr="004419DB">
        <w:rPr>
          <w:lang w:val="fr-FR"/>
        </w:rPr>
        <w:t> 35</w:t>
      </w:r>
    </w:p>
    <w:p w:rsidR="004419DB" w:rsidRPr="004419DB" w:rsidRDefault="00D2007A" w:rsidP="00D2007A">
      <w:pPr>
        <w:pStyle w:val="HChG"/>
        <w:rPr>
          <w:lang w:val="fr-FR"/>
        </w:rPr>
      </w:pPr>
      <w:r>
        <w:rPr>
          <w:lang w:val="fr-FR"/>
        </w:rPr>
        <w:tab/>
      </w:r>
      <w:r>
        <w:rPr>
          <w:lang w:val="fr-FR"/>
        </w:rPr>
        <w:tab/>
        <w:t>Article 9</w:t>
      </w:r>
      <w:r w:rsidR="004419DB" w:rsidRPr="004419DB">
        <w:rPr>
          <w:lang w:val="fr-FR"/>
        </w:rPr>
        <w:t xml:space="preserve"> </w:t>
      </w:r>
      <w:r>
        <w:rPr>
          <w:lang w:val="fr-FR"/>
        </w:rPr>
        <w:t>(</w:t>
      </w:r>
      <w:r w:rsidR="004419DB" w:rsidRPr="004419DB">
        <w:rPr>
          <w:lang w:val="fr-FR"/>
        </w:rPr>
        <w:t>Liberté et sécurité de la personne</w:t>
      </w:r>
      <w:r>
        <w:rPr>
          <w:lang w:val="fr-FR"/>
        </w:rPr>
        <w:t>)</w:t>
      </w:r>
      <w:r w:rsidRPr="00D2007A">
        <w:rPr>
          <w:rStyle w:val="FootnoteReference"/>
          <w:b w:val="0"/>
          <w:sz w:val="20"/>
          <w:vertAlign w:val="baseline"/>
        </w:rPr>
        <w:footnoteReference w:customMarkFollows="1" w:id="2"/>
        <w:t>*</w:t>
      </w:r>
    </w:p>
    <w:p w:rsidR="004419DB" w:rsidRPr="004419DB" w:rsidRDefault="004419DB" w:rsidP="000A664A">
      <w:pPr>
        <w:pStyle w:val="HChG"/>
        <w:rPr>
          <w:lang w:val="fr-FR"/>
        </w:rPr>
      </w:pPr>
      <w:r w:rsidRPr="004419DB">
        <w:rPr>
          <w:lang w:val="fr-FR"/>
        </w:rPr>
        <w:tab/>
        <w:t>I.</w:t>
      </w:r>
      <w:r w:rsidRPr="004419DB">
        <w:rPr>
          <w:lang w:val="fr-FR"/>
        </w:rPr>
        <w:tab/>
        <w:t>Remarques d</w:t>
      </w:r>
      <w:r w:rsidR="00F100CC">
        <w:rPr>
          <w:lang w:val="fr-FR"/>
        </w:rPr>
        <w:t>’</w:t>
      </w:r>
      <w:r w:rsidRPr="004419DB">
        <w:rPr>
          <w:lang w:val="fr-FR"/>
        </w:rPr>
        <w:t>ordre général</w:t>
      </w:r>
    </w:p>
    <w:p w:rsidR="004419DB" w:rsidRPr="004419DB" w:rsidRDefault="004419DB" w:rsidP="00D2007A">
      <w:pPr>
        <w:pStyle w:val="ParNoG"/>
        <w:rPr>
          <w:lang w:val="fr-FR"/>
        </w:rPr>
      </w:pPr>
      <w:r w:rsidRPr="004419DB">
        <w:rPr>
          <w:lang w:val="fr-FR"/>
        </w:rPr>
        <w:t>La présente Observation générale remplace l</w:t>
      </w:r>
      <w:r w:rsidR="00F100CC">
        <w:rPr>
          <w:lang w:val="fr-FR"/>
        </w:rPr>
        <w:t>’</w:t>
      </w:r>
      <w:r w:rsidRPr="004419DB">
        <w:rPr>
          <w:lang w:val="fr-FR"/>
        </w:rPr>
        <w:t xml:space="preserve">Observation générale </w:t>
      </w:r>
      <w:r w:rsidRPr="004419DB">
        <w:rPr>
          <w:rFonts w:eastAsia="MS Mincho"/>
          <w:lang w:val="fr-FR"/>
        </w:rPr>
        <w:t>n</w:t>
      </w:r>
      <w:r w:rsidRPr="004419DB">
        <w:rPr>
          <w:rFonts w:eastAsia="MS Mincho"/>
          <w:vertAlign w:val="superscript"/>
          <w:lang w:val="fr-FR"/>
        </w:rPr>
        <w:t>o</w:t>
      </w:r>
      <w:r w:rsidRPr="004419DB">
        <w:rPr>
          <w:lang w:val="fr-FR"/>
        </w:rPr>
        <w:t> 8 (seiz</w:t>
      </w:r>
      <w:r w:rsidR="00D2007A">
        <w:rPr>
          <w:lang w:val="fr-FR"/>
        </w:rPr>
        <w:t>ième session), adoptée en 1982.</w:t>
      </w:r>
    </w:p>
    <w:p w:rsidR="004419DB" w:rsidRPr="004419DB" w:rsidRDefault="004419DB" w:rsidP="00D2007A">
      <w:pPr>
        <w:pStyle w:val="ParNoG"/>
        <w:rPr>
          <w:lang w:val="fr-FR"/>
        </w:rPr>
      </w:pPr>
      <w:r w:rsidRPr="004419DB">
        <w:rPr>
          <w:lang w:val="fr-FR"/>
        </w:rPr>
        <w:t>L</w:t>
      </w:r>
      <w:r w:rsidR="00F100CC">
        <w:rPr>
          <w:lang w:val="fr-FR"/>
        </w:rPr>
        <w:t>’</w:t>
      </w:r>
      <w:r w:rsidRPr="004419DB">
        <w:rPr>
          <w:lang w:val="fr-FR"/>
        </w:rPr>
        <w:t>article 9 reconnaît et protège à la fois la liberté de la personne et la sécurité de la personne. L</w:t>
      </w:r>
      <w:r w:rsidR="00F100CC">
        <w:rPr>
          <w:lang w:val="fr-FR"/>
        </w:rPr>
        <w:t>’</w:t>
      </w:r>
      <w:r w:rsidRPr="004419DB">
        <w:rPr>
          <w:lang w:val="fr-FR"/>
        </w:rPr>
        <w:t>article 3 de la Déclaration universelle des droits de l</w:t>
      </w:r>
      <w:r w:rsidR="00F100CC">
        <w:rPr>
          <w:lang w:val="fr-FR"/>
        </w:rPr>
        <w:t>’</w:t>
      </w:r>
      <w:r w:rsidRPr="004419DB">
        <w:rPr>
          <w:lang w:val="fr-FR"/>
        </w:rPr>
        <w:t>homme dispose que tout individu a droit à la vie, à la liberté et à la sûreté de sa personne. Il s</w:t>
      </w:r>
      <w:r w:rsidR="00F100CC">
        <w:rPr>
          <w:lang w:val="fr-FR"/>
        </w:rPr>
        <w:t>’</w:t>
      </w:r>
      <w:r w:rsidRPr="004419DB">
        <w:rPr>
          <w:lang w:val="fr-FR"/>
        </w:rPr>
        <w:t>agit là du premier droit fondamental protégé par la Déclaration universelle, d</w:t>
      </w:r>
      <w:r w:rsidR="00F100CC">
        <w:rPr>
          <w:lang w:val="fr-FR"/>
        </w:rPr>
        <w:t>’</w:t>
      </w:r>
      <w:r w:rsidRPr="004419DB">
        <w:rPr>
          <w:lang w:val="fr-FR"/>
        </w:rPr>
        <w:t>où la très grande importance de l</w:t>
      </w:r>
      <w:r w:rsidR="00F100CC">
        <w:rPr>
          <w:lang w:val="fr-FR"/>
        </w:rPr>
        <w:t>’</w:t>
      </w:r>
      <w:r w:rsidRPr="004419DB">
        <w:rPr>
          <w:lang w:val="fr-FR"/>
        </w:rPr>
        <w:t>article 9 du Pacte tant pour les individus que pour la société dans son ensemble. La liberté et la sécurité de la personne sont précieuses en elles-mêmes et aussi parce que la privation de liberté et la négation du droit à la sécurité de la personne ont de tout temps été des moyens d</w:t>
      </w:r>
      <w:r w:rsidR="00F100CC">
        <w:rPr>
          <w:lang w:val="fr-FR"/>
        </w:rPr>
        <w:t>’</w:t>
      </w:r>
      <w:r w:rsidRPr="004419DB">
        <w:rPr>
          <w:lang w:val="fr-FR"/>
        </w:rPr>
        <w:t>entraver la jouissance des autres droits.</w:t>
      </w:r>
    </w:p>
    <w:p w:rsidR="004419DB" w:rsidRPr="004419DB" w:rsidRDefault="004419DB" w:rsidP="00D2007A">
      <w:pPr>
        <w:pStyle w:val="ParNoG"/>
        <w:rPr>
          <w:lang w:val="fr-FR"/>
        </w:rPr>
      </w:pPr>
      <w:r w:rsidRPr="004419DB">
        <w:rPr>
          <w:lang w:val="fr-FR"/>
        </w:rPr>
        <w:t>La liberté de la personne vise le non-enfermement physique et ne signifie pas une liberté d</w:t>
      </w:r>
      <w:r w:rsidR="00F100CC">
        <w:rPr>
          <w:lang w:val="fr-FR"/>
        </w:rPr>
        <w:t>’</w:t>
      </w:r>
      <w:r w:rsidRPr="004419DB">
        <w:rPr>
          <w:lang w:val="fr-FR"/>
        </w:rPr>
        <w:t>action générale</w:t>
      </w:r>
      <w:r w:rsidR="00BE531F">
        <w:rPr>
          <w:rStyle w:val="FootnoteReference"/>
        </w:rPr>
        <w:footnoteReference w:id="3"/>
      </w:r>
      <w:r w:rsidRPr="004419DB">
        <w:rPr>
          <w:lang w:val="fr-FR"/>
        </w:rPr>
        <w:t>. La sécurité de la personne vise la protection contre les atteintes corporelles et psychologiques, ou l</w:t>
      </w:r>
      <w:r w:rsidR="00F100CC">
        <w:rPr>
          <w:lang w:val="fr-FR"/>
        </w:rPr>
        <w:t>’</w:t>
      </w:r>
      <w:r w:rsidRPr="004419DB">
        <w:rPr>
          <w:lang w:val="fr-FR"/>
        </w:rPr>
        <w:t xml:space="preserve">intégrité corporelle et mentale, comme </w:t>
      </w:r>
      <w:r w:rsidR="00792F8E">
        <w:rPr>
          <w:lang w:val="fr-FR"/>
        </w:rPr>
        <w:t xml:space="preserve">il est </w:t>
      </w:r>
      <w:r w:rsidRPr="004419DB">
        <w:rPr>
          <w:lang w:val="fr-FR"/>
        </w:rPr>
        <w:t>exposé plus bas au paragraphe 9</w:t>
      </w:r>
      <w:r w:rsidRPr="004B1520">
        <w:rPr>
          <w:lang w:val="fr-FR"/>
        </w:rPr>
        <w:t xml:space="preserve">. </w:t>
      </w:r>
      <w:r w:rsidRPr="004419DB">
        <w:rPr>
          <w:lang w:val="fr-FR"/>
        </w:rPr>
        <w:t>L</w:t>
      </w:r>
      <w:r w:rsidR="00F100CC">
        <w:rPr>
          <w:lang w:val="fr-FR"/>
        </w:rPr>
        <w:t>’</w:t>
      </w:r>
      <w:r w:rsidRPr="004419DB">
        <w:rPr>
          <w:lang w:val="fr-FR"/>
        </w:rPr>
        <w:t>article 9 garantit ces droits à «tout individu». L</w:t>
      </w:r>
      <w:r w:rsidR="00F100CC">
        <w:rPr>
          <w:lang w:val="fr-FR"/>
        </w:rPr>
        <w:t>’</w:t>
      </w:r>
      <w:r w:rsidRPr="004419DB">
        <w:rPr>
          <w:lang w:val="fr-FR"/>
        </w:rPr>
        <w:t>expression «tout individu» recouvre</w:t>
      </w:r>
      <w:r w:rsidR="00792F8E">
        <w:rPr>
          <w:lang w:val="fr-FR"/>
        </w:rPr>
        <w:t xml:space="preserve"> notamment</w:t>
      </w:r>
      <w:r w:rsidRPr="004419DB">
        <w:rPr>
          <w:lang w:val="fr-FR"/>
        </w:rPr>
        <w:t xml:space="preserve"> les enfants − filles et garçons −, les soldats, les personnes handicapées, les lesbiennes, les gays, les bisexuels et les transgenres, les étrangers, les réfugiés et les demandeurs d</w:t>
      </w:r>
      <w:r w:rsidR="00F100CC">
        <w:rPr>
          <w:lang w:val="fr-FR"/>
        </w:rPr>
        <w:t>’</w:t>
      </w:r>
      <w:r w:rsidRPr="004419DB">
        <w:rPr>
          <w:lang w:val="fr-FR"/>
        </w:rPr>
        <w:t>asile, les apatrides, les travailleurs migrants, les personnes condamnées du chef d</w:t>
      </w:r>
      <w:r w:rsidR="00F100CC">
        <w:rPr>
          <w:lang w:val="fr-FR"/>
        </w:rPr>
        <w:t>’</w:t>
      </w:r>
      <w:r w:rsidRPr="004419DB">
        <w:rPr>
          <w:lang w:val="fr-FR"/>
        </w:rPr>
        <w:t>une infraction pénale et les personnes qui ont commis des actes terroristes.</w:t>
      </w:r>
    </w:p>
    <w:p w:rsidR="004419DB" w:rsidRPr="004419DB" w:rsidRDefault="004419DB" w:rsidP="00700B68">
      <w:pPr>
        <w:pStyle w:val="ParNoG"/>
        <w:rPr>
          <w:lang w:val="fr-FR"/>
        </w:rPr>
      </w:pPr>
      <w:r w:rsidRPr="004419DB">
        <w:rPr>
          <w:lang w:val="fr-FR"/>
        </w:rPr>
        <w:t>Les paragraphes 2 à 5 de l</w:t>
      </w:r>
      <w:r w:rsidR="00F100CC">
        <w:rPr>
          <w:lang w:val="fr-FR"/>
        </w:rPr>
        <w:t>’</w:t>
      </w:r>
      <w:r w:rsidRPr="004419DB">
        <w:rPr>
          <w:lang w:val="fr-FR"/>
        </w:rPr>
        <w:t xml:space="preserve">article 9 énoncent des garanties précises pour la protection de la liberté et de la sécurité de la personne. Certaines </w:t>
      </w:r>
      <w:r w:rsidR="00700B68">
        <w:rPr>
          <w:lang w:val="fr-FR"/>
        </w:rPr>
        <w:t>dispositions</w:t>
      </w:r>
      <w:r w:rsidRPr="004419DB">
        <w:rPr>
          <w:lang w:val="fr-FR"/>
        </w:rPr>
        <w:t xml:space="preserve"> de l</w:t>
      </w:r>
      <w:r w:rsidR="00F100CC">
        <w:rPr>
          <w:lang w:val="fr-FR"/>
        </w:rPr>
        <w:t>’</w:t>
      </w:r>
      <w:r w:rsidRPr="004419DB">
        <w:rPr>
          <w:lang w:val="fr-FR"/>
        </w:rPr>
        <w:t>article 9 (une partie du paragraphe 2 et le paragraphe 3 tout entier) ne s</w:t>
      </w:r>
      <w:r w:rsidR="00F100CC">
        <w:rPr>
          <w:lang w:val="fr-FR"/>
        </w:rPr>
        <w:t>’</w:t>
      </w:r>
      <w:r w:rsidRPr="004419DB">
        <w:rPr>
          <w:lang w:val="fr-FR"/>
        </w:rPr>
        <w:t>appliquent que dans le cadre de la commission d</w:t>
      </w:r>
      <w:r w:rsidR="00F100CC">
        <w:rPr>
          <w:lang w:val="fr-FR"/>
        </w:rPr>
        <w:t>’</w:t>
      </w:r>
      <w:r w:rsidRPr="004419DB">
        <w:rPr>
          <w:lang w:val="fr-FR"/>
        </w:rPr>
        <w:t>une infraction pénale. Mais le reste, en particulier l</w:t>
      </w:r>
      <w:r w:rsidR="00F100CC">
        <w:rPr>
          <w:lang w:val="fr-FR"/>
        </w:rPr>
        <w:t>’</w:t>
      </w:r>
      <w:r w:rsidRPr="004419DB">
        <w:rPr>
          <w:lang w:val="fr-FR"/>
        </w:rPr>
        <w:t>importante garantie énoncée au paragraphe 4 − le droit d</w:t>
      </w:r>
      <w:r w:rsidR="00F100CC">
        <w:rPr>
          <w:lang w:val="fr-FR"/>
        </w:rPr>
        <w:t>’</w:t>
      </w:r>
      <w:r w:rsidRPr="004419DB">
        <w:rPr>
          <w:lang w:val="fr-FR"/>
        </w:rPr>
        <w:t>obtenir qu</w:t>
      </w:r>
      <w:r w:rsidR="00F100CC">
        <w:rPr>
          <w:lang w:val="fr-FR"/>
        </w:rPr>
        <w:t>’</w:t>
      </w:r>
      <w:r w:rsidRPr="004419DB">
        <w:rPr>
          <w:lang w:val="fr-FR"/>
        </w:rPr>
        <w:t>un tribunal statue sur la légalité de la détention − s</w:t>
      </w:r>
      <w:r w:rsidR="00F100CC">
        <w:rPr>
          <w:lang w:val="fr-FR"/>
        </w:rPr>
        <w:t>’</w:t>
      </w:r>
      <w:r w:rsidRPr="004419DB">
        <w:rPr>
          <w:lang w:val="fr-FR"/>
        </w:rPr>
        <w:t>applique à toutes le</w:t>
      </w:r>
      <w:r w:rsidR="00700B68">
        <w:rPr>
          <w:lang w:val="fr-FR"/>
        </w:rPr>
        <w:t>s personnes privées de liberté.</w:t>
      </w:r>
    </w:p>
    <w:p w:rsidR="004419DB" w:rsidRPr="004419DB" w:rsidRDefault="004419DB" w:rsidP="007F6428">
      <w:pPr>
        <w:pStyle w:val="ParNoG"/>
        <w:rPr>
          <w:lang w:val="fr-FR"/>
        </w:rPr>
      </w:pPr>
      <w:r w:rsidRPr="004419DB">
        <w:rPr>
          <w:lang w:val="fr-FR"/>
        </w:rPr>
        <w:t>La privation de liberté représente une restriction plus sévère à la circulation, et dans un espace plus étroit, que la simple interférence avec la liberté de déplacement consacrée à l</w:t>
      </w:r>
      <w:r w:rsidR="00F100CC">
        <w:rPr>
          <w:lang w:val="fr-FR"/>
        </w:rPr>
        <w:t>’</w:t>
      </w:r>
      <w:r w:rsidRPr="004419DB">
        <w:rPr>
          <w:lang w:val="fr-FR"/>
        </w:rPr>
        <w:t>article 12</w:t>
      </w:r>
      <w:r w:rsidR="007F6428">
        <w:rPr>
          <w:rStyle w:val="FootnoteReference"/>
        </w:rPr>
        <w:footnoteReference w:id="4"/>
      </w:r>
      <w:r w:rsidRPr="004419DB">
        <w:rPr>
          <w:lang w:val="fr-FR"/>
        </w:rPr>
        <w:t>. Des exemples de privation de liberté sont la garde à vue, l</w:t>
      </w:r>
      <w:r w:rsidR="00F100CC">
        <w:rPr>
          <w:lang w:val="fr-FR"/>
        </w:rPr>
        <w:t>’</w:t>
      </w:r>
      <w:r w:rsidRPr="004419DB">
        <w:rPr>
          <w:i/>
          <w:lang w:val="fr-FR"/>
        </w:rPr>
        <w:t>arraigo</w:t>
      </w:r>
      <w:r w:rsidR="007F6428" w:rsidRPr="007F6428">
        <w:rPr>
          <w:rStyle w:val="FootnoteReference"/>
        </w:rPr>
        <w:footnoteReference w:id="5"/>
      </w:r>
      <w:r w:rsidRPr="004419DB">
        <w:rPr>
          <w:i/>
          <w:lang w:val="fr-FR"/>
        </w:rPr>
        <w:t>,</w:t>
      </w:r>
      <w:r w:rsidRPr="004419DB">
        <w:rPr>
          <w:lang w:val="fr-FR"/>
        </w:rPr>
        <w:t xml:space="preserve"> la détention provisoire, l</w:t>
      </w:r>
      <w:r w:rsidR="00F100CC">
        <w:rPr>
          <w:lang w:val="fr-FR"/>
        </w:rPr>
        <w:t>’</w:t>
      </w:r>
      <w:r w:rsidRPr="004419DB">
        <w:rPr>
          <w:lang w:val="fr-FR"/>
        </w:rPr>
        <w:t>incarcération après une condamnation, l</w:t>
      </w:r>
      <w:r w:rsidR="00F100CC">
        <w:rPr>
          <w:lang w:val="fr-FR"/>
        </w:rPr>
        <w:t>’</w:t>
      </w:r>
      <w:r w:rsidRPr="004419DB">
        <w:rPr>
          <w:lang w:val="fr-FR"/>
        </w:rPr>
        <w:t>assignation à résidence</w:t>
      </w:r>
      <w:r w:rsidR="008A07AD">
        <w:rPr>
          <w:rStyle w:val="FootnoteReference"/>
        </w:rPr>
        <w:footnoteReference w:id="6"/>
      </w:r>
      <w:r w:rsidRPr="004419DB">
        <w:rPr>
          <w:lang w:val="fr-FR"/>
        </w:rPr>
        <w:t>, l</w:t>
      </w:r>
      <w:r w:rsidR="00F100CC">
        <w:rPr>
          <w:lang w:val="fr-FR"/>
        </w:rPr>
        <w:t>’</w:t>
      </w:r>
      <w:r w:rsidR="004F0D61">
        <w:rPr>
          <w:lang w:val="fr-FR"/>
        </w:rPr>
        <w:t>internement administratif</w:t>
      </w:r>
      <w:r w:rsidRPr="004419DB">
        <w:rPr>
          <w:lang w:val="fr-FR"/>
        </w:rPr>
        <w:t>, l</w:t>
      </w:r>
      <w:r w:rsidR="00F100CC">
        <w:rPr>
          <w:lang w:val="fr-FR"/>
        </w:rPr>
        <w:t>’</w:t>
      </w:r>
      <w:r w:rsidRPr="004419DB">
        <w:rPr>
          <w:lang w:val="fr-FR"/>
        </w:rPr>
        <w:t>hospitalisation sans consentement</w:t>
      </w:r>
      <w:r w:rsidR="004F0D61">
        <w:rPr>
          <w:rStyle w:val="FootnoteReference"/>
        </w:rPr>
        <w:footnoteReference w:id="7"/>
      </w:r>
      <w:r w:rsidRPr="004419DB">
        <w:rPr>
          <w:lang w:val="fr-FR"/>
        </w:rPr>
        <w:t>, le placement des enfants en institution et le maintien dans une zone circonscrite d</w:t>
      </w:r>
      <w:r w:rsidR="00F100CC">
        <w:rPr>
          <w:lang w:val="fr-FR"/>
        </w:rPr>
        <w:t>’</w:t>
      </w:r>
      <w:r w:rsidRPr="004419DB">
        <w:rPr>
          <w:lang w:val="fr-FR"/>
        </w:rPr>
        <w:t>un aéroport</w:t>
      </w:r>
      <w:r w:rsidR="004F0D61">
        <w:rPr>
          <w:rStyle w:val="FootnoteReference"/>
        </w:rPr>
        <w:footnoteReference w:id="8"/>
      </w:r>
      <w:r w:rsidRPr="004419DB">
        <w:rPr>
          <w:lang w:val="fr-FR"/>
        </w:rPr>
        <w:t>, ainsi que le transfert d</w:t>
      </w:r>
      <w:r w:rsidR="00F100CC">
        <w:rPr>
          <w:lang w:val="fr-FR"/>
        </w:rPr>
        <w:t>’</w:t>
      </w:r>
      <w:r w:rsidRPr="004419DB">
        <w:rPr>
          <w:lang w:val="fr-FR"/>
        </w:rPr>
        <w:t>une personne contre son gré</w:t>
      </w:r>
      <w:r w:rsidR="003D1E00">
        <w:rPr>
          <w:rStyle w:val="FootnoteReference"/>
        </w:rPr>
        <w:footnoteReference w:id="9"/>
      </w:r>
      <w:r w:rsidRPr="004419DB">
        <w:rPr>
          <w:lang w:val="fr-FR"/>
        </w:rPr>
        <w:t>. La privation de liberté est également constituée par certaines autres restrictions imposées à un individu qui est déjà en détention, par exemple le placement à l</w:t>
      </w:r>
      <w:r w:rsidR="00F100CC">
        <w:rPr>
          <w:lang w:val="fr-FR"/>
        </w:rPr>
        <w:t>’</w:t>
      </w:r>
      <w:r w:rsidRPr="004419DB">
        <w:rPr>
          <w:lang w:val="fr-FR"/>
        </w:rPr>
        <w:t>isolement cellulaire ou l</w:t>
      </w:r>
      <w:r w:rsidR="00F100CC">
        <w:rPr>
          <w:lang w:val="fr-FR"/>
        </w:rPr>
        <w:t>’</w:t>
      </w:r>
      <w:r w:rsidRPr="004419DB">
        <w:rPr>
          <w:lang w:val="fr-FR"/>
        </w:rPr>
        <w:t>application de dispositifs de contention physique</w:t>
      </w:r>
      <w:r w:rsidR="00C95F7A">
        <w:rPr>
          <w:rStyle w:val="FootnoteReference"/>
        </w:rPr>
        <w:footnoteReference w:id="10"/>
      </w:r>
      <w:r w:rsidRPr="004419DB">
        <w:rPr>
          <w:lang w:val="fr-FR"/>
        </w:rPr>
        <w:t>. Pendant le service militaire, des restrictions qui représenteraient une privation de liberté pour un civil peuvent ne pas équivaloir à une privation de liberté si elles ne vont pas au-delà des impératifs du service militaire normal ou ne s</w:t>
      </w:r>
      <w:r w:rsidR="00F100CC">
        <w:rPr>
          <w:lang w:val="fr-FR"/>
        </w:rPr>
        <w:t>’</w:t>
      </w:r>
      <w:r w:rsidRPr="004419DB">
        <w:rPr>
          <w:lang w:val="fr-FR"/>
        </w:rPr>
        <w:t>écartent pas des conditions de vie normales dans les forces armées de l</w:t>
      </w:r>
      <w:r w:rsidR="00F100CC">
        <w:rPr>
          <w:lang w:val="fr-FR"/>
        </w:rPr>
        <w:t>’</w:t>
      </w:r>
      <w:r w:rsidRPr="004419DB">
        <w:rPr>
          <w:lang w:val="fr-FR"/>
        </w:rPr>
        <w:t>État partie concerné</w:t>
      </w:r>
      <w:r w:rsidR="004E7948">
        <w:rPr>
          <w:rStyle w:val="FootnoteReference"/>
        </w:rPr>
        <w:footnoteReference w:id="11"/>
      </w:r>
      <w:r w:rsidRPr="004419DB">
        <w:rPr>
          <w:lang w:val="fr-FR"/>
        </w:rPr>
        <w:t>.</w:t>
      </w:r>
    </w:p>
    <w:p w:rsidR="004419DB" w:rsidRPr="004419DB" w:rsidRDefault="004419DB" w:rsidP="00223CD3">
      <w:pPr>
        <w:pStyle w:val="ParNoG"/>
        <w:rPr>
          <w:lang w:val="fr-FR"/>
        </w:rPr>
      </w:pPr>
      <w:r w:rsidRPr="004419DB">
        <w:rPr>
          <w:lang w:val="fr-FR"/>
        </w:rPr>
        <w:t>Pour qu</w:t>
      </w:r>
      <w:r w:rsidR="00F100CC">
        <w:rPr>
          <w:lang w:val="fr-FR"/>
        </w:rPr>
        <w:t>’</w:t>
      </w:r>
      <w:r w:rsidRPr="004419DB">
        <w:rPr>
          <w:lang w:val="fr-FR"/>
        </w:rPr>
        <w:t>il y ait privation de liberté, il faut qu</w:t>
      </w:r>
      <w:r w:rsidR="00F100CC">
        <w:rPr>
          <w:lang w:val="fr-FR"/>
        </w:rPr>
        <w:t>’</w:t>
      </w:r>
      <w:r w:rsidRPr="004419DB">
        <w:rPr>
          <w:lang w:val="fr-FR"/>
        </w:rPr>
        <w:t>il y ait absence de consentement libre. Les individus qui se présentent spontanément au poste de police pour participer à une enquête et qui savent qu</w:t>
      </w:r>
      <w:r w:rsidR="00F100CC">
        <w:rPr>
          <w:lang w:val="fr-FR"/>
        </w:rPr>
        <w:t>’</w:t>
      </w:r>
      <w:r w:rsidRPr="004419DB">
        <w:rPr>
          <w:lang w:val="fr-FR"/>
        </w:rPr>
        <w:t>ils sont libres de partir à to</w:t>
      </w:r>
      <w:r w:rsidR="000A664A">
        <w:rPr>
          <w:lang w:val="fr-FR"/>
        </w:rPr>
        <w:t>ut moment ne sont pas privés de </w:t>
      </w:r>
      <w:r w:rsidRPr="004419DB">
        <w:rPr>
          <w:lang w:val="fr-FR"/>
        </w:rPr>
        <w:t>liberté</w:t>
      </w:r>
      <w:r w:rsidR="00223CD3">
        <w:rPr>
          <w:rStyle w:val="FootnoteReference"/>
        </w:rPr>
        <w:footnoteReference w:id="12"/>
      </w:r>
      <w:r w:rsidRPr="004419DB">
        <w:rPr>
          <w:lang w:val="fr-FR"/>
        </w:rPr>
        <w:t>.</w:t>
      </w:r>
    </w:p>
    <w:p w:rsidR="004419DB" w:rsidRPr="000A664A" w:rsidRDefault="004419DB" w:rsidP="00223CD3">
      <w:pPr>
        <w:pStyle w:val="ParNoG"/>
        <w:rPr>
          <w:b/>
          <w:spacing w:val="-2"/>
          <w:szCs w:val="24"/>
          <w:lang w:val="fr-FR"/>
        </w:rPr>
      </w:pPr>
      <w:r w:rsidRPr="000A664A">
        <w:rPr>
          <w:spacing w:val="-2"/>
          <w:lang w:val="fr-FR"/>
        </w:rPr>
        <w:t>Les États parties ont l</w:t>
      </w:r>
      <w:r w:rsidR="00F100CC">
        <w:rPr>
          <w:spacing w:val="-2"/>
          <w:lang w:val="fr-FR"/>
        </w:rPr>
        <w:t>’</w:t>
      </w:r>
      <w:r w:rsidRPr="000A664A">
        <w:rPr>
          <w:spacing w:val="-2"/>
          <w:lang w:val="fr-FR"/>
        </w:rPr>
        <w:t>obligation de prendre les mesures voulues pour protéger le droit à la liberté de la personne contre les atteintes de tiers</w:t>
      </w:r>
      <w:r w:rsidR="00223CD3" w:rsidRPr="000A664A">
        <w:rPr>
          <w:rStyle w:val="FootnoteReference"/>
          <w:spacing w:val="-2"/>
        </w:rPr>
        <w:footnoteReference w:id="13"/>
      </w:r>
      <w:r w:rsidRPr="000A664A">
        <w:rPr>
          <w:spacing w:val="-2"/>
          <w:lang w:val="fr-FR"/>
        </w:rPr>
        <w:t>. Ils doivent protéger les individus contre l</w:t>
      </w:r>
      <w:r w:rsidR="00F100CC">
        <w:rPr>
          <w:spacing w:val="-2"/>
          <w:lang w:val="fr-FR"/>
        </w:rPr>
        <w:t>’</w:t>
      </w:r>
      <w:r w:rsidRPr="000A664A">
        <w:rPr>
          <w:spacing w:val="-2"/>
          <w:lang w:val="fr-FR"/>
        </w:rPr>
        <w:t>enlèvement ou la détention par des criminels ou des groupes irréguliers, y compris des groupes armés ou terroristes, qui opèrent sur leur territoire. Ils doivent également protéger les individus contre la privation illégitime de liberté par des organisations légales, comme les employeurs, les établissements scolaires et les hôpitaux. Ils devraient faire tout leur possible pour prendre des mesures appropriées pour protéger les individus contre les privations de liberté résultant de l</w:t>
      </w:r>
      <w:r w:rsidR="00F100CC">
        <w:rPr>
          <w:spacing w:val="-2"/>
          <w:lang w:val="fr-FR"/>
        </w:rPr>
        <w:t>’</w:t>
      </w:r>
      <w:r w:rsidRPr="000A664A">
        <w:rPr>
          <w:spacing w:val="-2"/>
          <w:lang w:val="fr-FR"/>
        </w:rPr>
        <w:t>action d</w:t>
      </w:r>
      <w:r w:rsidR="00F100CC">
        <w:rPr>
          <w:spacing w:val="-2"/>
          <w:lang w:val="fr-FR"/>
        </w:rPr>
        <w:t>’</w:t>
      </w:r>
      <w:r w:rsidRPr="000A664A">
        <w:rPr>
          <w:spacing w:val="-2"/>
          <w:lang w:val="fr-FR"/>
        </w:rPr>
        <w:t>autres États sur leur propre territoire</w:t>
      </w:r>
      <w:r w:rsidR="00223CD3" w:rsidRPr="000A664A">
        <w:rPr>
          <w:rStyle w:val="FootnoteReference"/>
          <w:spacing w:val="-2"/>
        </w:rPr>
        <w:footnoteReference w:id="14"/>
      </w:r>
      <w:r w:rsidRPr="000A664A">
        <w:rPr>
          <w:spacing w:val="-2"/>
          <w:lang w:val="fr-FR"/>
        </w:rPr>
        <w:t>.</w:t>
      </w:r>
    </w:p>
    <w:p w:rsidR="004419DB" w:rsidRPr="004419DB" w:rsidRDefault="004419DB" w:rsidP="00C35DCD">
      <w:pPr>
        <w:pStyle w:val="ParNoG"/>
        <w:rPr>
          <w:lang w:val="fr-FR"/>
        </w:rPr>
      </w:pPr>
      <w:r w:rsidRPr="004419DB">
        <w:rPr>
          <w:lang w:val="fr-FR"/>
        </w:rPr>
        <w:t>Quand un État partie habilite ou autorise des individus ou des groupes privés à exercer des pouvoirs d</w:t>
      </w:r>
      <w:r w:rsidR="00F100CC">
        <w:rPr>
          <w:lang w:val="fr-FR"/>
        </w:rPr>
        <w:t>’</w:t>
      </w:r>
      <w:r w:rsidRPr="004419DB">
        <w:rPr>
          <w:lang w:val="fr-FR"/>
        </w:rPr>
        <w:t xml:space="preserve">arrestation ou de détention, il </w:t>
      </w:r>
      <w:r w:rsidRPr="004419DB" w:rsidDel="00D16F7E">
        <w:rPr>
          <w:lang w:val="fr-FR"/>
        </w:rPr>
        <w:t xml:space="preserve">garde la </w:t>
      </w:r>
      <w:r w:rsidRPr="004419DB">
        <w:rPr>
          <w:lang w:val="fr-FR"/>
        </w:rPr>
        <w:t>responsabilité de respecter et de faire respecter l</w:t>
      </w:r>
      <w:r w:rsidR="00F100CC">
        <w:rPr>
          <w:lang w:val="fr-FR"/>
        </w:rPr>
        <w:t>’</w:t>
      </w:r>
      <w:r w:rsidRPr="004419DB">
        <w:rPr>
          <w:lang w:val="fr-FR"/>
        </w:rPr>
        <w:t>article 9. Il doit limiter rigoureusement ces pouvoirs et assurer un contrôle strict et effectif pour garantir qu</w:t>
      </w:r>
      <w:r w:rsidR="00F100CC">
        <w:rPr>
          <w:lang w:val="fr-FR"/>
        </w:rPr>
        <w:t>’</w:t>
      </w:r>
      <w:r w:rsidRPr="004419DB">
        <w:rPr>
          <w:lang w:val="fr-FR"/>
        </w:rPr>
        <w:t>ils ne soient pas utilisés abusivement et ne conduisent pas à une arrestation ou une détention arbitraire ou illicite. Il doit également offrir des recours utiles aux victimes q</w:t>
      </w:r>
      <w:r w:rsidR="00C35DCD">
        <w:rPr>
          <w:lang w:val="fr-FR"/>
        </w:rPr>
        <w:t xml:space="preserve">uand une </w:t>
      </w:r>
      <w:r w:rsidRPr="004419DB">
        <w:rPr>
          <w:lang w:val="fr-FR"/>
        </w:rPr>
        <w:t>détention ou arrestation arbitraire ou illicite se produit</w:t>
      </w:r>
      <w:r w:rsidR="00C35DCD">
        <w:rPr>
          <w:rStyle w:val="FootnoteReference"/>
        </w:rPr>
        <w:footnoteReference w:id="15"/>
      </w:r>
      <w:r w:rsidR="00C35DCD">
        <w:rPr>
          <w:lang w:val="fr-FR"/>
        </w:rPr>
        <w:t>.</w:t>
      </w:r>
    </w:p>
    <w:p w:rsidR="004419DB" w:rsidRPr="004419DB" w:rsidRDefault="004419DB" w:rsidP="00AC493D">
      <w:pPr>
        <w:pStyle w:val="ParNoG"/>
        <w:rPr>
          <w:lang w:val="fr-FR"/>
        </w:rPr>
      </w:pPr>
      <w:r w:rsidRPr="004419DB">
        <w:rPr>
          <w:lang w:val="fr-FR"/>
        </w:rPr>
        <w:t>Le droit à la sécurité de la personne protège les individus contre toute atteinte corporelle ou mentale intentionnelle, que la victime soit détenue ou ne le soit pas. Par exemple, les agents des États parties violent le droit à la sécurité de la personne quand ils infligent de façon injustifiable des lésions corporelles</w:t>
      </w:r>
      <w:r w:rsidR="00AC493D">
        <w:rPr>
          <w:rStyle w:val="FootnoteReference"/>
        </w:rPr>
        <w:footnoteReference w:id="16"/>
      </w:r>
      <w:r w:rsidRPr="004419DB">
        <w:rPr>
          <w:lang w:val="fr-FR"/>
        </w:rPr>
        <w:t xml:space="preserve">. Le droit à la sécurité de la personne oblige aussi les États parties à prendre des mesures appropriées face aux menaces de mort contre des personnes dans la sphère publique et, plus généralement, à protéger les individus contre les menaces </w:t>
      </w:r>
      <w:r w:rsidR="00010D38">
        <w:rPr>
          <w:lang w:val="fr-FR"/>
        </w:rPr>
        <w:t xml:space="preserve">prévisibles pesant </w:t>
      </w:r>
      <w:r w:rsidRPr="004419DB">
        <w:rPr>
          <w:lang w:val="fr-FR"/>
        </w:rPr>
        <w:t xml:space="preserve">sur leur vie ou leur intégrité corporelle, </w:t>
      </w:r>
      <w:r w:rsidR="00010D38">
        <w:rPr>
          <w:lang w:val="fr-FR"/>
        </w:rPr>
        <w:t>et qui proviennent d</w:t>
      </w:r>
      <w:r w:rsidR="00F100CC">
        <w:rPr>
          <w:lang w:val="fr-FR"/>
        </w:rPr>
        <w:t>’</w:t>
      </w:r>
      <w:r w:rsidR="00010D38">
        <w:rPr>
          <w:lang w:val="fr-FR"/>
        </w:rPr>
        <w:t>agents du Gouvernement</w:t>
      </w:r>
      <w:r w:rsidR="00010D38" w:rsidRPr="004419DB">
        <w:rPr>
          <w:lang w:val="fr-FR"/>
        </w:rPr>
        <w:t xml:space="preserve"> </w:t>
      </w:r>
      <w:r w:rsidRPr="004419DB">
        <w:rPr>
          <w:lang w:val="fr-FR"/>
        </w:rPr>
        <w:t xml:space="preserve">ou </w:t>
      </w:r>
      <w:r w:rsidR="00010D38">
        <w:rPr>
          <w:lang w:val="fr-FR"/>
        </w:rPr>
        <w:t xml:space="preserve">de personnes </w:t>
      </w:r>
      <w:r w:rsidRPr="004419DB">
        <w:rPr>
          <w:lang w:val="fr-FR"/>
        </w:rPr>
        <w:t>privée</w:t>
      </w:r>
      <w:r w:rsidR="00010D38">
        <w:rPr>
          <w:lang w:val="fr-FR"/>
        </w:rPr>
        <w:t>s</w:t>
      </w:r>
      <w:r w:rsidR="00AC493D">
        <w:rPr>
          <w:rStyle w:val="FootnoteReference"/>
        </w:rPr>
        <w:footnoteReference w:id="17"/>
      </w:r>
      <w:r w:rsidRPr="004419DB">
        <w:rPr>
          <w:lang w:val="fr-FR"/>
        </w:rPr>
        <w:t>. Les États parties sont tenus d</w:t>
      </w:r>
      <w:r w:rsidR="00010D38">
        <w:rPr>
          <w:lang w:val="fr-FR"/>
        </w:rPr>
        <w:t>e prendre à la fois des mesures</w:t>
      </w:r>
      <w:r w:rsidRPr="004419DB">
        <w:rPr>
          <w:lang w:val="fr-FR"/>
        </w:rPr>
        <w:t xml:space="preserve"> visant à prévenir les atteintes corporelles</w:t>
      </w:r>
      <w:r w:rsidR="00010D38">
        <w:rPr>
          <w:lang w:val="fr-FR"/>
        </w:rPr>
        <w:t xml:space="preserve"> à </w:t>
      </w:r>
      <w:r w:rsidR="00010D38" w:rsidRPr="004419DB">
        <w:rPr>
          <w:lang w:val="fr-FR"/>
        </w:rPr>
        <w:t>l</w:t>
      </w:r>
      <w:r w:rsidR="00F100CC">
        <w:rPr>
          <w:lang w:val="fr-FR"/>
        </w:rPr>
        <w:t>’</w:t>
      </w:r>
      <w:r w:rsidR="00010D38" w:rsidRPr="004419DB">
        <w:rPr>
          <w:lang w:val="fr-FR"/>
        </w:rPr>
        <w:t>avenir</w:t>
      </w:r>
      <w:r w:rsidRPr="004419DB">
        <w:rPr>
          <w:lang w:val="fr-FR"/>
        </w:rPr>
        <w:t xml:space="preserve"> et des mesures rétroactives comme l</w:t>
      </w:r>
      <w:r w:rsidR="00F100CC">
        <w:rPr>
          <w:lang w:val="fr-FR"/>
        </w:rPr>
        <w:t>’</w:t>
      </w:r>
      <w:r w:rsidRPr="004419DB">
        <w:rPr>
          <w:lang w:val="fr-FR"/>
        </w:rPr>
        <w:t>application de loi</w:t>
      </w:r>
      <w:r w:rsidR="00010D38">
        <w:rPr>
          <w:lang w:val="fr-FR"/>
        </w:rPr>
        <w:t>s</w:t>
      </w:r>
      <w:r w:rsidRPr="004419DB">
        <w:rPr>
          <w:lang w:val="fr-FR"/>
        </w:rPr>
        <w:t xml:space="preserve"> pénale</w:t>
      </w:r>
      <w:r w:rsidR="00010D38">
        <w:rPr>
          <w:lang w:val="fr-FR"/>
        </w:rPr>
        <w:t>s</w:t>
      </w:r>
      <w:r w:rsidRPr="004419DB">
        <w:rPr>
          <w:lang w:val="fr-FR"/>
        </w:rPr>
        <w:t xml:space="preserve"> dans le cas d</w:t>
      </w:r>
      <w:r w:rsidR="00F100CC">
        <w:rPr>
          <w:lang w:val="fr-FR"/>
        </w:rPr>
        <w:t>’</w:t>
      </w:r>
      <w:r w:rsidRPr="004419DB">
        <w:rPr>
          <w:lang w:val="fr-FR"/>
        </w:rPr>
        <w:t>une atteinte causée dans le passé. Ainsi, ils doivent réagir avec diligence aux violences systématiques qui visent certaines catégories de personnes, comme les actes d</w:t>
      </w:r>
      <w:r w:rsidR="00F100CC">
        <w:rPr>
          <w:lang w:val="fr-FR"/>
        </w:rPr>
        <w:t>’</w:t>
      </w:r>
      <w:r w:rsidRPr="004419DB">
        <w:rPr>
          <w:lang w:val="fr-FR"/>
        </w:rPr>
        <w:t>intimidation contre des défenseurs des droits de l</w:t>
      </w:r>
      <w:r w:rsidR="00F100CC">
        <w:rPr>
          <w:lang w:val="fr-FR"/>
        </w:rPr>
        <w:t>’</w:t>
      </w:r>
      <w:r w:rsidRPr="004419DB">
        <w:rPr>
          <w:lang w:val="fr-FR"/>
        </w:rPr>
        <w:t>homme et des journalistes, les représailles contre les témoins, la violence à l</w:t>
      </w:r>
      <w:r w:rsidR="00F100CC">
        <w:rPr>
          <w:lang w:val="fr-FR"/>
        </w:rPr>
        <w:t>’</w:t>
      </w:r>
      <w:r w:rsidRPr="004419DB">
        <w:rPr>
          <w:lang w:val="fr-FR"/>
        </w:rPr>
        <w:t xml:space="preserve">égard des femmes, y compris la violence </w:t>
      </w:r>
      <w:r w:rsidR="00010D38">
        <w:rPr>
          <w:lang w:val="fr-FR"/>
        </w:rPr>
        <w:t>au foyer</w:t>
      </w:r>
      <w:r w:rsidRPr="004419DB">
        <w:rPr>
          <w:lang w:val="fr-FR"/>
        </w:rPr>
        <w:t>, le bizutage des conscrits dans les forces armées, la violence à l</w:t>
      </w:r>
      <w:r w:rsidR="00F100CC">
        <w:rPr>
          <w:lang w:val="fr-FR"/>
        </w:rPr>
        <w:t>’</w:t>
      </w:r>
      <w:r w:rsidRPr="004419DB">
        <w:rPr>
          <w:lang w:val="fr-FR"/>
        </w:rPr>
        <w:t>égard des enfants, la violence à l</w:t>
      </w:r>
      <w:r w:rsidR="00F100CC">
        <w:rPr>
          <w:lang w:val="fr-FR"/>
        </w:rPr>
        <w:t>’</w:t>
      </w:r>
      <w:r w:rsidRPr="004419DB">
        <w:rPr>
          <w:lang w:val="fr-FR"/>
        </w:rPr>
        <w:t>égard de personnes à raison de leur orientation sexuelle ou de leur identité de genre</w:t>
      </w:r>
      <w:r w:rsidR="00010D38">
        <w:rPr>
          <w:rStyle w:val="FootnoteReference"/>
        </w:rPr>
        <w:footnoteReference w:id="18"/>
      </w:r>
      <w:r w:rsidRPr="004419DB">
        <w:rPr>
          <w:lang w:val="fr-FR"/>
        </w:rPr>
        <w:t xml:space="preserve"> et la violence à l</w:t>
      </w:r>
      <w:r w:rsidR="00F100CC">
        <w:rPr>
          <w:lang w:val="fr-FR"/>
        </w:rPr>
        <w:t>’</w:t>
      </w:r>
      <w:r w:rsidRPr="004419DB">
        <w:rPr>
          <w:lang w:val="fr-FR"/>
        </w:rPr>
        <w:t>égard de personnes handicapées</w:t>
      </w:r>
      <w:r w:rsidR="00F94B00">
        <w:rPr>
          <w:rStyle w:val="FootnoteReference"/>
        </w:rPr>
        <w:footnoteReference w:id="19"/>
      </w:r>
      <w:r w:rsidRPr="004419DB">
        <w:rPr>
          <w:lang w:val="fr-FR"/>
        </w:rPr>
        <w:t xml:space="preserve">. Ils devraient également prévenir </w:t>
      </w:r>
      <w:r w:rsidR="00D06746">
        <w:rPr>
          <w:lang w:val="fr-FR"/>
        </w:rPr>
        <w:t xml:space="preserve">et réparer </w:t>
      </w:r>
      <w:r w:rsidRPr="004419DB">
        <w:rPr>
          <w:lang w:val="fr-FR"/>
        </w:rPr>
        <w:t>l</w:t>
      </w:r>
      <w:r w:rsidR="00F100CC">
        <w:rPr>
          <w:lang w:val="fr-FR"/>
        </w:rPr>
        <w:t>’</w:t>
      </w:r>
      <w:r w:rsidRPr="004419DB">
        <w:rPr>
          <w:lang w:val="fr-FR"/>
        </w:rPr>
        <w:t xml:space="preserve">usage </w:t>
      </w:r>
      <w:r w:rsidR="00D06746">
        <w:rPr>
          <w:lang w:val="fr-FR"/>
        </w:rPr>
        <w:t>illégitime</w:t>
      </w:r>
      <w:r w:rsidRPr="004419DB">
        <w:rPr>
          <w:lang w:val="fr-FR"/>
        </w:rPr>
        <w:t xml:space="preserve"> de la force dans les interventions des forces de l</w:t>
      </w:r>
      <w:r w:rsidR="00F100CC">
        <w:rPr>
          <w:lang w:val="fr-FR"/>
        </w:rPr>
        <w:t>’</w:t>
      </w:r>
      <w:r w:rsidRPr="004419DB">
        <w:rPr>
          <w:lang w:val="fr-FR"/>
        </w:rPr>
        <w:t>ordre</w:t>
      </w:r>
      <w:r w:rsidR="009F074A">
        <w:rPr>
          <w:rStyle w:val="FootnoteReference"/>
        </w:rPr>
        <w:footnoteReference w:id="20"/>
      </w:r>
      <w:r w:rsidR="00D06746">
        <w:rPr>
          <w:lang w:val="fr-FR"/>
        </w:rPr>
        <w:t>,</w:t>
      </w:r>
      <w:r w:rsidRPr="004419DB">
        <w:rPr>
          <w:lang w:val="fr-FR"/>
        </w:rPr>
        <w:t xml:space="preserve"> et protéger leur population contre les brutalités des forces de sécurité privées et contre les risques auxquels elle est exposée lorsque les armes à feu sont trop facilement disponibles</w:t>
      </w:r>
      <w:r w:rsidR="00D06746">
        <w:rPr>
          <w:rStyle w:val="FootnoteReference"/>
        </w:rPr>
        <w:footnoteReference w:id="21"/>
      </w:r>
      <w:r w:rsidRPr="004419DB">
        <w:rPr>
          <w:lang w:val="fr-FR"/>
        </w:rPr>
        <w:t>. Le droit à la sécurité de la personne ne couvre pas tous les risques pour la santé physique ou mentale et il n</w:t>
      </w:r>
      <w:r w:rsidR="00F100CC">
        <w:rPr>
          <w:lang w:val="fr-FR"/>
        </w:rPr>
        <w:t>’</w:t>
      </w:r>
      <w:r w:rsidRPr="004419DB">
        <w:rPr>
          <w:lang w:val="fr-FR"/>
        </w:rPr>
        <w:t>est pas en jeu dans les incidences indirectes que peut avoir sur la santé le fait d</w:t>
      </w:r>
      <w:r w:rsidR="00F100CC">
        <w:rPr>
          <w:lang w:val="fr-FR"/>
        </w:rPr>
        <w:t>’</w:t>
      </w:r>
      <w:r w:rsidRPr="004419DB">
        <w:rPr>
          <w:lang w:val="fr-FR"/>
        </w:rPr>
        <w:t>être visé par une procédure judiciaire au civil ou au pénal</w:t>
      </w:r>
      <w:r w:rsidR="009F074A">
        <w:rPr>
          <w:rStyle w:val="FootnoteReference"/>
        </w:rPr>
        <w:footnoteReference w:id="22"/>
      </w:r>
      <w:r w:rsidRPr="004419DB">
        <w:rPr>
          <w:lang w:val="fr-FR"/>
        </w:rPr>
        <w:t>.</w:t>
      </w:r>
    </w:p>
    <w:p w:rsidR="004419DB" w:rsidRPr="004419DB" w:rsidRDefault="004419DB" w:rsidP="00A709E0">
      <w:pPr>
        <w:pStyle w:val="HChG"/>
        <w:rPr>
          <w:lang w:val="fr-FR"/>
        </w:rPr>
      </w:pPr>
      <w:r w:rsidRPr="004419DB">
        <w:rPr>
          <w:lang w:val="fr-FR"/>
        </w:rPr>
        <w:tab/>
        <w:t>II.</w:t>
      </w:r>
      <w:r w:rsidRPr="004419DB">
        <w:rPr>
          <w:lang w:val="fr-FR"/>
        </w:rPr>
        <w:tab/>
        <w:t>Détention arbitraire et détention illégale</w:t>
      </w:r>
    </w:p>
    <w:p w:rsidR="004419DB" w:rsidRPr="004419DB" w:rsidRDefault="004419DB" w:rsidP="008113BC">
      <w:pPr>
        <w:pStyle w:val="ParNoG"/>
        <w:rPr>
          <w:lang w:val="fr-FR"/>
        </w:rPr>
      </w:pPr>
      <w:r w:rsidRPr="004419DB">
        <w:rPr>
          <w:lang w:val="fr-FR"/>
        </w:rPr>
        <w:t>Le droit à la liberté de la personne n</w:t>
      </w:r>
      <w:r w:rsidR="00F100CC">
        <w:rPr>
          <w:lang w:val="fr-FR"/>
        </w:rPr>
        <w:t>’</w:t>
      </w:r>
      <w:r w:rsidRPr="004419DB">
        <w:rPr>
          <w:lang w:val="fr-FR"/>
        </w:rPr>
        <w:t>est pas absolu. L</w:t>
      </w:r>
      <w:r w:rsidR="00F100CC">
        <w:rPr>
          <w:lang w:val="fr-FR"/>
        </w:rPr>
        <w:t>’</w:t>
      </w:r>
      <w:r w:rsidRPr="004419DB">
        <w:rPr>
          <w:lang w:val="fr-FR"/>
        </w:rPr>
        <w:t>article 9 reconnaît que parfois la privation de lib</w:t>
      </w:r>
      <w:r w:rsidR="008113BC">
        <w:rPr>
          <w:lang w:val="fr-FR"/>
        </w:rPr>
        <w:t>erté est justifiée, par exemple</w:t>
      </w:r>
      <w:r w:rsidRPr="004419DB">
        <w:rPr>
          <w:lang w:val="fr-FR"/>
        </w:rPr>
        <w:t xml:space="preserve"> dans l</w:t>
      </w:r>
      <w:r w:rsidR="00F100CC">
        <w:rPr>
          <w:lang w:val="fr-FR"/>
        </w:rPr>
        <w:t>’</w:t>
      </w:r>
      <w:r w:rsidRPr="004419DB">
        <w:rPr>
          <w:lang w:val="fr-FR"/>
        </w:rPr>
        <w:t xml:space="preserve">application de lois pénales. Le paragraphe 1 exige que la privation de liberté ne soit pas arbitraire et se déroule dans le respect </w:t>
      </w:r>
      <w:r w:rsidR="00E8235E">
        <w:rPr>
          <w:lang w:val="fr-FR"/>
        </w:rPr>
        <w:t>du droit</w:t>
      </w:r>
      <w:r w:rsidRPr="004419DB">
        <w:rPr>
          <w:lang w:val="fr-FR"/>
        </w:rPr>
        <w:t>.</w:t>
      </w:r>
    </w:p>
    <w:p w:rsidR="004419DB" w:rsidRPr="004419DB" w:rsidRDefault="004419DB" w:rsidP="00E8235E">
      <w:pPr>
        <w:pStyle w:val="ParNoG"/>
        <w:rPr>
          <w:lang w:val="fr-FR"/>
        </w:rPr>
      </w:pPr>
      <w:r w:rsidRPr="004419DB">
        <w:rPr>
          <w:lang w:val="fr-FR"/>
        </w:rPr>
        <w:t>La deuxième phrase du paragraphe 1 interdit l</w:t>
      </w:r>
      <w:r w:rsidR="00F100CC">
        <w:rPr>
          <w:lang w:val="fr-FR"/>
        </w:rPr>
        <w:t>’</w:t>
      </w:r>
      <w:r w:rsidRPr="004419DB">
        <w:rPr>
          <w:lang w:val="fr-FR"/>
        </w:rPr>
        <w:t>arrestation et la détention arbitraires tandis que la troisième phrase interdit la privation de liberté illégale, c</w:t>
      </w:r>
      <w:r w:rsidR="00F100CC">
        <w:rPr>
          <w:lang w:val="fr-FR"/>
        </w:rPr>
        <w:t>’</w:t>
      </w:r>
      <w:r w:rsidRPr="004419DB">
        <w:rPr>
          <w:lang w:val="fr-FR"/>
        </w:rPr>
        <w:t>est-à-dire la privation de liberté qui n</w:t>
      </w:r>
      <w:r w:rsidR="00F100CC">
        <w:rPr>
          <w:lang w:val="fr-FR"/>
        </w:rPr>
        <w:t>’</w:t>
      </w:r>
      <w:r w:rsidRPr="004419DB">
        <w:rPr>
          <w:lang w:val="fr-FR"/>
        </w:rPr>
        <w:t xml:space="preserve">est pas </w:t>
      </w:r>
      <w:r w:rsidR="00E8235E">
        <w:rPr>
          <w:lang w:val="fr-FR"/>
        </w:rPr>
        <w:t>imposée pour les</w:t>
      </w:r>
      <w:r w:rsidRPr="004419DB">
        <w:rPr>
          <w:lang w:val="fr-FR"/>
        </w:rPr>
        <w:t xml:space="preserve"> motifs et </w:t>
      </w:r>
      <w:r w:rsidR="00E8235E">
        <w:rPr>
          <w:lang w:val="fr-FR"/>
        </w:rPr>
        <w:t>selon</w:t>
      </w:r>
      <w:r w:rsidRPr="004419DB">
        <w:rPr>
          <w:lang w:val="fr-FR"/>
        </w:rPr>
        <w:t xml:space="preserve"> la procédure prévus par la loi. Les deux interdictions se chevauchent en ce qu</w:t>
      </w:r>
      <w:r w:rsidR="00F100CC">
        <w:rPr>
          <w:lang w:val="fr-FR"/>
        </w:rPr>
        <w:t>’</w:t>
      </w:r>
      <w:r w:rsidRPr="004419DB">
        <w:rPr>
          <w:lang w:val="fr-FR"/>
        </w:rPr>
        <w:t xml:space="preserve">une arrestation ou une détention peut être en violation de la loi applicable mais </w:t>
      </w:r>
      <w:r w:rsidR="00E8235E">
        <w:rPr>
          <w:lang w:val="fr-FR"/>
        </w:rPr>
        <w:t>ne pas être</w:t>
      </w:r>
      <w:r w:rsidRPr="004419DB">
        <w:rPr>
          <w:lang w:val="fr-FR"/>
        </w:rPr>
        <w:t xml:space="preserve"> arbitraire, ou </w:t>
      </w:r>
      <w:r w:rsidR="00E8235E">
        <w:rPr>
          <w:lang w:val="fr-FR"/>
        </w:rPr>
        <w:t xml:space="preserve">être </w:t>
      </w:r>
      <w:r w:rsidRPr="004419DB">
        <w:rPr>
          <w:lang w:val="fr-FR"/>
        </w:rPr>
        <w:t xml:space="preserve">autorisée par la loi mais </w:t>
      </w:r>
      <w:r w:rsidR="00E8235E">
        <w:rPr>
          <w:lang w:val="fr-FR"/>
        </w:rPr>
        <w:t xml:space="preserve">être </w:t>
      </w:r>
      <w:r w:rsidRPr="004419DB">
        <w:rPr>
          <w:lang w:val="fr-FR"/>
        </w:rPr>
        <w:t>arbitraire, ou encore à la fois arbitraire et illégale. Une arrestation ou une détention qui est effectuée sans fondement juridique est également arbitraire</w:t>
      </w:r>
      <w:r w:rsidR="00E953A8">
        <w:rPr>
          <w:rStyle w:val="FootnoteReference"/>
        </w:rPr>
        <w:footnoteReference w:id="23"/>
      </w:r>
      <w:r w:rsidRPr="004419DB">
        <w:rPr>
          <w:lang w:val="fr-FR"/>
        </w:rPr>
        <w:t>. Le maintien en détention sans autorisation de prisonniers qui ont fini d</w:t>
      </w:r>
      <w:r w:rsidR="00F100CC">
        <w:rPr>
          <w:lang w:val="fr-FR"/>
        </w:rPr>
        <w:t>’</w:t>
      </w:r>
      <w:r w:rsidRPr="004419DB">
        <w:rPr>
          <w:lang w:val="fr-FR"/>
        </w:rPr>
        <w:t>exécuter leur peine est arbitraire aussi bien qu</w:t>
      </w:r>
      <w:r w:rsidR="00F100CC">
        <w:rPr>
          <w:lang w:val="fr-FR"/>
        </w:rPr>
        <w:t>’</w:t>
      </w:r>
      <w:r w:rsidRPr="004419DB">
        <w:rPr>
          <w:lang w:val="fr-FR"/>
        </w:rPr>
        <w:t>illégal</w:t>
      </w:r>
      <w:r w:rsidR="00E953A8">
        <w:rPr>
          <w:rStyle w:val="FootnoteReference"/>
        </w:rPr>
        <w:footnoteReference w:id="24"/>
      </w:r>
      <w:r w:rsidRPr="004419DB">
        <w:rPr>
          <w:lang w:val="fr-FR"/>
        </w:rPr>
        <w:t>; il en va de même de la prolongation sans autorisation d</w:t>
      </w:r>
      <w:r w:rsidR="00F100CC">
        <w:rPr>
          <w:lang w:val="fr-FR"/>
        </w:rPr>
        <w:t>’</w:t>
      </w:r>
      <w:r w:rsidRPr="004419DB">
        <w:rPr>
          <w:lang w:val="fr-FR"/>
        </w:rPr>
        <w:t>autres formes de détention. La poursuite de l</w:t>
      </w:r>
      <w:r w:rsidR="00F100CC">
        <w:rPr>
          <w:lang w:val="fr-FR"/>
        </w:rPr>
        <w:t>’</w:t>
      </w:r>
      <w:r w:rsidRPr="004419DB">
        <w:rPr>
          <w:lang w:val="fr-FR"/>
        </w:rPr>
        <w:t>incarcération d</w:t>
      </w:r>
      <w:r w:rsidR="00F100CC">
        <w:rPr>
          <w:lang w:val="fr-FR"/>
        </w:rPr>
        <w:t>’</w:t>
      </w:r>
      <w:r w:rsidRPr="004419DB">
        <w:rPr>
          <w:lang w:val="fr-FR"/>
        </w:rPr>
        <w:t>un détenu au mépris d</w:t>
      </w:r>
      <w:r w:rsidR="00F100CC">
        <w:rPr>
          <w:lang w:val="fr-FR"/>
        </w:rPr>
        <w:t>’</w:t>
      </w:r>
      <w:r w:rsidRPr="004419DB">
        <w:rPr>
          <w:lang w:val="fr-FR"/>
        </w:rPr>
        <w:t>une décision judiciaire ordonnant sa libération est arbitraire et illégale</w:t>
      </w:r>
      <w:r w:rsidR="00610275">
        <w:rPr>
          <w:rStyle w:val="FootnoteReference"/>
        </w:rPr>
        <w:footnoteReference w:id="25"/>
      </w:r>
      <w:r w:rsidRPr="004419DB">
        <w:rPr>
          <w:lang w:val="fr-FR"/>
        </w:rPr>
        <w:t>.</w:t>
      </w:r>
    </w:p>
    <w:p w:rsidR="004419DB" w:rsidRPr="004419DB" w:rsidRDefault="004419DB" w:rsidP="00610275">
      <w:pPr>
        <w:pStyle w:val="ParNoG"/>
        <w:rPr>
          <w:lang w:val="fr-FR"/>
        </w:rPr>
      </w:pPr>
      <w:r w:rsidRPr="004419DB">
        <w:rPr>
          <w:lang w:val="fr-FR"/>
        </w:rPr>
        <w:t>Une arrestation ou une détention peut être autorisée par la législation interne et être néanmoins arbitraire. L</w:t>
      </w:r>
      <w:r w:rsidR="00F100CC">
        <w:rPr>
          <w:lang w:val="fr-FR"/>
        </w:rPr>
        <w:t>’</w:t>
      </w:r>
      <w:r w:rsidRPr="004419DB">
        <w:rPr>
          <w:lang w:val="fr-FR"/>
        </w:rPr>
        <w:t>adjectif «arbitraire» n</w:t>
      </w:r>
      <w:r w:rsidR="00F100CC">
        <w:rPr>
          <w:lang w:val="fr-FR"/>
        </w:rPr>
        <w:t>’</w:t>
      </w:r>
      <w:r w:rsidRPr="004419DB">
        <w:rPr>
          <w:lang w:val="fr-FR"/>
        </w:rPr>
        <w:t>est pas synonyme de «contraire à la loi» mais doit recevoir une interprétation plus large, intégrant le caractère inapproprié, l</w:t>
      </w:r>
      <w:r w:rsidR="00F100CC">
        <w:rPr>
          <w:lang w:val="fr-FR"/>
        </w:rPr>
        <w:t>’</w:t>
      </w:r>
      <w:r w:rsidRPr="004419DB">
        <w:rPr>
          <w:lang w:val="fr-FR"/>
        </w:rPr>
        <w:t>injustice, le manque de prévisibilité et le non-respect des garanties judiciaires</w:t>
      </w:r>
      <w:r w:rsidR="00610275">
        <w:rPr>
          <w:rStyle w:val="FootnoteReference"/>
        </w:rPr>
        <w:footnoteReference w:id="26"/>
      </w:r>
      <w:r w:rsidRPr="004419DB">
        <w:rPr>
          <w:lang w:val="fr-FR"/>
        </w:rPr>
        <w:t xml:space="preserve">, ainsi que les principes du caractère raisonnable, de la nécessité et de la proportionnalité. </w:t>
      </w:r>
      <w:r w:rsidR="00244E20">
        <w:rPr>
          <w:lang w:val="fr-FR"/>
        </w:rPr>
        <w:t>Par exemple, l</w:t>
      </w:r>
      <w:r w:rsidRPr="004419DB">
        <w:rPr>
          <w:lang w:val="fr-FR"/>
        </w:rPr>
        <w:t>e placement en détention provisoire</w:t>
      </w:r>
      <w:r w:rsidR="00244E20">
        <w:rPr>
          <w:lang w:val="fr-FR"/>
        </w:rPr>
        <w:t xml:space="preserve"> </w:t>
      </w:r>
      <w:r w:rsidRPr="001D5740">
        <w:rPr>
          <w:lang w:val="fr-FR"/>
        </w:rPr>
        <w:t xml:space="preserve">dans une affaire pénale </w:t>
      </w:r>
      <w:r w:rsidRPr="004419DB">
        <w:rPr>
          <w:lang w:val="fr-FR"/>
        </w:rPr>
        <w:t>doit être une mesure raisonnable et nécessaire en toutes circonstances</w:t>
      </w:r>
      <w:r w:rsidR="00244E20">
        <w:rPr>
          <w:rStyle w:val="FootnoteReference"/>
        </w:rPr>
        <w:footnoteReference w:id="27"/>
      </w:r>
      <w:r w:rsidRPr="004419DB">
        <w:rPr>
          <w:lang w:val="fr-FR"/>
        </w:rPr>
        <w:t>. En dehors des peines d</w:t>
      </w:r>
      <w:r w:rsidR="00F100CC">
        <w:rPr>
          <w:lang w:val="fr-FR"/>
        </w:rPr>
        <w:t>’</w:t>
      </w:r>
      <w:r w:rsidRPr="004419DB">
        <w:rPr>
          <w:lang w:val="fr-FR"/>
        </w:rPr>
        <w:t>une durée déterminée prononcées par un tribunal, la décision de maintenir une personne en détention, quelle que soit la forme de cette détention, est arbitraire si les motifs la justifiant ne font pas l</w:t>
      </w:r>
      <w:r w:rsidR="00F100CC">
        <w:rPr>
          <w:lang w:val="fr-FR"/>
        </w:rPr>
        <w:t>’</w:t>
      </w:r>
      <w:r w:rsidRPr="004419DB">
        <w:rPr>
          <w:lang w:val="fr-FR"/>
        </w:rPr>
        <w:t>objet d</w:t>
      </w:r>
      <w:r w:rsidR="00F100CC">
        <w:rPr>
          <w:lang w:val="fr-FR"/>
        </w:rPr>
        <w:t>’</w:t>
      </w:r>
      <w:r w:rsidRPr="004419DB">
        <w:rPr>
          <w:lang w:val="fr-FR"/>
        </w:rPr>
        <w:t>un réexamen périodique</w:t>
      </w:r>
      <w:r w:rsidR="001D5740">
        <w:rPr>
          <w:rStyle w:val="FootnoteReference"/>
        </w:rPr>
        <w:footnoteReference w:id="28"/>
      </w:r>
      <w:r w:rsidRPr="004419DB">
        <w:rPr>
          <w:lang w:val="fr-FR"/>
        </w:rPr>
        <w:t>.</w:t>
      </w:r>
    </w:p>
    <w:p w:rsidR="004419DB" w:rsidRPr="004419DB" w:rsidRDefault="004419DB" w:rsidP="001D5740">
      <w:pPr>
        <w:pStyle w:val="ParNoG"/>
        <w:rPr>
          <w:lang w:val="fr-FR"/>
        </w:rPr>
      </w:pPr>
      <w:r w:rsidRPr="004419DB">
        <w:rPr>
          <w:lang w:val="fr-FR"/>
        </w:rPr>
        <w:t>Le terme «arrestation» désigne l</w:t>
      </w:r>
      <w:r w:rsidR="00F100CC">
        <w:rPr>
          <w:lang w:val="fr-FR"/>
        </w:rPr>
        <w:t>’</w:t>
      </w:r>
      <w:r w:rsidRPr="004419DB">
        <w:rPr>
          <w:lang w:val="fr-FR"/>
        </w:rPr>
        <w:t>interpellation d</w:t>
      </w:r>
      <w:r w:rsidR="00F100CC">
        <w:rPr>
          <w:lang w:val="fr-FR"/>
        </w:rPr>
        <w:t>’</w:t>
      </w:r>
      <w:r w:rsidRPr="004419DB">
        <w:rPr>
          <w:lang w:val="fr-FR"/>
        </w:rPr>
        <w:t>une personne qui constitue le début de la privation de liberté et le terme «détention» désigne la privation de liberté qui commence avec l</w:t>
      </w:r>
      <w:r w:rsidR="00F100CC">
        <w:rPr>
          <w:lang w:val="fr-FR"/>
        </w:rPr>
        <w:t>’</w:t>
      </w:r>
      <w:r w:rsidRPr="004419DB">
        <w:rPr>
          <w:lang w:val="fr-FR"/>
        </w:rPr>
        <w:t>arrestation et dure de l</w:t>
      </w:r>
      <w:r w:rsidR="00F100CC">
        <w:rPr>
          <w:lang w:val="fr-FR"/>
        </w:rPr>
        <w:t>’</w:t>
      </w:r>
      <w:r w:rsidRPr="004419DB">
        <w:rPr>
          <w:lang w:val="fr-FR"/>
        </w:rPr>
        <w:t>interpellation à la remise en liberté</w:t>
      </w:r>
      <w:r w:rsidR="00537E94">
        <w:rPr>
          <w:rStyle w:val="FootnoteReference"/>
        </w:rPr>
        <w:footnoteReference w:id="29"/>
      </w:r>
      <w:r w:rsidRPr="004419DB">
        <w:rPr>
          <w:lang w:val="fr-FR"/>
        </w:rPr>
        <w:t>. Il peut y avoir arrestation au sens de l</w:t>
      </w:r>
      <w:r w:rsidR="00F100CC">
        <w:rPr>
          <w:lang w:val="fr-FR"/>
        </w:rPr>
        <w:t>’</w:t>
      </w:r>
      <w:r w:rsidRPr="004419DB">
        <w:rPr>
          <w:lang w:val="fr-FR"/>
        </w:rPr>
        <w:t>article 9 sans que l</w:t>
      </w:r>
      <w:r w:rsidR="00F100CC">
        <w:rPr>
          <w:lang w:val="fr-FR"/>
        </w:rPr>
        <w:t>’</w:t>
      </w:r>
      <w:r w:rsidRPr="004419DB">
        <w:rPr>
          <w:lang w:val="fr-FR"/>
        </w:rPr>
        <w:t>intéressé soit officiellement arrêté selon la législation nationale</w:t>
      </w:r>
      <w:r w:rsidR="00CE7595">
        <w:rPr>
          <w:rStyle w:val="FootnoteReference"/>
        </w:rPr>
        <w:footnoteReference w:id="30"/>
      </w:r>
      <w:r w:rsidRPr="004419DB">
        <w:rPr>
          <w:lang w:val="fr-FR"/>
        </w:rPr>
        <w:t>. Lorsqu</w:t>
      </w:r>
      <w:r w:rsidR="00F100CC">
        <w:rPr>
          <w:lang w:val="fr-FR"/>
        </w:rPr>
        <w:t>’</w:t>
      </w:r>
      <w:r w:rsidRPr="004419DB">
        <w:rPr>
          <w:lang w:val="fr-FR"/>
        </w:rPr>
        <w:t>une privation de liberté supplémentaire est imposée à une personne qui est déjà en détention, par exemple si une nouvelle charge est retenue contre elle, le début de cette privation de liberté équivaut également à une arrestation</w:t>
      </w:r>
      <w:r w:rsidR="006305F8">
        <w:rPr>
          <w:rStyle w:val="FootnoteReference"/>
        </w:rPr>
        <w:footnoteReference w:id="31"/>
      </w:r>
      <w:r w:rsidRPr="004419DB">
        <w:rPr>
          <w:lang w:val="fr-FR"/>
        </w:rPr>
        <w:t>.</w:t>
      </w:r>
    </w:p>
    <w:p w:rsidR="004419DB" w:rsidRPr="00871538" w:rsidRDefault="004419DB" w:rsidP="006305F8">
      <w:pPr>
        <w:pStyle w:val="ParNoG"/>
        <w:rPr>
          <w:spacing w:val="2"/>
          <w:lang w:val="fr-FR"/>
        </w:rPr>
      </w:pPr>
      <w:r w:rsidRPr="00871538">
        <w:rPr>
          <w:spacing w:val="2"/>
          <w:lang w:val="fr-FR"/>
        </w:rPr>
        <w:t>Le Pacte n</w:t>
      </w:r>
      <w:r w:rsidR="00F100CC">
        <w:rPr>
          <w:spacing w:val="2"/>
          <w:lang w:val="fr-FR"/>
        </w:rPr>
        <w:t>’</w:t>
      </w:r>
      <w:r w:rsidRPr="00871538">
        <w:rPr>
          <w:spacing w:val="2"/>
          <w:lang w:val="fr-FR"/>
        </w:rPr>
        <w:t>énumère pas les motifs légitimes pour lesquels quelqu</w:t>
      </w:r>
      <w:r w:rsidR="00F100CC">
        <w:rPr>
          <w:spacing w:val="2"/>
          <w:lang w:val="fr-FR"/>
        </w:rPr>
        <w:t>’</w:t>
      </w:r>
      <w:r w:rsidRPr="00871538">
        <w:rPr>
          <w:spacing w:val="2"/>
          <w:lang w:val="fr-FR"/>
        </w:rPr>
        <w:t>un peut être privé de liberté. L</w:t>
      </w:r>
      <w:r w:rsidR="00F100CC">
        <w:rPr>
          <w:spacing w:val="2"/>
          <w:lang w:val="fr-FR"/>
        </w:rPr>
        <w:t>’</w:t>
      </w:r>
      <w:r w:rsidRPr="00871538">
        <w:rPr>
          <w:spacing w:val="2"/>
          <w:lang w:val="fr-FR"/>
        </w:rPr>
        <w:t>article 9 reconnaît expressément qu</w:t>
      </w:r>
      <w:r w:rsidR="00F100CC">
        <w:rPr>
          <w:spacing w:val="2"/>
          <w:lang w:val="fr-FR"/>
        </w:rPr>
        <w:t>’</w:t>
      </w:r>
      <w:r w:rsidRPr="00871538">
        <w:rPr>
          <w:spacing w:val="2"/>
          <w:lang w:val="fr-FR"/>
        </w:rPr>
        <w:t>un individu peut être arrêté ou détenu du chef d</w:t>
      </w:r>
      <w:r w:rsidR="00F100CC">
        <w:rPr>
          <w:spacing w:val="2"/>
          <w:lang w:val="fr-FR"/>
        </w:rPr>
        <w:t>’</w:t>
      </w:r>
      <w:r w:rsidRPr="00871538">
        <w:rPr>
          <w:spacing w:val="2"/>
          <w:lang w:val="fr-FR"/>
        </w:rPr>
        <w:t>une infraction pénale et l</w:t>
      </w:r>
      <w:r w:rsidR="00F100CC">
        <w:rPr>
          <w:spacing w:val="2"/>
          <w:lang w:val="fr-FR"/>
        </w:rPr>
        <w:t>’</w:t>
      </w:r>
      <w:r w:rsidRPr="00871538">
        <w:rPr>
          <w:spacing w:val="2"/>
          <w:lang w:val="fr-FR"/>
        </w:rPr>
        <w:t>article 11 interdit expressément l</w:t>
      </w:r>
      <w:r w:rsidR="00F100CC">
        <w:rPr>
          <w:spacing w:val="2"/>
          <w:lang w:val="fr-FR"/>
        </w:rPr>
        <w:t>’</w:t>
      </w:r>
      <w:r w:rsidRPr="00871538">
        <w:rPr>
          <w:spacing w:val="2"/>
          <w:lang w:val="fr-FR"/>
        </w:rPr>
        <w:t>emprisonnement pour incapacité d</w:t>
      </w:r>
      <w:r w:rsidR="00F100CC">
        <w:rPr>
          <w:spacing w:val="2"/>
          <w:lang w:val="fr-FR"/>
        </w:rPr>
        <w:t>’</w:t>
      </w:r>
      <w:r w:rsidRPr="00871538">
        <w:rPr>
          <w:spacing w:val="2"/>
          <w:lang w:val="fr-FR"/>
        </w:rPr>
        <w:t>exécuter une obligation contractuelle</w:t>
      </w:r>
      <w:r w:rsidR="006305F8" w:rsidRPr="00871538">
        <w:rPr>
          <w:rStyle w:val="FootnoteReference"/>
          <w:spacing w:val="2"/>
        </w:rPr>
        <w:footnoteReference w:id="32"/>
      </w:r>
      <w:r w:rsidRPr="00871538">
        <w:rPr>
          <w:spacing w:val="2"/>
          <w:lang w:val="fr-FR"/>
        </w:rPr>
        <w:t>. Les autres régimes qui impliquent une privation de liberté doivent être établis par la loi et doivent être accompagnés de procédures qui empêchent la détention arbitraire. Les motifs et les procédures prévus par la loi ne doivent pas porter atteinte au droit à la liberté de la personne</w:t>
      </w:r>
      <w:r w:rsidR="009765A8" w:rsidRPr="00871538">
        <w:rPr>
          <w:rStyle w:val="FootnoteReference"/>
          <w:spacing w:val="2"/>
        </w:rPr>
        <w:footnoteReference w:id="33"/>
      </w:r>
      <w:r w:rsidRPr="00871538">
        <w:rPr>
          <w:spacing w:val="2"/>
          <w:lang w:val="fr-FR"/>
        </w:rPr>
        <w:t>. Le régime de détention ne doit pas constituer un dépassement des limites du système de justice pénale en prévoyant l</w:t>
      </w:r>
      <w:r w:rsidR="00F100CC">
        <w:rPr>
          <w:spacing w:val="2"/>
          <w:lang w:val="fr-FR"/>
        </w:rPr>
        <w:t>’</w:t>
      </w:r>
      <w:r w:rsidRPr="00871538">
        <w:rPr>
          <w:spacing w:val="2"/>
          <w:lang w:val="fr-FR"/>
        </w:rPr>
        <w:t>équivalent d</w:t>
      </w:r>
      <w:r w:rsidR="00F100CC">
        <w:rPr>
          <w:spacing w:val="2"/>
          <w:lang w:val="fr-FR"/>
        </w:rPr>
        <w:t>’</w:t>
      </w:r>
      <w:r w:rsidRPr="00871538">
        <w:rPr>
          <w:spacing w:val="2"/>
          <w:lang w:val="fr-FR"/>
        </w:rPr>
        <w:t xml:space="preserve">une peine </w:t>
      </w:r>
      <w:r w:rsidR="00E67CAD" w:rsidRPr="00871538">
        <w:rPr>
          <w:spacing w:val="2"/>
          <w:lang w:val="fr-FR"/>
        </w:rPr>
        <w:t>criminelle</w:t>
      </w:r>
      <w:r w:rsidRPr="00871538">
        <w:rPr>
          <w:spacing w:val="2"/>
          <w:lang w:val="fr-FR"/>
        </w:rPr>
        <w:t xml:space="preserve"> sans application des garanties prévues</w:t>
      </w:r>
      <w:r w:rsidR="00E67CAD" w:rsidRPr="00871538">
        <w:rPr>
          <w:rStyle w:val="FootnoteReference"/>
          <w:spacing w:val="2"/>
        </w:rPr>
        <w:footnoteReference w:id="34"/>
      </w:r>
      <w:r w:rsidRPr="00871538">
        <w:rPr>
          <w:spacing w:val="2"/>
          <w:lang w:val="fr-FR"/>
        </w:rPr>
        <w:t>. Les conditions de détention sont traitées principalement aux articles 7 et 10 mais la détention peut être arbitraire si la manière dont les détenus sont traités ne correspond pas au but affiché de la privation de liberté</w:t>
      </w:r>
      <w:r w:rsidR="00E67CAD" w:rsidRPr="00871538">
        <w:rPr>
          <w:rStyle w:val="FootnoteReference"/>
          <w:spacing w:val="2"/>
        </w:rPr>
        <w:footnoteReference w:id="35"/>
      </w:r>
      <w:r w:rsidRPr="00871538">
        <w:rPr>
          <w:spacing w:val="2"/>
          <w:lang w:val="fr-FR"/>
        </w:rPr>
        <w:t>. Prononcer une peine draconienne pour outrage à magistrat, sans explication suffisante ni garantie</w:t>
      </w:r>
      <w:r w:rsidR="00FE1B8A" w:rsidRPr="00871538">
        <w:rPr>
          <w:spacing w:val="2"/>
          <w:lang w:val="fr-FR"/>
        </w:rPr>
        <w:t>s</w:t>
      </w:r>
      <w:r w:rsidRPr="00871538">
        <w:rPr>
          <w:spacing w:val="2"/>
          <w:lang w:val="fr-FR"/>
        </w:rPr>
        <w:t xml:space="preserve"> indépendante</w:t>
      </w:r>
      <w:r w:rsidR="00FE1B8A" w:rsidRPr="00871538">
        <w:rPr>
          <w:spacing w:val="2"/>
          <w:lang w:val="fr-FR"/>
        </w:rPr>
        <w:t>s</w:t>
      </w:r>
      <w:r w:rsidRPr="00871538">
        <w:rPr>
          <w:spacing w:val="2"/>
          <w:lang w:val="fr-FR"/>
        </w:rPr>
        <w:t xml:space="preserve"> de procédure, est arbitraire</w:t>
      </w:r>
      <w:r w:rsidR="00FE1B8A" w:rsidRPr="00871538">
        <w:rPr>
          <w:rStyle w:val="FootnoteReference"/>
          <w:spacing w:val="2"/>
        </w:rPr>
        <w:footnoteReference w:id="36"/>
      </w:r>
      <w:r w:rsidRPr="00871538">
        <w:rPr>
          <w:spacing w:val="2"/>
          <w:lang w:val="fr-FR"/>
        </w:rPr>
        <w:t>.</w:t>
      </w:r>
    </w:p>
    <w:p w:rsidR="00C42A26" w:rsidRDefault="004419DB" w:rsidP="004419DB">
      <w:pPr>
        <w:pStyle w:val="ParNoG"/>
        <w:rPr>
          <w:lang w:val="fr-FR"/>
        </w:rPr>
      </w:pPr>
      <w:r w:rsidRPr="00C42A26">
        <w:rPr>
          <w:lang w:val="fr-FR"/>
        </w:rPr>
        <w:t>Dans la mesure où les États parties imposent une détention pour raisons de sécurité (parfois appelée détention administrative ou internement administratif) sans lien avec l</w:t>
      </w:r>
      <w:r w:rsidR="00F100CC">
        <w:rPr>
          <w:lang w:val="fr-FR"/>
        </w:rPr>
        <w:t>’</w:t>
      </w:r>
      <w:r w:rsidRPr="00C42A26">
        <w:rPr>
          <w:lang w:val="fr-FR"/>
        </w:rPr>
        <w:t>ouverture de poursuites pénales</w:t>
      </w:r>
      <w:r w:rsidR="000A3B73">
        <w:rPr>
          <w:rStyle w:val="FootnoteReference"/>
        </w:rPr>
        <w:footnoteReference w:id="37"/>
      </w:r>
      <w:r w:rsidRPr="00C42A26">
        <w:rPr>
          <w:lang w:val="fr-FR"/>
        </w:rPr>
        <w:t>, le Comité considère que cette forme de détention emporte de graves risques de privation arbitraire de liberté</w:t>
      </w:r>
      <w:r w:rsidR="007D0AA1">
        <w:rPr>
          <w:rStyle w:val="FootnoteReference"/>
        </w:rPr>
        <w:footnoteReference w:id="38"/>
      </w:r>
      <w:r w:rsidRPr="00C42A26">
        <w:rPr>
          <w:lang w:val="fr-FR"/>
        </w:rPr>
        <w:t>. Une telle détention équivaut généralement à une détention arbitraire étant donné que d</w:t>
      </w:r>
      <w:r w:rsidR="00F100CC">
        <w:rPr>
          <w:lang w:val="fr-FR"/>
        </w:rPr>
        <w:t>’</w:t>
      </w:r>
      <w:r w:rsidRPr="00C42A26">
        <w:rPr>
          <w:lang w:val="fr-FR"/>
        </w:rPr>
        <w:t xml:space="preserve">autres </w:t>
      </w:r>
      <w:r w:rsidR="00422B19" w:rsidRPr="00C42A26">
        <w:rPr>
          <w:lang w:val="fr-FR"/>
        </w:rPr>
        <w:t>dispositifs</w:t>
      </w:r>
      <w:r w:rsidRPr="00C42A26">
        <w:rPr>
          <w:lang w:val="fr-FR"/>
        </w:rPr>
        <w:t xml:space="preserve"> efficaces, notamment le système de justice pénale, sont disponibles pour faire face à la menace. Si</w:t>
      </w:r>
      <w:r w:rsidR="00422B19" w:rsidRPr="00C42A26">
        <w:rPr>
          <w:lang w:val="fr-FR"/>
        </w:rPr>
        <w:t>,</w:t>
      </w:r>
      <w:r w:rsidRPr="00C42A26">
        <w:rPr>
          <w:lang w:val="fr-FR"/>
        </w:rPr>
        <w:t xml:space="preserve"> dans des circonstances tout à fait exceptionnelles, une menace immédiate, directe et inévitable est invoquée pour justifier la détention d</w:t>
      </w:r>
      <w:r w:rsidR="00F100CC">
        <w:rPr>
          <w:lang w:val="fr-FR"/>
        </w:rPr>
        <w:t>’</w:t>
      </w:r>
      <w:r w:rsidRPr="00C42A26">
        <w:rPr>
          <w:lang w:val="fr-FR"/>
        </w:rPr>
        <w:t>une personne considérée co</w:t>
      </w:r>
      <w:r w:rsidR="00422B19" w:rsidRPr="00C42A26">
        <w:rPr>
          <w:lang w:val="fr-FR"/>
        </w:rPr>
        <w:t>mme présentant une telle menace</w:t>
      </w:r>
      <w:r w:rsidRPr="00C42A26">
        <w:rPr>
          <w:lang w:val="fr-FR"/>
        </w:rPr>
        <w:t xml:space="preserve"> la charge de la preuve incombe à l</w:t>
      </w:r>
      <w:r w:rsidR="00F100CC">
        <w:rPr>
          <w:lang w:val="fr-FR"/>
        </w:rPr>
        <w:t>’</w:t>
      </w:r>
      <w:r w:rsidRPr="00C42A26">
        <w:rPr>
          <w:lang w:val="fr-FR"/>
        </w:rPr>
        <w:t>État partie, qui doit montrer que la menace émane de l</w:t>
      </w:r>
      <w:r w:rsidR="00F100CC">
        <w:rPr>
          <w:lang w:val="fr-FR"/>
        </w:rPr>
        <w:t>’</w:t>
      </w:r>
      <w:r w:rsidRPr="00C42A26">
        <w:rPr>
          <w:lang w:val="fr-FR"/>
        </w:rPr>
        <w:t>individu visé et qu</w:t>
      </w:r>
      <w:r w:rsidR="00F100CC">
        <w:rPr>
          <w:lang w:val="fr-FR"/>
        </w:rPr>
        <w:t>’</w:t>
      </w:r>
      <w:r w:rsidRPr="00C42A26">
        <w:rPr>
          <w:lang w:val="fr-FR"/>
        </w:rPr>
        <w:t>aucune autre mesure ne peut être prise, et cette charge augmente avec la durée de la détention. L</w:t>
      </w:r>
      <w:r w:rsidR="00F100CC">
        <w:rPr>
          <w:lang w:val="fr-FR"/>
        </w:rPr>
        <w:t>’</w:t>
      </w:r>
      <w:r w:rsidRPr="00C42A26">
        <w:rPr>
          <w:lang w:val="fr-FR"/>
        </w:rPr>
        <w:t>État partie doit aussi montrer que la détention ne dure pas plus de temps qu</w:t>
      </w:r>
      <w:r w:rsidR="00F100CC">
        <w:rPr>
          <w:lang w:val="fr-FR"/>
        </w:rPr>
        <w:t>’</w:t>
      </w:r>
      <w:r w:rsidRPr="00C42A26">
        <w:rPr>
          <w:lang w:val="fr-FR"/>
        </w:rPr>
        <w:t>il n</w:t>
      </w:r>
      <w:r w:rsidR="00F100CC">
        <w:rPr>
          <w:lang w:val="fr-FR"/>
        </w:rPr>
        <w:t>’</w:t>
      </w:r>
      <w:r w:rsidRPr="00C42A26">
        <w:rPr>
          <w:lang w:val="fr-FR"/>
        </w:rPr>
        <w:t>est absolument nécessaire, que la durée totale de la détention possible est limitée et que les garanties prévues à l</w:t>
      </w:r>
      <w:r w:rsidR="00F100CC">
        <w:rPr>
          <w:lang w:val="fr-FR"/>
        </w:rPr>
        <w:t>’</w:t>
      </w:r>
      <w:r w:rsidRPr="00C42A26">
        <w:rPr>
          <w:lang w:val="fr-FR"/>
        </w:rPr>
        <w:t>article 9 sont pleinement respectées dans tous les cas. Un réexamen rapide et</w:t>
      </w:r>
      <w:r w:rsidR="00C42A26" w:rsidRPr="00C42A26">
        <w:rPr>
          <w:lang w:val="fr-FR"/>
        </w:rPr>
        <w:t xml:space="preserve"> régulier par un tribunal ou un</w:t>
      </w:r>
      <w:r w:rsidRPr="00C42A26">
        <w:rPr>
          <w:lang w:val="fr-FR"/>
        </w:rPr>
        <w:t xml:space="preserve"> autre </w:t>
      </w:r>
      <w:r w:rsidR="00C42A26" w:rsidRPr="00C42A26">
        <w:rPr>
          <w:lang w:val="fr-FR"/>
        </w:rPr>
        <w:t>organ</w:t>
      </w:r>
      <w:r w:rsidRPr="00C42A26">
        <w:rPr>
          <w:lang w:val="fr-FR"/>
        </w:rPr>
        <w:t>e répondant aux mêmes critères d</w:t>
      </w:r>
      <w:r w:rsidR="00F100CC">
        <w:rPr>
          <w:lang w:val="fr-FR"/>
        </w:rPr>
        <w:t>’</w:t>
      </w:r>
      <w:r w:rsidRPr="00C42A26">
        <w:rPr>
          <w:lang w:val="fr-FR"/>
        </w:rPr>
        <w:t>indépendance et d</w:t>
      </w:r>
      <w:r w:rsidR="00F100CC">
        <w:rPr>
          <w:lang w:val="fr-FR"/>
        </w:rPr>
        <w:t>’</w:t>
      </w:r>
      <w:r w:rsidRPr="00C42A26">
        <w:rPr>
          <w:lang w:val="fr-FR"/>
        </w:rPr>
        <w:t>impartialité que les organes judiciaires est nécessaire pour garantir le respect de ces conditions, de même que l</w:t>
      </w:r>
      <w:r w:rsidR="00F100CC">
        <w:rPr>
          <w:lang w:val="fr-FR"/>
        </w:rPr>
        <w:t>’</w:t>
      </w:r>
      <w:r w:rsidRPr="00C42A26">
        <w:rPr>
          <w:lang w:val="fr-FR"/>
        </w:rPr>
        <w:t xml:space="preserve">accès à un conseil indépendant, de préférence choisi par le détenu, et la communication au détenu, au minimum, de la </w:t>
      </w:r>
      <w:r w:rsidR="00C42A26" w:rsidRPr="00C42A26">
        <w:rPr>
          <w:lang w:val="fr-FR"/>
        </w:rPr>
        <w:t>natu</w:t>
      </w:r>
      <w:r w:rsidRPr="00C42A26">
        <w:rPr>
          <w:lang w:val="fr-FR"/>
        </w:rPr>
        <w:t>r</w:t>
      </w:r>
      <w:r w:rsidR="00C42A26" w:rsidRPr="00C42A26">
        <w:rPr>
          <w:lang w:val="fr-FR"/>
        </w:rPr>
        <w:t>e</w:t>
      </w:r>
      <w:r w:rsidRPr="00C42A26">
        <w:rPr>
          <w:lang w:val="fr-FR"/>
        </w:rPr>
        <w:t xml:space="preserve"> des preuves sur lesquelles la décision est fondée</w:t>
      </w:r>
      <w:r w:rsidR="00ED46BC">
        <w:rPr>
          <w:rStyle w:val="FootnoteReference"/>
        </w:rPr>
        <w:footnoteReference w:id="39"/>
      </w:r>
      <w:r w:rsidR="00ED46BC">
        <w:rPr>
          <w:lang w:val="fr-FR"/>
        </w:rPr>
        <w:t>.</w:t>
      </w:r>
    </w:p>
    <w:p w:rsidR="004419DB" w:rsidRPr="00C42A26" w:rsidRDefault="004419DB" w:rsidP="007320D5">
      <w:pPr>
        <w:pStyle w:val="ParNoG"/>
        <w:rPr>
          <w:lang w:val="fr-FR"/>
        </w:rPr>
      </w:pPr>
      <w:r w:rsidRPr="00C42A26">
        <w:rPr>
          <w:lang w:val="fr-FR"/>
        </w:rPr>
        <w:t>Des exemples flagrants de détention arbitraire sont la détention de membres de la famille d</w:t>
      </w:r>
      <w:r w:rsidR="00F100CC">
        <w:rPr>
          <w:lang w:val="fr-FR"/>
        </w:rPr>
        <w:t>’</w:t>
      </w:r>
      <w:r w:rsidRPr="00C42A26">
        <w:rPr>
          <w:lang w:val="fr-FR"/>
        </w:rPr>
        <w:t>un criminel présumé qui ne sont pas eux-mêmes accusés d</w:t>
      </w:r>
      <w:r w:rsidR="00F100CC">
        <w:rPr>
          <w:lang w:val="fr-FR"/>
        </w:rPr>
        <w:t>’</w:t>
      </w:r>
      <w:r w:rsidRPr="00C42A26">
        <w:rPr>
          <w:lang w:val="fr-FR"/>
        </w:rPr>
        <w:t>actes répréhensibles, la prise d</w:t>
      </w:r>
      <w:r w:rsidR="00F100CC">
        <w:rPr>
          <w:lang w:val="fr-FR"/>
        </w:rPr>
        <w:t>’</w:t>
      </w:r>
      <w:r w:rsidRPr="00C42A26">
        <w:rPr>
          <w:lang w:val="fr-FR"/>
        </w:rPr>
        <w:t>otages et l</w:t>
      </w:r>
      <w:r w:rsidR="00F100CC">
        <w:rPr>
          <w:lang w:val="fr-FR"/>
        </w:rPr>
        <w:t>’</w:t>
      </w:r>
      <w:r w:rsidRPr="00C42A26">
        <w:rPr>
          <w:lang w:val="fr-FR"/>
        </w:rPr>
        <w:t>arrestation à des fins d</w:t>
      </w:r>
      <w:r w:rsidR="00F100CC">
        <w:rPr>
          <w:lang w:val="fr-FR"/>
        </w:rPr>
        <w:t>’</w:t>
      </w:r>
      <w:r w:rsidRPr="00C42A26">
        <w:rPr>
          <w:lang w:val="fr-FR"/>
        </w:rPr>
        <w:t>extorsion ou à d</w:t>
      </w:r>
      <w:r w:rsidR="00F100CC">
        <w:rPr>
          <w:lang w:val="fr-FR"/>
        </w:rPr>
        <w:t>’</w:t>
      </w:r>
      <w:r w:rsidRPr="00C42A26">
        <w:rPr>
          <w:lang w:val="fr-FR"/>
        </w:rPr>
        <w:t>autres fins criminelles</w:t>
      </w:r>
      <w:r w:rsidR="00FE1B8A" w:rsidRPr="00C42A26">
        <w:rPr>
          <w:lang w:val="fr-FR"/>
        </w:rPr>
        <w:t>.</w:t>
      </w:r>
    </w:p>
    <w:p w:rsidR="004419DB" w:rsidRPr="004419DB" w:rsidRDefault="004419DB" w:rsidP="007320D5">
      <w:pPr>
        <w:pStyle w:val="ParNoG"/>
        <w:rPr>
          <w:lang w:val="fr-FR"/>
        </w:rPr>
      </w:pPr>
      <w:r w:rsidRPr="004419DB">
        <w:rPr>
          <w:lang w:val="fr-FR"/>
        </w:rPr>
        <w:t>Il y a arbitraire si l</w:t>
      </w:r>
      <w:r w:rsidR="00F100CC">
        <w:rPr>
          <w:lang w:val="fr-FR"/>
        </w:rPr>
        <w:t>’</w:t>
      </w:r>
      <w:r w:rsidRPr="004419DB">
        <w:rPr>
          <w:lang w:val="fr-FR"/>
        </w:rPr>
        <w:t>arrestation ou la détention vise à sanctionner quelqu</w:t>
      </w:r>
      <w:r w:rsidR="00F100CC">
        <w:rPr>
          <w:lang w:val="fr-FR"/>
        </w:rPr>
        <w:t>’</w:t>
      </w:r>
      <w:r w:rsidRPr="004419DB">
        <w:rPr>
          <w:lang w:val="fr-FR"/>
        </w:rPr>
        <w:t>un pour l</w:t>
      </w:r>
      <w:r w:rsidR="00F100CC">
        <w:rPr>
          <w:lang w:val="fr-FR"/>
        </w:rPr>
        <w:t>’</w:t>
      </w:r>
      <w:r w:rsidRPr="004419DB">
        <w:rPr>
          <w:lang w:val="fr-FR"/>
        </w:rPr>
        <w:t>exercice légitime des droits protégés par le Pacte, comme le droit à la liberté d</w:t>
      </w:r>
      <w:r w:rsidR="00F100CC">
        <w:rPr>
          <w:lang w:val="fr-FR"/>
        </w:rPr>
        <w:t>’</w:t>
      </w:r>
      <w:r w:rsidRPr="004419DB">
        <w:rPr>
          <w:lang w:val="fr-FR"/>
        </w:rPr>
        <w:t>opinion et d</w:t>
      </w:r>
      <w:r w:rsidR="00F100CC">
        <w:rPr>
          <w:lang w:val="fr-FR"/>
        </w:rPr>
        <w:t>’</w:t>
      </w:r>
      <w:r w:rsidRPr="004419DB">
        <w:rPr>
          <w:lang w:val="fr-FR"/>
        </w:rPr>
        <w:t>expression (art. 19)</w:t>
      </w:r>
      <w:r w:rsidR="007320D5">
        <w:rPr>
          <w:rStyle w:val="FootnoteReference"/>
        </w:rPr>
        <w:footnoteReference w:id="40"/>
      </w:r>
      <w:r w:rsidRPr="004419DB">
        <w:rPr>
          <w:lang w:val="fr-FR"/>
        </w:rPr>
        <w:t>, la liberté de réunion (art. 21), la liberté d</w:t>
      </w:r>
      <w:r w:rsidR="00F100CC">
        <w:rPr>
          <w:lang w:val="fr-FR"/>
        </w:rPr>
        <w:t>’</w:t>
      </w:r>
      <w:r w:rsidRPr="004419DB">
        <w:rPr>
          <w:lang w:val="fr-FR"/>
        </w:rPr>
        <w:t xml:space="preserve">association (art. 22), la liberté de religion (art. 18) et le droit au respect de la vie privée (art. 17). Une arrestation ou une détention fondée sur des motifs discriminatoires, en violation des articles 2 (par. 1), 3 ou 26, est elle aussi </w:t>
      </w:r>
      <w:r w:rsidRPr="004419DB" w:rsidDel="00D16F7E">
        <w:rPr>
          <w:lang w:val="fr-FR"/>
        </w:rPr>
        <w:t xml:space="preserve">en principe </w:t>
      </w:r>
      <w:r w:rsidRPr="004419DB">
        <w:rPr>
          <w:lang w:val="fr-FR"/>
        </w:rPr>
        <w:t>arbitraire</w:t>
      </w:r>
      <w:r w:rsidR="00BC1A29">
        <w:rPr>
          <w:rStyle w:val="FootnoteReference"/>
        </w:rPr>
        <w:footnoteReference w:id="41"/>
      </w:r>
      <w:r w:rsidRPr="004419DB">
        <w:rPr>
          <w:lang w:val="fr-FR"/>
        </w:rPr>
        <w:t>. Une peine rétroactive sous la forme d</w:t>
      </w:r>
      <w:r w:rsidR="00F100CC">
        <w:rPr>
          <w:lang w:val="fr-FR"/>
        </w:rPr>
        <w:t>’</w:t>
      </w:r>
      <w:r w:rsidRPr="004419DB">
        <w:rPr>
          <w:lang w:val="fr-FR"/>
        </w:rPr>
        <w:t>un placement en détention en violation de l</w:t>
      </w:r>
      <w:r w:rsidR="00F100CC">
        <w:rPr>
          <w:lang w:val="fr-FR"/>
        </w:rPr>
        <w:t>’</w:t>
      </w:r>
      <w:r w:rsidRPr="004419DB">
        <w:rPr>
          <w:lang w:val="fr-FR"/>
        </w:rPr>
        <w:t>article 15 constitue une détention arbitraire</w:t>
      </w:r>
      <w:r w:rsidR="00660136">
        <w:rPr>
          <w:rStyle w:val="FootnoteReference"/>
        </w:rPr>
        <w:footnoteReference w:id="42"/>
      </w:r>
      <w:r w:rsidRPr="004419DB">
        <w:rPr>
          <w:lang w:val="fr-FR"/>
        </w:rPr>
        <w:t>. Les disparitions forcées portent atteinte à de nombreuses règles de fond et de procédure du Pacte et constituent également une forme particulièrement grave de détention arbitraire. L</w:t>
      </w:r>
      <w:r w:rsidR="00F100CC">
        <w:rPr>
          <w:lang w:val="fr-FR"/>
        </w:rPr>
        <w:t>’</w:t>
      </w:r>
      <w:r w:rsidRPr="004419DB">
        <w:rPr>
          <w:lang w:val="fr-FR"/>
        </w:rPr>
        <w:t>emprisonnement à l</w:t>
      </w:r>
      <w:r w:rsidR="00F100CC">
        <w:rPr>
          <w:lang w:val="fr-FR"/>
        </w:rPr>
        <w:t>’</w:t>
      </w:r>
      <w:r w:rsidRPr="004419DB">
        <w:rPr>
          <w:lang w:val="fr-FR"/>
        </w:rPr>
        <w:t>issue d</w:t>
      </w:r>
      <w:r w:rsidR="00F100CC">
        <w:rPr>
          <w:lang w:val="fr-FR"/>
        </w:rPr>
        <w:t>’</w:t>
      </w:r>
      <w:r w:rsidRPr="004419DB">
        <w:rPr>
          <w:lang w:val="fr-FR"/>
        </w:rPr>
        <w:t>un procès manifestement inéquitable est arbitraire, mais toutes les violations des garanties de procédure expressément prévues à l</w:t>
      </w:r>
      <w:r w:rsidR="00F100CC">
        <w:rPr>
          <w:lang w:val="fr-FR"/>
        </w:rPr>
        <w:t>’</w:t>
      </w:r>
      <w:r w:rsidRPr="004419DB">
        <w:rPr>
          <w:lang w:val="fr-FR"/>
        </w:rPr>
        <w:t>article 14 pour les personnes accusées d</w:t>
      </w:r>
      <w:r w:rsidR="00F100CC">
        <w:rPr>
          <w:lang w:val="fr-FR"/>
        </w:rPr>
        <w:t>’</w:t>
      </w:r>
      <w:r w:rsidRPr="004419DB">
        <w:rPr>
          <w:lang w:val="fr-FR"/>
        </w:rPr>
        <w:t>une infraction pénale ne constituent pas une détention arbitraire</w:t>
      </w:r>
      <w:r w:rsidR="00720A06">
        <w:rPr>
          <w:rStyle w:val="FootnoteReference"/>
        </w:rPr>
        <w:footnoteReference w:id="43"/>
      </w:r>
      <w:r w:rsidRPr="004419DB">
        <w:rPr>
          <w:lang w:val="fr-FR"/>
        </w:rPr>
        <w:t>.</w:t>
      </w:r>
    </w:p>
    <w:p w:rsidR="004419DB" w:rsidRPr="004419DB" w:rsidRDefault="004419DB" w:rsidP="006B1E89">
      <w:pPr>
        <w:pStyle w:val="ParNoG"/>
        <w:rPr>
          <w:lang w:val="fr-FR"/>
        </w:rPr>
      </w:pPr>
      <w:r w:rsidRPr="004419DB">
        <w:rPr>
          <w:lang w:val="fr-FR"/>
        </w:rPr>
        <w:t>La détention pendant une procédure aux fins de contrôle de l</w:t>
      </w:r>
      <w:r w:rsidR="00F100CC">
        <w:rPr>
          <w:lang w:val="fr-FR"/>
        </w:rPr>
        <w:t>’</w:t>
      </w:r>
      <w:r w:rsidRPr="004419DB">
        <w:rPr>
          <w:lang w:val="fr-FR"/>
        </w:rPr>
        <w:t>immigration n</w:t>
      </w:r>
      <w:r w:rsidR="00F100CC">
        <w:rPr>
          <w:lang w:val="fr-FR"/>
        </w:rPr>
        <w:t>’</w:t>
      </w:r>
      <w:r w:rsidRPr="004419DB">
        <w:rPr>
          <w:lang w:val="fr-FR"/>
        </w:rPr>
        <w:t xml:space="preserve">est pas en soi arbitraire mais </w:t>
      </w:r>
      <w:r w:rsidR="006B1E89">
        <w:rPr>
          <w:lang w:val="fr-FR"/>
        </w:rPr>
        <w:t xml:space="preserve">elle </w:t>
      </w:r>
      <w:r w:rsidRPr="004419DB">
        <w:rPr>
          <w:lang w:val="fr-FR"/>
        </w:rPr>
        <w:t>doit être justifiée, raisonnable, nécessaire et proportionnée compte tenu de toutes les circonstances, et la mesure doit être réévaluée si elle se poursuit</w:t>
      </w:r>
      <w:r w:rsidR="006B1E89">
        <w:rPr>
          <w:rStyle w:val="FootnoteReference"/>
        </w:rPr>
        <w:footnoteReference w:id="44"/>
      </w:r>
      <w:r w:rsidRPr="004419DB">
        <w:rPr>
          <w:lang w:val="fr-FR"/>
        </w:rPr>
        <w:t>. Les demandeurs d</w:t>
      </w:r>
      <w:r w:rsidR="00F100CC">
        <w:rPr>
          <w:lang w:val="fr-FR"/>
        </w:rPr>
        <w:t>’</w:t>
      </w:r>
      <w:r w:rsidRPr="004419DB">
        <w:rPr>
          <w:lang w:val="fr-FR"/>
        </w:rPr>
        <w:t>asile qui entrent illégalement sur le territoire d</w:t>
      </w:r>
      <w:r w:rsidR="00F100CC">
        <w:rPr>
          <w:lang w:val="fr-FR"/>
        </w:rPr>
        <w:t>’</w:t>
      </w:r>
      <w:r w:rsidRPr="004419DB">
        <w:rPr>
          <w:lang w:val="fr-FR"/>
        </w:rPr>
        <w:t>un État partie peuvent être placés en rétention pendant une brève période initiale, le temps de vérifier leur entrée, d</w:t>
      </w:r>
      <w:r w:rsidR="00F100CC">
        <w:rPr>
          <w:lang w:val="fr-FR"/>
        </w:rPr>
        <w:t>’</w:t>
      </w:r>
      <w:r w:rsidRPr="004419DB">
        <w:rPr>
          <w:lang w:val="fr-FR"/>
        </w:rPr>
        <w:t>enregistrer leurs griefs et de déterminer leur identité si elle est douteuse</w:t>
      </w:r>
      <w:r w:rsidR="005C0966">
        <w:rPr>
          <w:rStyle w:val="FootnoteReference"/>
        </w:rPr>
        <w:footnoteReference w:id="45"/>
      </w:r>
      <w:r w:rsidRPr="004419DB">
        <w:rPr>
          <w:lang w:val="fr-FR"/>
        </w:rPr>
        <w:t>. Les maintenir en détention pendant que leur demande est examinée serait arbitraire en l</w:t>
      </w:r>
      <w:r w:rsidR="00F100CC">
        <w:rPr>
          <w:lang w:val="fr-FR"/>
        </w:rPr>
        <w:t>’</w:t>
      </w:r>
      <w:r w:rsidRPr="004419DB">
        <w:rPr>
          <w:lang w:val="fr-FR"/>
        </w:rPr>
        <w:t>absence de raisons particulières propres à l</w:t>
      </w:r>
      <w:r w:rsidR="00F100CC">
        <w:rPr>
          <w:lang w:val="fr-FR"/>
        </w:rPr>
        <w:t>’</w:t>
      </w:r>
      <w:r w:rsidRPr="004419DB">
        <w:rPr>
          <w:lang w:val="fr-FR"/>
        </w:rPr>
        <w:t>individu, comme un risque de fuite de l</w:t>
      </w:r>
      <w:r w:rsidR="00F100CC">
        <w:rPr>
          <w:lang w:val="fr-FR"/>
        </w:rPr>
        <w:t>’</w:t>
      </w:r>
      <w:r w:rsidRPr="004419DB">
        <w:rPr>
          <w:lang w:val="fr-FR"/>
        </w:rPr>
        <w:t>intéressé, le danger d</w:t>
      </w:r>
      <w:r w:rsidR="00F100CC">
        <w:rPr>
          <w:lang w:val="fr-FR"/>
        </w:rPr>
        <w:t>’</w:t>
      </w:r>
      <w:r w:rsidRPr="004419DB">
        <w:rPr>
          <w:lang w:val="fr-FR"/>
        </w:rPr>
        <w:t>atteinte à autrui ou un risque d</w:t>
      </w:r>
      <w:r w:rsidR="00F100CC">
        <w:rPr>
          <w:lang w:val="fr-FR"/>
        </w:rPr>
        <w:t>’</w:t>
      </w:r>
      <w:r w:rsidRPr="004419DB">
        <w:rPr>
          <w:lang w:val="fr-FR"/>
        </w:rPr>
        <w:t>acte contre la sécurité nationale</w:t>
      </w:r>
      <w:r w:rsidR="005C0966">
        <w:rPr>
          <w:rStyle w:val="FootnoteReference"/>
        </w:rPr>
        <w:footnoteReference w:id="46"/>
      </w:r>
      <w:r w:rsidRPr="004419DB">
        <w:rPr>
          <w:lang w:val="fr-FR"/>
        </w:rPr>
        <w:t>. Il faut étudier les éléments utiles au cas par cas et ne pas fonder la décision sur une règle obligatoire applicable à une vaste catégorie de personnes; il faut tenir compte de moyens moins drastiques d</w:t>
      </w:r>
      <w:r w:rsidR="00F100CC">
        <w:rPr>
          <w:lang w:val="fr-FR"/>
        </w:rPr>
        <w:t>’</w:t>
      </w:r>
      <w:r w:rsidRPr="004419DB">
        <w:rPr>
          <w:lang w:val="fr-FR"/>
        </w:rPr>
        <w:t>obtenir le même résultat, comme l</w:t>
      </w:r>
      <w:r w:rsidR="00F100CC">
        <w:rPr>
          <w:lang w:val="fr-FR"/>
        </w:rPr>
        <w:t>’</w:t>
      </w:r>
      <w:r w:rsidRPr="004419DB">
        <w:rPr>
          <w:lang w:val="fr-FR"/>
        </w:rPr>
        <w:t xml:space="preserve">obligation de se présenter à </w:t>
      </w:r>
      <w:r w:rsidR="005C0966">
        <w:rPr>
          <w:lang w:val="fr-FR"/>
        </w:rPr>
        <w:t>une autorité</w:t>
      </w:r>
      <w:r w:rsidRPr="004419DB">
        <w:rPr>
          <w:lang w:val="fr-FR"/>
        </w:rPr>
        <w:t>, le versement d</w:t>
      </w:r>
      <w:r w:rsidR="00F100CC">
        <w:rPr>
          <w:lang w:val="fr-FR"/>
        </w:rPr>
        <w:t>’</w:t>
      </w:r>
      <w:r w:rsidRPr="004419DB">
        <w:rPr>
          <w:lang w:val="fr-FR"/>
        </w:rPr>
        <w:t>une caution ou d</w:t>
      </w:r>
      <w:r w:rsidR="00F100CC">
        <w:rPr>
          <w:lang w:val="fr-FR"/>
        </w:rPr>
        <w:t>’</w:t>
      </w:r>
      <w:r w:rsidRPr="004419DB">
        <w:rPr>
          <w:lang w:val="fr-FR"/>
        </w:rPr>
        <w:t>autres moyens d</w:t>
      </w:r>
      <w:r w:rsidR="00F100CC">
        <w:rPr>
          <w:lang w:val="fr-FR"/>
        </w:rPr>
        <w:t>’</w:t>
      </w:r>
      <w:r w:rsidRPr="004419DB">
        <w:rPr>
          <w:lang w:val="fr-FR"/>
        </w:rPr>
        <w:t>empêcher le demandeur de passer dans la clandestinité; il faut en outre que la décision fasse l</w:t>
      </w:r>
      <w:r w:rsidR="00F100CC">
        <w:rPr>
          <w:lang w:val="fr-FR"/>
        </w:rPr>
        <w:t>’</w:t>
      </w:r>
      <w:r w:rsidRPr="004419DB">
        <w:rPr>
          <w:lang w:val="fr-FR"/>
        </w:rPr>
        <w:t>objet d</w:t>
      </w:r>
      <w:r w:rsidR="00F100CC">
        <w:rPr>
          <w:lang w:val="fr-FR"/>
        </w:rPr>
        <w:t>’</w:t>
      </w:r>
      <w:r w:rsidRPr="004419DB">
        <w:rPr>
          <w:lang w:val="fr-FR"/>
        </w:rPr>
        <w:t>un réexamen périodique et d</w:t>
      </w:r>
      <w:r w:rsidR="00F100CC">
        <w:rPr>
          <w:lang w:val="fr-FR"/>
        </w:rPr>
        <w:t>’</w:t>
      </w:r>
      <w:r w:rsidRPr="004419DB">
        <w:rPr>
          <w:lang w:val="fr-FR"/>
        </w:rPr>
        <w:t>un contrôle juridictionnel</w:t>
      </w:r>
      <w:r w:rsidR="005C0966">
        <w:rPr>
          <w:rStyle w:val="FootnoteReference"/>
        </w:rPr>
        <w:footnoteReference w:id="47"/>
      </w:r>
      <w:r w:rsidRPr="004419DB">
        <w:rPr>
          <w:lang w:val="fr-FR"/>
        </w:rPr>
        <w:t>. Les décisions concernant la détention de migrants doivent également prendre en considération les effets de la détention sur l</w:t>
      </w:r>
      <w:r w:rsidR="00F100CC">
        <w:rPr>
          <w:lang w:val="fr-FR"/>
        </w:rPr>
        <w:t>’</w:t>
      </w:r>
      <w:r w:rsidRPr="004419DB">
        <w:rPr>
          <w:lang w:val="fr-FR"/>
        </w:rPr>
        <w:t>état de santé physique ou mentale de l</w:t>
      </w:r>
      <w:r w:rsidR="00F100CC">
        <w:rPr>
          <w:lang w:val="fr-FR"/>
        </w:rPr>
        <w:t>’</w:t>
      </w:r>
      <w:r w:rsidRPr="004419DB">
        <w:rPr>
          <w:lang w:val="fr-FR"/>
        </w:rPr>
        <w:t>intéressé</w:t>
      </w:r>
      <w:r w:rsidR="007F5A41">
        <w:rPr>
          <w:rStyle w:val="FootnoteReference"/>
        </w:rPr>
        <w:footnoteReference w:id="48"/>
      </w:r>
      <w:r w:rsidRPr="004419DB">
        <w:rPr>
          <w:lang w:val="fr-FR"/>
        </w:rPr>
        <w:t>. Tout placement en rétention nécessaire doit se faire dans des locaux appropriés et salubres ne donnant pas un caractère punitif à la rétention, qui ne doit pas avoir lieu dans une prison.</w:t>
      </w:r>
      <w:r w:rsidR="003B3CA7">
        <w:rPr>
          <w:lang w:val="fr-FR"/>
        </w:rPr>
        <w:t xml:space="preserve"> L</w:t>
      </w:r>
      <w:r w:rsidR="00F100CC">
        <w:rPr>
          <w:lang w:val="fr-FR"/>
        </w:rPr>
        <w:t>’</w:t>
      </w:r>
      <w:r w:rsidR="003B3CA7">
        <w:rPr>
          <w:lang w:val="fr-FR"/>
        </w:rPr>
        <w:t>incapacité d</w:t>
      </w:r>
      <w:r w:rsidR="00F100CC">
        <w:rPr>
          <w:lang w:val="fr-FR"/>
        </w:rPr>
        <w:t>’</w:t>
      </w:r>
      <w:r w:rsidR="003B3CA7">
        <w:rPr>
          <w:lang w:val="fr-FR"/>
        </w:rPr>
        <w:t>un État partie de</w:t>
      </w:r>
      <w:r w:rsidRPr="004419DB">
        <w:rPr>
          <w:lang w:val="fr-FR"/>
        </w:rPr>
        <w:t xml:space="preserve"> procéder à l</w:t>
      </w:r>
      <w:r w:rsidR="00F100CC">
        <w:rPr>
          <w:lang w:val="fr-FR"/>
        </w:rPr>
        <w:t>’</w:t>
      </w:r>
      <w:r w:rsidRPr="004419DB">
        <w:rPr>
          <w:lang w:val="fr-FR"/>
        </w:rPr>
        <w:t>expulsion d</w:t>
      </w:r>
      <w:r w:rsidR="00F100CC">
        <w:rPr>
          <w:lang w:val="fr-FR"/>
        </w:rPr>
        <w:t>’</w:t>
      </w:r>
      <w:r w:rsidRPr="004419DB">
        <w:rPr>
          <w:lang w:val="fr-FR"/>
        </w:rPr>
        <w:t xml:space="preserve">une personne </w:t>
      </w:r>
      <w:r w:rsidR="003B3CA7">
        <w:rPr>
          <w:lang w:val="fr-FR"/>
        </w:rPr>
        <w:t>parce qu</w:t>
      </w:r>
      <w:r w:rsidR="00F100CC">
        <w:rPr>
          <w:lang w:val="fr-FR"/>
        </w:rPr>
        <w:t>’</w:t>
      </w:r>
      <w:r w:rsidR="003B3CA7">
        <w:rPr>
          <w:lang w:val="fr-FR"/>
        </w:rPr>
        <w:t>elle est apatrid</w:t>
      </w:r>
      <w:r w:rsidRPr="004419DB">
        <w:rPr>
          <w:lang w:val="fr-FR"/>
        </w:rPr>
        <w:t xml:space="preserve">e ou </w:t>
      </w:r>
      <w:r w:rsidR="003B3CA7">
        <w:rPr>
          <w:lang w:val="fr-FR"/>
        </w:rPr>
        <w:t xml:space="preserve">à cause </w:t>
      </w:r>
      <w:r w:rsidRPr="004419DB">
        <w:rPr>
          <w:lang w:val="fr-FR"/>
        </w:rPr>
        <w:t>d</w:t>
      </w:r>
      <w:r w:rsidR="00F100CC">
        <w:rPr>
          <w:lang w:val="fr-FR"/>
        </w:rPr>
        <w:t>’</w:t>
      </w:r>
      <w:r w:rsidRPr="004419DB">
        <w:rPr>
          <w:lang w:val="fr-FR"/>
        </w:rPr>
        <w:t>autres obstacles ne justifie pas la rétention pour une durée indéterminée</w:t>
      </w:r>
      <w:r w:rsidR="008D75AB">
        <w:rPr>
          <w:rStyle w:val="FootnoteReference"/>
        </w:rPr>
        <w:footnoteReference w:id="49"/>
      </w:r>
      <w:r w:rsidRPr="004419DB">
        <w:rPr>
          <w:lang w:val="fr-FR"/>
        </w:rPr>
        <w:t>. Les enfants ne peuvent être privés de liberté qu</w:t>
      </w:r>
      <w:r w:rsidR="00F100CC">
        <w:rPr>
          <w:lang w:val="fr-FR"/>
        </w:rPr>
        <w:t>’</w:t>
      </w:r>
      <w:r w:rsidRPr="004419DB">
        <w:rPr>
          <w:lang w:val="fr-FR"/>
        </w:rPr>
        <w:t>en dernier ressort et pour une durée aussi brève que possible et leur intérêt supérieur doit être une considération primordiale pour ce qui est de la durée et des conditions de la détention, de même qu</w:t>
      </w:r>
      <w:r w:rsidR="00F100CC">
        <w:rPr>
          <w:lang w:val="fr-FR"/>
        </w:rPr>
        <w:t>’</w:t>
      </w:r>
      <w:r w:rsidRPr="004419DB">
        <w:rPr>
          <w:lang w:val="fr-FR"/>
        </w:rPr>
        <w:t>il faut tenir compte de l</w:t>
      </w:r>
      <w:r w:rsidR="00F100CC">
        <w:rPr>
          <w:lang w:val="fr-FR"/>
        </w:rPr>
        <w:t>’</w:t>
      </w:r>
      <w:r w:rsidRPr="004419DB">
        <w:rPr>
          <w:lang w:val="fr-FR"/>
        </w:rPr>
        <w:t>extrême vulnérabilité et du besoin de prise en charge des mineurs non accompagnés</w:t>
      </w:r>
      <w:r w:rsidR="001575BD">
        <w:rPr>
          <w:rStyle w:val="FootnoteReference"/>
        </w:rPr>
        <w:footnoteReference w:id="50"/>
      </w:r>
      <w:r w:rsidRPr="004419DB">
        <w:rPr>
          <w:lang w:val="fr-FR"/>
        </w:rPr>
        <w:t>.</w:t>
      </w:r>
    </w:p>
    <w:p w:rsidR="004419DB" w:rsidRPr="004419DB" w:rsidRDefault="004419DB" w:rsidP="00314A4B">
      <w:pPr>
        <w:pStyle w:val="ParNoG"/>
        <w:rPr>
          <w:lang w:val="fr-FR"/>
        </w:rPr>
      </w:pPr>
      <w:r w:rsidRPr="004419DB">
        <w:rPr>
          <w:lang w:val="fr-FR"/>
        </w:rPr>
        <w:t>Les États parties devraient réviser les textes législatifs désuets et revoir les pratiques dans le domaine de la santé mentale afin d</w:t>
      </w:r>
      <w:r w:rsidR="00F100CC">
        <w:rPr>
          <w:lang w:val="fr-FR"/>
        </w:rPr>
        <w:t>’</w:t>
      </w:r>
      <w:r w:rsidRPr="004419DB">
        <w:rPr>
          <w:lang w:val="fr-FR"/>
        </w:rPr>
        <w:t>éviter la détention arbitraire. Le Comité souligne le préjudice inhérent à toute privation de liberté, ainsi que les préjudices particuliers qui peuvent entraîner des situations d</w:t>
      </w:r>
      <w:r w:rsidR="00F100CC">
        <w:rPr>
          <w:lang w:val="fr-FR"/>
        </w:rPr>
        <w:t>’</w:t>
      </w:r>
      <w:r w:rsidRPr="004419DB">
        <w:rPr>
          <w:lang w:val="fr-FR"/>
        </w:rPr>
        <w:t>hospitalisation sans consentement.</w:t>
      </w:r>
      <w:r w:rsidR="00314A4B">
        <w:rPr>
          <w:lang w:val="fr-FR"/>
        </w:rPr>
        <w:t xml:space="preserve"> </w:t>
      </w:r>
      <w:r w:rsidRPr="004419DB">
        <w:rPr>
          <w:lang w:val="fr-FR"/>
        </w:rPr>
        <w:t>Les États parties devraient mettre en place des services appropriés d</w:t>
      </w:r>
      <w:r w:rsidR="00F100CC">
        <w:rPr>
          <w:lang w:val="fr-FR"/>
        </w:rPr>
        <w:t>’</w:t>
      </w:r>
      <w:r w:rsidRPr="004419DB">
        <w:rPr>
          <w:lang w:val="fr-FR"/>
        </w:rPr>
        <w:t>aide sociale communautaires ou autres à l</w:t>
      </w:r>
      <w:r w:rsidR="00F100CC">
        <w:rPr>
          <w:lang w:val="fr-FR"/>
        </w:rPr>
        <w:t>’</w:t>
      </w:r>
      <w:r w:rsidRPr="004419DB">
        <w:rPr>
          <w:lang w:val="fr-FR"/>
        </w:rPr>
        <w:t>intention des personnes présentant un handicap psychosocial, afin d</w:t>
      </w:r>
      <w:r w:rsidR="00F100CC">
        <w:rPr>
          <w:lang w:val="fr-FR"/>
        </w:rPr>
        <w:t>’</w:t>
      </w:r>
      <w:r w:rsidRPr="004419DB">
        <w:rPr>
          <w:lang w:val="fr-FR"/>
        </w:rPr>
        <w:t xml:space="preserve">offrir des solutions de substitution qui soient moins restrictives que </w:t>
      </w:r>
      <w:r w:rsidR="00490457">
        <w:rPr>
          <w:lang w:val="fr-FR"/>
        </w:rPr>
        <w:t>l</w:t>
      </w:r>
      <w:r w:rsidR="00F100CC">
        <w:rPr>
          <w:lang w:val="fr-FR"/>
        </w:rPr>
        <w:t>’</w:t>
      </w:r>
      <w:r w:rsidR="00490457">
        <w:rPr>
          <w:lang w:val="fr-FR"/>
        </w:rPr>
        <w:t>internement</w:t>
      </w:r>
      <w:r w:rsidR="00490457">
        <w:rPr>
          <w:rStyle w:val="FootnoteReference"/>
        </w:rPr>
        <w:footnoteReference w:id="51"/>
      </w:r>
      <w:r w:rsidRPr="004419DB">
        <w:rPr>
          <w:lang w:val="fr-FR"/>
        </w:rPr>
        <w:t>. L</w:t>
      </w:r>
      <w:r w:rsidR="00F100CC">
        <w:rPr>
          <w:lang w:val="fr-FR"/>
        </w:rPr>
        <w:t>’</w:t>
      </w:r>
      <w:r w:rsidRPr="004419DB">
        <w:rPr>
          <w:lang w:val="fr-FR"/>
        </w:rPr>
        <w:t>existence d</w:t>
      </w:r>
      <w:r w:rsidR="00F100CC">
        <w:rPr>
          <w:lang w:val="fr-FR"/>
        </w:rPr>
        <w:t>’</w:t>
      </w:r>
      <w:r w:rsidRPr="004419DB">
        <w:rPr>
          <w:lang w:val="fr-FR"/>
        </w:rPr>
        <w:t>un handicap ne justifie pas e</w:t>
      </w:r>
      <w:r w:rsidR="00F7448E">
        <w:rPr>
          <w:lang w:val="fr-FR"/>
        </w:rPr>
        <w:t>n soi une privation de liberté –</w:t>
      </w:r>
      <w:r w:rsidRPr="004419DB">
        <w:rPr>
          <w:lang w:val="fr-FR"/>
        </w:rPr>
        <w:t> au contraire, toute privation de liberté doit être nécessaire et proportionnée, afin de protéger l</w:t>
      </w:r>
      <w:r w:rsidR="00F100CC">
        <w:rPr>
          <w:lang w:val="fr-FR"/>
        </w:rPr>
        <w:t>’</w:t>
      </w:r>
      <w:r w:rsidRPr="004419DB">
        <w:rPr>
          <w:lang w:val="fr-FR"/>
        </w:rPr>
        <w:t>intéressé de tout préjudice grave ou de prévenir des atteintes à autrui</w:t>
      </w:r>
      <w:r w:rsidR="00314A4B">
        <w:rPr>
          <w:rStyle w:val="FootnoteReference"/>
        </w:rPr>
        <w:footnoteReference w:id="52"/>
      </w:r>
      <w:r w:rsidRPr="004419DB">
        <w:rPr>
          <w:lang w:val="fr-FR"/>
        </w:rPr>
        <w:t>. Cette mesure ne doit être appliquée qu</w:t>
      </w:r>
      <w:r w:rsidR="00F100CC">
        <w:rPr>
          <w:lang w:val="fr-FR"/>
        </w:rPr>
        <w:t>’</w:t>
      </w:r>
      <w:r w:rsidRPr="004419DB">
        <w:rPr>
          <w:lang w:val="fr-FR"/>
        </w:rPr>
        <w:t>en dernier ressort et pour une durée aussi brève que possible et doit être entourée de garanties de procédure et de fond suffisantes, établies par la loi</w:t>
      </w:r>
      <w:r w:rsidR="00DB717D">
        <w:rPr>
          <w:rStyle w:val="FootnoteReference"/>
        </w:rPr>
        <w:footnoteReference w:id="53"/>
      </w:r>
      <w:r w:rsidRPr="004419DB">
        <w:rPr>
          <w:lang w:val="fr-FR"/>
        </w:rPr>
        <w:t>. Les procédures doivent être de nature à garantir le respect de</w:t>
      </w:r>
      <w:r w:rsidR="00DB717D">
        <w:rPr>
          <w:lang w:val="fr-FR"/>
        </w:rPr>
        <w:t>s</w:t>
      </w:r>
      <w:r w:rsidRPr="004419DB">
        <w:rPr>
          <w:lang w:val="fr-FR"/>
        </w:rPr>
        <w:t xml:space="preserve"> opinion</w:t>
      </w:r>
      <w:r w:rsidR="00DB717D">
        <w:rPr>
          <w:lang w:val="fr-FR"/>
        </w:rPr>
        <w:t>s</w:t>
      </w:r>
      <w:r w:rsidRPr="004419DB">
        <w:rPr>
          <w:lang w:val="fr-FR"/>
        </w:rPr>
        <w:t xml:space="preserve"> des </w:t>
      </w:r>
      <w:r w:rsidR="00DB717D">
        <w:rPr>
          <w:lang w:val="fr-FR"/>
        </w:rPr>
        <w:t>individus</w:t>
      </w:r>
      <w:r w:rsidRPr="004419DB">
        <w:rPr>
          <w:lang w:val="fr-FR"/>
        </w:rPr>
        <w:t xml:space="preserve"> et permettre une représentation et une défense effectives de leurs souhaits et de leurs intérêts par un représentant</w:t>
      </w:r>
      <w:r w:rsidR="00DB717D">
        <w:rPr>
          <w:rStyle w:val="FootnoteReference"/>
        </w:rPr>
        <w:footnoteReference w:id="54"/>
      </w:r>
      <w:r w:rsidRPr="004419DB">
        <w:rPr>
          <w:lang w:val="fr-FR"/>
        </w:rPr>
        <w:t>. Les États parties doivent offrir aux personnes placées en institution des programmes de traitement et de réadaptation qui servent les objectifs avancés pour justifier la détention</w:t>
      </w:r>
      <w:r w:rsidR="00DB717D">
        <w:rPr>
          <w:rStyle w:val="FootnoteReference"/>
        </w:rPr>
        <w:footnoteReference w:id="55"/>
      </w:r>
      <w:r w:rsidRPr="004419DB">
        <w:rPr>
          <w:lang w:val="fr-FR"/>
        </w:rPr>
        <w:t xml:space="preserve">. La privation de liberté doit être réexaminée à intervalles réguliers </w:t>
      </w:r>
      <w:r w:rsidR="00DB717D">
        <w:rPr>
          <w:lang w:val="fr-FR"/>
        </w:rPr>
        <w:t>afin</w:t>
      </w:r>
      <w:r w:rsidRPr="004419DB">
        <w:rPr>
          <w:lang w:val="fr-FR"/>
        </w:rPr>
        <w:t xml:space="preserve"> de déterminer si la mesure continue d</w:t>
      </w:r>
      <w:r w:rsidR="00F100CC">
        <w:rPr>
          <w:lang w:val="fr-FR"/>
        </w:rPr>
        <w:t>’</w:t>
      </w:r>
      <w:r w:rsidRPr="004419DB">
        <w:rPr>
          <w:lang w:val="fr-FR"/>
        </w:rPr>
        <w:t>être nécessaire</w:t>
      </w:r>
      <w:r w:rsidR="00DB717D">
        <w:rPr>
          <w:rStyle w:val="FootnoteReference"/>
        </w:rPr>
        <w:footnoteReference w:id="56"/>
      </w:r>
      <w:r w:rsidRPr="004419DB">
        <w:rPr>
          <w:lang w:val="fr-FR"/>
        </w:rPr>
        <w:t>. Les personnes doivent être aidées pour obtenir l</w:t>
      </w:r>
      <w:r w:rsidR="00F100CC">
        <w:rPr>
          <w:lang w:val="fr-FR"/>
        </w:rPr>
        <w:t>’</w:t>
      </w:r>
      <w:r w:rsidRPr="004419DB">
        <w:rPr>
          <w:lang w:val="fr-FR"/>
        </w:rPr>
        <w:t>accès à un recours utile leur permettant de faire valoir leurs droits, y compris un réexamen judiciaire de la décision initiale de placement puis périodiquement de la légalité du maintien en détention, afin d</w:t>
      </w:r>
      <w:r w:rsidR="00F100CC">
        <w:rPr>
          <w:lang w:val="fr-FR"/>
        </w:rPr>
        <w:t>’</w:t>
      </w:r>
      <w:r w:rsidRPr="004419DB">
        <w:rPr>
          <w:lang w:val="fr-FR"/>
        </w:rPr>
        <w:t>éviter des conditions de détention incompatibles avec le Pacte</w:t>
      </w:r>
      <w:r w:rsidR="00DB717D">
        <w:rPr>
          <w:rStyle w:val="FootnoteReference"/>
        </w:rPr>
        <w:footnoteReference w:id="57"/>
      </w:r>
      <w:r w:rsidR="00DA6865">
        <w:rPr>
          <w:lang w:val="fr-FR"/>
        </w:rPr>
        <w:t>.</w:t>
      </w:r>
    </w:p>
    <w:p w:rsidR="004419DB" w:rsidRPr="004419DB" w:rsidRDefault="004419DB" w:rsidP="007B5226">
      <w:pPr>
        <w:pStyle w:val="ParNoG"/>
        <w:rPr>
          <w:lang w:val="fr-FR"/>
        </w:rPr>
      </w:pPr>
      <w:r w:rsidRPr="004419DB">
        <w:rPr>
          <w:lang w:val="fr-FR"/>
        </w:rPr>
        <w:t xml:space="preserve">Le Pacte admet une diversité de régimes de condamnation pénale. </w:t>
      </w:r>
      <w:r w:rsidR="007B5226" w:rsidRPr="004419DB">
        <w:rPr>
          <w:lang w:val="fr-FR"/>
        </w:rPr>
        <w:t xml:space="preserve">La </w:t>
      </w:r>
      <w:r w:rsidR="007B5226">
        <w:rPr>
          <w:lang w:val="fr-FR"/>
        </w:rPr>
        <w:t>durée de la peine d</w:t>
      </w:r>
      <w:r w:rsidRPr="004419DB">
        <w:rPr>
          <w:lang w:val="fr-FR"/>
        </w:rPr>
        <w:t xml:space="preserve">oit </w:t>
      </w:r>
      <w:r w:rsidR="007B5226">
        <w:rPr>
          <w:lang w:val="fr-FR"/>
        </w:rPr>
        <w:t>être fixée</w:t>
      </w:r>
      <w:r w:rsidRPr="004419DB">
        <w:rPr>
          <w:lang w:val="fr-FR"/>
        </w:rPr>
        <w:t xml:space="preserve"> conformément à la législation interne. L</w:t>
      </w:r>
      <w:r w:rsidR="00F100CC">
        <w:rPr>
          <w:lang w:val="fr-FR"/>
        </w:rPr>
        <w:t>’</w:t>
      </w:r>
      <w:r w:rsidRPr="004419DB">
        <w:rPr>
          <w:lang w:val="fr-FR"/>
        </w:rPr>
        <w:t xml:space="preserve">examen de la situation </w:t>
      </w:r>
      <w:r w:rsidR="007B5226">
        <w:rPr>
          <w:lang w:val="fr-FR"/>
        </w:rPr>
        <w:t xml:space="preserve">du condamné </w:t>
      </w:r>
      <w:r w:rsidRPr="004419DB">
        <w:rPr>
          <w:lang w:val="fr-FR"/>
        </w:rPr>
        <w:t>aux fins d</w:t>
      </w:r>
      <w:r w:rsidR="00F100CC">
        <w:rPr>
          <w:lang w:val="fr-FR"/>
        </w:rPr>
        <w:t>’</w:t>
      </w:r>
      <w:r w:rsidRPr="004419DB">
        <w:rPr>
          <w:lang w:val="fr-FR"/>
        </w:rPr>
        <w:t>une libération conditionnelle ou d</w:t>
      </w:r>
      <w:r w:rsidR="00F100CC">
        <w:rPr>
          <w:lang w:val="fr-FR"/>
        </w:rPr>
        <w:t>’</w:t>
      </w:r>
      <w:r w:rsidRPr="004419DB">
        <w:rPr>
          <w:lang w:val="fr-FR"/>
        </w:rPr>
        <w:t>autres formes de libération anticipée doit être conforme à la législation</w:t>
      </w:r>
      <w:r w:rsidR="007B5226">
        <w:rPr>
          <w:rStyle w:val="FootnoteReference"/>
        </w:rPr>
        <w:footnoteReference w:id="58"/>
      </w:r>
      <w:r w:rsidRPr="004419DB">
        <w:rPr>
          <w:lang w:val="fr-FR"/>
        </w:rPr>
        <w:t xml:space="preserve"> et </w:t>
      </w:r>
      <w:r w:rsidRPr="004419DB" w:rsidDel="00D16F7E">
        <w:rPr>
          <w:lang w:val="fr-FR"/>
        </w:rPr>
        <w:t xml:space="preserve">cette </w:t>
      </w:r>
      <w:r w:rsidRPr="004419DB">
        <w:rPr>
          <w:lang w:val="fr-FR"/>
        </w:rPr>
        <w:t>libération ne doit pas être refusée pour des motifs arbitraires au sens de l</w:t>
      </w:r>
      <w:r w:rsidR="00F100CC">
        <w:rPr>
          <w:lang w:val="fr-FR"/>
        </w:rPr>
        <w:t>’</w:t>
      </w:r>
      <w:r w:rsidRPr="004419DB">
        <w:rPr>
          <w:lang w:val="fr-FR"/>
        </w:rPr>
        <w:t>article 9. Si cette libération est accordée sous conditions et annulée ultérieurement en raison d</w:t>
      </w:r>
      <w:r w:rsidR="00F100CC">
        <w:rPr>
          <w:lang w:val="fr-FR"/>
        </w:rPr>
        <w:t>’</w:t>
      </w:r>
      <w:r w:rsidRPr="004419DB">
        <w:rPr>
          <w:lang w:val="fr-FR"/>
        </w:rPr>
        <w:t>un manquement allégué à ces conditions, l</w:t>
      </w:r>
      <w:r w:rsidR="00F100CC">
        <w:rPr>
          <w:lang w:val="fr-FR"/>
        </w:rPr>
        <w:t>’</w:t>
      </w:r>
      <w:r w:rsidRPr="004419DB">
        <w:rPr>
          <w:lang w:val="fr-FR"/>
        </w:rPr>
        <w:t xml:space="preserve">annulation doit aussi être effectuée conformément à la loi et ne doit pas être arbitraire et, en particulier, ne doit pas être disproportionnée à la gravité du manquement. Prédire </w:t>
      </w:r>
      <w:r w:rsidR="009B02E0">
        <w:rPr>
          <w:lang w:val="fr-FR"/>
        </w:rPr>
        <w:t>la conduite</w:t>
      </w:r>
      <w:r w:rsidRPr="004419DB">
        <w:rPr>
          <w:lang w:val="fr-FR"/>
        </w:rPr>
        <w:t xml:space="preserve"> futur</w:t>
      </w:r>
      <w:r w:rsidR="009B02E0">
        <w:rPr>
          <w:lang w:val="fr-FR"/>
        </w:rPr>
        <w:t>e</w:t>
      </w:r>
      <w:r w:rsidRPr="004419DB">
        <w:rPr>
          <w:lang w:val="fr-FR"/>
        </w:rPr>
        <w:t xml:space="preserve"> du prisonnier peut être un facteur pertinent pour déterminer s</w:t>
      </w:r>
      <w:r w:rsidR="00F100CC">
        <w:rPr>
          <w:lang w:val="fr-FR"/>
        </w:rPr>
        <w:t>’</w:t>
      </w:r>
      <w:r w:rsidRPr="004419DB">
        <w:rPr>
          <w:lang w:val="fr-FR"/>
        </w:rPr>
        <w:t>il y a lieu d</w:t>
      </w:r>
      <w:r w:rsidR="00F100CC">
        <w:rPr>
          <w:lang w:val="fr-FR"/>
        </w:rPr>
        <w:t>’</w:t>
      </w:r>
      <w:r w:rsidRPr="004419DB">
        <w:rPr>
          <w:lang w:val="fr-FR"/>
        </w:rPr>
        <w:t>accorder une libération anticipée</w:t>
      </w:r>
      <w:r w:rsidR="009B02E0">
        <w:rPr>
          <w:rStyle w:val="FootnoteReference"/>
        </w:rPr>
        <w:footnoteReference w:id="59"/>
      </w:r>
      <w:r w:rsidRPr="004419DB">
        <w:rPr>
          <w:lang w:val="fr-FR"/>
        </w:rPr>
        <w:t>.</w:t>
      </w:r>
    </w:p>
    <w:p w:rsidR="004419DB" w:rsidRPr="004419DB" w:rsidRDefault="004419DB" w:rsidP="009B02E0">
      <w:pPr>
        <w:pStyle w:val="ParNoG"/>
        <w:rPr>
          <w:lang w:val="fr-FR"/>
        </w:rPr>
      </w:pPr>
      <w:r w:rsidRPr="004419DB">
        <w:rPr>
          <w:lang w:val="fr-FR"/>
        </w:rPr>
        <w:t>Quand une condamnation pénale fixe une période punitive suivie d</w:t>
      </w:r>
      <w:r w:rsidR="00F100CC">
        <w:rPr>
          <w:lang w:val="fr-FR"/>
        </w:rPr>
        <w:t>’</w:t>
      </w:r>
      <w:r w:rsidRPr="004419DB">
        <w:rPr>
          <w:lang w:val="fr-FR"/>
        </w:rPr>
        <w:t xml:space="preserve">une période non punitive </w:t>
      </w:r>
      <w:r w:rsidR="009B02E0">
        <w:rPr>
          <w:lang w:val="fr-FR"/>
        </w:rPr>
        <w:t>visant</w:t>
      </w:r>
      <w:r w:rsidRPr="004419DB">
        <w:rPr>
          <w:lang w:val="fr-FR"/>
        </w:rPr>
        <w:t xml:space="preserve"> à protéger la sécurité de tiers</w:t>
      </w:r>
      <w:r w:rsidR="0037697D">
        <w:rPr>
          <w:rStyle w:val="FootnoteReference"/>
        </w:rPr>
        <w:footnoteReference w:id="60"/>
      </w:r>
      <w:r w:rsidRPr="004419DB">
        <w:rPr>
          <w:lang w:val="fr-FR"/>
        </w:rPr>
        <w:t>, une fois que la période punitive est achevée la détention supplémentaire doit, pour ne pas être arbitraire, être justifiée par des raisons impérieuses découlant de la gravité des infractions commises et de la probabilité de la récidive à l</w:t>
      </w:r>
      <w:r w:rsidR="00F100CC">
        <w:rPr>
          <w:lang w:val="fr-FR"/>
        </w:rPr>
        <w:t>’</w:t>
      </w:r>
      <w:r w:rsidRPr="004419DB">
        <w:rPr>
          <w:lang w:val="fr-FR"/>
        </w:rPr>
        <w:t xml:space="preserve">avenir. Les États ne devraient </w:t>
      </w:r>
      <w:r w:rsidR="00156F1E">
        <w:rPr>
          <w:lang w:val="fr-FR"/>
        </w:rPr>
        <w:t>appliquer</w:t>
      </w:r>
      <w:r w:rsidRPr="004419DB">
        <w:rPr>
          <w:lang w:val="fr-FR"/>
        </w:rPr>
        <w:t xml:space="preserve"> cette détention qu</w:t>
      </w:r>
      <w:r w:rsidR="00F100CC">
        <w:rPr>
          <w:lang w:val="fr-FR"/>
        </w:rPr>
        <w:t>’</w:t>
      </w:r>
      <w:r w:rsidRPr="004419DB">
        <w:rPr>
          <w:lang w:val="fr-FR"/>
        </w:rPr>
        <w:t>en dernier ressort, et la situation doit être réexaminée périodiquement par un organe indépendant afin de décider si le maintien en détention est justifié</w:t>
      </w:r>
      <w:r w:rsidR="00156F1E">
        <w:rPr>
          <w:rStyle w:val="FootnoteReference"/>
        </w:rPr>
        <w:footnoteReference w:id="61"/>
      </w:r>
      <w:r w:rsidRPr="004419DB">
        <w:rPr>
          <w:lang w:val="fr-FR"/>
        </w:rPr>
        <w:t>. Les États parties doivent faire preuve de circonspection et offrir les garanties voulues dans l</w:t>
      </w:r>
      <w:r w:rsidR="00F100CC">
        <w:rPr>
          <w:lang w:val="fr-FR"/>
        </w:rPr>
        <w:t>’</w:t>
      </w:r>
      <w:r w:rsidRPr="004419DB">
        <w:rPr>
          <w:lang w:val="fr-FR"/>
        </w:rPr>
        <w:t>évaluation d</w:t>
      </w:r>
      <w:r w:rsidR="00F100CC">
        <w:rPr>
          <w:lang w:val="fr-FR"/>
        </w:rPr>
        <w:t>’</w:t>
      </w:r>
      <w:r w:rsidRPr="004419DB">
        <w:rPr>
          <w:lang w:val="fr-FR"/>
        </w:rPr>
        <w:t>un danger futur</w:t>
      </w:r>
      <w:r w:rsidR="000C4428">
        <w:rPr>
          <w:rStyle w:val="FootnoteReference"/>
        </w:rPr>
        <w:footnoteReference w:id="62"/>
      </w:r>
      <w:r w:rsidRPr="004419DB">
        <w:rPr>
          <w:lang w:val="fr-FR"/>
        </w:rPr>
        <w:t>. Les conditions de cette détention doivent être différentes du régime des prisonniers condamnés exécutant leur peine et doivent viser à assurer la réadaptation et la réinsertion sociale du détenu</w:t>
      </w:r>
      <w:r w:rsidR="000C4428">
        <w:rPr>
          <w:rStyle w:val="FootnoteReference"/>
        </w:rPr>
        <w:footnoteReference w:id="63"/>
      </w:r>
      <w:r w:rsidRPr="004419DB">
        <w:rPr>
          <w:lang w:val="fr-FR"/>
        </w:rPr>
        <w:t>. Si le prisonnier a exécuté l</w:t>
      </w:r>
      <w:r w:rsidR="00F100CC">
        <w:rPr>
          <w:lang w:val="fr-FR"/>
        </w:rPr>
        <w:t>’</w:t>
      </w:r>
      <w:r w:rsidRPr="004419DB">
        <w:rPr>
          <w:lang w:val="fr-FR"/>
        </w:rPr>
        <w:t>intégralité de la peine fixée dans l</w:t>
      </w:r>
      <w:r w:rsidR="00F100CC">
        <w:rPr>
          <w:lang w:val="fr-FR"/>
        </w:rPr>
        <w:t>’</w:t>
      </w:r>
      <w:r w:rsidRPr="004419DB">
        <w:rPr>
          <w:lang w:val="fr-FR"/>
        </w:rPr>
        <w:t xml:space="preserve">arrêt de condamnation, les articles 9 et 15 interdisent une augmentation rétroactive de la peine et </w:t>
      </w:r>
      <w:r w:rsidR="000C4428">
        <w:rPr>
          <w:lang w:val="fr-FR"/>
        </w:rPr>
        <w:t>les</w:t>
      </w:r>
      <w:r w:rsidRPr="004419DB">
        <w:rPr>
          <w:lang w:val="fr-FR"/>
        </w:rPr>
        <w:t xml:space="preserve"> État</w:t>
      </w:r>
      <w:r w:rsidR="000C4428">
        <w:rPr>
          <w:lang w:val="fr-FR"/>
        </w:rPr>
        <w:t>s</w:t>
      </w:r>
      <w:r w:rsidRPr="004419DB">
        <w:rPr>
          <w:lang w:val="fr-FR"/>
        </w:rPr>
        <w:t xml:space="preserve"> partie</w:t>
      </w:r>
      <w:r w:rsidR="000C4428">
        <w:rPr>
          <w:lang w:val="fr-FR"/>
        </w:rPr>
        <w:t>s</w:t>
      </w:r>
      <w:r w:rsidRPr="004419DB">
        <w:rPr>
          <w:lang w:val="fr-FR"/>
        </w:rPr>
        <w:t xml:space="preserve"> ne doi</w:t>
      </w:r>
      <w:r w:rsidR="000C4428">
        <w:rPr>
          <w:lang w:val="fr-FR"/>
        </w:rPr>
        <w:t>ven</w:t>
      </w:r>
      <w:r w:rsidRPr="004419DB">
        <w:rPr>
          <w:lang w:val="fr-FR"/>
        </w:rPr>
        <w:t xml:space="preserve">t pas contourner cette interdiction en ordonnant </w:t>
      </w:r>
      <w:r w:rsidRPr="004419DB" w:rsidDel="00D16F7E">
        <w:rPr>
          <w:lang w:val="fr-FR"/>
        </w:rPr>
        <w:t xml:space="preserve">une mesure de rétention </w:t>
      </w:r>
      <w:r w:rsidRPr="004419DB">
        <w:rPr>
          <w:lang w:val="fr-FR"/>
        </w:rPr>
        <w:t>équivalente à la détention pénale sous l</w:t>
      </w:r>
      <w:r w:rsidR="00F100CC">
        <w:rPr>
          <w:lang w:val="fr-FR"/>
        </w:rPr>
        <w:t>’</w:t>
      </w:r>
      <w:r w:rsidRPr="004419DB">
        <w:rPr>
          <w:lang w:val="fr-FR"/>
        </w:rPr>
        <w:t>appellation de détention civile</w:t>
      </w:r>
      <w:r w:rsidR="000C4428">
        <w:rPr>
          <w:rStyle w:val="FootnoteReference"/>
        </w:rPr>
        <w:footnoteReference w:id="64"/>
      </w:r>
      <w:r w:rsidRPr="004419DB" w:rsidDel="00D16F7E">
        <w:rPr>
          <w:lang w:val="fr-FR"/>
        </w:rPr>
        <w:t>.</w:t>
      </w:r>
    </w:p>
    <w:p w:rsidR="004419DB" w:rsidRPr="00A769E4" w:rsidRDefault="004419DB" w:rsidP="00A45F55">
      <w:pPr>
        <w:pStyle w:val="ParNoG"/>
        <w:rPr>
          <w:spacing w:val="-2"/>
          <w:lang w:val="fr-FR"/>
        </w:rPr>
      </w:pPr>
      <w:r w:rsidRPr="00A769E4">
        <w:rPr>
          <w:spacing w:val="-2"/>
          <w:lang w:val="fr-FR"/>
        </w:rPr>
        <w:t xml:space="preserve">La troisième phrase du paragraphe 1 </w:t>
      </w:r>
      <w:r w:rsidR="00A45F55" w:rsidRPr="00A769E4">
        <w:rPr>
          <w:spacing w:val="-2"/>
          <w:lang w:val="fr-FR"/>
        </w:rPr>
        <w:t>de l</w:t>
      </w:r>
      <w:r w:rsidR="00F100CC">
        <w:rPr>
          <w:spacing w:val="-2"/>
          <w:lang w:val="fr-FR"/>
        </w:rPr>
        <w:t>’</w:t>
      </w:r>
      <w:r w:rsidR="00A45F55" w:rsidRPr="00A769E4">
        <w:rPr>
          <w:spacing w:val="-2"/>
          <w:lang w:val="fr-FR"/>
        </w:rPr>
        <w:t xml:space="preserve">article 9 </w:t>
      </w:r>
      <w:r w:rsidRPr="00A769E4">
        <w:rPr>
          <w:spacing w:val="-2"/>
          <w:lang w:val="fr-FR"/>
        </w:rPr>
        <w:t>dispose que nul ne peut être privé de liberté, si ce n</w:t>
      </w:r>
      <w:r w:rsidR="00F100CC">
        <w:rPr>
          <w:spacing w:val="-2"/>
          <w:lang w:val="fr-FR"/>
        </w:rPr>
        <w:t>’</w:t>
      </w:r>
      <w:r w:rsidRPr="00A769E4">
        <w:rPr>
          <w:spacing w:val="-2"/>
          <w:lang w:val="fr-FR"/>
        </w:rPr>
        <w:t xml:space="preserve">est pour des motifs et conformément à la procédure prévus par la loi. Tous </w:t>
      </w:r>
      <w:r w:rsidRPr="00A769E4" w:rsidDel="00D16F7E">
        <w:rPr>
          <w:spacing w:val="-2"/>
          <w:lang w:val="fr-FR"/>
        </w:rPr>
        <w:t>l</w:t>
      </w:r>
      <w:r w:rsidRPr="00A769E4">
        <w:rPr>
          <w:spacing w:val="-2"/>
          <w:lang w:val="fr-FR"/>
        </w:rPr>
        <w:t>es motifs pour lesquels un individu peut être arrêté ou placé en détention doivent être établis par la loi et devraient être définis avec suffisamment de précision pour éviter une interprétation ou une application trop étendues ou arbitraires</w:t>
      </w:r>
      <w:r w:rsidR="00B62D9F" w:rsidRPr="00A769E4">
        <w:rPr>
          <w:rStyle w:val="FootnoteReference"/>
          <w:spacing w:val="-2"/>
        </w:rPr>
        <w:footnoteReference w:id="65"/>
      </w:r>
      <w:r w:rsidRPr="00A769E4">
        <w:rPr>
          <w:spacing w:val="-2"/>
          <w:lang w:val="fr-FR"/>
        </w:rPr>
        <w:t>. La privation de liberté qui n</w:t>
      </w:r>
      <w:r w:rsidR="00F100CC">
        <w:rPr>
          <w:spacing w:val="-2"/>
          <w:lang w:val="fr-FR"/>
        </w:rPr>
        <w:t>’</w:t>
      </w:r>
      <w:r w:rsidRPr="00A769E4">
        <w:rPr>
          <w:spacing w:val="-2"/>
          <w:lang w:val="fr-FR"/>
        </w:rPr>
        <w:t>est pas autorisée par la loi est illégale</w:t>
      </w:r>
      <w:r w:rsidR="002476AA" w:rsidRPr="00A769E4">
        <w:rPr>
          <w:rStyle w:val="FootnoteReference"/>
          <w:spacing w:val="-2"/>
        </w:rPr>
        <w:footnoteReference w:id="66"/>
      </w:r>
      <w:r w:rsidRPr="00A769E4">
        <w:rPr>
          <w:spacing w:val="-2"/>
          <w:lang w:val="fr-FR"/>
        </w:rPr>
        <w:t>. La poursuite de la détention en dépit d</w:t>
      </w:r>
      <w:r w:rsidR="00F100CC">
        <w:rPr>
          <w:spacing w:val="-2"/>
          <w:lang w:val="fr-FR"/>
        </w:rPr>
        <w:t>’</w:t>
      </w:r>
      <w:r w:rsidRPr="00A769E4">
        <w:rPr>
          <w:spacing w:val="-2"/>
          <w:lang w:val="fr-FR"/>
        </w:rPr>
        <w:t>une décision judiciaire exécutoire ordonnant la remise en liberté ou d</w:t>
      </w:r>
      <w:r w:rsidR="00F100CC">
        <w:rPr>
          <w:spacing w:val="-2"/>
          <w:lang w:val="fr-FR"/>
        </w:rPr>
        <w:t>’</w:t>
      </w:r>
      <w:r w:rsidRPr="00A769E4">
        <w:rPr>
          <w:spacing w:val="-2"/>
          <w:lang w:val="fr-FR"/>
        </w:rPr>
        <w:t>une amnistie est également illégale</w:t>
      </w:r>
      <w:r w:rsidR="002476AA" w:rsidRPr="00A769E4">
        <w:rPr>
          <w:rStyle w:val="FootnoteReference"/>
          <w:spacing w:val="-2"/>
        </w:rPr>
        <w:footnoteReference w:id="67"/>
      </w:r>
      <w:r w:rsidRPr="00A769E4">
        <w:rPr>
          <w:spacing w:val="-2"/>
          <w:lang w:val="fr-FR"/>
        </w:rPr>
        <w:t>.</w:t>
      </w:r>
    </w:p>
    <w:p w:rsidR="004419DB" w:rsidRPr="004419DB" w:rsidRDefault="002476AA" w:rsidP="002476AA">
      <w:pPr>
        <w:pStyle w:val="ParNoG"/>
        <w:rPr>
          <w:lang w:val="fr-FR"/>
        </w:rPr>
      </w:pPr>
      <w:r>
        <w:rPr>
          <w:lang w:val="fr-FR"/>
        </w:rPr>
        <w:t>L</w:t>
      </w:r>
      <w:r w:rsidR="00F100CC">
        <w:rPr>
          <w:lang w:val="fr-FR"/>
        </w:rPr>
        <w:t>’</w:t>
      </w:r>
      <w:r>
        <w:rPr>
          <w:lang w:val="fr-FR"/>
        </w:rPr>
        <w:t>article </w:t>
      </w:r>
      <w:r w:rsidR="004419DB" w:rsidRPr="004419DB">
        <w:rPr>
          <w:lang w:val="fr-FR"/>
        </w:rPr>
        <w:t xml:space="preserve">9 exige que les procédures régissant la privation de liberté autorisée par la loi </w:t>
      </w:r>
      <w:r>
        <w:rPr>
          <w:lang w:val="fr-FR"/>
        </w:rPr>
        <w:t>s</w:t>
      </w:r>
      <w:r w:rsidR="004419DB" w:rsidRPr="004419DB">
        <w:rPr>
          <w:lang w:val="fr-FR"/>
        </w:rPr>
        <w:t>oient elles aussi prévues par la loi et les États parties devraient veiller à ce que les procédures légalement prescrites soient respectées. Il exige aussi le respect des règles de la législation interne qui définissent la procédure à suivre pour toute arrestation, en indiquant quels sont les agents autorisés à procéder à une arrestation</w:t>
      </w:r>
      <w:r>
        <w:rPr>
          <w:rStyle w:val="FootnoteReference"/>
        </w:rPr>
        <w:footnoteReference w:id="68"/>
      </w:r>
      <w:r w:rsidR="004419DB" w:rsidRPr="004419DB">
        <w:rPr>
          <w:lang w:val="fr-FR"/>
        </w:rPr>
        <w:t xml:space="preserve"> ou en précisant les cas dans lesquels un mandat est requis</w:t>
      </w:r>
      <w:r w:rsidR="0010382A">
        <w:rPr>
          <w:rStyle w:val="FootnoteReference"/>
        </w:rPr>
        <w:footnoteReference w:id="69"/>
      </w:r>
      <w:r w:rsidR="004419DB" w:rsidRPr="004419DB">
        <w:rPr>
          <w:lang w:val="fr-FR"/>
        </w:rPr>
        <w:t>. Il oblige aussi à respecter les règles de la législation nationale qui déterminent quand l</w:t>
      </w:r>
      <w:r w:rsidR="00F100CC">
        <w:rPr>
          <w:lang w:val="fr-FR"/>
        </w:rPr>
        <w:t>’</w:t>
      </w:r>
      <w:r w:rsidR="004419DB" w:rsidRPr="004419DB">
        <w:rPr>
          <w:lang w:val="fr-FR"/>
        </w:rPr>
        <w:t>autorisation d</w:t>
      </w:r>
      <w:r w:rsidR="00F100CC">
        <w:rPr>
          <w:lang w:val="fr-FR"/>
        </w:rPr>
        <w:t>’</w:t>
      </w:r>
      <w:r w:rsidR="004419DB" w:rsidRPr="004419DB">
        <w:rPr>
          <w:lang w:val="fr-FR"/>
        </w:rPr>
        <w:t>un juge ou d</w:t>
      </w:r>
      <w:r w:rsidR="00F100CC">
        <w:rPr>
          <w:lang w:val="fr-FR"/>
        </w:rPr>
        <w:t>’</w:t>
      </w:r>
      <w:r w:rsidR="004419DB" w:rsidRPr="004419DB">
        <w:rPr>
          <w:lang w:val="fr-FR"/>
        </w:rPr>
        <w:t>une autre autorité doit être obtenue pour maintenir une personne en détention</w:t>
      </w:r>
      <w:r w:rsidR="001D230B">
        <w:rPr>
          <w:rStyle w:val="FootnoteReference"/>
        </w:rPr>
        <w:footnoteReference w:id="70"/>
      </w:r>
      <w:r w:rsidR="004419DB" w:rsidRPr="004419DB">
        <w:rPr>
          <w:lang w:val="fr-FR"/>
        </w:rPr>
        <w:t>, où une</w:t>
      </w:r>
      <w:r w:rsidR="004419DB" w:rsidRPr="004419DB" w:rsidDel="00D16F7E">
        <w:rPr>
          <w:lang w:val="fr-FR"/>
        </w:rPr>
        <w:t xml:space="preserve"> </w:t>
      </w:r>
      <w:r w:rsidR="004419DB" w:rsidRPr="004419DB">
        <w:rPr>
          <w:lang w:val="fr-FR"/>
        </w:rPr>
        <w:t>personne peut être placée en détention</w:t>
      </w:r>
      <w:r w:rsidR="001D230B">
        <w:rPr>
          <w:rStyle w:val="FootnoteReference"/>
        </w:rPr>
        <w:footnoteReference w:id="71"/>
      </w:r>
      <w:r w:rsidR="004419DB" w:rsidRPr="004419DB">
        <w:rPr>
          <w:lang w:val="fr-FR"/>
        </w:rPr>
        <w:t>, quand elle doit être déférée devant un tribunal</w:t>
      </w:r>
      <w:r w:rsidR="001D230B">
        <w:rPr>
          <w:rStyle w:val="FootnoteReference"/>
        </w:rPr>
        <w:footnoteReference w:id="72"/>
      </w:r>
      <w:r w:rsidR="004419DB" w:rsidRPr="004419DB">
        <w:rPr>
          <w:lang w:val="fr-FR"/>
        </w:rPr>
        <w:t>, et les limites imposées par la loi à la durée de la détention</w:t>
      </w:r>
      <w:r w:rsidR="001D230B">
        <w:rPr>
          <w:rStyle w:val="FootnoteReference"/>
        </w:rPr>
        <w:footnoteReference w:id="73"/>
      </w:r>
      <w:r w:rsidR="004419DB" w:rsidRPr="004419DB">
        <w:rPr>
          <w:lang w:val="fr-FR"/>
        </w:rPr>
        <w:t>. Il exige aussi le respect des règles de la législation nationale qui prévoient des garanties importantes pour les détenus, comme l</w:t>
      </w:r>
      <w:r w:rsidR="00F100CC">
        <w:rPr>
          <w:lang w:val="fr-FR"/>
        </w:rPr>
        <w:t>’</w:t>
      </w:r>
      <w:r w:rsidR="004419DB" w:rsidRPr="004419DB">
        <w:rPr>
          <w:lang w:val="fr-FR"/>
        </w:rPr>
        <w:t>établissement d</w:t>
      </w:r>
      <w:r w:rsidR="00F100CC">
        <w:rPr>
          <w:lang w:val="fr-FR"/>
        </w:rPr>
        <w:t>’</w:t>
      </w:r>
      <w:r w:rsidR="004419DB" w:rsidRPr="004419DB">
        <w:rPr>
          <w:lang w:val="fr-FR"/>
        </w:rPr>
        <w:t>un procès-verbal d</w:t>
      </w:r>
      <w:r w:rsidR="00F100CC">
        <w:rPr>
          <w:lang w:val="fr-FR"/>
        </w:rPr>
        <w:t>’</w:t>
      </w:r>
      <w:r w:rsidR="004419DB" w:rsidRPr="004419DB">
        <w:rPr>
          <w:lang w:val="fr-FR"/>
        </w:rPr>
        <w:t>arrestation</w:t>
      </w:r>
      <w:r w:rsidR="001D230B">
        <w:rPr>
          <w:rStyle w:val="FootnoteReference"/>
        </w:rPr>
        <w:footnoteReference w:id="74"/>
      </w:r>
      <w:r w:rsidR="004419DB" w:rsidRPr="004419DB">
        <w:rPr>
          <w:lang w:val="fr-FR"/>
        </w:rPr>
        <w:t xml:space="preserve"> et l</w:t>
      </w:r>
      <w:r w:rsidR="00F100CC">
        <w:rPr>
          <w:lang w:val="fr-FR"/>
        </w:rPr>
        <w:t>’</w:t>
      </w:r>
      <w:r w:rsidR="004419DB" w:rsidRPr="004419DB">
        <w:rPr>
          <w:lang w:val="fr-FR"/>
        </w:rPr>
        <w:t>accès aux services d</w:t>
      </w:r>
      <w:r w:rsidR="00F100CC">
        <w:rPr>
          <w:lang w:val="fr-FR"/>
        </w:rPr>
        <w:t>’</w:t>
      </w:r>
      <w:r w:rsidR="004419DB" w:rsidRPr="004419DB">
        <w:rPr>
          <w:lang w:val="fr-FR"/>
        </w:rPr>
        <w:t>un avocat</w:t>
      </w:r>
      <w:r w:rsidR="00183E4C">
        <w:rPr>
          <w:rStyle w:val="FootnoteReference"/>
        </w:rPr>
        <w:footnoteReference w:id="75"/>
      </w:r>
      <w:r w:rsidR="004419DB" w:rsidRPr="004419DB">
        <w:rPr>
          <w:lang w:val="fr-FR"/>
        </w:rPr>
        <w:t>. Les violations des règles de procédure internes qui ne sont pas liées à ces aspects ne soulèvent pas nécessairement des questions au regard de l</w:t>
      </w:r>
      <w:r w:rsidR="00F100CC">
        <w:rPr>
          <w:lang w:val="fr-FR"/>
        </w:rPr>
        <w:t>’</w:t>
      </w:r>
      <w:r w:rsidR="004419DB" w:rsidRPr="004419DB">
        <w:rPr>
          <w:lang w:val="fr-FR"/>
        </w:rPr>
        <w:t>article 9</w:t>
      </w:r>
      <w:r w:rsidR="008E7E48">
        <w:rPr>
          <w:rStyle w:val="FootnoteReference"/>
        </w:rPr>
        <w:footnoteReference w:id="76"/>
      </w:r>
      <w:r w:rsidR="004419DB" w:rsidRPr="004419DB">
        <w:rPr>
          <w:lang w:val="fr-FR"/>
        </w:rPr>
        <w:t>.</w:t>
      </w:r>
    </w:p>
    <w:p w:rsidR="004419DB" w:rsidRPr="00D468B5" w:rsidRDefault="004419DB" w:rsidP="000C4F13">
      <w:pPr>
        <w:pStyle w:val="HChG"/>
        <w:rPr>
          <w:lang w:val="fr-FR"/>
        </w:rPr>
      </w:pPr>
      <w:r w:rsidRPr="00D468B5">
        <w:rPr>
          <w:lang w:val="fr-FR"/>
        </w:rPr>
        <w:tab/>
        <w:t>III.</w:t>
      </w:r>
      <w:r w:rsidRPr="00D468B5">
        <w:rPr>
          <w:lang w:val="fr-FR"/>
        </w:rPr>
        <w:tab/>
        <w:t>Notification des motifs de l</w:t>
      </w:r>
      <w:r w:rsidR="00F100CC">
        <w:rPr>
          <w:lang w:val="fr-FR"/>
        </w:rPr>
        <w:t>’</w:t>
      </w:r>
      <w:r w:rsidRPr="00D468B5">
        <w:rPr>
          <w:lang w:val="fr-FR"/>
        </w:rPr>
        <w:t>arrestation et de tout</w:t>
      </w:r>
      <w:r w:rsidR="00D468B5" w:rsidRPr="00D468B5">
        <w:rPr>
          <w:lang w:val="fr-FR"/>
        </w:rPr>
        <w:t>e</w:t>
      </w:r>
      <w:r w:rsidRPr="00D468B5">
        <w:rPr>
          <w:lang w:val="fr-FR"/>
        </w:rPr>
        <w:t xml:space="preserve"> ch</w:t>
      </w:r>
      <w:r w:rsidR="00D468B5" w:rsidRPr="00D468B5">
        <w:rPr>
          <w:lang w:val="fr-FR"/>
        </w:rPr>
        <w:t>arge</w:t>
      </w:r>
      <w:r w:rsidRPr="00D468B5">
        <w:rPr>
          <w:lang w:val="fr-FR"/>
        </w:rPr>
        <w:t xml:space="preserve"> pénal</w:t>
      </w:r>
      <w:r w:rsidR="00D468B5" w:rsidRPr="00D468B5">
        <w:rPr>
          <w:lang w:val="fr-FR"/>
        </w:rPr>
        <w:t>e</w:t>
      </w:r>
      <w:r w:rsidRPr="00D468B5">
        <w:rPr>
          <w:lang w:val="fr-FR"/>
        </w:rPr>
        <w:t xml:space="preserve"> retenu</w:t>
      </w:r>
      <w:r w:rsidR="00D468B5" w:rsidRPr="00D468B5">
        <w:rPr>
          <w:lang w:val="fr-FR"/>
        </w:rPr>
        <w:t>e</w:t>
      </w:r>
    </w:p>
    <w:p w:rsidR="004419DB" w:rsidRPr="004419DB" w:rsidRDefault="004419DB" w:rsidP="00D468B5">
      <w:pPr>
        <w:pStyle w:val="ParNoG"/>
        <w:rPr>
          <w:lang w:val="fr-FR"/>
        </w:rPr>
      </w:pPr>
      <w:r w:rsidRPr="004419DB">
        <w:rPr>
          <w:lang w:val="fr-FR"/>
        </w:rPr>
        <w:t>Le paragraphe 2 de l</w:t>
      </w:r>
      <w:r w:rsidR="00F100CC">
        <w:rPr>
          <w:lang w:val="fr-FR"/>
        </w:rPr>
        <w:t>’</w:t>
      </w:r>
      <w:r w:rsidRPr="004419DB">
        <w:rPr>
          <w:lang w:val="fr-FR"/>
        </w:rPr>
        <w:t>article 9 impose deux obligations dans l</w:t>
      </w:r>
      <w:r w:rsidR="00F100CC">
        <w:rPr>
          <w:lang w:val="fr-FR"/>
        </w:rPr>
        <w:t>’</w:t>
      </w:r>
      <w:r w:rsidRPr="004419DB">
        <w:rPr>
          <w:lang w:val="fr-FR"/>
        </w:rPr>
        <w:t>intérêt des personnes privées de liberté. Premièrement, ces personnes doivent être informées, au moment de l</w:t>
      </w:r>
      <w:r w:rsidR="00F100CC">
        <w:rPr>
          <w:lang w:val="fr-FR"/>
        </w:rPr>
        <w:t>’</w:t>
      </w:r>
      <w:r w:rsidRPr="004419DB">
        <w:rPr>
          <w:lang w:val="fr-FR"/>
        </w:rPr>
        <w:t>arrestation, des raisons de cette arrestation. Deuxièmement, elles doivent recevoir notification, dans le plus court délai, de toute accusation portée contre elles. La première obligation s</w:t>
      </w:r>
      <w:r w:rsidR="00F100CC">
        <w:rPr>
          <w:lang w:val="fr-FR"/>
        </w:rPr>
        <w:t>’</w:t>
      </w:r>
      <w:r w:rsidRPr="004419DB">
        <w:rPr>
          <w:lang w:val="fr-FR"/>
        </w:rPr>
        <w:t>applique de façon générale aux raisons de toute privation de liberté. Étant donné que l</w:t>
      </w:r>
      <w:r w:rsidR="00F100CC">
        <w:rPr>
          <w:lang w:val="fr-FR"/>
        </w:rPr>
        <w:t>’</w:t>
      </w:r>
      <w:r w:rsidRPr="004419DB">
        <w:rPr>
          <w:lang w:val="fr-FR"/>
        </w:rPr>
        <w:t>«arrestation» désigne le début d</w:t>
      </w:r>
      <w:r w:rsidR="00F100CC">
        <w:rPr>
          <w:lang w:val="fr-FR"/>
        </w:rPr>
        <w:t>’</w:t>
      </w:r>
      <w:r w:rsidRPr="004419DB">
        <w:rPr>
          <w:lang w:val="fr-FR"/>
        </w:rPr>
        <w:t>une privation de liberté, cette obligation s</w:t>
      </w:r>
      <w:r w:rsidR="00F100CC">
        <w:rPr>
          <w:lang w:val="fr-FR"/>
        </w:rPr>
        <w:t>’</w:t>
      </w:r>
      <w:r w:rsidRPr="004419DB">
        <w:rPr>
          <w:lang w:val="fr-FR"/>
        </w:rPr>
        <w:t>applique que l</w:t>
      </w:r>
      <w:r w:rsidR="00F100CC">
        <w:rPr>
          <w:lang w:val="fr-FR"/>
        </w:rPr>
        <w:t>’</w:t>
      </w:r>
      <w:r w:rsidRPr="004419DB">
        <w:rPr>
          <w:lang w:val="fr-FR"/>
        </w:rPr>
        <w:t>arrestation ait lieu de façon formelle ou non et indépendamment de la raison légitime ou illégitime sur laquelle elle est fondée</w:t>
      </w:r>
      <w:r w:rsidR="007B0F0E">
        <w:rPr>
          <w:rStyle w:val="FootnoteReference"/>
        </w:rPr>
        <w:footnoteReference w:id="77"/>
      </w:r>
      <w:r w:rsidRPr="004419DB">
        <w:rPr>
          <w:lang w:val="fr-FR"/>
        </w:rPr>
        <w:t>. La deuxième obligation, qui vient s</w:t>
      </w:r>
      <w:r w:rsidR="00F100CC">
        <w:rPr>
          <w:lang w:val="fr-FR"/>
        </w:rPr>
        <w:t>’</w:t>
      </w:r>
      <w:r w:rsidRPr="004419DB">
        <w:rPr>
          <w:lang w:val="fr-FR"/>
        </w:rPr>
        <w:t>ajouter à la première, ne s</w:t>
      </w:r>
      <w:r w:rsidR="00F100CC">
        <w:rPr>
          <w:lang w:val="fr-FR"/>
        </w:rPr>
        <w:t>’</w:t>
      </w:r>
      <w:r w:rsidRPr="004419DB">
        <w:rPr>
          <w:lang w:val="fr-FR"/>
        </w:rPr>
        <w:t>applique qu</w:t>
      </w:r>
      <w:r w:rsidR="00F100CC">
        <w:rPr>
          <w:lang w:val="fr-FR"/>
        </w:rPr>
        <w:t>’</w:t>
      </w:r>
      <w:r w:rsidRPr="004419DB">
        <w:rPr>
          <w:lang w:val="fr-FR"/>
        </w:rPr>
        <w:t>aux informations relatives à l</w:t>
      </w:r>
      <w:r w:rsidR="00F100CC">
        <w:rPr>
          <w:lang w:val="fr-FR"/>
        </w:rPr>
        <w:t>’</w:t>
      </w:r>
      <w:r w:rsidRPr="004419DB">
        <w:rPr>
          <w:lang w:val="fr-FR"/>
        </w:rPr>
        <w:t>accusation pénale</w:t>
      </w:r>
      <w:r w:rsidR="003A6F54">
        <w:rPr>
          <w:rStyle w:val="FootnoteReference"/>
        </w:rPr>
        <w:footnoteReference w:id="78"/>
      </w:r>
      <w:r w:rsidRPr="004419DB">
        <w:rPr>
          <w:lang w:val="fr-FR"/>
        </w:rPr>
        <w:t>. Si une nouvelle charge est retenue contre une personne déjà détenue du chef d</w:t>
      </w:r>
      <w:r w:rsidR="00F100CC">
        <w:rPr>
          <w:lang w:val="fr-FR"/>
        </w:rPr>
        <w:t>’</w:t>
      </w:r>
      <w:r w:rsidRPr="004419DB">
        <w:rPr>
          <w:lang w:val="fr-FR"/>
        </w:rPr>
        <w:t>une infraction pénale, cette charge doit être notifiée</w:t>
      </w:r>
      <w:r w:rsidRPr="004419DB" w:rsidDel="00D16F7E">
        <w:rPr>
          <w:lang w:val="fr-FR"/>
        </w:rPr>
        <w:t xml:space="preserve"> à l</w:t>
      </w:r>
      <w:r w:rsidR="00F100CC">
        <w:rPr>
          <w:lang w:val="fr-FR"/>
        </w:rPr>
        <w:t>’</w:t>
      </w:r>
      <w:r w:rsidRPr="004419DB" w:rsidDel="00D16F7E">
        <w:rPr>
          <w:lang w:val="fr-FR"/>
        </w:rPr>
        <w:t>intéressé</w:t>
      </w:r>
      <w:r w:rsidRPr="004419DB">
        <w:rPr>
          <w:lang w:val="fr-FR"/>
        </w:rPr>
        <w:t xml:space="preserve"> sans délai</w:t>
      </w:r>
      <w:r w:rsidR="007103CB">
        <w:rPr>
          <w:rStyle w:val="FootnoteReference"/>
        </w:rPr>
        <w:footnoteReference w:id="79"/>
      </w:r>
      <w:r w:rsidRPr="004419DB">
        <w:rPr>
          <w:lang w:val="fr-FR"/>
        </w:rPr>
        <w:t>.</w:t>
      </w:r>
    </w:p>
    <w:p w:rsidR="004419DB" w:rsidRPr="004419DB" w:rsidRDefault="004419DB" w:rsidP="00240236">
      <w:pPr>
        <w:pStyle w:val="ParNoG"/>
        <w:rPr>
          <w:lang w:val="fr-FR"/>
        </w:rPr>
      </w:pPr>
      <w:r w:rsidRPr="004419DB">
        <w:rPr>
          <w:lang w:val="fr-FR"/>
        </w:rPr>
        <w:t>Un objectif majeur de l</w:t>
      </w:r>
      <w:r w:rsidR="00F100CC">
        <w:rPr>
          <w:lang w:val="fr-FR"/>
        </w:rPr>
        <w:t>’</w:t>
      </w:r>
      <w:r w:rsidRPr="004419DB">
        <w:rPr>
          <w:lang w:val="fr-FR"/>
        </w:rPr>
        <w:t>obligation exigeant que tout individu arrêté soit informé des raisons de l</w:t>
      </w:r>
      <w:r w:rsidR="00F100CC">
        <w:rPr>
          <w:lang w:val="fr-FR"/>
        </w:rPr>
        <w:t>’</w:t>
      </w:r>
      <w:r w:rsidRPr="004419DB">
        <w:rPr>
          <w:lang w:val="fr-FR"/>
        </w:rPr>
        <w:t>arrestation est de permettre à l</w:t>
      </w:r>
      <w:r w:rsidR="00F100CC">
        <w:rPr>
          <w:lang w:val="fr-FR"/>
        </w:rPr>
        <w:t>’</w:t>
      </w:r>
      <w:r w:rsidRPr="004419DB">
        <w:rPr>
          <w:lang w:val="fr-FR"/>
        </w:rPr>
        <w:t>intéressé d</w:t>
      </w:r>
      <w:r w:rsidR="00F100CC">
        <w:rPr>
          <w:lang w:val="fr-FR"/>
        </w:rPr>
        <w:t>’</w:t>
      </w:r>
      <w:r w:rsidRPr="004419DB">
        <w:rPr>
          <w:lang w:val="fr-FR"/>
        </w:rPr>
        <w:t>obtenir sa libération s</w:t>
      </w:r>
      <w:r w:rsidR="00F100CC">
        <w:rPr>
          <w:lang w:val="fr-FR"/>
        </w:rPr>
        <w:t>’</w:t>
      </w:r>
      <w:r w:rsidRPr="004419DB">
        <w:rPr>
          <w:lang w:val="fr-FR"/>
        </w:rPr>
        <w:t>il estime que les raisons avancées ne sont pas valables ou sont mal fondées</w:t>
      </w:r>
      <w:r w:rsidR="00240236">
        <w:rPr>
          <w:rStyle w:val="FootnoteReference"/>
        </w:rPr>
        <w:footnoteReference w:id="80"/>
      </w:r>
      <w:r w:rsidRPr="004419DB">
        <w:rPr>
          <w:lang w:val="fr-FR"/>
        </w:rPr>
        <w:t>. Les raisons doivent inclure non seulement le fondement juridique général de l</w:t>
      </w:r>
      <w:r w:rsidR="00F100CC">
        <w:rPr>
          <w:lang w:val="fr-FR"/>
        </w:rPr>
        <w:t>’</w:t>
      </w:r>
      <w:r w:rsidRPr="004419DB">
        <w:rPr>
          <w:lang w:val="fr-FR"/>
        </w:rPr>
        <w:t>arrestation mais aussi des éléments de fait suffisants pour donner une indication du fond de la plainte, par exemple l</w:t>
      </w:r>
      <w:r w:rsidR="00F100CC">
        <w:rPr>
          <w:lang w:val="fr-FR"/>
        </w:rPr>
        <w:t>’</w:t>
      </w:r>
      <w:r w:rsidRPr="004419DB">
        <w:rPr>
          <w:lang w:val="fr-FR"/>
        </w:rPr>
        <w:t>acte illicite reproché et l</w:t>
      </w:r>
      <w:r w:rsidR="00F100CC">
        <w:rPr>
          <w:lang w:val="fr-FR"/>
        </w:rPr>
        <w:t>’</w:t>
      </w:r>
      <w:r w:rsidRPr="004419DB">
        <w:rPr>
          <w:lang w:val="fr-FR"/>
        </w:rPr>
        <w:t>identité d</w:t>
      </w:r>
      <w:r w:rsidR="00F100CC">
        <w:rPr>
          <w:lang w:val="fr-FR"/>
        </w:rPr>
        <w:t>’</w:t>
      </w:r>
      <w:r w:rsidRPr="004419DB">
        <w:rPr>
          <w:lang w:val="fr-FR"/>
        </w:rPr>
        <w:t>une victime éventuelle</w:t>
      </w:r>
      <w:r w:rsidR="00D8352F">
        <w:rPr>
          <w:rStyle w:val="FootnoteReference"/>
        </w:rPr>
        <w:footnoteReference w:id="81"/>
      </w:r>
      <w:r w:rsidRPr="004419DB">
        <w:rPr>
          <w:lang w:val="fr-FR"/>
        </w:rPr>
        <w:t>. Les «raisons» concernent le fondement officiel de l</w:t>
      </w:r>
      <w:r w:rsidR="00F100CC">
        <w:rPr>
          <w:lang w:val="fr-FR"/>
        </w:rPr>
        <w:t>’</w:t>
      </w:r>
      <w:r w:rsidRPr="004419DB">
        <w:rPr>
          <w:lang w:val="fr-FR"/>
        </w:rPr>
        <w:t>arrestation et ne sont pas les motivations subjectives de l</w:t>
      </w:r>
      <w:r w:rsidR="00F100CC">
        <w:rPr>
          <w:lang w:val="fr-FR"/>
        </w:rPr>
        <w:t>’</w:t>
      </w:r>
      <w:r w:rsidRPr="004419DB">
        <w:rPr>
          <w:lang w:val="fr-FR"/>
        </w:rPr>
        <w:t>agent qui procède à l</w:t>
      </w:r>
      <w:r w:rsidR="00F100CC">
        <w:rPr>
          <w:lang w:val="fr-FR"/>
        </w:rPr>
        <w:t>’</w:t>
      </w:r>
      <w:r w:rsidRPr="004419DB">
        <w:rPr>
          <w:lang w:val="fr-FR"/>
        </w:rPr>
        <w:t>arrestation</w:t>
      </w:r>
      <w:r w:rsidR="00D8352F">
        <w:rPr>
          <w:rStyle w:val="FootnoteReference"/>
        </w:rPr>
        <w:footnoteReference w:id="82"/>
      </w:r>
      <w:r w:rsidRPr="004419DB">
        <w:rPr>
          <w:lang w:val="fr-FR"/>
        </w:rPr>
        <w:t>.</w:t>
      </w:r>
    </w:p>
    <w:p w:rsidR="004419DB" w:rsidRPr="004419DB" w:rsidRDefault="004419DB" w:rsidP="00A30013">
      <w:pPr>
        <w:pStyle w:val="ParNoG"/>
        <w:rPr>
          <w:lang w:val="fr-FR"/>
        </w:rPr>
      </w:pPr>
      <w:r w:rsidRPr="004419DB">
        <w:rPr>
          <w:lang w:val="fr-FR"/>
        </w:rPr>
        <w:t>Une notification orale des motifs de l</w:t>
      </w:r>
      <w:r w:rsidR="00F100CC">
        <w:rPr>
          <w:lang w:val="fr-FR"/>
        </w:rPr>
        <w:t>’</w:t>
      </w:r>
      <w:r w:rsidRPr="004419DB">
        <w:rPr>
          <w:lang w:val="fr-FR"/>
        </w:rPr>
        <w:t>arrestation satisfait à la règle. Les motifs doivent être énoncés dans une langue que la personne en état d</w:t>
      </w:r>
      <w:r w:rsidR="00F100CC">
        <w:rPr>
          <w:lang w:val="fr-FR"/>
        </w:rPr>
        <w:t>’</w:t>
      </w:r>
      <w:r w:rsidRPr="004419DB">
        <w:rPr>
          <w:lang w:val="fr-FR"/>
        </w:rPr>
        <w:t>arrestation comprend</w:t>
      </w:r>
      <w:r w:rsidR="00D8352F">
        <w:rPr>
          <w:rStyle w:val="FootnoteReference"/>
        </w:rPr>
        <w:footnoteReference w:id="83"/>
      </w:r>
      <w:r w:rsidR="00A30013">
        <w:rPr>
          <w:lang w:val="fr-FR"/>
        </w:rPr>
        <w:t>.</w:t>
      </w:r>
    </w:p>
    <w:p w:rsidR="004419DB" w:rsidRPr="000C4F13" w:rsidRDefault="004419DB" w:rsidP="00EB5E51">
      <w:pPr>
        <w:pStyle w:val="ParNoG"/>
        <w:rPr>
          <w:spacing w:val="-2"/>
          <w:lang w:val="fr-FR"/>
        </w:rPr>
      </w:pPr>
      <w:r w:rsidRPr="000C4F13">
        <w:rPr>
          <w:spacing w:val="-2"/>
          <w:lang w:val="fr-FR"/>
        </w:rPr>
        <w:t>L</w:t>
      </w:r>
      <w:r w:rsidR="00F100CC">
        <w:rPr>
          <w:spacing w:val="-2"/>
          <w:lang w:val="fr-FR"/>
        </w:rPr>
        <w:t>’</w:t>
      </w:r>
      <w:r w:rsidRPr="000C4F13">
        <w:rPr>
          <w:spacing w:val="-2"/>
          <w:lang w:val="fr-FR"/>
        </w:rPr>
        <w:t>information doit être donnée immédiatement au moment de l</w:t>
      </w:r>
      <w:r w:rsidR="00F100CC">
        <w:rPr>
          <w:spacing w:val="-2"/>
          <w:lang w:val="fr-FR"/>
        </w:rPr>
        <w:t>’</w:t>
      </w:r>
      <w:r w:rsidRPr="000C4F13">
        <w:rPr>
          <w:spacing w:val="-2"/>
          <w:lang w:val="fr-FR"/>
        </w:rPr>
        <w:t>arrestation. Toutefois, dans des circonstances exceptionnelles, il peut ne pas être possible de le faire immédiatement. Par exemple, il peut être nécessaire d</w:t>
      </w:r>
      <w:r w:rsidR="00F100CC">
        <w:rPr>
          <w:spacing w:val="-2"/>
          <w:lang w:val="fr-FR"/>
        </w:rPr>
        <w:t>’</w:t>
      </w:r>
      <w:r w:rsidRPr="000C4F13">
        <w:rPr>
          <w:spacing w:val="-2"/>
          <w:lang w:val="fr-FR"/>
        </w:rPr>
        <w:t>attendre avant qu</w:t>
      </w:r>
      <w:r w:rsidR="00F100CC">
        <w:rPr>
          <w:spacing w:val="-2"/>
          <w:lang w:val="fr-FR"/>
        </w:rPr>
        <w:t>’</w:t>
      </w:r>
      <w:r w:rsidRPr="000C4F13">
        <w:rPr>
          <w:spacing w:val="-2"/>
          <w:lang w:val="fr-FR"/>
        </w:rPr>
        <w:t xml:space="preserve">un interprète puisse être présent, mais la durée de </w:t>
      </w:r>
      <w:r w:rsidR="00EB5E51" w:rsidRPr="000C4F13">
        <w:rPr>
          <w:spacing w:val="-2"/>
          <w:lang w:val="fr-FR"/>
        </w:rPr>
        <w:t>l</w:t>
      </w:r>
      <w:r w:rsidR="00F100CC">
        <w:rPr>
          <w:spacing w:val="-2"/>
          <w:lang w:val="fr-FR"/>
        </w:rPr>
        <w:t>’</w:t>
      </w:r>
      <w:r w:rsidRPr="000C4F13">
        <w:rPr>
          <w:spacing w:val="-2"/>
          <w:lang w:val="fr-FR"/>
        </w:rPr>
        <w:t>attente doit être réduite au strict minimum nécessaire</w:t>
      </w:r>
      <w:r w:rsidR="00EB5E51" w:rsidRPr="000C4F13">
        <w:rPr>
          <w:rStyle w:val="FootnoteReference"/>
          <w:spacing w:val="-2"/>
        </w:rPr>
        <w:footnoteReference w:id="84"/>
      </w:r>
      <w:r w:rsidRPr="000C4F13">
        <w:rPr>
          <w:spacing w:val="-2"/>
          <w:lang w:val="fr-FR"/>
        </w:rPr>
        <w:t>.</w:t>
      </w:r>
    </w:p>
    <w:p w:rsidR="004419DB" w:rsidRPr="000C4F13" w:rsidRDefault="004419DB" w:rsidP="00EB5E51">
      <w:pPr>
        <w:pStyle w:val="ParNoG"/>
        <w:rPr>
          <w:spacing w:val="-2"/>
          <w:lang w:val="fr-FR"/>
        </w:rPr>
      </w:pPr>
      <w:r w:rsidRPr="000C4F13">
        <w:rPr>
          <w:spacing w:val="-2"/>
          <w:lang w:val="fr-FR"/>
        </w:rPr>
        <w:t>Pour certaines catégories de personnes vulnérables, l</w:t>
      </w:r>
      <w:r w:rsidR="00F100CC">
        <w:rPr>
          <w:spacing w:val="-2"/>
          <w:lang w:val="fr-FR"/>
        </w:rPr>
        <w:t>’</w:t>
      </w:r>
      <w:r w:rsidRPr="000C4F13">
        <w:rPr>
          <w:spacing w:val="-2"/>
          <w:lang w:val="fr-FR"/>
        </w:rPr>
        <w:t>information directe de la personne en état d</w:t>
      </w:r>
      <w:r w:rsidR="00F100CC">
        <w:rPr>
          <w:spacing w:val="-2"/>
          <w:lang w:val="fr-FR"/>
        </w:rPr>
        <w:t>’</w:t>
      </w:r>
      <w:r w:rsidRPr="000C4F13">
        <w:rPr>
          <w:spacing w:val="-2"/>
          <w:lang w:val="fr-FR"/>
        </w:rPr>
        <w:t>arrestation est nécessaire mais n</w:t>
      </w:r>
      <w:r w:rsidR="00F100CC">
        <w:rPr>
          <w:spacing w:val="-2"/>
          <w:lang w:val="fr-FR"/>
        </w:rPr>
        <w:t>’</w:t>
      </w:r>
      <w:r w:rsidRPr="000C4F13">
        <w:rPr>
          <w:spacing w:val="-2"/>
          <w:lang w:val="fr-FR"/>
        </w:rPr>
        <w:t xml:space="preserve">est pas suffisante. </w:t>
      </w:r>
      <w:r w:rsidR="00EB5E51" w:rsidRPr="000C4F13">
        <w:rPr>
          <w:spacing w:val="-2"/>
          <w:lang w:val="fr-FR"/>
        </w:rPr>
        <w:t>Dans le cas</w:t>
      </w:r>
      <w:r w:rsidRPr="000C4F13">
        <w:rPr>
          <w:spacing w:val="-2"/>
          <w:lang w:val="fr-FR"/>
        </w:rPr>
        <w:t xml:space="preserve"> d</w:t>
      </w:r>
      <w:r w:rsidR="00F100CC">
        <w:rPr>
          <w:spacing w:val="-2"/>
          <w:lang w:val="fr-FR"/>
        </w:rPr>
        <w:t>’</w:t>
      </w:r>
      <w:r w:rsidRPr="000C4F13">
        <w:rPr>
          <w:spacing w:val="-2"/>
          <w:lang w:val="fr-FR"/>
        </w:rPr>
        <w:t>un enfant, la notification de l</w:t>
      </w:r>
      <w:r w:rsidR="00F100CC">
        <w:rPr>
          <w:spacing w:val="-2"/>
          <w:lang w:val="fr-FR"/>
        </w:rPr>
        <w:t>’</w:t>
      </w:r>
      <w:r w:rsidRPr="000C4F13">
        <w:rPr>
          <w:spacing w:val="-2"/>
          <w:lang w:val="fr-FR"/>
        </w:rPr>
        <w:t>arrestation et des raisons doit aussi être adressée directement aux parents, tuteurs ou représentants légaux</w:t>
      </w:r>
      <w:r w:rsidR="00EB5E51" w:rsidRPr="000C4F13">
        <w:rPr>
          <w:rStyle w:val="FootnoteReference"/>
          <w:spacing w:val="-2"/>
        </w:rPr>
        <w:footnoteReference w:id="85"/>
      </w:r>
      <w:r w:rsidRPr="000C4F13">
        <w:rPr>
          <w:spacing w:val="-2"/>
          <w:lang w:val="fr-FR"/>
        </w:rPr>
        <w:t>. Pour certaines personnes ayant un handicap mental, la notification de l</w:t>
      </w:r>
      <w:r w:rsidR="00F100CC">
        <w:rPr>
          <w:spacing w:val="-2"/>
          <w:lang w:val="fr-FR"/>
        </w:rPr>
        <w:t>’</w:t>
      </w:r>
      <w:r w:rsidRPr="000C4F13">
        <w:rPr>
          <w:spacing w:val="-2"/>
          <w:lang w:val="fr-FR"/>
        </w:rPr>
        <w:t>arrestation et des raisons devrait également être faite directement auprès des personnes qu</w:t>
      </w:r>
      <w:r w:rsidR="00F100CC">
        <w:rPr>
          <w:spacing w:val="-2"/>
          <w:lang w:val="fr-FR"/>
        </w:rPr>
        <w:t>’</w:t>
      </w:r>
      <w:r w:rsidRPr="000C4F13">
        <w:rPr>
          <w:spacing w:val="-2"/>
          <w:lang w:val="fr-FR"/>
        </w:rPr>
        <w:t xml:space="preserve">elles ont désignées ou </w:t>
      </w:r>
      <w:r w:rsidR="00DA0547" w:rsidRPr="000C4F13">
        <w:rPr>
          <w:spacing w:val="-2"/>
          <w:lang w:val="fr-FR"/>
        </w:rPr>
        <w:t xml:space="preserve">auprès </w:t>
      </w:r>
      <w:r w:rsidRPr="000C4F13">
        <w:rPr>
          <w:spacing w:val="-2"/>
          <w:lang w:val="fr-FR"/>
        </w:rPr>
        <w:t xml:space="preserve">de membres de la famille voulus. Il peut être nécessaire de disposer de plus de temps pour déterminer quels sont les tiers </w:t>
      </w:r>
      <w:r w:rsidR="00DA0547" w:rsidRPr="000C4F13">
        <w:rPr>
          <w:spacing w:val="-2"/>
          <w:lang w:val="fr-FR"/>
        </w:rPr>
        <w:t>qu</w:t>
      </w:r>
      <w:r w:rsidR="00F100CC">
        <w:rPr>
          <w:spacing w:val="-2"/>
          <w:lang w:val="fr-FR"/>
        </w:rPr>
        <w:t>’</w:t>
      </w:r>
      <w:r w:rsidR="00DA0547" w:rsidRPr="000C4F13">
        <w:rPr>
          <w:spacing w:val="-2"/>
          <w:lang w:val="fr-FR"/>
        </w:rPr>
        <w:t xml:space="preserve">il convient de prévenir et </w:t>
      </w:r>
      <w:r w:rsidRPr="000C4F13">
        <w:rPr>
          <w:spacing w:val="-2"/>
          <w:lang w:val="fr-FR"/>
        </w:rPr>
        <w:t>prendre contact avec eux, mais la notification devrai</w:t>
      </w:r>
      <w:r w:rsidR="00DA0547" w:rsidRPr="000C4F13">
        <w:rPr>
          <w:spacing w:val="-2"/>
          <w:lang w:val="fr-FR"/>
        </w:rPr>
        <w:t>t être donnée dès que possible.</w:t>
      </w:r>
    </w:p>
    <w:p w:rsidR="004419DB" w:rsidRPr="007D5B6F" w:rsidRDefault="004419DB" w:rsidP="00DA0547">
      <w:pPr>
        <w:pStyle w:val="ParNoG"/>
        <w:rPr>
          <w:spacing w:val="-2"/>
          <w:lang w:val="fr-FR"/>
        </w:rPr>
      </w:pPr>
      <w:r w:rsidRPr="007D5B6F">
        <w:rPr>
          <w:spacing w:val="-2"/>
          <w:lang w:val="fr-FR"/>
        </w:rPr>
        <w:t>La deuxième obligation faite au paragraphe 2 porte sur la notification des accusations. Les personnes arrêtées aux fins d</w:t>
      </w:r>
      <w:r w:rsidR="00F100CC">
        <w:rPr>
          <w:spacing w:val="-2"/>
          <w:lang w:val="fr-FR"/>
        </w:rPr>
        <w:t>’</w:t>
      </w:r>
      <w:r w:rsidRPr="007D5B6F">
        <w:rPr>
          <w:spacing w:val="-2"/>
          <w:lang w:val="fr-FR"/>
        </w:rPr>
        <w:t>enquête sur une infraction pénale qu</w:t>
      </w:r>
      <w:r w:rsidR="00F100CC">
        <w:rPr>
          <w:spacing w:val="-2"/>
          <w:lang w:val="fr-FR"/>
        </w:rPr>
        <w:t>’</w:t>
      </w:r>
      <w:r w:rsidRPr="007D5B6F">
        <w:rPr>
          <w:spacing w:val="-2"/>
          <w:lang w:val="fr-FR"/>
        </w:rPr>
        <w:t>elles peuvent avoir commise, ou aux fins de placement en détention en vue d</w:t>
      </w:r>
      <w:r w:rsidR="00F100CC">
        <w:rPr>
          <w:spacing w:val="-2"/>
          <w:lang w:val="fr-FR"/>
        </w:rPr>
        <w:t>’</w:t>
      </w:r>
      <w:r w:rsidRPr="007D5B6F">
        <w:rPr>
          <w:spacing w:val="-2"/>
          <w:lang w:val="fr-FR"/>
        </w:rPr>
        <w:t>un procès pénal, doivent être informées dans le plus court délai des infractions dont elles sont soupçonnées ou accusées. Ce droit s</w:t>
      </w:r>
      <w:r w:rsidR="00F100CC">
        <w:rPr>
          <w:spacing w:val="-2"/>
          <w:lang w:val="fr-FR"/>
        </w:rPr>
        <w:t>’</w:t>
      </w:r>
      <w:r w:rsidRPr="007D5B6F">
        <w:rPr>
          <w:spacing w:val="-2"/>
          <w:lang w:val="fr-FR"/>
        </w:rPr>
        <w:t>applique dans le cas de poursuites pénales ordinaires et aussi dans le cas de poursuites par un parquet militaire ou d</w:t>
      </w:r>
      <w:r w:rsidR="00F100CC">
        <w:rPr>
          <w:spacing w:val="-2"/>
          <w:lang w:val="fr-FR"/>
        </w:rPr>
        <w:t>’</w:t>
      </w:r>
      <w:r w:rsidRPr="007D5B6F">
        <w:rPr>
          <w:spacing w:val="-2"/>
          <w:lang w:val="fr-FR"/>
        </w:rPr>
        <w:t>autres régimes spéciaux de répression pénale</w:t>
      </w:r>
      <w:r w:rsidR="00DA0547" w:rsidRPr="007D5B6F">
        <w:rPr>
          <w:rStyle w:val="FootnoteReference"/>
          <w:spacing w:val="-2"/>
        </w:rPr>
        <w:footnoteReference w:id="86"/>
      </w:r>
      <w:r w:rsidRPr="007D5B6F">
        <w:rPr>
          <w:spacing w:val="-2"/>
          <w:lang w:val="fr-FR"/>
        </w:rPr>
        <w:t>.</w:t>
      </w:r>
    </w:p>
    <w:p w:rsidR="004419DB" w:rsidRPr="004419DB" w:rsidRDefault="004419DB" w:rsidP="00BE29D4">
      <w:pPr>
        <w:pStyle w:val="ParNoG"/>
        <w:rPr>
          <w:lang w:val="fr-FR"/>
        </w:rPr>
      </w:pPr>
      <w:r w:rsidRPr="004419DB">
        <w:rPr>
          <w:lang w:val="fr-FR"/>
        </w:rPr>
        <w:t>Le paragraphe 2 impose que la personne arrêtée soit informée «dans le plus court délai» de l</w:t>
      </w:r>
      <w:r w:rsidR="00F100CC">
        <w:rPr>
          <w:lang w:val="fr-FR"/>
        </w:rPr>
        <w:t>’</w:t>
      </w:r>
      <w:r w:rsidRPr="004419DB">
        <w:rPr>
          <w:lang w:val="fr-FR"/>
        </w:rPr>
        <w:t>accusation et non pas nécessairement «au moment de son arrestation». Si une charge particulière est déjà envisagée, l</w:t>
      </w:r>
      <w:r w:rsidR="00F100CC">
        <w:rPr>
          <w:lang w:val="fr-FR"/>
        </w:rPr>
        <w:t>’</w:t>
      </w:r>
      <w:r w:rsidRPr="004419DB">
        <w:rPr>
          <w:lang w:val="fr-FR"/>
        </w:rPr>
        <w:t>agent qui procède à l</w:t>
      </w:r>
      <w:r w:rsidR="00F100CC">
        <w:rPr>
          <w:lang w:val="fr-FR"/>
        </w:rPr>
        <w:t>’</w:t>
      </w:r>
      <w:r w:rsidRPr="004419DB">
        <w:rPr>
          <w:lang w:val="fr-FR"/>
        </w:rPr>
        <w:t>arrestation peut informer l</w:t>
      </w:r>
      <w:r w:rsidR="00F100CC">
        <w:rPr>
          <w:lang w:val="fr-FR"/>
        </w:rPr>
        <w:t>’</w:t>
      </w:r>
      <w:r w:rsidRPr="004419DB">
        <w:rPr>
          <w:lang w:val="fr-FR"/>
        </w:rPr>
        <w:t>intéressé à la fois des motifs et des charges, ou bien les autorités peuvent expliquer quelques heures plus tard le fondement juridique de l</w:t>
      </w:r>
      <w:r w:rsidR="00F100CC">
        <w:rPr>
          <w:lang w:val="fr-FR"/>
        </w:rPr>
        <w:t>’</w:t>
      </w:r>
      <w:r w:rsidRPr="004419DB">
        <w:rPr>
          <w:lang w:val="fr-FR"/>
        </w:rPr>
        <w:t>arrestation. Les raisons doivent être données dans une langue que l</w:t>
      </w:r>
      <w:r w:rsidR="00F100CC">
        <w:rPr>
          <w:lang w:val="fr-FR"/>
        </w:rPr>
        <w:t>’</w:t>
      </w:r>
      <w:r w:rsidRPr="004419DB">
        <w:rPr>
          <w:lang w:val="fr-FR"/>
        </w:rPr>
        <w:t>intéressé comprend</w:t>
      </w:r>
      <w:r w:rsidR="00BE29D4">
        <w:rPr>
          <w:rStyle w:val="FootnoteReference"/>
        </w:rPr>
        <w:footnoteReference w:id="87"/>
      </w:r>
      <w:r w:rsidRPr="004419DB">
        <w:rPr>
          <w:lang w:val="fr-FR"/>
        </w:rPr>
        <w:t xml:space="preserve">. </w:t>
      </w:r>
      <w:r w:rsidR="00BE29D4">
        <w:rPr>
          <w:lang w:val="fr-FR"/>
        </w:rPr>
        <w:t>L</w:t>
      </w:r>
      <w:r w:rsidR="00F100CC">
        <w:rPr>
          <w:lang w:val="fr-FR"/>
        </w:rPr>
        <w:t>’</w:t>
      </w:r>
      <w:r w:rsidR="00BE29D4">
        <w:rPr>
          <w:lang w:val="fr-FR"/>
        </w:rPr>
        <w:t>obligation de notifier</w:t>
      </w:r>
      <w:r w:rsidRPr="004419DB">
        <w:rPr>
          <w:lang w:val="fr-FR"/>
        </w:rPr>
        <w:t xml:space="preserve"> l</w:t>
      </w:r>
      <w:r w:rsidR="00F100CC">
        <w:rPr>
          <w:lang w:val="fr-FR"/>
        </w:rPr>
        <w:t>’</w:t>
      </w:r>
      <w:r w:rsidRPr="004419DB">
        <w:rPr>
          <w:lang w:val="fr-FR"/>
        </w:rPr>
        <w:t>accusation</w:t>
      </w:r>
      <w:r w:rsidR="00BE29D4">
        <w:rPr>
          <w:lang w:val="fr-FR"/>
        </w:rPr>
        <w:t xml:space="preserve"> faite</w:t>
      </w:r>
      <w:r w:rsidRPr="004419DB">
        <w:rPr>
          <w:lang w:val="fr-FR"/>
        </w:rPr>
        <w:t xml:space="preserve"> au paragraphe 2 permet de demander une décision </w:t>
      </w:r>
      <w:r w:rsidR="00BE29D4">
        <w:rPr>
          <w:lang w:val="fr-FR"/>
        </w:rPr>
        <w:t xml:space="preserve">pour déterminer si le </w:t>
      </w:r>
      <w:r w:rsidRPr="004419DB">
        <w:rPr>
          <w:lang w:val="fr-FR"/>
        </w:rPr>
        <w:t xml:space="preserve">placement en détention provisoire </w:t>
      </w:r>
      <w:r w:rsidR="00BE29D4">
        <w:rPr>
          <w:lang w:val="fr-FR"/>
        </w:rPr>
        <w:t xml:space="preserve">est approprié ou non </w:t>
      </w:r>
      <w:r w:rsidRPr="004419DB">
        <w:rPr>
          <w:lang w:val="fr-FR"/>
        </w:rPr>
        <w:t xml:space="preserve">et </w:t>
      </w:r>
      <w:r w:rsidR="00BE29D4">
        <w:rPr>
          <w:lang w:val="fr-FR"/>
        </w:rPr>
        <w:t>le paragraphe 2 n</w:t>
      </w:r>
      <w:r w:rsidR="00F100CC">
        <w:rPr>
          <w:lang w:val="fr-FR"/>
        </w:rPr>
        <w:t>’</w:t>
      </w:r>
      <w:r w:rsidR="00BE29D4">
        <w:rPr>
          <w:lang w:val="fr-FR"/>
        </w:rPr>
        <w:t>exige pas que la personne en état d</w:t>
      </w:r>
      <w:r w:rsidR="00F100CC">
        <w:rPr>
          <w:lang w:val="fr-FR"/>
        </w:rPr>
        <w:t>’</w:t>
      </w:r>
      <w:r w:rsidR="00BE29D4">
        <w:rPr>
          <w:lang w:val="fr-FR"/>
        </w:rPr>
        <w:t>arrestation soit informée des charges de façon aussi détaillée que cela sera</w:t>
      </w:r>
      <w:r w:rsidRPr="004419DB">
        <w:rPr>
          <w:lang w:val="fr-FR"/>
        </w:rPr>
        <w:t xml:space="preserve"> nécessaire par la suite pour préparer le procès</w:t>
      </w:r>
      <w:r w:rsidR="00BE29D4">
        <w:rPr>
          <w:rStyle w:val="FootnoteReference"/>
        </w:rPr>
        <w:footnoteReference w:id="88"/>
      </w:r>
      <w:r w:rsidRPr="004419DB">
        <w:rPr>
          <w:lang w:val="fr-FR"/>
        </w:rPr>
        <w:t>. Si les autorités ont déjà informé un individu des charges qui font l</w:t>
      </w:r>
      <w:r w:rsidR="00F100CC">
        <w:rPr>
          <w:lang w:val="fr-FR"/>
        </w:rPr>
        <w:t>’</w:t>
      </w:r>
      <w:r w:rsidRPr="004419DB">
        <w:rPr>
          <w:lang w:val="fr-FR"/>
        </w:rPr>
        <w:t>objet d</w:t>
      </w:r>
      <w:r w:rsidR="00F100CC">
        <w:rPr>
          <w:lang w:val="fr-FR"/>
        </w:rPr>
        <w:t>’</w:t>
      </w:r>
      <w:r w:rsidRPr="004419DB">
        <w:rPr>
          <w:lang w:val="fr-FR"/>
        </w:rPr>
        <w:t>une enquête avant de procéder à l</w:t>
      </w:r>
      <w:r w:rsidR="00F100CC">
        <w:rPr>
          <w:lang w:val="fr-FR"/>
        </w:rPr>
        <w:t>’</w:t>
      </w:r>
      <w:r w:rsidRPr="004419DB">
        <w:rPr>
          <w:lang w:val="fr-FR"/>
        </w:rPr>
        <w:t>arrestation, le paragraphe 2 n</w:t>
      </w:r>
      <w:r w:rsidR="00F100CC">
        <w:rPr>
          <w:lang w:val="fr-FR"/>
        </w:rPr>
        <w:t>’</w:t>
      </w:r>
      <w:r w:rsidRPr="004419DB">
        <w:rPr>
          <w:lang w:val="fr-FR"/>
        </w:rPr>
        <w:t>entraîne pas l</w:t>
      </w:r>
      <w:r w:rsidR="00F100CC">
        <w:rPr>
          <w:lang w:val="fr-FR"/>
        </w:rPr>
        <w:t>’</w:t>
      </w:r>
      <w:r w:rsidRPr="004419DB">
        <w:rPr>
          <w:lang w:val="fr-FR"/>
        </w:rPr>
        <w:t>obligation de répéter rapidement les chefs d</w:t>
      </w:r>
      <w:r w:rsidR="00F100CC">
        <w:rPr>
          <w:lang w:val="fr-FR"/>
        </w:rPr>
        <w:t>’</w:t>
      </w:r>
      <w:r w:rsidRPr="004419DB">
        <w:rPr>
          <w:lang w:val="fr-FR"/>
        </w:rPr>
        <w:t>inculpation, pour autant que les raisons de l</w:t>
      </w:r>
      <w:r w:rsidR="00F100CC">
        <w:rPr>
          <w:lang w:val="fr-FR"/>
        </w:rPr>
        <w:t>’</w:t>
      </w:r>
      <w:r w:rsidRPr="004419DB">
        <w:rPr>
          <w:lang w:val="fr-FR"/>
        </w:rPr>
        <w:t>arrestation aient été signifiées</w:t>
      </w:r>
      <w:r w:rsidR="0001662D">
        <w:rPr>
          <w:rStyle w:val="FootnoteReference"/>
        </w:rPr>
        <w:footnoteReference w:id="89"/>
      </w:r>
      <w:r w:rsidRPr="004419DB">
        <w:rPr>
          <w:lang w:val="fr-FR"/>
        </w:rPr>
        <w:t>. Les considérations exposées au paragraphe 28 valent également pour ce qui est de l</w:t>
      </w:r>
      <w:r w:rsidR="00F100CC">
        <w:rPr>
          <w:lang w:val="fr-FR"/>
        </w:rPr>
        <w:t>’</w:t>
      </w:r>
      <w:r w:rsidRPr="004419DB">
        <w:rPr>
          <w:lang w:val="fr-FR"/>
        </w:rPr>
        <w:t>obligation d</w:t>
      </w:r>
      <w:r w:rsidR="00F100CC">
        <w:rPr>
          <w:lang w:val="fr-FR"/>
        </w:rPr>
        <w:t>’</w:t>
      </w:r>
      <w:r w:rsidRPr="004419DB">
        <w:rPr>
          <w:lang w:val="fr-FR"/>
        </w:rPr>
        <w:t>informer sans délai de l</w:t>
      </w:r>
      <w:r w:rsidR="00F100CC">
        <w:rPr>
          <w:lang w:val="fr-FR"/>
        </w:rPr>
        <w:t>’</w:t>
      </w:r>
      <w:r w:rsidRPr="004419DB">
        <w:rPr>
          <w:lang w:val="fr-FR"/>
        </w:rPr>
        <w:t>accusation portée lorsque des mineurs ou d</w:t>
      </w:r>
      <w:r w:rsidR="00F100CC">
        <w:rPr>
          <w:lang w:val="fr-FR"/>
        </w:rPr>
        <w:t>’</w:t>
      </w:r>
      <w:r w:rsidRPr="004419DB">
        <w:rPr>
          <w:lang w:val="fr-FR"/>
        </w:rPr>
        <w:t>autres pers</w:t>
      </w:r>
      <w:r w:rsidR="00384BB3">
        <w:rPr>
          <w:lang w:val="fr-FR"/>
        </w:rPr>
        <w:t>onnes vulnérables sont arrêtés.</w:t>
      </w:r>
    </w:p>
    <w:p w:rsidR="004419DB" w:rsidRPr="004419DB" w:rsidRDefault="004419DB" w:rsidP="007D5B6F">
      <w:pPr>
        <w:pStyle w:val="HChG"/>
        <w:rPr>
          <w:lang w:val="fr-FR"/>
        </w:rPr>
      </w:pPr>
      <w:r w:rsidRPr="004419DB">
        <w:rPr>
          <w:lang w:val="fr-FR"/>
        </w:rPr>
        <w:tab/>
        <w:t>IV.</w:t>
      </w:r>
      <w:r w:rsidRPr="004419DB">
        <w:rPr>
          <w:lang w:val="fr-FR"/>
        </w:rPr>
        <w:tab/>
        <w:t>Contrôle judiciaire de la détention dans le cadre</w:t>
      </w:r>
      <w:r w:rsidR="00384BB3">
        <w:rPr>
          <w:lang w:val="fr-FR"/>
        </w:rPr>
        <w:br/>
      </w:r>
      <w:r w:rsidRPr="004419DB">
        <w:rPr>
          <w:lang w:val="fr-FR"/>
        </w:rPr>
        <w:t>d</w:t>
      </w:r>
      <w:r w:rsidR="00F100CC">
        <w:rPr>
          <w:lang w:val="fr-FR"/>
        </w:rPr>
        <w:t>’</w:t>
      </w:r>
      <w:r w:rsidRPr="004419DB">
        <w:rPr>
          <w:lang w:val="fr-FR"/>
        </w:rPr>
        <w:t>une inculpation pénale</w:t>
      </w:r>
    </w:p>
    <w:p w:rsidR="004419DB" w:rsidRPr="004419DB" w:rsidRDefault="004419DB" w:rsidP="00D304D2">
      <w:pPr>
        <w:pStyle w:val="ParNoG"/>
        <w:rPr>
          <w:lang w:val="fr-FR"/>
        </w:rPr>
      </w:pPr>
      <w:r w:rsidRPr="004419DB">
        <w:rPr>
          <w:lang w:val="fr-FR"/>
        </w:rPr>
        <w:t>La première phrase du paragraphe 3 s</w:t>
      </w:r>
      <w:r w:rsidR="00F100CC">
        <w:rPr>
          <w:lang w:val="fr-FR"/>
        </w:rPr>
        <w:t>’</w:t>
      </w:r>
      <w:r w:rsidRPr="004419DB">
        <w:rPr>
          <w:lang w:val="fr-FR"/>
        </w:rPr>
        <w:t>applique à tout individu «arrêté ou détenu du chef d</w:t>
      </w:r>
      <w:r w:rsidR="00F100CC">
        <w:rPr>
          <w:lang w:val="fr-FR"/>
        </w:rPr>
        <w:t>’</w:t>
      </w:r>
      <w:r w:rsidRPr="004419DB">
        <w:rPr>
          <w:lang w:val="fr-FR"/>
        </w:rPr>
        <w:t>une infraction pénale» alors que la deuxième phrase vise les personnes «qui attendent de passer en jugement». Le paragraphe 3 s</w:t>
      </w:r>
      <w:r w:rsidR="00F100CC">
        <w:rPr>
          <w:lang w:val="fr-FR"/>
        </w:rPr>
        <w:t>’</w:t>
      </w:r>
      <w:r w:rsidRPr="004419DB">
        <w:rPr>
          <w:lang w:val="fr-FR"/>
        </w:rPr>
        <w:t>applique aux procédures pénales ordinaires, aux poursuites engagées par un parquet militaire et à d</w:t>
      </w:r>
      <w:r w:rsidR="00F100CC">
        <w:rPr>
          <w:lang w:val="fr-FR"/>
        </w:rPr>
        <w:t>’</w:t>
      </w:r>
      <w:r w:rsidRPr="004419DB">
        <w:rPr>
          <w:lang w:val="fr-FR"/>
        </w:rPr>
        <w:t>autres régimes spéciaux visant à punir des infractions</w:t>
      </w:r>
      <w:r w:rsidR="00D304D2">
        <w:rPr>
          <w:rStyle w:val="FootnoteReference"/>
        </w:rPr>
        <w:footnoteReference w:id="90"/>
      </w:r>
      <w:r w:rsidR="0010548F">
        <w:rPr>
          <w:lang w:val="fr-FR"/>
        </w:rPr>
        <w:t>.</w:t>
      </w:r>
    </w:p>
    <w:p w:rsidR="004419DB" w:rsidRPr="004419DB" w:rsidRDefault="004419DB" w:rsidP="004F4CE0">
      <w:pPr>
        <w:pStyle w:val="ParNoG"/>
        <w:rPr>
          <w:lang w:val="fr-FR"/>
        </w:rPr>
      </w:pPr>
      <w:r w:rsidRPr="004419DB">
        <w:rPr>
          <w:lang w:val="fr-FR"/>
        </w:rPr>
        <w:t>Le paragraphe 3 dispose en premier lieu que tout individu arrêté ou détenu du chef d</w:t>
      </w:r>
      <w:r w:rsidR="00F100CC">
        <w:rPr>
          <w:lang w:val="fr-FR"/>
        </w:rPr>
        <w:t>’</w:t>
      </w:r>
      <w:r w:rsidRPr="004419DB">
        <w:rPr>
          <w:lang w:val="fr-FR"/>
        </w:rPr>
        <w:t>une infraction pénale sera traduit dans le plus court délai devant un juge ou une autre autorité habilitée par la loi à exercer des fonctions judiciaires. Cette règle s</w:t>
      </w:r>
      <w:r w:rsidR="00F100CC">
        <w:rPr>
          <w:lang w:val="fr-FR"/>
        </w:rPr>
        <w:t>’</w:t>
      </w:r>
      <w:r w:rsidRPr="004419DB">
        <w:rPr>
          <w:lang w:val="fr-FR"/>
        </w:rPr>
        <w:t>applique dans tous les cas sans exception et n</w:t>
      </w:r>
      <w:r w:rsidR="00F100CC">
        <w:rPr>
          <w:lang w:val="fr-FR"/>
        </w:rPr>
        <w:t>’</w:t>
      </w:r>
      <w:r w:rsidRPr="004419DB">
        <w:rPr>
          <w:lang w:val="fr-FR"/>
        </w:rPr>
        <w:t>est pas subordonnée à la volonté ou à la capacité du détenu de s</w:t>
      </w:r>
      <w:r w:rsidR="00F100CC">
        <w:rPr>
          <w:lang w:val="fr-FR"/>
        </w:rPr>
        <w:t>’</w:t>
      </w:r>
      <w:r w:rsidRPr="004419DB">
        <w:rPr>
          <w:lang w:val="fr-FR"/>
        </w:rPr>
        <w:t>en prévaloir</w:t>
      </w:r>
      <w:r w:rsidR="004F4CE0">
        <w:rPr>
          <w:rStyle w:val="FootnoteReference"/>
        </w:rPr>
        <w:footnoteReference w:id="91"/>
      </w:r>
      <w:r w:rsidRPr="004419DB">
        <w:rPr>
          <w:lang w:val="fr-FR"/>
        </w:rPr>
        <w:t>. Elle s</w:t>
      </w:r>
      <w:r w:rsidR="00F100CC">
        <w:rPr>
          <w:lang w:val="fr-FR"/>
        </w:rPr>
        <w:t>’</w:t>
      </w:r>
      <w:r w:rsidRPr="004419DB">
        <w:rPr>
          <w:lang w:val="fr-FR"/>
        </w:rPr>
        <w:t>applique même avant que les charges aient été formellement établies dès lors que l</w:t>
      </w:r>
      <w:r w:rsidR="00F100CC">
        <w:rPr>
          <w:lang w:val="fr-FR"/>
        </w:rPr>
        <w:t>’</w:t>
      </w:r>
      <w:r w:rsidRPr="004419DB">
        <w:rPr>
          <w:lang w:val="fr-FR"/>
        </w:rPr>
        <w:t>intéressé est arrêté ou détenu sur un soupçon d</w:t>
      </w:r>
      <w:r w:rsidR="00F100CC">
        <w:rPr>
          <w:lang w:val="fr-FR"/>
        </w:rPr>
        <w:t>’</w:t>
      </w:r>
      <w:r w:rsidRPr="004419DB">
        <w:rPr>
          <w:lang w:val="fr-FR"/>
        </w:rPr>
        <w:t>acte criminel</w:t>
      </w:r>
      <w:r w:rsidR="006A468C">
        <w:rPr>
          <w:rStyle w:val="FootnoteReference"/>
        </w:rPr>
        <w:footnoteReference w:id="92"/>
      </w:r>
      <w:r w:rsidRPr="004419DB">
        <w:rPr>
          <w:lang w:val="fr-FR"/>
        </w:rPr>
        <w:t>. Le droit vise à garantir que la détention d</w:t>
      </w:r>
      <w:r w:rsidR="00F100CC">
        <w:rPr>
          <w:lang w:val="fr-FR"/>
        </w:rPr>
        <w:t>’</w:t>
      </w:r>
      <w:r w:rsidRPr="004419DB">
        <w:rPr>
          <w:lang w:val="fr-FR"/>
        </w:rPr>
        <w:t>un individu dans le cadre d</w:t>
      </w:r>
      <w:r w:rsidR="00F100CC">
        <w:rPr>
          <w:lang w:val="fr-FR"/>
        </w:rPr>
        <w:t>’</w:t>
      </w:r>
      <w:r w:rsidRPr="004419DB">
        <w:rPr>
          <w:lang w:val="fr-FR"/>
        </w:rPr>
        <w:t>une enquête ou de poursuites pénales soit placée sous contrôle juridictionnel</w:t>
      </w:r>
      <w:r w:rsidR="006A468C">
        <w:rPr>
          <w:rStyle w:val="FootnoteReference"/>
        </w:rPr>
        <w:footnoteReference w:id="93"/>
      </w:r>
      <w:r w:rsidRPr="004419DB">
        <w:rPr>
          <w:lang w:val="fr-FR"/>
        </w:rPr>
        <w:t>. Si une nouvelle charge est retenue contre une personne déjà détenue du chef d</w:t>
      </w:r>
      <w:r w:rsidR="00F100CC">
        <w:rPr>
          <w:lang w:val="fr-FR"/>
        </w:rPr>
        <w:t>’</w:t>
      </w:r>
      <w:r w:rsidRPr="004419DB">
        <w:rPr>
          <w:lang w:val="fr-FR"/>
        </w:rPr>
        <w:t>une infraction pénale, cette personne doit être déférée devant un juge dans le plus court délai pour que soit contrôlée la deuxième détention</w:t>
      </w:r>
      <w:r w:rsidR="006A468C">
        <w:rPr>
          <w:rStyle w:val="FootnoteReference"/>
        </w:rPr>
        <w:footnoteReference w:id="94"/>
      </w:r>
      <w:r w:rsidRPr="004419DB">
        <w:rPr>
          <w:lang w:val="fr-FR"/>
        </w:rPr>
        <w:t>. Il est inhérent au bon exercice du pouvoir judiciaire que ce contrôle soit assuré par une autorité indépendante, objective et impartiale par rapport aux questions traitées</w:t>
      </w:r>
      <w:r w:rsidR="004973A0">
        <w:rPr>
          <w:rStyle w:val="FootnoteReference"/>
        </w:rPr>
        <w:footnoteReference w:id="95"/>
      </w:r>
      <w:r w:rsidRPr="004419DB">
        <w:rPr>
          <w:lang w:val="fr-FR"/>
        </w:rPr>
        <w:t>. Ainsi, un procureur ne peut pas être considéré comme une autorité habilitée à exercer des fonctions judiciaires au sens du paragraphe 3</w:t>
      </w:r>
      <w:r w:rsidR="004973A0">
        <w:rPr>
          <w:rStyle w:val="FootnoteReference"/>
        </w:rPr>
        <w:footnoteReference w:id="96"/>
      </w:r>
      <w:r w:rsidRPr="004419DB">
        <w:rPr>
          <w:lang w:val="fr-FR"/>
        </w:rPr>
        <w:t>.</w:t>
      </w:r>
    </w:p>
    <w:p w:rsidR="004419DB" w:rsidRPr="004419DB" w:rsidRDefault="004419DB" w:rsidP="004973A0">
      <w:pPr>
        <w:pStyle w:val="ParNoG"/>
        <w:rPr>
          <w:lang w:val="fr-FR"/>
        </w:rPr>
      </w:pPr>
      <w:r w:rsidRPr="004419DB">
        <w:rPr>
          <w:lang w:val="fr-FR"/>
        </w:rPr>
        <w:t>Si le sens exact à donner à l</w:t>
      </w:r>
      <w:r w:rsidR="00F100CC">
        <w:rPr>
          <w:lang w:val="fr-FR"/>
        </w:rPr>
        <w:t>’</w:t>
      </w:r>
      <w:r w:rsidRPr="004419DB">
        <w:rPr>
          <w:lang w:val="fr-FR"/>
        </w:rPr>
        <w:t>expression «dans le plus court délai» peut varier selon les circonstances objectives</w:t>
      </w:r>
      <w:r w:rsidR="004973A0">
        <w:rPr>
          <w:rStyle w:val="FootnoteReference"/>
        </w:rPr>
        <w:footnoteReference w:id="97"/>
      </w:r>
      <w:r w:rsidRPr="004419DB">
        <w:rPr>
          <w:lang w:val="fr-FR"/>
        </w:rPr>
        <w:t>, le laps de temps ne devrait pas dépasser quelques jours à partir du moment de l</w:t>
      </w:r>
      <w:r w:rsidR="00F100CC">
        <w:rPr>
          <w:lang w:val="fr-FR"/>
        </w:rPr>
        <w:t>’</w:t>
      </w:r>
      <w:r w:rsidRPr="004419DB">
        <w:rPr>
          <w:lang w:val="fr-FR"/>
        </w:rPr>
        <w:t>arrestation</w:t>
      </w:r>
      <w:r w:rsidR="004973A0">
        <w:rPr>
          <w:rStyle w:val="FootnoteReference"/>
        </w:rPr>
        <w:footnoteReference w:id="98"/>
      </w:r>
      <w:r w:rsidRPr="004419DB">
        <w:rPr>
          <w:lang w:val="fr-FR"/>
        </w:rPr>
        <w:t>. De l</w:t>
      </w:r>
      <w:r w:rsidR="00F100CC">
        <w:rPr>
          <w:lang w:val="fr-FR"/>
        </w:rPr>
        <w:t>’</w:t>
      </w:r>
      <w:r w:rsidRPr="004419DB">
        <w:rPr>
          <w:lang w:val="fr-FR"/>
        </w:rPr>
        <w:t>avis du Comité, quarante-huit heures suffisent généralement à transférer l</w:t>
      </w:r>
      <w:r w:rsidR="00F100CC">
        <w:rPr>
          <w:lang w:val="fr-FR"/>
        </w:rPr>
        <w:t>’</w:t>
      </w:r>
      <w:r w:rsidRPr="004419DB">
        <w:rPr>
          <w:lang w:val="fr-FR"/>
        </w:rPr>
        <w:t>individu et à préparer l</w:t>
      </w:r>
      <w:r w:rsidR="00F100CC">
        <w:rPr>
          <w:lang w:val="fr-FR"/>
        </w:rPr>
        <w:t>’</w:t>
      </w:r>
      <w:r w:rsidRPr="004419DB">
        <w:rPr>
          <w:lang w:val="fr-FR"/>
        </w:rPr>
        <w:t>audition judiciaire</w:t>
      </w:r>
      <w:r w:rsidR="0046657E">
        <w:rPr>
          <w:rStyle w:val="FootnoteReference"/>
        </w:rPr>
        <w:footnoteReference w:id="99"/>
      </w:r>
      <w:r w:rsidRPr="004419DB">
        <w:rPr>
          <w:lang w:val="fr-FR"/>
        </w:rPr>
        <w:t>; tout délai supérieur à quarante-huit heures doit rester absolument exceptionnel et être justifié par les circonstances</w:t>
      </w:r>
      <w:r w:rsidR="0046657E">
        <w:rPr>
          <w:rStyle w:val="FootnoteReference"/>
        </w:rPr>
        <w:footnoteReference w:id="100"/>
      </w:r>
      <w:r w:rsidRPr="004419DB">
        <w:rPr>
          <w:lang w:val="fr-FR"/>
        </w:rPr>
        <w:t>. Maintenir quelqu</w:t>
      </w:r>
      <w:r w:rsidR="00F100CC">
        <w:rPr>
          <w:lang w:val="fr-FR"/>
        </w:rPr>
        <w:t>’</w:t>
      </w:r>
      <w:r w:rsidRPr="004419DB">
        <w:rPr>
          <w:lang w:val="fr-FR"/>
        </w:rPr>
        <w:t>un sous la garde de policiers plus longtemps, sans contrôle judiciaire, augmente inutilement le risque de mauvais traitements</w:t>
      </w:r>
      <w:r w:rsidR="0046657E">
        <w:rPr>
          <w:rStyle w:val="FootnoteReference"/>
        </w:rPr>
        <w:footnoteReference w:id="101"/>
      </w:r>
      <w:r w:rsidRPr="004419DB">
        <w:rPr>
          <w:lang w:val="fr-FR"/>
        </w:rPr>
        <w:t>. Dans la plupart des États parties la législation fixe un délai précis, qui est parfois inférieur à quarante-huit heures, et ces limites ne devraient pas non plus être dépassées. Un délai particulièrement strict, de vingt-quatre heures par exemple, devrait être a</w:t>
      </w:r>
      <w:r w:rsidR="00E62850">
        <w:rPr>
          <w:lang w:val="fr-FR"/>
        </w:rPr>
        <w:t>ppliqué dans le cas des mineurs</w:t>
      </w:r>
      <w:r w:rsidR="0046657E">
        <w:rPr>
          <w:rStyle w:val="FootnoteReference"/>
        </w:rPr>
        <w:footnoteReference w:id="102"/>
      </w:r>
      <w:r w:rsidR="004E0619">
        <w:rPr>
          <w:lang w:val="fr-FR"/>
        </w:rPr>
        <w:t>.</w:t>
      </w:r>
    </w:p>
    <w:p w:rsidR="004419DB" w:rsidRPr="004419DB" w:rsidRDefault="004419DB" w:rsidP="004E0619">
      <w:pPr>
        <w:pStyle w:val="ParNoG"/>
        <w:rPr>
          <w:lang w:val="fr-FR"/>
        </w:rPr>
      </w:pPr>
      <w:r w:rsidRPr="004419DB">
        <w:rPr>
          <w:lang w:val="fr-FR"/>
        </w:rPr>
        <w:t>L</w:t>
      </w:r>
      <w:r w:rsidR="00F100CC">
        <w:rPr>
          <w:lang w:val="fr-FR"/>
        </w:rPr>
        <w:t>’</w:t>
      </w:r>
      <w:r w:rsidRPr="004419DB">
        <w:rPr>
          <w:lang w:val="fr-FR"/>
        </w:rPr>
        <w:t>intéressé doit comparaître en personne devant le juge ou une autre autorité habilitée par la loi à exercer des fonctions judiciaires</w:t>
      </w:r>
      <w:r w:rsidR="004E0619">
        <w:rPr>
          <w:rStyle w:val="FootnoteReference"/>
        </w:rPr>
        <w:footnoteReference w:id="103"/>
      </w:r>
      <w:r w:rsidRPr="004419DB">
        <w:rPr>
          <w:lang w:val="fr-FR"/>
        </w:rPr>
        <w:t>. La présence physique du détenu à l</w:t>
      </w:r>
      <w:r w:rsidR="00F100CC">
        <w:rPr>
          <w:lang w:val="fr-FR"/>
        </w:rPr>
        <w:t>’</w:t>
      </w:r>
      <w:r w:rsidRPr="004419DB">
        <w:rPr>
          <w:lang w:val="fr-FR"/>
        </w:rPr>
        <w:t>audience donne l</w:t>
      </w:r>
      <w:r w:rsidR="00F100CC">
        <w:rPr>
          <w:lang w:val="fr-FR"/>
        </w:rPr>
        <w:t>’</w:t>
      </w:r>
      <w:r w:rsidRPr="004419DB">
        <w:rPr>
          <w:lang w:val="fr-FR"/>
        </w:rPr>
        <w:t>occasion de l</w:t>
      </w:r>
      <w:r w:rsidR="00F100CC">
        <w:rPr>
          <w:lang w:val="fr-FR"/>
        </w:rPr>
        <w:t>’</w:t>
      </w:r>
      <w:r w:rsidRPr="004419DB">
        <w:rPr>
          <w:lang w:val="fr-FR"/>
        </w:rPr>
        <w:t>interroger sur le traitement qu</w:t>
      </w:r>
      <w:r w:rsidR="00F100CC">
        <w:rPr>
          <w:lang w:val="fr-FR"/>
        </w:rPr>
        <w:t>’</w:t>
      </w:r>
      <w:r w:rsidRPr="004419DB">
        <w:rPr>
          <w:lang w:val="fr-FR"/>
        </w:rPr>
        <w:t>il a reçu pendant sa garde</w:t>
      </w:r>
      <w:r w:rsidR="00156CD9">
        <w:rPr>
          <w:rStyle w:val="FootnoteReference"/>
        </w:rPr>
        <w:footnoteReference w:id="104"/>
      </w:r>
      <w:r w:rsidRPr="004419DB">
        <w:rPr>
          <w:lang w:val="fr-FR"/>
        </w:rPr>
        <w:t>, et facilite le transfert immédiat dans un centre de détention provisoire si le maintien en détention est ordonné. Elle constitue donc une garantie pour le droit à la sécurité de la personne et le respect de l</w:t>
      </w:r>
      <w:r w:rsidR="00F100CC">
        <w:rPr>
          <w:lang w:val="fr-FR"/>
        </w:rPr>
        <w:t>’</w:t>
      </w:r>
      <w:r w:rsidRPr="004419DB">
        <w:rPr>
          <w:lang w:val="fr-FR"/>
        </w:rPr>
        <w:t>interdiction de la torture et des traitements cruels, inhumains ou dégradants. Pendant l</w:t>
      </w:r>
      <w:r w:rsidR="00F100CC">
        <w:rPr>
          <w:lang w:val="fr-FR"/>
        </w:rPr>
        <w:t>’</w:t>
      </w:r>
      <w:r w:rsidRPr="004419DB">
        <w:rPr>
          <w:lang w:val="fr-FR"/>
        </w:rPr>
        <w:t>audience, et pendant les audiences suivantes où le juge évalue la légalité ou la nécessité de la détention, l</w:t>
      </w:r>
      <w:r w:rsidR="00F100CC">
        <w:rPr>
          <w:lang w:val="fr-FR"/>
        </w:rPr>
        <w:t>’</w:t>
      </w:r>
      <w:r w:rsidRPr="004419DB">
        <w:rPr>
          <w:lang w:val="fr-FR"/>
        </w:rPr>
        <w:t>intéressé a le droit d</w:t>
      </w:r>
      <w:r w:rsidR="00F100CC">
        <w:rPr>
          <w:lang w:val="fr-FR"/>
        </w:rPr>
        <w:t>’</w:t>
      </w:r>
      <w:r w:rsidRPr="004419DB">
        <w:rPr>
          <w:lang w:val="fr-FR"/>
        </w:rPr>
        <w:t>être assisté d</w:t>
      </w:r>
      <w:r w:rsidR="00F100CC">
        <w:rPr>
          <w:lang w:val="fr-FR"/>
        </w:rPr>
        <w:t>’</w:t>
      </w:r>
      <w:r w:rsidRPr="004419DB">
        <w:rPr>
          <w:lang w:val="fr-FR"/>
        </w:rPr>
        <w:t>un conseil, en principe de son choix</w:t>
      </w:r>
      <w:r w:rsidR="00706BEC">
        <w:rPr>
          <w:rStyle w:val="FootnoteReference"/>
        </w:rPr>
        <w:footnoteReference w:id="105"/>
      </w:r>
      <w:r w:rsidR="00C42614">
        <w:rPr>
          <w:lang w:val="fr-FR"/>
        </w:rPr>
        <w:t>.</w:t>
      </w:r>
    </w:p>
    <w:p w:rsidR="004419DB" w:rsidRPr="004419DB" w:rsidRDefault="004419DB" w:rsidP="00C42614">
      <w:pPr>
        <w:pStyle w:val="ParNoG"/>
        <w:rPr>
          <w:lang w:val="fr-FR"/>
        </w:rPr>
      </w:pPr>
      <w:r w:rsidRPr="004419DB">
        <w:rPr>
          <w:lang w:val="fr-FR"/>
        </w:rPr>
        <w:t>La détention</w:t>
      </w:r>
      <w:r w:rsidR="00C42614">
        <w:rPr>
          <w:lang w:val="fr-FR"/>
        </w:rPr>
        <w:t xml:space="preserve"> au secret, qui empêche le défè</w:t>
      </w:r>
      <w:r w:rsidRPr="004419DB">
        <w:rPr>
          <w:lang w:val="fr-FR"/>
        </w:rPr>
        <w:t>rement sans délai devant un juge, constitue en soi une violation du paragraphe 3</w:t>
      </w:r>
      <w:r w:rsidR="00C42614">
        <w:rPr>
          <w:rStyle w:val="FootnoteReference"/>
        </w:rPr>
        <w:footnoteReference w:id="106"/>
      </w:r>
      <w:r w:rsidRPr="004419DB">
        <w:rPr>
          <w:lang w:val="fr-FR"/>
        </w:rPr>
        <w:t>. Selon sa durée et en fonction d</w:t>
      </w:r>
      <w:r w:rsidR="00F100CC">
        <w:rPr>
          <w:lang w:val="fr-FR"/>
        </w:rPr>
        <w:t>’</w:t>
      </w:r>
      <w:r w:rsidRPr="004419DB">
        <w:rPr>
          <w:lang w:val="fr-FR"/>
        </w:rPr>
        <w:t>autres facteurs, la détention au secret peut également constituer une violation d</w:t>
      </w:r>
      <w:r w:rsidR="00F100CC">
        <w:rPr>
          <w:lang w:val="fr-FR"/>
        </w:rPr>
        <w:t>’</w:t>
      </w:r>
      <w:r w:rsidRPr="004419DB">
        <w:rPr>
          <w:lang w:val="fr-FR"/>
        </w:rPr>
        <w:t>autres droits garantis par le Pacte, par exemple les articles 6, 7, 10 et 14</w:t>
      </w:r>
      <w:r w:rsidR="007344AA">
        <w:rPr>
          <w:rStyle w:val="FootnoteReference"/>
        </w:rPr>
        <w:footnoteReference w:id="107"/>
      </w:r>
      <w:r w:rsidRPr="004419DB">
        <w:rPr>
          <w:lang w:val="fr-FR"/>
        </w:rPr>
        <w:t>. Les États parties doivent permettre et faciliter l</w:t>
      </w:r>
      <w:r w:rsidR="00F100CC">
        <w:rPr>
          <w:lang w:val="fr-FR"/>
        </w:rPr>
        <w:t>’</w:t>
      </w:r>
      <w:r w:rsidRPr="004419DB">
        <w:rPr>
          <w:lang w:val="fr-FR"/>
        </w:rPr>
        <w:t>accès à un conseil pour les détenus inculpés d</w:t>
      </w:r>
      <w:r w:rsidR="00F100CC">
        <w:rPr>
          <w:lang w:val="fr-FR"/>
        </w:rPr>
        <w:t>’</w:t>
      </w:r>
      <w:r w:rsidRPr="004419DB">
        <w:rPr>
          <w:lang w:val="fr-FR"/>
        </w:rPr>
        <w:t>une infraction pénale, dès le début de la détention</w:t>
      </w:r>
      <w:r w:rsidR="002D064F">
        <w:rPr>
          <w:rStyle w:val="FootnoteReference"/>
        </w:rPr>
        <w:footnoteReference w:id="108"/>
      </w:r>
      <w:r w:rsidRPr="004419DB">
        <w:rPr>
          <w:lang w:val="fr-FR"/>
        </w:rPr>
        <w:t>.</w:t>
      </w:r>
    </w:p>
    <w:p w:rsidR="004419DB" w:rsidRPr="004419DB" w:rsidRDefault="004419DB" w:rsidP="00F757C1">
      <w:pPr>
        <w:pStyle w:val="ParNoG"/>
        <w:rPr>
          <w:lang w:val="fr-FR"/>
        </w:rPr>
      </w:pPr>
      <w:r w:rsidRPr="004419DB">
        <w:rPr>
          <w:lang w:val="fr-FR"/>
        </w:rPr>
        <w:t>Une fois que l</w:t>
      </w:r>
      <w:r w:rsidR="00F100CC">
        <w:rPr>
          <w:lang w:val="fr-FR"/>
        </w:rPr>
        <w:t>’</w:t>
      </w:r>
      <w:r w:rsidRPr="004419DB">
        <w:rPr>
          <w:lang w:val="fr-FR"/>
        </w:rPr>
        <w:t>individu a été déféré devant le juge, celui-ci doit décider s</w:t>
      </w:r>
      <w:r w:rsidR="00F100CC">
        <w:rPr>
          <w:lang w:val="fr-FR"/>
        </w:rPr>
        <w:t>’</w:t>
      </w:r>
      <w:r w:rsidRPr="004419DB">
        <w:rPr>
          <w:lang w:val="fr-FR"/>
        </w:rPr>
        <w:t>il faut le remettre en liberté ou le placer en détention, aux fins d</w:t>
      </w:r>
      <w:r w:rsidR="00F100CC">
        <w:rPr>
          <w:lang w:val="fr-FR"/>
        </w:rPr>
        <w:t>’</w:t>
      </w:r>
      <w:r w:rsidRPr="004419DB">
        <w:rPr>
          <w:lang w:val="fr-FR"/>
        </w:rPr>
        <w:t>enquête supplémentaire ou en attendant le jugement. S</w:t>
      </w:r>
      <w:r w:rsidR="00F100CC">
        <w:rPr>
          <w:lang w:val="fr-FR"/>
        </w:rPr>
        <w:t>’</w:t>
      </w:r>
      <w:r w:rsidRPr="004419DB">
        <w:rPr>
          <w:lang w:val="fr-FR"/>
        </w:rPr>
        <w:t>il n</w:t>
      </w:r>
      <w:r w:rsidR="00F100CC">
        <w:rPr>
          <w:lang w:val="fr-FR"/>
        </w:rPr>
        <w:t>’</w:t>
      </w:r>
      <w:r w:rsidRPr="004419DB">
        <w:rPr>
          <w:lang w:val="fr-FR"/>
        </w:rPr>
        <w:t>y a pas de fondement juridique au maintien de la détention, le juge doit ordonner la remise en liberté</w:t>
      </w:r>
      <w:r w:rsidR="00F757C1">
        <w:rPr>
          <w:rStyle w:val="FootnoteReference"/>
        </w:rPr>
        <w:footnoteReference w:id="109"/>
      </w:r>
      <w:r w:rsidRPr="004419DB">
        <w:rPr>
          <w:lang w:val="fr-FR"/>
        </w:rPr>
        <w:t>. Si un complément d</w:t>
      </w:r>
      <w:r w:rsidR="00F100CC">
        <w:rPr>
          <w:lang w:val="fr-FR"/>
        </w:rPr>
        <w:t>’</w:t>
      </w:r>
      <w:r w:rsidRPr="004419DB">
        <w:rPr>
          <w:lang w:val="fr-FR"/>
        </w:rPr>
        <w:t>enquête ou un jugement est justifié, le juge doit déterminer si l</w:t>
      </w:r>
      <w:r w:rsidR="00F100CC">
        <w:rPr>
          <w:lang w:val="fr-FR"/>
        </w:rPr>
        <w:t>’</w:t>
      </w:r>
      <w:r w:rsidRPr="004419DB">
        <w:rPr>
          <w:lang w:val="fr-FR"/>
        </w:rPr>
        <w:t>intéressé doit être remis en liberté (avec ou sans conditions) pendant que la procédure se poursuit, parce que la détention n</w:t>
      </w:r>
      <w:r w:rsidR="00F100CC">
        <w:rPr>
          <w:lang w:val="fr-FR"/>
        </w:rPr>
        <w:t>’</w:t>
      </w:r>
      <w:r w:rsidRPr="004419DB">
        <w:rPr>
          <w:lang w:val="fr-FR"/>
        </w:rPr>
        <w:t>est pas nécessaire, question développée dans la deuxième phrase du paragraphe 3. De l</w:t>
      </w:r>
      <w:r w:rsidR="00F100CC">
        <w:rPr>
          <w:lang w:val="fr-FR"/>
        </w:rPr>
        <w:t>’</w:t>
      </w:r>
      <w:r w:rsidRPr="004419DB">
        <w:rPr>
          <w:lang w:val="fr-FR"/>
        </w:rPr>
        <w:t>avis du Comité, la détention provisoire ne doit pas impliquer un retour dans les locaux de la police mais doit être effectuée dans un centre distinct placé sous une autorité différente, où les risques d</w:t>
      </w:r>
      <w:r w:rsidR="00F100CC">
        <w:rPr>
          <w:lang w:val="fr-FR"/>
        </w:rPr>
        <w:t>’</w:t>
      </w:r>
      <w:r w:rsidRPr="004419DB">
        <w:rPr>
          <w:lang w:val="fr-FR"/>
        </w:rPr>
        <w:t>atteintes aux droits du détenu peuvent plus facilement être atténués.</w:t>
      </w:r>
    </w:p>
    <w:p w:rsidR="004419DB" w:rsidRPr="00BC0576" w:rsidRDefault="004419DB" w:rsidP="001D1A42">
      <w:pPr>
        <w:pStyle w:val="ParNoG"/>
        <w:rPr>
          <w:spacing w:val="-2"/>
          <w:lang w:val="fr-FR"/>
        </w:rPr>
      </w:pPr>
      <w:r w:rsidRPr="00BC0576">
        <w:rPr>
          <w:spacing w:val="-2"/>
          <w:lang w:val="fr-FR"/>
        </w:rPr>
        <w:t>La deuxième obligation énoncée dans la première phrase du paragraphe 3 est que l</w:t>
      </w:r>
      <w:r w:rsidR="00F100CC" w:rsidRPr="00BC0576">
        <w:rPr>
          <w:spacing w:val="-2"/>
          <w:lang w:val="fr-FR"/>
        </w:rPr>
        <w:t>’</w:t>
      </w:r>
      <w:r w:rsidRPr="00BC0576">
        <w:rPr>
          <w:spacing w:val="-2"/>
          <w:lang w:val="fr-FR"/>
        </w:rPr>
        <w:t>intéressé doit être jugé dans un délai raisonnable ou libéré. Cette obligation vise expressément la période passée en détention avant jugement, c</w:t>
      </w:r>
      <w:r w:rsidR="00F100CC" w:rsidRPr="00BC0576">
        <w:rPr>
          <w:spacing w:val="-2"/>
          <w:lang w:val="fr-FR"/>
        </w:rPr>
        <w:t>’</w:t>
      </w:r>
      <w:r w:rsidRPr="00BC0576">
        <w:rPr>
          <w:spacing w:val="-2"/>
          <w:lang w:val="fr-FR"/>
        </w:rPr>
        <w:t>est-à-dire le laps de temps entre l</w:t>
      </w:r>
      <w:r w:rsidR="00F100CC" w:rsidRPr="00BC0576">
        <w:rPr>
          <w:spacing w:val="-2"/>
          <w:lang w:val="fr-FR"/>
        </w:rPr>
        <w:t>’</w:t>
      </w:r>
      <w:r w:rsidRPr="00BC0576">
        <w:rPr>
          <w:spacing w:val="-2"/>
          <w:lang w:val="fr-FR"/>
        </w:rPr>
        <w:t>arrestation et le moment du jugement en première instance</w:t>
      </w:r>
      <w:r w:rsidR="001D1A42" w:rsidRPr="00BC0576">
        <w:rPr>
          <w:rStyle w:val="FootnoteReference"/>
          <w:spacing w:val="-2"/>
        </w:rPr>
        <w:footnoteReference w:id="110"/>
      </w:r>
      <w:r w:rsidRPr="00BC0576">
        <w:rPr>
          <w:spacing w:val="-2"/>
          <w:lang w:val="fr-FR"/>
        </w:rPr>
        <w:t>. Une détention avant jugement d</w:t>
      </w:r>
      <w:r w:rsidR="00F100CC" w:rsidRPr="00BC0576">
        <w:rPr>
          <w:spacing w:val="-2"/>
          <w:lang w:val="fr-FR"/>
        </w:rPr>
        <w:t>’</w:t>
      </w:r>
      <w:r w:rsidRPr="00BC0576">
        <w:rPr>
          <w:spacing w:val="-2"/>
          <w:lang w:val="fr-FR"/>
        </w:rPr>
        <w:t>une durée extrême peut également porter atteinte à la présomption d</w:t>
      </w:r>
      <w:r w:rsidR="00F100CC" w:rsidRPr="00BC0576">
        <w:rPr>
          <w:spacing w:val="-2"/>
          <w:lang w:val="fr-FR"/>
        </w:rPr>
        <w:t>’</w:t>
      </w:r>
      <w:r w:rsidRPr="00BC0576">
        <w:rPr>
          <w:spacing w:val="-2"/>
          <w:lang w:val="fr-FR"/>
        </w:rPr>
        <w:t>innocence, garantie au paragraphe 2 de l</w:t>
      </w:r>
      <w:r w:rsidR="00F100CC" w:rsidRPr="00BC0576">
        <w:rPr>
          <w:spacing w:val="-2"/>
          <w:lang w:val="fr-FR"/>
        </w:rPr>
        <w:t>’</w:t>
      </w:r>
      <w:r w:rsidRPr="00BC0576">
        <w:rPr>
          <w:spacing w:val="-2"/>
          <w:lang w:val="fr-FR"/>
        </w:rPr>
        <w:t>article 14</w:t>
      </w:r>
      <w:r w:rsidR="008F5F3F" w:rsidRPr="00BC0576">
        <w:rPr>
          <w:rStyle w:val="FootnoteReference"/>
          <w:spacing w:val="-2"/>
        </w:rPr>
        <w:footnoteReference w:id="111"/>
      </w:r>
      <w:r w:rsidRPr="00BC0576">
        <w:rPr>
          <w:spacing w:val="-2"/>
          <w:lang w:val="fr-FR"/>
        </w:rPr>
        <w:t>. L</w:t>
      </w:r>
      <w:r w:rsidR="00F100CC" w:rsidRPr="00BC0576">
        <w:rPr>
          <w:spacing w:val="-2"/>
          <w:lang w:val="fr-FR"/>
        </w:rPr>
        <w:t>’</w:t>
      </w:r>
      <w:r w:rsidRPr="00BC0576">
        <w:rPr>
          <w:spacing w:val="-2"/>
          <w:lang w:val="fr-FR"/>
        </w:rPr>
        <w:t>inculpé qui n</w:t>
      </w:r>
      <w:r w:rsidR="00F100CC" w:rsidRPr="00BC0576">
        <w:rPr>
          <w:spacing w:val="-2"/>
          <w:lang w:val="fr-FR"/>
        </w:rPr>
        <w:t>’</w:t>
      </w:r>
      <w:r w:rsidRPr="00BC0576">
        <w:rPr>
          <w:spacing w:val="-2"/>
          <w:lang w:val="fr-FR"/>
        </w:rPr>
        <w:t>est pas libéré en attendant son jugement doit être jugé dans le plus court délai, dans la mesure où ses droits à la défense sont assurés</w:t>
      </w:r>
      <w:r w:rsidR="008E3CDC" w:rsidRPr="00BC0576">
        <w:rPr>
          <w:rStyle w:val="FootnoteReference"/>
          <w:spacing w:val="-2"/>
        </w:rPr>
        <w:footnoteReference w:id="112"/>
      </w:r>
      <w:r w:rsidRPr="00BC0576">
        <w:rPr>
          <w:spacing w:val="-2"/>
          <w:lang w:val="fr-FR"/>
        </w:rPr>
        <w:t>. Ce qui est raisonnable concernant le laps de temps avant que l</w:t>
      </w:r>
      <w:r w:rsidR="00F100CC" w:rsidRPr="00BC0576">
        <w:rPr>
          <w:spacing w:val="-2"/>
          <w:lang w:val="fr-FR"/>
        </w:rPr>
        <w:t>’</w:t>
      </w:r>
      <w:r w:rsidRPr="00BC0576">
        <w:rPr>
          <w:spacing w:val="-2"/>
          <w:lang w:val="fr-FR"/>
        </w:rPr>
        <w:t>affaire ne soit jugée doit être apprécié au cas par cas selon les circonstances, en tenant compte de la complexité de l</w:t>
      </w:r>
      <w:r w:rsidR="00F100CC" w:rsidRPr="00BC0576">
        <w:rPr>
          <w:spacing w:val="-2"/>
          <w:lang w:val="fr-FR"/>
        </w:rPr>
        <w:t>’</w:t>
      </w:r>
      <w:r w:rsidRPr="00BC0576">
        <w:rPr>
          <w:spacing w:val="-2"/>
          <w:lang w:val="fr-FR"/>
        </w:rPr>
        <w:t>affaire, du comportement de l</w:t>
      </w:r>
      <w:r w:rsidR="00F100CC" w:rsidRPr="00BC0576">
        <w:rPr>
          <w:spacing w:val="-2"/>
          <w:lang w:val="fr-FR"/>
        </w:rPr>
        <w:t>’</w:t>
      </w:r>
      <w:r w:rsidRPr="00BC0576">
        <w:rPr>
          <w:spacing w:val="-2"/>
          <w:lang w:val="fr-FR"/>
        </w:rPr>
        <w:t>inculpé pendant la procédure et de la façon dont l</w:t>
      </w:r>
      <w:r w:rsidR="00F100CC" w:rsidRPr="00BC0576">
        <w:rPr>
          <w:spacing w:val="-2"/>
          <w:lang w:val="fr-FR"/>
        </w:rPr>
        <w:t>’</w:t>
      </w:r>
      <w:r w:rsidRPr="00BC0576">
        <w:rPr>
          <w:spacing w:val="-2"/>
          <w:lang w:val="fr-FR"/>
        </w:rPr>
        <w:t>affaire a été traitée par les autorités exécutives et judiciaires</w:t>
      </w:r>
      <w:r w:rsidR="005D7480" w:rsidRPr="00BC0576">
        <w:rPr>
          <w:rStyle w:val="FootnoteReference"/>
          <w:spacing w:val="-2"/>
        </w:rPr>
        <w:footnoteReference w:id="113"/>
      </w:r>
      <w:r w:rsidRPr="00BC0576">
        <w:rPr>
          <w:spacing w:val="-2"/>
          <w:lang w:val="fr-FR"/>
        </w:rPr>
        <w:t>. Des obstacles rencontrés pour mener l</w:t>
      </w:r>
      <w:r w:rsidR="00F100CC" w:rsidRPr="00BC0576">
        <w:rPr>
          <w:spacing w:val="-2"/>
          <w:lang w:val="fr-FR"/>
        </w:rPr>
        <w:t>’</w:t>
      </w:r>
      <w:r w:rsidRPr="00BC0576">
        <w:rPr>
          <w:spacing w:val="-2"/>
          <w:lang w:val="fr-FR"/>
        </w:rPr>
        <w:t>enquête à bonne fin peuvent justifier un délai supplémentaire</w:t>
      </w:r>
      <w:r w:rsidR="00310404" w:rsidRPr="00BC0576">
        <w:rPr>
          <w:rStyle w:val="FootnoteReference"/>
          <w:spacing w:val="-2"/>
        </w:rPr>
        <w:footnoteReference w:id="114"/>
      </w:r>
      <w:r w:rsidRPr="00BC0576">
        <w:rPr>
          <w:spacing w:val="-2"/>
          <w:lang w:val="fr-FR"/>
        </w:rPr>
        <w:t>, mais les conditions générales de sous-effectif ou de restrictions budgétaires ne le peuvent pas</w:t>
      </w:r>
      <w:r w:rsidR="00EC2707" w:rsidRPr="00BC0576">
        <w:rPr>
          <w:rStyle w:val="FootnoteReference"/>
          <w:spacing w:val="-2"/>
        </w:rPr>
        <w:footnoteReference w:id="115"/>
      </w:r>
      <w:r w:rsidRPr="00BC0576">
        <w:rPr>
          <w:spacing w:val="-2"/>
          <w:lang w:val="fr-FR"/>
        </w:rPr>
        <w:t>. Quand une prolongation devient nécessaire, le juge doit réexaminer la possibilité d</w:t>
      </w:r>
      <w:r w:rsidR="00F100CC" w:rsidRPr="00BC0576">
        <w:rPr>
          <w:spacing w:val="-2"/>
          <w:lang w:val="fr-FR"/>
        </w:rPr>
        <w:t>’</w:t>
      </w:r>
      <w:r w:rsidRPr="00BC0576">
        <w:rPr>
          <w:spacing w:val="-2"/>
          <w:lang w:val="fr-FR"/>
        </w:rPr>
        <w:t>appliquer une mesure de substitution à la détention avant jugement</w:t>
      </w:r>
      <w:r w:rsidR="00EC2707" w:rsidRPr="00BC0576">
        <w:rPr>
          <w:rStyle w:val="FootnoteReference"/>
          <w:spacing w:val="-2"/>
        </w:rPr>
        <w:footnoteReference w:id="116"/>
      </w:r>
      <w:r w:rsidRPr="00BC0576">
        <w:rPr>
          <w:spacing w:val="-2"/>
          <w:lang w:val="fr-FR"/>
        </w:rPr>
        <w:t>. La détention avant jugement de mineurs doit être évitée mais lorsque la mesure est décidée, ils doivent être jugés aussi rapidement que possible conformément au paragraphe 2 b) de l</w:t>
      </w:r>
      <w:r w:rsidR="00F100CC" w:rsidRPr="00BC0576">
        <w:rPr>
          <w:spacing w:val="-2"/>
          <w:lang w:val="fr-FR"/>
        </w:rPr>
        <w:t>’</w:t>
      </w:r>
      <w:r w:rsidRPr="00BC0576">
        <w:rPr>
          <w:spacing w:val="-2"/>
          <w:lang w:val="fr-FR"/>
        </w:rPr>
        <w:t>article 10 du Pacte</w:t>
      </w:r>
      <w:r w:rsidR="00EC2707" w:rsidRPr="00BC0576">
        <w:rPr>
          <w:rStyle w:val="FootnoteReference"/>
          <w:spacing w:val="-2"/>
        </w:rPr>
        <w:footnoteReference w:id="117"/>
      </w:r>
      <w:r w:rsidRPr="00BC0576">
        <w:rPr>
          <w:spacing w:val="-2"/>
          <w:lang w:val="fr-FR"/>
        </w:rPr>
        <w:t>.</w:t>
      </w:r>
    </w:p>
    <w:p w:rsidR="004419DB" w:rsidRPr="004419DB" w:rsidRDefault="004419DB" w:rsidP="007B5EA1">
      <w:pPr>
        <w:pStyle w:val="ParNoG"/>
        <w:rPr>
          <w:lang w:val="fr-FR"/>
        </w:rPr>
      </w:pPr>
      <w:r w:rsidRPr="004419DB">
        <w:rPr>
          <w:lang w:val="fr-FR"/>
        </w:rPr>
        <w:t xml:space="preserve">La deuxième phrase du paragraphe 3 </w:t>
      </w:r>
      <w:r w:rsidR="007525D8">
        <w:rPr>
          <w:lang w:val="fr-FR"/>
        </w:rPr>
        <w:t>de l</w:t>
      </w:r>
      <w:r w:rsidR="00F100CC">
        <w:rPr>
          <w:lang w:val="fr-FR"/>
        </w:rPr>
        <w:t>’</w:t>
      </w:r>
      <w:r w:rsidR="007525D8">
        <w:rPr>
          <w:lang w:val="fr-FR"/>
        </w:rPr>
        <w:t xml:space="preserve">article 9 </w:t>
      </w:r>
      <w:r w:rsidRPr="004419DB">
        <w:rPr>
          <w:lang w:val="fr-FR"/>
        </w:rPr>
        <w:t>dispose que la détention des personnes qui attendent de passer en jugement doit être l</w:t>
      </w:r>
      <w:r w:rsidR="00F100CC">
        <w:rPr>
          <w:lang w:val="fr-FR"/>
        </w:rPr>
        <w:t>’</w:t>
      </w:r>
      <w:r w:rsidRPr="004419DB">
        <w:rPr>
          <w:lang w:val="fr-FR"/>
        </w:rPr>
        <w:t>exception et non pas la règle. Elle dispose aussi que la mise en liberté peut être subordonnée à des garanties assurant la comparution de l</w:t>
      </w:r>
      <w:r w:rsidR="00F100CC">
        <w:rPr>
          <w:lang w:val="fr-FR"/>
        </w:rPr>
        <w:t>’</w:t>
      </w:r>
      <w:r w:rsidRPr="004419DB">
        <w:rPr>
          <w:lang w:val="fr-FR"/>
        </w:rPr>
        <w:t>intéressé à l</w:t>
      </w:r>
      <w:r w:rsidR="00F100CC">
        <w:rPr>
          <w:lang w:val="fr-FR"/>
        </w:rPr>
        <w:t>’</w:t>
      </w:r>
      <w:r w:rsidRPr="004419DB">
        <w:rPr>
          <w:lang w:val="fr-FR"/>
        </w:rPr>
        <w:t>audience, à tous les autres actes de la procédure et (le cas échéant) pour l</w:t>
      </w:r>
      <w:r w:rsidR="00F100CC">
        <w:rPr>
          <w:lang w:val="fr-FR"/>
        </w:rPr>
        <w:t>’</w:t>
      </w:r>
      <w:r w:rsidRPr="004419DB">
        <w:rPr>
          <w:lang w:val="fr-FR"/>
        </w:rPr>
        <w:t>exécution du jugement. Cette règle s</w:t>
      </w:r>
      <w:r w:rsidR="00F100CC">
        <w:rPr>
          <w:lang w:val="fr-FR"/>
        </w:rPr>
        <w:t>’</w:t>
      </w:r>
      <w:r w:rsidRPr="004419DB">
        <w:rPr>
          <w:lang w:val="fr-FR"/>
        </w:rPr>
        <w:t>applique aux personnes attendant d</w:t>
      </w:r>
      <w:r w:rsidR="00F100CC">
        <w:rPr>
          <w:lang w:val="fr-FR"/>
        </w:rPr>
        <w:t>’</w:t>
      </w:r>
      <w:r w:rsidRPr="004419DB">
        <w:rPr>
          <w:lang w:val="fr-FR"/>
        </w:rPr>
        <w:t>être jugées pour une infraction pénale, c</w:t>
      </w:r>
      <w:r w:rsidR="00F100CC">
        <w:rPr>
          <w:lang w:val="fr-FR"/>
        </w:rPr>
        <w:t>’</w:t>
      </w:r>
      <w:r w:rsidRPr="004419DB">
        <w:rPr>
          <w:lang w:val="fr-FR"/>
        </w:rPr>
        <w:t>est-à-dire après que le défendeur a été inculpé, mais la même obligation antérieure à l</w:t>
      </w:r>
      <w:r w:rsidR="00F100CC">
        <w:rPr>
          <w:lang w:val="fr-FR"/>
        </w:rPr>
        <w:t>’</w:t>
      </w:r>
      <w:r w:rsidRPr="004419DB">
        <w:rPr>
          <w:lang w:val="fr-FR"/>
        </w:rPr>
        <w:t>inculpation découle de l</w:t>
      </w:r>
      <w:r w:rsidR="00F100CC">
        <w:rPr>
          <w:lang w:val="fr-FR"/>
        </w:rPr>
        <w:t>’</w:t>
      </w:r>
      <w:r w:rsidRPr="004419DB">
        <w:rPr>
          <w:lang w:val="fr-FR"/>
        </w:rPr>
        <w:t>interdiction de la détention arbitraire faite au paragraphe 1</w:t>
      </w:r>
      <w:r w:rsidR="00DB5910">
        <w:rPr>
          <w:rStyle w:val="FootnoteReference"/>
        </w:rPr>
        <w:footnoteReference w:id="118"/>
      </w:r>
      <w:r w:rsidRPr="004419DB">
        <w:rPr>
          <w:lang w:val="fr-FR"/>
        </w:rPr>
        <w:t>. Le placement des prévenus en détention dans l</w:t>
      </w:r>
      <w:r w:rsidR="00F100CC">
        <w:rPr>
          <w:lang w:val="fr-FR"/>
        </w:rPr>
        <w:t>’</w:t>
      </w:r>
      <w:r w:rsidRPr="004419DB">
        <w:rPr>
          <w:lang w:val="fr-FR"/>
        </w:rPr>
        <w:t>attente de leur procès ne devrait pas être une pratique générale. La détention avant jugement doit reposer sur une évaluation au cas par cas déterminant qu</w:t>
      </w:r>
      <w:r w:rsidR="00F100CC">
        <w:rPr>
          <w:lang w:val="fr-FR"/>
        </w:rPr>
        <w:t>’</w:t>
      </w:r>
      <w:r w:rsidRPr="004419DB">
        <w:rPr>
          <w:lang w:val="fr-FR"/>
        </w:rPr>
        <w:t xml:space="preserve">elle est raisonnable et nécessaire </w:t>
      </w:r>
      <w:r w:rsidR="006579E8">
        <w:rPr>
          <w:lang w:val="fr-FR"/>
        </w:rPr>
        <w:t>au regard de</w:t>
      </w:r>
      <w:r w:rsidRPr="004419DB">
        <w:rPr>
          <w:lang w:val="fr-FR"/>
        </w:rPr>
        <w:t xml:space="preserve"> toutes les circonstances, par exemple pour éviter que l</w:t>
      </w:r>
      <w:r w:rsidR="00F100CC">
        <w:rPr>
          <w:lang w:val="fr-FR"/>
        </w:rPr>
        <w:t>’</w:t>
      </w:r>
      <w:r w:rsidRPr="004419DB">
        <w:rPr>
          <w:lang w:val="fr-FR"/>
        </w:rPr>
        <w:t>intéressé ne prenne la fuite, ne modifie des preuves ou ne commette une nouvelle infraction</w:t>
      </w:r>
      <w:r w:rsidR="006579E8">
        <w:rPr>
          <w:rStyle w:val="FootnoteReference"/>
        </w:rPr>
        <w:footnoteReference w:id="119"/>
      </w:r>
      <w:r w:rsidRPr="004419DB">
        <w:rPr>
          <w:lang w:val="fr-FR"/>
        </w:rPr>
        <w:t>. La loi doit préciser les facteurs qui peuvent justifier la détention et ne doit pas prévoir des motifs imprécis et vastes comme «la sécurité publique»</w:t>
      </w:r>
      <w:r w:rsidR="009C31A5">
        <w:rPr>
          <w:rStyle w:val="FootnoteReference"/>
        </w:rPr>
        <w:footnoteReference w:id="120"/>
      </w:r>
      <w:r w:rsidRPr="004419DB">
        <w:rPr>
          <w:lang w:val="fr-FR"/>
        </w:rPr>
        <w:t>. La détention avant jugement ne doit pas être obligatoire pour tous les défendeurs inculpés d</w:t>
      </w:r>
      <w:r w:rsidR="00F100CC">
        <w:rPr>
          <w:lang w:val="fr-FR"/>
        </w:rPr>
        <w:t>’</w:t>
      </w:r>
      <w:r w:rsidRPr="004419DB">
        <w:rPr>
          <w:lang w:val="fr-FR"/>
        </w:rPr>
        <w:t>une infraction précise, sans qu</w:t>
      </w:r>
      <w:r w:rsidR="00F100CC">
        <w:rPr>
          <w:lang w:val="fr-FR"/>
        </w:rPr>
        <w:t>’</w:t>
      </w:r>
      <w:r w:rsidRPr="004419DB">
        <w:rPr>
          <w:lang w:val="fr-FR"/>
        </w:rPr>
        <w:t>il soit tenu compte des circonstances individuelles</w:t>
      </w:r>
      <w:r w:rsidR="00CA72D6">
        <w:rPr>
          <w:rStyle w:val="FootnoteReference"/>
        </w:rPr>
        <w:footnoteReference w:id="121"/>
      </w:r>
      <w:r w:rsidRPr="004419DB">
        <w:rPr>
          <w:lang w:val="fr-FR"/>
        </w:rPr>
        <w:t xml:space="preserve">. En outre, la détention avant jugement ne doit pas être ordonnée en fonction de la durée de la peine encourue </w:t>
      </w:r>
      <w:r w:rsidR="00A27C12">
        <w:rPr>
          <w:lang w:val="fr-FR"/>
        </w:rPr>
        <w:t>mais</w:t>
      </w:r>
      <w:r w:rsidRPr="004419DB">
        <w:rPr>
          <w:lang w:val="fr-FR"/>
        </w:rPr>
        <w:t xml:space="preserve"> doit être déterminée en fonction du critère de nécessité. Les tribunaux doivent étudier la possibilité d</w:t>
      </w:r>
      <w:r w:rsidR="00F100CC">
        <w:rPr>
          <w:lang w:val="fr-FR"/>
        </w:rPr>
        <w:t>’</w:t>
      </w:r>
      <w:r w:rsidRPr="004419DB">
        <w:rPr>
          <w:lang w:val="fr-FR"/>
        </w:rPr>
        <w:t>appliquer des mesures de substitution à la détention avant jugement, comme la libération sous caution, le bracelet électronique ou d</w:t>
      </w:r>
      <w:r w:rsidR="00F100CC">
        <w:rPr>
          <w:lang w:val="fr-FR"/>
        </w:rPr>
        <w:t>’</w:t>
      </w:r>
      <w:r w:rsidRPr="004419DB">
        <w:rPr>
          <w:lang w:val="fr-FR"/>
        </w:rPr>
        <w:t>autres conditions, qui rendraient la privation de liberté inutile dans le cas précis</w:t>
      </w:r>
      <w:r w:rsidR="00A27C12">
        <w:rPr>
          <w:rStyle w:val="FootnoteReference"/>
        </w:rPr>
        <w:footnoteReference w:id="122"/>
      </w:r>
      <w:r w:rsidRPr="004419DB">
        <w:rPr>
          <w:lang w:val="fr-FR"/>
        </w:rPr>
        <w:t xml:space="preserve">. Si le défendeur est étranger, ce seul fait ne doit pas être considéré comme suffisant pour </w:t>
      </w:r>
      <w:r w:rsidR="00A27C12">
        <w:rPr>
          <w:lang w:val="fr-FR"/>
        </w:rPr>
        <w:t>estim</w:t>
      </w:r>
      <w:r w:rsidRPr="004419DB">
        <w:rPr>
          <w:lang w:val="fr-FR"/>
        </w:rPr>
        <w:t>er qu</w:t>
      </w:r>
      <w:r w:rsidR="00F100CC">
        <w:rPr>
          <w:lang w:val="fr-FR"/>
        </w:rPr>
        <w:t>’</w:t>
      </w:r>
      <w:r w:rsidRPr="004419DB">
        <w:rPr>
          <w:lang w:val="fr-FR"/>
        </w:rPr>
        <w:t>il risque de quitter le territoire</w:t>
      </w:r>
      <w:r w:rsidR="00A27C12">
        <w:rPr>
          <w:rStyle w:val="FootnoteReference"/>
        </w:rPr>
        <w:footnoteReference w:id="123"/>
      </w:r>
      <w:r w:rsidRPr="004419DB">
        <w:rPr>
          <w:lang w:val="fr-FR"/>
        </w:rPr>
        <w:t>. Après l</w:t>
      </w:r>
      <w:r w:rsidR="00F100CC">
        <w:rPr>
          <w:lang w:val="fr-FR"/>
        </w:rPr>
        <w:t>’</w:t>
      </w:r>
      <w:r w:rsidRPr="004419DB">
        <w:rPr>
          <w:lang w:val="fr-FR"/>
        </w:rPr>
        <w:t>évaluation initiale déterminant que la détention avant jugement est nécessaire, il faut réexaminer périodiquement la mesure pour savoir si elle continue d</w:t>
      </w:r>
      <w:r w:rsidR="00F100CC">
        <w:rPr>
          <w:lang w:val="fr-FR"/>
        </w:rPr>
        <w:t>’</w:t>
      </w:r>
      <w:r w:rsidRPr="004419DB">
        <w:rPr>
          <w:lang w:val="fr-FR"/>
        </w:rPr>
        <w:t>être raisonnable et nécessaire, eu égard à d</w:t>
      </w:r>
      <w:r w:rsidR="00F100CC">
        <w:rPr>
          <w:lang w:val="fr-FR"/>
        </w:rPr>
        <w:t>’</w:t>
      </w:r>
      <w:r w:rsidRPr="004419DB">
        <w:rPr>
          <w:lang w:val="fr-FR"/>
        </w:rPr>
        <w:t>autres solutions possibles</w:t>
      </w:r>
      <w:r w:rsidR="001C29AA">
        <w:rPr>
          <w:rStyle w:val="FootnoteReference"/>
        </w:rPr>
        <w:footnoteReference w:id="124"/>
      </w:r>
      <w:r w:rsidRPr="004419DB">
        <w:rPr>
          <w:lang w:val="fr-FR"/>
        </w:rPr>
        <w:t>. Si la durée passée en détention provisoire atteint la durée maximale de la peine qui pourrait être prononcée pour l</w:t>
      </w:r>
      <w:r w:rsidR="00F100CC">
        <w:rPr>
          <w:lang w:val="fr-FR"/>
        </w:rPr>
        <w:t>’</w:t>
      </w:r>
      <w:r w:rsidRPr="004419DB">
        <w:rPr>
          <w:lang w:val="fr-FR"/>
        </w:rPr>
        <w:t>infraction, le défendeur doit être remis en liberté. La détention avant jugement de mineurs doit être évitée dans toute la mesure possible</w:t>
      </w:r>
      <w:r w:rsidR="001C29AA">
        <w:rPr>
          <w:rStyle w:val="FootnoteReference"/>
        </w:rPr>
        <w:footnoteReference w:id="125"/>
      </w:r>
      <w:r w:rsidRPr="004419DB">
        <w:rPr>
          <w:lang w:val="fr-FR"/>
        </w:rPr>
        <w:t>.</w:t>
      </w:r>
    </w:p>
    <w:p w:rsidR="004419DB" w:rsidRPr="004419DB" w:rsidRDefault="004419DB" w:rsidP="006F0151">
      <w:pPr>
        <w:pStyle w:val="HChG"/>
        <w:rPr>
          <w:lang w:val="fr-FR"/>
        </w:rPr>
      </w:pPr>
      <w:r w:rsidRPr="004419DB">
        <w:rPr>
          <w:lang w:val="fr-FR"/>
        </w:rPr>
        <w:tab/>
        <w:t>V.</w:t>
      </w:r>
      <w:r w:rsidRPr="004419DB">
        <w:rPr>
          <w:lang w:val="fr-FR"/>
        </w:rPr>
        <w:tab/>
        <w:t>Droit d</w:t>
      </w:r>
      <w:r w:rsidR="00F100CC">
        <w:rPr>
          <w:lang w:val="fr-FR"/>
        </w:rPr>
        <w:t>’</w:t>
      </w:r>
      <w:r w:rsidRPr="004419DB">
        <w:rPr>
          <w:lang w:val="fr-FR"/>
        </w:rPr>
        <w:t>introduire un rec</w:t>
      </w:r>
      <w:r w:rsidR="006F0151">
        <w:rPr>
          <w:lang w:val="fr-FR"/>
        </w:rPr>
        <w:t>ours pour obtenir la libération</w:t>
      </w:r>
      <w:r w:rsidR="006F0151">
        <w:rPr>
          <w:lang w:val="fr-FR"/>
        </w:rPr>
        <w:br/>
      </w:r>
      <w:r w:rsidRPr="004419DB">
        <w:rPr>
          <w:lang w:val="fr-FR"/>
        </w:rPr>
        <w:t>si la détention est illégale ou arbitraire</w:t>
      </w:r>
    </w:p>
    <w:p w:rsidR="004419DB" w:rsidRPr="004419DB" w:rsidRDefault="004419DB" w:rsidP="0020342E">
      <w:pPr>
        <w:pStyle w:val="ParNoG"/>
        <w:rPr>
          <w:i/>
          <w:lang w:val="fr-FR"/>
        </w:rPr>
      </w:pPr>
      <w:r w:rsidRPr="004419DB">
        <w:rPr>
          <w:lang w:val="fr-FR"/>
        </w:rPr>
        <w:t>En vertu du paragraphe 4 de l</w:t>
      </w:r>
      <w:r w:rsidR="00F100CC">
        <w:rPr>
          <w:lang w:val="fr-FR"/>
        </w:rPr>
        <w:t>’</w:t>
      </w:r>
      <w:r w:rsidRPr="004419DB">
        <w:rPr>
          <w:lang w:val="fr-FR"/>
        </w:rPr>
        <w:t>article 9, quiconque se trouve privé de sa liberté par arrestation ou détention a le droit d</w:t>
      </w:r>
      <w:r w:rsidR="00F100CC">
        <w:rPr>
          <w:lang w:val="fr-FR"/>
        </w:rPr>
        <w:t>’</w:t>
      </w:r>
      <w:r w:rsidRPr="004419DB">
        <w:rPr>
          <w:lang w:val="fr-FR"/>
        </w:rPr>
        <w:t>introduire un recours devant un tribunal afin que celui</w:t>
      </w:r>
      <w:r w:rsidRPr="004419DB">
        <w:rPr>
          <w:lang w:val="fr-FR"/>
        </w:rPr>
        <w:noBreakHyphen/>
        <w:t>ci statue sans délai sur la légalité de sa détention et ordonne sa libération si la détention est illégale. Ce paragraphe consacre le principe de l</w:t>
      </w:r>
      <w:r w:rsidR="00F100CC">
        <w:rPr>
          <w:lang w:val="fr-FR"/>
        </w:rPr>
        <w:t>’</w:t>
      </w:r>
      <w:r w:rsidRPr="004419DB">
        <w:rPr>
          <w:i/>
          <w:lang w:val="fr-FR"/>
        </w:rPr>
        <w:t>habeas corpus</w:t>
      </w:r>
      <w:r w:rsidR="0020342E" w:rsidRPr="0020342E">
        <w:rPr>
          <w:rStyle w:val="FootnoteReference"/>
        </w:rPr>
        <w:footnoteReference w:id="126"/>
      </w:r>
      <w:r w:rsidRPr="004419DB">
        <w:rPr>
          <w:i/>
          <w:lang w:val="fr-FR"/>
        </w:rPr>
        <w:t>.</w:t>
      </w:r>
      <w:r w:rsidRPr="004419DB">
        <w:rPr>
          <w:lang w:val="fr-FR"/>
        </w:rPr>
        <w:t xml:space="preserve"> L</w:t>
      </w:r>
      <w:r w:rsidR="00F100CC">
        <w:rPr>
          <w:lang w:val="fr-FR"/>
        </w:rPr>
        <w:t>’</w:t>
      </w:r>
      <w:r w:rsidRPr="004419DB">
        <w:rPr>
          <w:lang w:val="fr-FR"/>
        </w:rPr>
        <w:t>examen du fondement factuel du placement en détention peut, dans les circonstances appropriées, être limité au contrôle du caractère raisonnable d</w:t>
      </w:r>
      <w:r w:rsidR="00F100CC">
        <w:rPr>
          <w:lang w:val="fr-FR"/>
        </w:rPr>
        <w:t>’</w:t>
      </w:r>
      <w:r w:rsidRPr="004419DB">
        <w:rPr>
          <w:lang w:val="fr-FR"/>
        </w:rPr>
        <w:t>une décision antérieure</w:t>
      </w:r>
      <w:r w:rsidR="0020342E">
        <w:rPr>
          <w:rStyle w:val="FootnoteReference"/>
        </w:rPr>
        <w:footnoteReference w:id="127"/>
      </w:r>
      <w:r w:rsidRPr="004419DB">
        <w:rPr>
          <w:lang w:val="fr-FR"/>
        </w:rPr>
        <w:t xml:space="preserve">. </w:t>
      </w:r>
    </w:p>
    <w:p w:rsidR="004419DB" w:rsidRPr="004419DB" w:rsidRDefault="004419DB" w:rsidP="0020342E">
      <w:pPr>
        <w:pStyle w:val="ParNoG"/>
        <w:rPr>
          <w:lang w:val="fr-FR"/>
        </w:rPr>
      </w:pPr>
      <w:r w:rsidRPr="004419DB">
        <w:rPr>
          <w:lang w:val="fr-FR"/>
        </w:rPr>
        <w:t>Ce droit s</w:t>
      </w:r>
      <w:r w:rsidR="00F100CC">
        <w:rPr>
          <w:lang w:val="fr-FR"/>
        </w:rPr>
        <w:t>’</w:t>
      </w:r>
      <w:r w:rsidRPr="004419DB">
        <w:rPr>
          <w:lang w:val="fr-FR"/>
        </w:rPr>
        <w:t>applique à toute détention fondée sur une décision des autorités ou sur une autorisation officielle, y compris la détention dans le cadre d</w:t>
      </w:r>
      <w:r w:rsidR="00F100CC">
        <w:rPr>
          <w:lang w:val="fr-FR"/>
        </w:rPr>
        <w:t>’</w:t>
      </w:r>
      <w:r w:rsidRPr="004419DB">
        <w:rPr>
          <w:lang w:val="fr-FR"/>
        </w:rPr>
        <w:t>une procédure pénale, la détention militaire, la détention pour des raisons de sécurité, la détention dans le cadre de la lutte antiterroriste, l</w:t>
      </w:r>
      <w:r w:rsidR="00F100CC">
        <w:rPr>
          <w:lang w:val="fr-FR"/>
        </w:rPr>
        <w:t>’</w:t>
      </w:r>
      <w:r w:rsidRPr="004419DB">
        <w:rPr>
          <w:lang w:val="fr-FR"/>
        </w:rPr>
        <w:t>hospitalisation sans consentement, la rétention liée à l</w:t>
      </w:r>
      <w:r w:rsidR="00F100CC">
        <w:rPr>
          <w:lang w:val="fr-FR"/>
        </w:rPr>
        <w:t>’</w:t>
      </w:r>
      <w:r w:rsidRPr="004419DB">
        <w:rPr>
          <w:lang w:val="fr-FR"/>
        </w:rPr>
        <w:t>immigration, la détention extradition</w:t>
      </w:r>
      <w:r w:rsidR="0020342E">
        <w:rPr>
          <w:lang w:val="fr-FR"/>
        </w:rPr>
        <w:t>nelle</w:t>
      </w:r>
      <w:r w:rsidRPr="004419DB">
        <w:rPr>
          <w:lang w:val="fr-FR"/>
        </w:rPr>
        <w:t xml:space="preserve"> et les arrestations totalement sans fondement</w:t>
      </w:r>
      <w:r w:rsidR="0020342E">
        <w:rPr>
          <w:rStyle w:val="FootnoteReference"/>
        </w:rPr>
        <w:footnoteReference w:id="128"/>
      </w:r>
      <w:r w:rsidRPr="004419DB">
        <w:rPr>
          <w:lang w:val="fr-FR"/>
        </w:rPr>
        <w:t>. Il s</w:t>
      </w:r>
      <w:r w:rsidR="00F100CC">
        <w:rPr>
          <w:lang w:val="fr-FR"/>
        </w:rPr>
        <w:t>’</w:t>
      </w:r>
      <w:r w:rsidRPr="004419DB">
        <w:rPr>
          <w:lang w:val="fr-FR"/>
        </w:rPr>
        <w:t>applique aussi dans le cas de la détention pour vagabondage ou toxicomanie et de la dé</w:t>
      </w:r>
      <w:r w:rsidR="0020342E">
        <w:rPr>
          <w:lang w:val="fr-FR"/>
        </w:rPr>
        <w:t>tention à des fins éducatives des e</w:t>
      </w:r>
      <w:r w:rsidRPr="004419DB">
        <w:rPr>
          <w:lang w:val="fr-FR"/>
        </w:rPr>
        <w:t>nfants en conflit avec la loi</w:t>
      </w:r>
      <w:r w:rsidR="0020342E">
        <w:rPr>
          <w:rStyle w:val="FootnoteReference"/>
        </w:rPr>
        <w:footnoteReference w:id="129"/>
      </w:r>
      <w:r w:rsidRPr="004419DB">
        <w:rPr>
          <w:lang w:val="fr-FR"/>
        </w:rPr>
        <w:t>, et de toute autre forme d</w:t>
      </w:r>
      <w:r w:rsidR="00F100CC">
        <w:rPr>
          <w:lang w:val="fr-FR"/>
        </w:rPr>
        <w:t>’</w:t>
      </w:r>
      <w:r w:rsidRPr="004419DB">
        <w:rPr>
          <w:lang w:val="fr-FR"/>
        </w:rPr>
        <w:t>internement administratif</w:t>
      </w:r>
      <w:r w:rsidR="0020342E">
        <w:rPr>
          <w:rStyle w:val="FootnoteReference"/>
        </w:rPr>
        <w:footnoteReference w:id="130"/>
      </w:r>
      <w:r w:rsidRPr="004419DB">
        <w:rPr>
          <w:lang w:val="fr-FR"/>
        </w:rPr>
        <w:t>. La détention au sens du paragraphe 4 inclut également l</w:t>
      </w:r>
      <w:r w:rsidR="00F100CC">
        <w:rPr>
          <w:lang w:val="fr-FR"/>
        </w:rPr>
        <w:t>’</w:t>
      </w:r>
      <w:r w:rsidRPr="004419DB">
        <w:rPr>
          <w:lang w:val="fr-FR"/>
        </w:rPr>
        <w:t xml:space="preserve">assignation à </w:t>
      </w:r>
      <w:r w:rsidR="000E518F">
        <w:rPr>
          <w:lang w:val="fr-FR"/>
        </w:rPr>
        <w:t>résidence</w:t>
      </w:r>
      <w:r w:rsidRPr="004419DB">
        <w:rPr>
          <w:lang w:val="fr-FR"/>
        </w:rPr>
        <w:t xml:space="preserve"> et l</w:t>
      </w:r>
      <w:r w:rsidR="00F100CC">
        <w:rPr>
          <w:lang w:val="fr-FR"/>
        </w:rPr>
        <w:t>’</w:t>
      </w:r>
      <w:r w:rsidRPr="004419DB">
        <w:rPr>
          <w:lang w:val="fr-FR"/>
        </w:rPr>
        <w:t>isolement cellulaire</w:t>
      </w:r>
      <w:r w:rsidR="000E518F">
        <w:rPr>
          <w:rStyle w:val="FootnoteReference"/>
        </w:rPr>
        <w:footnoteReference w:id="131"/>
      </w:r>
      <w:r w:rsidRPr="004419DB">
        <w:rPr>
          <w:lang w:val="fr-FR"/>
        </w:rPr>
        <w:t>. Quand un détenu exécute la durée minimale d</w:t>
      </w:r>
      <w:r w:rsidR="00F100CC">
        <w:rPr>
          <w:lang w:val="fr-FR"/>
        </w:rPr>
        <w:t>’</w:t>
      </w:r>
      <w:r w:rsidRPr="004419DB">
        <w:rPr>
          <w:lang w:val="fr-FR"/>
        </w:rPr>
        <w:t>une peine d</w:t>
      </w:r>
      <w:r w:rsidR="00F100CC">
        <w:rPr>
          <w:lang w:val="fr-FR"/>
        </w:rPr>
        <w:t>’</w:t>
      </w:r>
      <w:r w:rsidRPr="004419DB">
        <w:rPr>
          <w:lang w:val="fr-FR"/>
        </w:rPr>
        <w:t>emprisonnement prononcée par une cour de justice à la suite d</w:t>
      </w:r>
      <w:r w:rsidR="00F100CC">
        <w:rPr>
          <w:lang w:val="fr-FR"/>
        </w:rPr>
        <w:t>’</w:t>
      </w:r>
      <w:r w:rsidRPr="004419DB">
        <w:rPr>
          <w:lang w:val="fr-FR"/>
        </w:rPr>
        <w:t>une condamnation, que cette durée ait été fixée par le jugement ou qu</w:t>
      </w:r>
      <w:r w:rsidR="00F100CC">
        <w:rPr>
          <w:lang w:val="fr-FR"/>
        </w:rPr>
        <w:t>’</w:t>
      </w:r>
      <w:r w:rsidRPr="004419DB">
        <w:rPr>
          <w:lang w:val="fr-FR"/>
        </w:rPr>
        <w:t>elle corresponde à une portion donnée d</w:t>
      </w:r>
      <w:r w:rsidR="00F100CC">
        <w:rPr>
          <w:lang w:val="fr-FR"/>
        </w:rPr>
        <w:t>’</w:t>
      </w:r>
      <w:r w:rsidRPr="004419DB">
        <w:rPr>
          <w:lang w:val="fr-FR"/>
        </w:rPr>
        <w:t>une peine potentiellement plus longue, le paragraphe 4 n</w:t>
      </w:r>
      <w:r w:rsidR="00F100CC">
        <w:rPr>
          <w:lang w:val="fr-FR"/>
        </w:rPr>
        <w:t>’</w:t>
      </w:r>
      <w:r w:rsidRPr="004419DB">
        <w:rPr>
          <w:lang w:val="fr-FR"/>
        </w:rPr>
        <w:t>exige pas un contrôle ultérieur de la détention</w:t>
      </w:r>
      <w:r w:rsidR="00BD5716">
        <w:rPr>
          <w:rStyle w:val="FootnoteReference"/>
        </w:rPr>
        <w:footnoteReference w:id="132"/>
      </w:r>
      <w:r w:rsidRPr="004419DB">
        <w:rPr>
          <w:lang w:val="fr-FR"/>
        </w:rPr>
        <w:t>.</w:t>
      </w:r>
    </w:p>
    <w:p w:rsidR="004419DB" w:rsidRPr="004419DB" w:rsidRDefault="004419DB" w:rsidP="007E36F8">
      <w:pPr>
        <w:pStyle w:val="ParNoG"/>
        <w:rPr>
          <w:lang w:val="fr-FR"/>
        </w:rPr>
      </w:pPr>
      <w:r w:rsidRPr="004419DB">
        <w:rPr>
          <w:lang w:val="fr-FR"/>
        </w:rPr>
        <w:t>L</w:t>
      </w:r>
      <w:r w:rsidR="00F100CC">
        <w:rPr>
          <w:lang w:val="fr-FR"/>
        </w:rPr>
        <w:t>’</w:t>
      </w:r>
      <w:r w:rsidRPr="004419DB">
        <w:rPr>
          <w:lang w:val="fr-FR"/>
        </w:rPr>
        <w:t>objet de ce droit est la remise en liberté (inconditionnelle ou conditionnelle</w:t>
      </w:r>
      <w:r w:rsidR="007E36F8">
        <w:rPr>
          <w:rStyle w:val="FootnoteReference"/>
        </w:rPr>
        <w:footnoteReference w:id="133"/>
      </w:r>
      <w:r w:rsidRPr="004419DB">
        <w:rPr>
          <w:lang w:val="fr-FR"/>
        </w:rPr>
        <w:t>) si la détention est illégale; la réparation pour une détention illégale qui a pris fin est visée au paragraphe 5. Le paragraphe 4 exige que la juridiction chargée du réexamen ait la faculté d</w:t>
      </w:r>
      <w:r w:rsidR="00F100CC">
        <w:rPr>
          <w:lang w:val="fr-FR"/>
        </w:rPr>
        <w:t>’</w:t>
      </w:r>
      <w:r w:rsidRPr="004419DB">
        <w:rPr>
          <w:lang w:val="fr-FR"/>
        </w:rPr>
        <w:t>ordonner la libération en cas de détention illégale</w:t>
      </w:r>
      <w:r w:rsidR="00F90995">
        <w:rPr>
          <w:rStyle w:val="FootnoteReference"/>
        </w:rPr>
        <w:footnoteReference w:id="134"/>
      </w:r>
      <w:r w:rsidRPr="004419DB">
        <w:rPr>
          <w:lang w:val="fr-FR"/>
        </w:rPr>
        <w:t>. Lorsqu</w:t>
      </w:r>
      <w:r w:rsidR="00F100CC">
        <w:rPr>
          <w:lang w:val="fr-FR"/>
        </w:rPr>
        <w:t>’</w:t>
      </w:r>
      <w:r w:rsidRPr="004419DB">
        <w:rPr>
          <w:lang w:val="fr-FR"/>
        </w:rPr>
        <w:t xml:space="preserve">une décision judiciaire ordonnant la remise en liberté en vertu du paragraphe 4 devient exécutoire, elle doit être appliquée immédiatement, et </w:t>
      </w:r>
      <w:r w:rsidR="00A452A6">
        <w:rPr>
          <w:lang w:val="fr-FR"/>
        </w:rPr>
        <w:t>le maintien en</w:t>
      </w:r>
      <w:r w:rsidRPr="004419DB">
        <w:rPr>
          <w:lang w:val="fr-FR"/>
        </w:rPr>
        <w:t xml:space="preserve"> détention serait arbitraire, en violation du paragraphe 1 de l</w:t>
      </w:r>
      <w:r w:rsidR="00F100CC">
        <w:rPr>
          <w:lang w:val="fr-FR"/>
        </w:rPr>
        <w:t>’</w:t>
      </w:r>
      <w:r w:rsidRPr="004419DB">
        <w:rPr>
          <w:lang w:val="fr-FR"/>
        </w:rPr>
        <w:t>article 9</w:t>
      </w:r>
      <w:r w:rsidR="00F90995">
        <w:rPr>
          <w:rStyle w:val="FootnoteReference"/>
        </w:rPr>
        <w:footnoteReference w:id="135"/>
      </w:r>
      <w:r w:rsidRPr="004419DB">
        <w:rPr>
          <w:lang w:val="fr-FR"/>
        </w:rPr>
        <w:t>.</w:t>
      </w:r>
    </w:p>
    <w:p w:rsidR="004419DB" w:rsidRPr="004419DB" w:rsidRDefault="004419DB" w:rsidP="00A452A6">
      <w:pPr>
        <w:pStyle w:val="ParNoG"/>
        <w:rPr>
          <w:lang w:val="fr-FR"/>
        </w:rPr>
      </w:pPr>
      <w:r w:rsidRPr="004419DB">
        <w:rPr>
          <w:lang w:val="fr-FR"/>
        </w:rPr>
        <w:t>Le droit d</w:t>
      </w:r>
      <w:r w:rsidR="00F100CC">
        <w:rPr>
          <w:lang w:val="fr-FR"/>
        </w:rPr>
        <w:t>’</w:t>
      </w:r>
      <w:r w:rsidRPr="004419DB">
        <w:rPr>
          <w:lang w:val="fr-FR"/>
        </w:rPr>
        <w:t>engager une action s</w:t>
      </w:r>
      <w:r w:rsidR="00F100CC">
        <w:rPr>
          <w:lang w:val="fr-FR"/>
        </w:rPr>
        <w:t>’</w:t>
      </w:r>
      <w:r w:rsidRPr="004419DB">
        <w:rPr>
          <w:lang w:val="fr-FR"/>
        </w:rPr>
        <w:t>applique en principe dès le moment de l</w:t>
      </w:r>
      <w:r w:rsidR="00F100CC">
        <w:rPr>
          <w:lang w:val="fr-FR"/>
        </w:rPr>
        <w:t>’</w:t>
      </w:r>
      <w:r w:rsidRPr="004419DB">
        <w:rPr>
          <w:lang w:val="fr-FR"/>
        </w:rPr>
        <w:t>arrestation et une très longue période d</w:t>
      </w:r>
      <w:r w:rsidR="00F100CC">
        <w:rPr>
          <w:lang w:val="fr-FR"/>
        </w:rPr>
        <w:t>’</w:t>
      </w:r>
      <w:r w:rsidRPr="004419DB">
        <w:rPr>
          <w:lang w:val="fr-FR"/>
        </w:rPr>
        <w:t>attente avant qu</w:t>
      </w:r>
      <w:r w:rsidR="00F100CC">
        <w:rPr>
          <w:lang w:val="fr-FR"/>
        </w:rPr>
        <w:t>’</w:t>
      </w:r>
      <w:r w:rsidRPr="004419DB">
        <w:rPr>
          <w:lang w:val="fr-FR"/>
        </w:rPr>
        <w:t xml:space="preserve">un détenu puisse déposer </w:t>
      </w:r>
      <w:r w:rsidR="00A452A6">
        <w:rPr>
          <w:lang w:val="fr-FR"/>
        </w:rPr>
        <w:t>le</w:t>
      </w:r>
      <w:r w:rsidRPr="004419DB">
        <w:rPr>
          <w:lang w:val="fr-FR"/>
        </w:rPr>
        <w:t xml:space="preserve"> premier recours pour contester sa détention est inacceptable</w:t>
      </w:r>
      <w:r w:rsidR="00A452A6">
        <w:rPr>
          <w:rStyle w:val="FootnoteReference"/>
        </w:rPr>
        <w:footnoteReference w:id="136"/>
      </w:r>
      <w:r w:rsidRPr="004419DB">
        <w:rPr>
          <w:lang w:val="fr-FR"/>
        </w:rPr>
        <w:t>. En général, le détenu a le droit de comparaître en personne devant le tribunal, en particulier lorsque sa présence facilite l</w:t>
      </w:r>
      <w:r w:rsidR="00F100CC">
        <w:rPr>
          <w:lang w:val="fr-FR"/>
        </w:rPr>
        <w:t>’</w:t>
      </w:r>
      <w:r w:rsidRPr="004419DB">
        <w:rPr>
          <w:lang w:val="fr-FR"/>
        </w:rPr>
        <w:t>enquête sur la légalité de sa détention ou lorsqu</w:t>
      </w:r>
      <w:r w:rsidR="006B3792">
        <w:rPr>
          <w:lang w:val="fr-FR"/>
        </w:rPr>
        <w:t>e la</w:t>
      </w:r>
      <w:r w:rsidRPr="004419DB">
        <w:rPr>
          <w:lang w:val="fr-FR"/>
        </w:rPr>
        <w:t xml:space="preserve"> question de mauvais traitements à son égard</w:t>
      </w:r>
      <w:r w:rsidR="006B3792">
        <w:rPr>
          <w:lang w:val="fr-FR"/>
        </w:rPr>
        <w:t xml:space="preserve"> est </w:t>
      </w:r>
      <w:r w:rsidR="006F0151">
        <w:rPr>
          <w:lang w:val="fr-FR"/>
        </w:rPr>
        <w:t>soulevée</w:t>
      </w:r>
      <w:r w:rsidR="006B3792">
        <w:rPr>
          <w:rStyle w:val="FootnoteReference"/>
        </w:rPr>
        <w:footnoteReference w:id="137"/>
      </w:r>
      <w:r w:rsidRPr="004419DB">
        <w:rPr>
          <w:lang w:val="fr-FR"/>
        </w:rPr>
        <w:t>. Le tribunal doit avoir le pouvoir d</w:t>
      </w:r>
      <w:r w:rsidR="00F100CC">
        <w:rPr>
          <w:lang w:val="fr-FR"/>
        </w:rPr>
        <w:t>’</w:t>
      </w:r>
      <w:r w:rsidRPr="004419DB">
        <w:rPr>
          <w:lang w:val="fr-FR"/>
        </w:rPr>
        <w:t>ordonner la comparution du détenu, que l</w:t>
      </w:r>
      <w:r w:rsidR="00F100CC">
        <w:rPr>
          <w:lang w:val="fr-FR"/>
        </w:rPr>
        <w:t>’</w:t>
      </w:r>
      <w:r w:rsidRPr="004419DB">
        <w:rPr>
          <w:lang w:val="fr-FR"/>
        </w:rPr>
        <w:t>intéressé l</w:t>
      </w:r>
      <w:r w:rsidR="00F100CC">
        <w:rPr>
          <w:lang w:val="fr-FR"/>
        </w:rPr>
        <w:t>’</w:t>
      </w:r>
      <w:r w:rsidRPr="004419DB">
        <w:rPr>
          <w:lang w:val="fr-FR"/>
        </w:rPr>
        <w:t>ait demandé ou non.</w:t>
      </w:r>
    </w:p>
    <w:p w:rsidR="004419DB" w:rsidRPr="004419DB" w:rsidRDefault="004419DB" w:rsidP="004A6035">
      <w:pPr>
        <w:pStyle w:val="ParNoG"/>
        <w:rPr>
          <w:lang w:val="fr-FR"/>
        </w:rPr>
      </w:pPr>
      <w:r w:rsidRPr="004419DB">
        <w:rPr>
          <w:lang w:val="fr-FR"/>
        </w:rPr>
        <w:t>La détention illégale peut être également une détention qui était légale à son début mais qui est devenue illégale, parce que le condamné a fini d</w:t>
      </w:r>
      <w:r w:rsidR="00F100CC">
        <w:rPr>
          <w:lang w:val="fr-FR"/>
        </w:rPr>
        <w:t>’</w:t>
      </w:r>
      <w:r w:rsidRPr="004419DB">
        <w:rPr>
          <w:lang w:val="fr-FR"/>
        </w:rPr>
        <w:t>exécuter sa peine d</w:t>
      </w:r>
      <w:r w:rsidR="00F100CC">
        <w:rPr>
          <w:lang w:val="fr-FR"/>
        </w:rPr>
        <w:t>’</w:t>
      </w:r>
      <w:r w:rsidRPr="004419DB">
        <w:rPr>
          <w:lang w:val="fr-FR"/>
        </w:rPr>
        <w:t>emprisonnement et qu</w:t>
      </w:r>
      <w:r w:rsidR="00F100CC">
        <w:rPr>
          <w:lang w:val="fr-FR"/>
        </w:rPr>
        <w:t>’</w:t>
      </w:r>
      <w:r w:rsidRPr="004419DB">
        <w:rPr>
          <w:lang w:val="fr-FR"/>
        </w:rPr>
        <w:t>il est maintenu en détention, ou parce que les circonstances qui justifiaient le placement en détention ont changé</w:t>
      </w:r>
      <w:r w:rsidR="00F3266A">
        <w:rPr>
          <w:rStyle w:val="FootnoteReference"/>
        </w:rPr>
        <w:footnoteReference w:id="138"/>
      </w:r>
      <w:r w:rsidRPr="004419DB">
        <w:rPr>
          <w:lang w:val="fr-FR"/>
        </w:rPr>
        <w:t xml:space="preserve">. Après que le tribunal a établi que les circonstances justifient la </w:t>
      </w:r>
      <w:r w:rsidR="00F3266A">
        <w:rPr>
          <w:lang w:val="fr-FR"/>
        </w:rPr>
        <w:t>détention, il peut s</w:t>
      </w:r>
      <w:r w:rsidR="00F100CC">
        <w:rPr>
          <w:lang w:val="fr-FR"/>
        </w:rPr>
        <w:t>’</w:t>
      </w:r>
      <w:r w:rsidR="00F3266A">
        <w:rPr>
          <w:lang w:val="fr-FR"/>
        </w:rPr>
        <w:t>écouler un</w:t>
      </w:r>
      <w:r w:rsidRPr="004419DB">
        <w:rPr>
          <w:lang w:val="fr-FR"/>
        </w:rPr>
        <w:t xml:space="preserve"> </w:t>
      </w:r>
      <w:r w:rsidR="00F3266A">
        <w:rPr>
          <w:lang w:val="fr-FR"/>
        </w:rPr>
        <w:t>laps de temps approprié</w:t>
      </w:r>
      <w:r w:rsidRPr="004419DB">
        <w:rPr>
          <w:lang w:val="fr-FR"/>
        </w:rPr>
        <w:t>, selon la nature des circonstances, avant que l</w:t>
      </w:r>
      <w:r w:rsidR="00F100CC">
        <w:rPr>
          <w:lang w:val="fr-FR"/>
        </w:rPr>
        <w:t>’</w:t>
      </w:r>
      <w:r w:rsidRPr="004419DB">
        <w:rPr>
          <w:lang w:val="fr-FR"/>
        </w:rPr>
        <w:t>intéressé ne puisse engager de nouveau une action pour les mêmes motifs</w:t>
      </w:r>
      <w:r w:rsidR="00F3266A">
        <w:rPr>
          <w:rStyle w:val="FootnoteReference"/>
        </w:rPr>
        <w:footnoteReference w:id="139"/>
      </w:r>
      <w:r w:rsidR="006F0151">
        <w:rPr>
          <w:lang w:val="fr-FR"/>
        </w:rPr>
        <w:t>.</w:t>
      </w:r>
    </w:p>
    <w:p w:rsidR="004419DB" w:rsidRPr="004419DB" w:rsidRDefault="004419DB" w:rsidP="00F3266A">
      <w:pPr>
        <w:pStyle w:val="ParNoG"/>
        <w:rPr>
          <w:lang w:val="fr-FR"/>
        </w:rPr>
      </w:pPr>
      <w:r w:rsidRPr="004419DB">
        <w:rPr>
          <w:lang w:val="fr-FR"/>
        </w:rPr>
        <w:t>Par détention «illégale», il faut entendre une détention qui est contraire à la législation nationale aussi bien qu</w:t>
      </w:r>
      <w:r w:rsidR="00F100CC">
        <w:rPr>
          <w:lang w:val="fr-FR"/>
        </w:rPr>
        <w:t>’</w:t>
      </w:r>
      <w:r w:rsidRPr="004419DB">
        <w:rPr>
          <w:lang w:val="fr-FR"/>
        </w:rPr>
        <w:t>une détention qui est incompatible avec les prescriptions du paragraphe 1 de</w:t>
      </w:r>
      <w:r w:rsidR="00EF53C4">
        <w:rPr>
          <w:lang w:val="fr-FR"/>
        </w:rPr>
        <w:t xml:space="preserve"> l</w:t>
      </w:r>
      <w:r w:rsidR="00F100CC">
        <w:rPr>
          <w:lang w:val="fr-FR"/>
        </w:rPr>
        <w:t>’</w:t>
      </w:r>
      <w:r w:rsidR="00EF53C4">
        <w:rPr>
          <w:lang w:val="fr-FR"/>
        </w:rPr>
        <w:t xml:space="preserve">article 9 du Pacte ou avec toute </w:t>
      </w:r>
      <w:r w:rsidR="006F0151">
        <w:rPr>
          <w:lang w:val="fr-FR"/>
        </w:rPr>
        <w:t xml:space="preserve">autre </w:t>
      </w:r>
      <w:r w:rsidR="00EF53C4">
        <w:rPr>
          <w:lang w:val="fr-FR"/>
        </w:rPr>
        <w:t>disposition pertinente</w:t>
      </w:r>
      <w:r w:rsidRPr="004419DB">
        <w:rPr>
          <w:lang w:val="fr-FR"/>
        </w:rPr>
        <w:t xml:space="preserve"> du Pacte</w:t>
      </w:r>
      <w:r w:rsidR="00EF53C4">
        <w:rPr>
          <w:rStyle w:val="FootnoteReference"/>
        </w:rPr>
        <w:footnoteReference w:id="140"/>
      </w:r>
      <w:r w:rsidRPr="004419DB">
        <w:rPr>
          <w:lang w:val="fr-FR"/>
        </w:rPr>
        <w:t>. Les systèmes juridiques internes peuvent certes fixer des modalités différentes pour assurer l</w:t>
      </w:r>
      <w:r w:rsidR="00F100CC">
        <w:rPr>
          <w:lang w:val="fr-FR"/>
        </w:rPr>
        <w:t>’</w:t>
      </w:r>
      <w:r w:rsidRPr="004419DB">
        <w:rPr>
          <w:lang w:val="fr-FR"/>
        </w:rPr>
        <w:t>examen juridictionnel d</w:t>
      </w:r>
      <w:r w:rsidR="00F100CC">
        <w:rPr>
          <w:lang w:val="fr-FR"/>
        </w:rPr>
        <w:t>’</w:t>
      </w:r>
      <w:r w:rsidRPr="004419DB">
        <w:rPr>
          <w:lang w:val="fr-FR"/>
        </w:rPr>
        <w:t>une détention, mais le paragraphe 4 exige qu</w:t>
      </w:r>
      <w:r w:rsidR="00F100CC">
        <w:rPr>
          <w:lang w:val="fr-FR"/>
        </w:rPr>
        <w:t>’</w:t>
      </w:r>
      <w:r w:rsidRPr="004419DB">
        <w:rPr>
          <w:lang w:val="fr-FR"/>
        </w:rPr>
        <w:t xml:space="preserve">il y ait un recours judiciaire pour toute détention </w:t>
      </w:r>
      <w:r w:rsidR="00047D35">
        <w:rPr>
          <w:lang w:val="fr-FR"/>
        </w:rPr>
        <w:t xml:space="preserve">qui est </w:t>
      </w:r>
      <w:r w:rsidRPr="004419DB">
        <w:rPr>
          <w:lang w:val="fr-FR"/>
        </w:rPr>
        <w:t>illégale du fait de l</w:t>
      </w:r>
      <w:r w:rsidR="00F100CC">
        <w:rPr>
          <w:lang w:val="fr-FR"/>
        </w:rPr>
        <w:t>’</w:t>
      </w:r>
      <w:r w:rsidRPr="004419DB">
        <w:rPr>
          <w:lang w:val="fr-FR"/>
        </w:rPr>
        <w:t>un de ces motifs</w:t>
      </w:r>
      <w:r w:rsidR="00047D35">
        <w:rPr>
          <w:rStyle w:val="FootnoteReference"/>
        </w:rPr>
        <w:footnoteReference w:id="141"/>
      </w:r>
      <w:r w:rsidRPr="004419DB">
        <w:rPr>
          <w:lang w:val="fr-FR"/>
        </w:rPr>
        <w:t>. Par exemple, la faculté qu</w:t>
      </w:r>
      <w:r w:rsidR="00F100CC">
        <w:rPr>
          <w:lang w:val="fr-FR"/>
        </w:rPr>
        <w:t>’</w:t>
      </w:r>
      <w:r w:rsidRPr="004419DB">
        <w:rPr>
          <w:lang w:val="fr-FR"/>
        </w:rPr>
        <w:t>a un tribunal aux affaires familiales d</w:t>
      </w:r>
      <w:r w:rsidR="00F100CC">
        <w:rPr>
          <w:lang w:val="fr-FR"/>
        </w:rPr>
        <w:t>’</w:t>
      </w:r>
      <w:r w:rsidRPr="004419DB">
        <w:rPr>
          <w:lang w:val="fr-FR"/>
        </w:rPr>
        <w:t>ordonner la remise en liberté d</w:t>
      </w:r>
      <w:r w:rsidR="00F100CC">
        <w:rPr>
          <w:lang w:val="fr-FR"/>
        </w:rPr>
        <w:t>’</w:t>
      </w:r>
      <w:r w:rsidRPr="004419DB">
        <w:rPr>
          <w:lang w:val="fr-FR"/>
        </w:rPr>
        <w:t>un enfant dont la détention n</w:t>
      </w:r>
      <w:r w:rsidR="00F100CC">
        <w:rPr>
          <w:lang w:val="fr-FR"/>
        </w:rPr>
        <w:t>’</w:t>
      </w:r>
      <w:r w:rsidRPr="004419DB">
        <w:rPr>
          <w:lang w:val="fr-FR"/>
        </w:rPr>
        <w:t>est pas dans l</w:t>
      </w:r>
      <w:r w:rsidR="00F100CC">
        <w:rPr>
          <w:lang w:val="fr-FR"/>
        </w:rPr>
        <w:t>’</w:t>
      </w:r>
      <w:r w:rsidRPr="004419DB">
        <w:rPr>
          <w:lang w:val="fr-FR"/>
        </w:rPr>
        <w:t xml:space="preserve">intérêt supérieur de </w:t>
      </w:r>
      <w:r w:rsidR="00497E2D">
        <w:rPr>
          <w:lang w:val="fr-FR"/>
        </w:rPr>
        <w:t>celui</w:t>
      </w:r>
      <w:r w:rsidR="00497E2D">
        <w:rPr>
          <w:lang w:val="fr-FR"/>
        </w:rPr>
        <w:noBreakHyphen/>
        <w:t>ci</w:t>
      </w:r>
      <w:r w:rsidRPr="004419DB">
        <w:rPr>
          <w:lang w:val="fr-FR"/>
        </w:rPr>
        <w:t xml:space="preserve"> peut satisfaire aux prescriptions du paragraphe 4 dans certains cas déterminés</w:t>
      </w:r>
      <w:r w:rsidR="00497E2D">
        <w:rPr>
          <w:rStyle w:val="FootnoteReference"/>
        </w:rPr>
        <w:footnoteReference w:id="142"/>
      </w:r>
      <w:r w:rsidR="00497E2D">
        <w:rPr>
          <w:lang w:val="fr-FR"/>
        </w:rPr>
        <w:t>.</w:t>
      </w:r>
    </w:p>
    <w:p w:rsidR="004419DB" w:rsidRPr="006F0151" w:rsidRDefault="004419DB" w:rsidP="00497E2D">
      <w:pPr>
        <w:pStyle w:val="ParNoG"/>
        <w:rPr>
          <w:spacing w:val="-2"/>
          <w:lang w:val="fr-FR"/>
        </w:rPr>
      </w:pPr>
      <w:r w:rsidRPr="006F0151">
        <w:rPr>
          <w:spacing w:val="-2"/>
          <w:lang w:val="fr-FR"/>
        </w:rPr>
        <w:t>Le paragraphe 4 donne à l</w:t>
      </w:r>
      <w:r w:rsidR="00F100CC">
        <w:rPr>
          <w:spacing w:val="-2"/>
          <w:lang w:val="fr-FR"/>
        </w:rPr>
        <w:t>’</w:t>
      </w:r>
      <w:r w:rsidRPr="006F0151">
        <w:rPr>
          <w:spacing w:val="-2"/>
          <w:lang w:val="fr-FR"/>
        </w:rPr>
        <w:t>individu le droit d</w:t>
      </w:r>
      <w:r w:rsidR="00F100CC">
        <w:rPr>
          <w:spacing w:val="-2"/>
          <w:lang w:val="fr-FR"/>
        </w:rPr>
        <w:t>’</w:t>
      </w:r>
      <w:r w:rsidRPr="006F0151">
        <w:rPr>
          <w:spacing w:val="-2"/>
          <w:lang w:val="fr-FR"/>
        </w:rPr>
        <w:t>introduire un recours «devant un tribunal», qui devrait normalement être un tribunal de l</w:t>
      </w:r>
      <w:r w:rsidR="00F100CC">
        <w:rPr>
          <w:spacing w:val="-2"/>
          <w:lang w:val="fr-FR"/>
        </w:rPr>
        <w:t>’</w:t>
      </w:r>
      <w:r w:rsidRPr="006F0151">
        <w:rPr>
          <w:spacing w:val="-2"/>
          <w:lang w:val="fr-FR"/>
        </w:rPr>
        <w:t>ordre judiciaire. Exceptionnellement, pour certaines formes de détention, la législation peut prévoir une a</w:t>
      </w:r>
      <w:r w:rsidR="00497E2D" w:rsidRPr="006F0151">
        <w:rPr>
          <w:spacing w:val="-2"/>
          <w:lang w:val="fr-FR"/>
        </w:rPr>
        <w:t xml:space="preserve">ction devant </w:t>
      </w:r>
      <w:r w:rsidRPr="006F0151">
        <w:rPr>
          <w:spacing w:val="-2"/>
          <w:lang w:val="fr-FR"/>
        </w:rPr>
        <w:t xml:space="preserve">un tribunal </w:t>
      </w:r>
      <w:r w:rsidR="00497E2D" w:rsidRPr="006F0151">
        <w:rPr>
          <w:spacing w:val="-2"/>
          <w:lang w:val="fr-FR"/>
        </w:rPr>
        <w:t>spécialisé</w:t>
      </w:r>
      <w:r w:rsidRPr="006F0151">
        <w:rPr>
          <w:spacing w:val="-2"/>
          <w:lang w:val="fr-FR"/>
        </w:rPr>
        <w:t xml:space="preserve">, qui doit être établi par la loi et qui doit être indépendant du pouvoir exécutif et du pouvoir législatif ou doit pouvoir statuer en toute indépendance sur des questions </w:t>
      </w:r>
      <w:r w:rsidR="00517E38" w:rsidRPr="006F0151">
        <w:rPr>
          <w:spacing w:val="-2"/>
          <w:lang w:val="fr-FR"/>
        </w:rPr>
        <w:t>de droit</w:t>
      </w:r>
      <w:r w:rsidRPr="006F0151">
        <w:rPr>
          <w:spacing w:val="-2"/>
          <w:lang w:val="fr-FR"/>
        </w:rPr>
        <w:t xml:space="preserve"> dans le cadre de pro</w:t>
      </w:r>
      <w:r w:rsidR="00BC1AB3">
        <w:rPr>
          <w:spacing w:val="-2"/>
          <w:lang w:val="fr-FR"/>
        </w:rPr>
        <w:t>cédures à caractère judiciaire</w:t>
      </w:r>
      <w:r w:rsidR="00517E38" w:rsidRPr="006F0151">
        <w:rPr>
          <w:rStyle w:val="FootnoteReference"/>
          <w:spacing w:val="-2"/>
        </w:rPr>
        <w:footnoteReference w:id="143"/>
      </w:r>
      <w:r w:rsidR="00517E38" w:rsidRPr="006F0151">
        <w:rPr>
          <w:spacing w:val="-2"/>
          <w:lang w:val="fr-FR"/>
        </w:rPr>
        <w:t>.</w:t>
      </w:r>
    </w:p>
    <w:p w:rsidR="004419DB" w:rsidRPr="004419DB" w:rsidRDefault="004419DB" w:rsidP="0030586B">
      <w:pPr>
        <w:pStyle w:val="ParNoG"/>
        <w:rPr>
          <w:lang w:val="fr-FR"/>
        </w:rPr>
      </w:pPr>
      <w:r w:rsidRPr="004419DB">
        <w:rPr>
          <w:lang w:val="fr-FR"/>
        </w:rPr>
        <w:t xml:space="preserve">Le paragraphe 4 donne </w:t>
      </w:r>
      <w:r w:rsidRPr="0030586B">
        <w:rPr>
          <w:lang w:val="fr-FR"/>
        </w:rPr>
        <w:t>la possibilité d</w:t>
      </w:r>
      <w:r w:rsidR="00F100CC">
        <w:rPr>
          <w:lang w:val="fr-FR"/>
        </w:rPr>
        <w:t>’</w:t>
      </w:r>
      <w:r w:rsidRPr="0030586B">
        <w:rPr>
          <w:lang w:val="fr-FR"/>
        </w:rPr>
        <w:t>introduire un recours</w:t>
      </w:r>
      <w:r w:rsidR="0030586B">
        <w:rPr>
          <w:lang w:val="fr-FR"/>
        </w:rPr>
        <w:t xml:space="preserve"> </w:t>
      </w:r>
      <w:r w:rsidRPr="004419DB">
        <w:rPr>
          <w:lang w:val="fr-FR"/>
        </w:rPr>
        <w:t>aux personnes en détention ou à ceux qui agissent en leur nom; contrairement au paragraphe 3, il n</w:t>
      </w:r>
      <w:r w:rsidR="00F100CC">
        <w:rPr>
          <w:lang w:val="fr-FR"/>
        </w:rPr>
        <w:t>’</w:t>
      </w:r>
      <w:r w:rsidRPr="004419DB">
        <w:rPr>
          <w:lang w:val="fr-FR"/>
        </w:rPr>
        <w:t>exige pas l</w:t>
      </w:r>
      <w:r w:rsidR="00F100CC">
        <w:rPr>
          <w:lang w:val="fr-FR"/>
        </w:rPr>
        <w:t>’</w:t>
      </w:r>
      <w:r w:rsidRPr="004419DB">
        <w:rPr>
          <w:lang w:val="fr-FR"/>
        </w:rPr>
        <w:t>ouverture automatique d</w:t>
      </w:r>
      <w:r w:rsidR="00F100CC">
        <w:rPr>
          <w:lang w:val="fr-FR"/>
        </w:rPr>
        <w:t>’</w:t>
      </w:r>
      <w:r w:rsidRPr="004419DB">
        <w:rPr>
          <w:lang w:val="fr-FR"/>
        </w:rPr>
        <w:t>un réexamen par les autorités qui ont placé l</w:t>
      </w:r>
      <w:r w:rsidR="00F100CC">
        <w:rPr>
          <w:lang w:val="fr-FR"/>
        </w:rPr>
        <w:t>’</w:t>
      </w:r>
      <w:r w:rsidRPr="004419DB">
        <w:rPr>
          <w:lang w:val="fr-FR"/>
        </w:rPr>
        <w:t>intéressé en détention</w:t>
      </w:r>
      <w:r w:rsidR="0030586B">
        <w:rPr>
          <w:rStyle w:val="FootnoteReference"/>
        </w:rPr>
        <w:footnoteReference w:id="144"/>
      </w:r>
      <w:r w:rsidRPr="004419DB">
        <w:rPr>
          <w:lang w:val="fr-FR"/>
        </w:rPr>
        <w:t>. Un texte de loi qui exclut une catégorie déterminée de détenus de la possibilité de réexamen prévue au paragraphe 4 constitue une violation du Pacte</w:t>
      </w:r>
      <w:r w:rsidR="0030586B">
        <w:rPr>
          <w:rStyle w:val="FootnoteReference"/>
        </w:rPr>
        <w:footnoteReference w:id="145"/>
      </w:r>
      <w:r w:rsidRPr="004419DB">
        <w:rPr>
          <w:lang w:val="fr-FR"/>
        </w:rPr>
        <w:t>. Les pratiques qui dans les faits rendent ce réexamen impossible à obtenir pour un individu, par exemple la détention au secret, constituent également une violation</w:t>
      </w:r>
      <w:r w:rsidR="00FF7BDF">
        <w:rPr>
          <w:rStyle w:val="FootnoteReference"/>
        </w:rPr>
        <w:footnoteReference w:id="146"/>
      </w:r>
      <w:r w:rsidRPr="004419DB">
        <w:rPr>
          <w:lang w:val="fr-FR"/>
        </w:rPr>
        <w:t>. Pour faciliter la procédure de réexamen, les détenus devraient avoir rapidement et régulièrement accès à un conseil. Ils devraient être informés, dans une langue qu</w:t>
      </w:r>
      <w:r w:rsidR="00F100CC">
        <w:rPr>
          <w:lang w:val="fr-FR"/>
        </w:rPr>
        <w:t>’</w:t>
      </w:r>
      <w:r w:rsidRPr="004419DB">
        <w:rPr>
          <w:lang w:val="fr-FR"/>
        </w:rPr>
        <w:t>ils comprennent, de leur droit d</w:t>
      </w:r>
      <w:r w:rsidR="00F100CC">
        <w:rPr>
          <w:lang w:val="fr-FR"/>
        </w:rPr>
        <w:t>’</w:t>
      </w:r>
      <w:r w:rsidRPr="004419DB">
        <w:rPr>
          <w:lang w:val="fr-FR"/>
        </w:rPr>
        <w:t>introduire un recours pour qu</w:t>
      </w:r>
      <w:r w:rsidR="00F100CC">
        <w:rPr>
          <w:lang w:val="fr-FR"/>
        </w:rPr>
        <w:t>’</w:t>
      </w:r>
      <w:r w:rsidRPr="004419DB">
        <w:rPr>
          <w:lang w:val="fr-FR"/>
        </w:rPr>
        <w:t>il soit statué sur la légalité de leur détention</w:t>
      </w:r>
      <w:r w:rsidR="009E72BB">
        <w:rPr>
          <w:rStyle w:val="FootnoteReference"/>
        </w:rPr>
        <w:footnoteReference w:id="147"/>
      </w:r>
      <w:r w:rsidR="009E72BB">
        <w:rPr>
          <w:lang w:val="fr-FR"/>
        </w:rPr>
        <w:t>.</w:t>
      </w:r>
    </w:p>
    <w:p w:rsidR="004419DB" w:rsidRPr="004419DB" w:rsidRDefault="004419DB" w:rsidP="00E169D3">
      <w:pPr>
        <w:pStyle w:val="ParNoG"/>
        <w:rPr>
          <w:lang w:val="fr-FR"/>
        </w:rPr>
      </w:pPr>
      <w:r w:rsidRPr="004419DB">
        <w:rPr>
          <w:lang w:val="fr-FR"/>
        </w:rPr>
        <w:t>Les personnes privées de liberté n</w:t>
      </w:r>
      <w:r w:rsidR="00F100CC">
        <w:rPr>
          <w:lang w:val="fr-FR"/>
        </w:rPr>
        <w:t>’</w:t>
      </w:r>
      <w:r w:rsidRPr="004419DB">
        <w:rPr>
          <w:lang w:val="fr-FR"/>
        </w:rPr>
        <w:t>ont pas seulement le droit d</w:t>
      </w:r>
      <w:r w:rsidR="00F100CC">
        <w:rPr>
          <w:lang w:val="fr-FR"/>
        </w:rPr>
        <w:t>’</w:t>
      </w:r>
      <w:r w:rsidRPr="004419DB">
        <w:rPr>
          <w:lang w:val="fr-FR"/>
        </w:rPr>
        <w:t>introduire un recours, elles ont le droit d</w:t>
      </w:r>
      <w:r w:rsidR="00F100CC">
        <w:rPr>
          <w:lang w:val="fr-FR"/>
        </w:rPr>
        <w:t>’</w:t>
      </w:r>
      <w:r w:rsidRPr="004419DB">
        <w:rPr>
          <w:lang w:val="fr-FR"/>
        </w:rPr>
        <w:t>obtenir une décision, et ce sans délai. Le refus par un tribunal compétent de statuer sur une demande de libération constitue une violation du paragraphe 4</w:t>
      </w:r>
      <w:r w:rsidR="00EC4561">
        <w:rPr>
          <w:rStyle w:val="FootnoteReference"/>
        </w:rPr>
        <w:footnoteReference w:id="148"/>
      </w:r>
      <w:r w:rsidRPr="004419DB">
        <w:rPr>
          <w:lang w:val="fr-FR"/>
        </w:rPr>
        <w:t>. Le jugement devrait avoir lieu le plus rapidement possible</w:t>
      </w:r>
      <w:r w:rsidR="00B0693F">
        <w:rPr>
          <w:rStyle w:val="FootnoteReference"/>
        </w:rPr>
        <w:footnoteReference w:id="149"/>
      </w:r>
      <w:r w:rsidRPr="004419DB">
        <w:rPr>
          <w:lang w:val="fr-FR"/>
        </w:rPr>
        <w:t>. Un retard imputable à la personne qui a déposé la demande n</w:t>
      </w:r>
      <w:r w:rsidR="00F100CC">
        <w:rPr>
          <w:lang w:val="fr-FR"/>
        </w:rPr>
        <w:t>’</w:t>
      </w:r>
      <w:r w:rsidRPr="004419DB">
        <w:rPr>
          <w:lang w:val="fr-FR"/>
        </w:rPr>
        <w:t>est pas considéré comme un retard judiciaire</w:t>
      </w:r>
      <w:r w:rsidR="002408D4">
        <w:rPr>
          <w:rStyle w:val="FootnoteReference"/>
        </w:rPr>
        <w:footnoteReference w:id="150"/>
      </w:r>
      <w:r w:rsidRPr="004419DB">
        <w:rPr>
          <w:lang w:val="fr-FR"/>
        </w:rPr>
        <w:t xml:space="preserve">. </w:t>
      </w:r>
    </w:p>
    <w:p w:rsidR="004419DB" w:rsidRPr="004419DB" w:rsidRDefault="004419DB" w:rsidP="004F5B99">
      <w:pPr>
        <w:pStyle w:val="ParNoG"/>
        <w:rPr>
          <w:lang w:val="fr-FR"/>
        </w:rPr>
      </w:pPr>
      <w:r w:rsidRPr="004419DB">
        <w:rPr>
          <w:lang w:val="fr-FR"/>
        </w:rPr>
        <w:t>Le Pacte n</w:t>
      </w:r>
      <w:r w:rsidR="00F100CC">
        <w:rPr>
          <w:lang w:val="fr-FR"/>
        </w:rPr>
        <w:t>’</w:t>
      </w:r>
      <w:r w:rsidRPr="004419DB">
        <w:rPr>
          <w:lang w:val="fr-FR"/>
        </w:rPr>
        <w:t>exige pas qu</w:t>
      </w:r>
      <w:r w:rsidR="00F100CC">
        <w:rPr>
          <w:lang w:val="fr-FR"/>
        </w:rPr>
        <w:t>’</w:t>
      </w:r>
      <w:r w:rsidRPr="004419DB">
        <w:rPr>
          <w:lang w:val="fr-FR"/>
        </w:rPr>
        <w:t>une décision de justice confirmant la légalité de la détention soit l</w:t>
      </w:r>
      <w:r w:rsidR="00F100CC">
        <w:rPr>
          <w:lang w:val="fr-FR"/>
        </w:rPr>
        <w:t>’</w:t>
      </w:r>
      <w:r w:rsidRPr="004419DB">
        <w:rPr>
          <w:lang w:val="fr-FR"/>
        </w:rPr>
        <w:t>objet d</w:t>
      </w:r>
      <w:r w:rsidR="00F100CC">
        <w:rPr>
          <w:lang w:val="fr-FR"/>
        </w:rPr>
        <w:t>’</w:t>
      </w:r>
      <w:r w:rsidRPr="004419DB">
        <w:rPr>
          <w:lang w:val="fr-FR"/>
        </w:rPr>
        <w:t>un appel. Si un État partie prévoit cette possibilité de recours ou d</w:t>
      </w:r>
      <w:r w:rsidR="00F100CC">
        <w:rPr>
          <w:lang w:val="fr-FR"/>
        </w:rPr>
        <w:t>’</w:t>
      </w:r>
      <w:r w:rsidRPr="004419DB">
        <w:rPr>
          <w:lang w:val="fr-FR"/>
        </w:rPr>
        <w:t>autres instances, le temps mis pour examiner la demande peut refléter la nature différente de chaque procédure</w:t>
      </w:r>
      <w:r w:rsidR="004F5B99">
        <w:rPr>
          <w:lang w:val="fr-FR"/>
        </w:rPr>
        <w:t>, et en tout état de cause ne doit pas être excessif</w:t>
      </w:r>
      <w:r w:rsidR="00DD1123">
        <w:rPr>
          <w:rStyle w:val="FootnoteReference"/>
        </w:rPr>
        <w:footnoteReference w:id="151"/>
      </w:r>
      <w:r w:rsidR="004F5B99">
        <w:rPr>
          <w:lang w:val="fr-FR"/>
        </w:rPr>
        <w:t>.</w:t>
      </w:r>
    </w:p>
    <w:p w:rsidR="004419DB" w:rsidRPr="004419DB" w:rsidRDefault="004419DB" w:rsidP="00886992">
      <w:pPr>
        <w:pStyle w:val="HChG"/>
        <w:rPr>
          <w:lang w:val="fr-FR"/>
        </w:rPr>
      </w:pPr>
      <w:r w:rsidRPr="004419DB">
        <w:rPr>
          <w:lang w:val="fr-FR"/>
        </w:rPr>
        <w:tab/>
        <w:t>VI.</w:t>
      </w:r>
      <w:r w:rsidRPr="004419DB">
        <w:rPr>
          <w:lang w:val="fr-FR"/>
        </w:rPr>
        <w:tab/>
        <w:t>Droit à réparation pour une arrestation ou une détention illégales</w:t>
      </w:r>
      <w:r w:rsidR="00886992">
        <w:rPr>
          <w:lang w:val="fr-FR"/>
        </w:rPr>
        <w:t xml:space="preserve"> </w:t>
      </w:r>
      <w:r w:rsidRPr="004419DB">
        <w:rPr>
          <w:lang w:val="fr-FR"/>
        </w:rPr>
        <w:t>ou arbitraires</w:t>
      </w:r>
    </w:p>
    <w:p w:rsidR="004419DB" w:rsidRPr="005265B6" w:rsidRDefault="004419DB" w:rsidP="00F80D1E">
      <w:pPr>
        <w:pStyle w:val="ParNoG"/>
        <w:rPr>
          <w:spacing w:val="-2"/>
          <w:lang w:val="fr-FR"/>
        </w:rPr>
      </w:pPr>
      <w:r w:rsidRPr="005265B6">
        <w:rPr>
          <w:spacing w:val="-2"/>
          <w:lang w:val="fr-FR"/>
        </w:rPr>
        <w:t>Le paragraphe 5 de l</w:t>
      </w:r>
      <w:r w:rsidR="00F100CC">
        <w:rPr>
          <w:spacing w:val="-2"/>
          <w:lang w:val="fr-FR"/>
        </w:rPr>
        <w:t>’</w:t>
      </w:r>
      <w:r w:rsidRPr="005265B6">
        <w:rPr>
          <w:spacing w:val="-2"/>
          <w:lang w:val="fr-FR"/>
        </w:rPr>
        <w:t>article 9 du Pacte dispose que tout individu victime d</w:t>
      </w:r>
      <w:r w:rsidR="00F100CC">
        <w:rPr>
          <w:spacing w:val="-2"/>
          <w:lang w:val="fr-FR"/>
        </w:rPr>
        <w:t>’</w:t>
      </w:r>
      <w:r w:rsidRPr="005265B6">
        <w:rPr>
          <w:spacing w:val="-2"/>
          <w:lang w:val="fr-FR"/>
        </w:rPr>
        <w:t>arrestation ou de détention i</w:t>
      </w:r>
      <w:r w:rsidR="00196AA7" w:rsidRPr="005265B6">
        <w:rPr>
          <w:spacing w:val="-2"/>
          <w:lang w:val="fr-FR"/>
        </w:rPr>
        <w:t>llégale</w:t>
      </w:r>
      <w:r w:rsidRPr="005265B6">
        <w:rPr>
          <w:spacing w:val="-2"/>
          <w:lang w:val="fr-FR"/>
        </w:rPr>
        <w:t xml:space="preserve"> a droit à réparation. Comme le paragraphe 4, le paragraphe 5 énonce un exemple précis de recours utile pour les violations des droits de l</w:t>
      </w:r>
      <w:r w:rsidR="00F100CC">
        <w:rPr>
          <w:spacing w:val="-2"/>
          <w:lang w:val="fr-FR"/>
        </w:rPr>
        <w:t>’</w:t>
      </w:r>
      <w:r w:rsidRPr="005265B6">
        <w:rPr>
          <w:spacing w:val="-2"/>
          <w:lang w:val="fr-FR"/>
        </w:rPr>
        <w:t>homme, que les États parties sont tenus d</w:t>
      </w:r>
      <w:r w:rsidR="00F100CC">
        <w:rPr>
          <w:spacing w:val="-2"/>
          <w:lang w:val="fr-FR"/>
        </w:rPr>
        <w:t>’</w:t>
      </w:r>
      <w:r w:rsidRPr="005265B6">
        <w:rPr>
          <w:spacing w:val="-2"/>
          <w:lang w:val="fr-FR"/>
        </w:rPr>
        <w:t xml:space="preserve">assurer. Ces recours précis ne remplacent pas mais complètent les autres moyens de réparation qui peuvent être exigés dans une situation particulière </w:t>
      </w:r>
      <w:r w:rsidR="00196AA7" w:rsidRPr="005265B6">
        <w:rPr>
          <w:spacing w:val="-2"/>
          <w:lang w:val="fr-FR"/>
        </w:rPr>
        <w:t>pour la victime d</w:t>
      </w:r>
      <w:r w:rsidR="00F100CC">
        <w:rPr>
          <w:spacing w:val="-2"/>
          <w:lang w:val="fr-FR"/>
        </w:rPr>
        <w:t>’</w:t>
      </w:r>
      <w:r w:rsidR="00196AA7" w:rsidRPr="005265B6">
        <w:rPr>
          <w:spacing w:val="-2"/>
          <w:lang w:val="fr-FR"/>
        </w:rPr>
        <w:t>une arrestation ou d</w:t>
      </w:r>
      <w:r w:rsidR="00F100CC">
        <w:rPr>
          <w:spacing w:val="-2"/>
          <w:lang w:val="fr-FR"/>
        </w:rPr>
        <w:t>’</w:t>
      </w:r>
      <w:r w:rsidR="00196AA7" w:rsidRPr="005265B6">
        <w:rPr>
          <w:spacing w:val="-2"/>
          <w:lang w:val="fr-FR"/>
        </w:rPr>
        <w:t xml:space="preserve">une détention illégale </w:t>
      </w:r>
      <w:r w:rsidRPr="005265B6">
        <w:rPr>
          <w:spacing w:val="-2"/>
          <w:lang w:val="fr-FR"/>
        </w:rPr>
        <w:t>par le paragraphe 3 de l</w:t>
      </w:r>
      <w:r w:rsidR="00F100CC">
        <w:rPr>
          <w:spacing w:val="-2"/>
          <w:lang w:val="fr-FR"/>
        </w:rPr>
        <w:t>’</w:t>
      </w:r>
      <w:r w:rsidRPr="005265B6">
        <w:rPr>
          <w:spacing w:val="-2"/>
          <w:lang w:val="fr-FR"/>
        </w:rPr>
        <w:t>article 2 du Pacte</w:t>
      </w:r>
      <w:r w:rsidR="00196AA7" w:rsidRPr="005265B6">
        <w:rPr>
          <w:rStyle w:val="FootnoteReference"/>
          <w:spacing w:val="-2"/>
        </w:rPr>
        <w:footnoteReference w:id="152"/>
      </w:r>
      <w:r w:rsidRPr="005265B6">
        <w:rPr>
          <w:spacing w:val="-2"/>
          <w:lang w:val="fr-FR"/>
        </w:rPr>
        <w:t xml:space="preserve">. Alors que le paragraphe 4 prévoit un recours rapide pour obtenir </w:t>
      </w:r>
      <w:r w:rsidR="00CD7F02" w:rsidRPr="005265B6">
        <w:rPr>
          <w:spacing w:val="-2"/>
          <w:lang w:val="fr-FR"/>
        </w:rPr>
        <w:t>la</w:t>
      </w:r>
      <w:r w:rsidRPr="005265B6">
        <w:rPr>
          <w:spacing w:val="-2"/>
          <w:lang w:val="fr-FR"/>
        </w:rPr>
        <w:t xml:space="preserve"> libération dans le cas d</w:t>
      </w:r>
      <w:r w:rsidR="00F100CC">
        <w:rPr>
          <w:spacing w:val="-2"/>
          <w:lang w:val="fr-FR"/>
        </w:rPr>
        <w:t>’</w:t>
      </w:r>
      <w:r w:rsidRPr="005265B6">
        <w:rPr>
          <w:spacing w:val="-2"/>
          <w:lang w:val="fr-FR"/>
        </w:rPr>
        <w:t>une détention illégale, le paragraphe 5 précise que les victimes d</w:t>
      </w:r>
      <w:r w:rsidR="00F100CC">
        <w:rPr>
          <w:spacing w:val="-2"/>
          <w:lang w:val="fr-FR"/>
        </w:rPr>
        <w:t>’</w:t>
      </w:r>
      <w:r w:rsidRPr="005265B6">
        <w:rPr>
          <w:spacing w:val="-2"/>
          <w:lang w:val="fr-FR"/>
        </w:rPr>
        <w:t>une arrestation ou d</w:t>
      </w:r>
      <w:r w:rsidR="00F100CC">
        <w:rPr>
          <w:spacing w:val="-2"/>
          <w:lang w:val="fr-FR"/>
        </w:rPr>
        <w:t>’</w:t>
      </w:r>
      <w:r w:rsidRPr="005265B6">
        <w:rPr>
          <w:spacing w:val="-2"/>
          <w:lang w:val="fr-FR"/>
        </w:rPr>
        <w:t>une détention arbitraire ont également droit à une indemnisation financière.</w:t>
      </w:r>
    </w:p>
    <w:p w:rsidR="004419DB" w:rsidRPr="004419DB" w:rsidRDefault="004419DB" w:rsidP="00310B2C">
      <w:pPr>
        <w:pStyle w:val="ParNoG"/>
        <w:rPr>
          <w:lang w:val="fr-FR"/>
        </w:rPr>
      </w:pPr>
      <w:r w:rsidRPr="004419DB">
        <w:rPr>
          <w:lang w:val="fr-FR"/>
        </w:rPr>
        <w:t>Le paragraphe 5 fait aux États parties obligation d</w:t>
      </w:r>
      <w:r w:rsidR="00F100CC">
        <w:rPr>
          <w:lang w:val="fr-FR"/>
        </w:rPr>
        <w:t>’</w:t>
      </w:r>
      <w:r w:rsidRPr="004419DB">
        <w:rPr>
          <w:lang w:val="fr-FR"/>
        </w:rPr>
        <w:t xml:space="preserve">établir le cadre juridique dans lequel une réparation peut être accordée aux victimes, à titre de droit opposable et non pas à titre gracieux ou discrétionnaire. </w:t>
      </w:r>
      <w:r w:rsidRPr="00310B2C">
        <w:rPr>
          <w:lang w:val="fr-FR"/>
        </w:rPr>
        <w:t>La réparation ne doit pas seulement exister en théorie, elle doit être réelle et le versement de l</w:t>
      </w:r>
      <w:r w:rsidR="00F100CC">
        <w:rPr>
          <w:lang w:val="fr-FR"/>
        </w:rPr>
        <w:t>’</w:t>
      </w:r>
      <w:r w:rsidRPr="00310B2C">
        <w:rPr>
          <w:lang w:val="fr-FR"/>
        </w:rPr>
        <w:t>indemnité doit être effectué dans un délai raisonnable.</w:t>
      </w:r>
      <w:r w:rsidR="00310B2C">
        <w:rPr>
          <w:lang w:val="fr-FR"/>
        </w:rPr>
        <w:t xml:space="preserve"> Le </w:t>
      </w:r>
      <w:r w:rsidR="00310B2C" w:rsidRPr="00310B2C">
        <w:t>paragraphe</w:t>
      </w:r>
      <w:r w:rsidR="00310B2C">
        <w:t xml:space="preserve"> 5 </w:t>
      </w:r>
      <w:r w:rsidRPr="00310B2C">
        <w:t>ne</w:t>
      </w:r>
      <w:r w:rsidRPr="004419DB">
        <w:rPr>
          <w:lang w:val="fr-FR"/>
        </w:rPr>
        <w:t xml:space="preserve"> spécifie pas la forme précise de la procédure, qui peut être un recours contre l</w:t>
      </w:r>
      <w:r w:rsidR="00F100CC">
        <w:rPr>
          <w:lang w:val="fr-FR"/>
        </w:rPr>
        <w:t>’</w:t>
      </w:r>
      <w:r w:rsidRPr="004419DB">
        <w:rPr>
          <w:lang w:val="fr-FR"/>
        </w:rPr>
        <w:t>État lui-même ou contre des agents de l</w:t>
      </w:r>
      <w:r w:rsidR="00F100CC">
        <w:rPr>
          <w:lang w:val="fr-FR"/>
        </w:rPr>
        <w:t>’</w:t>
      </w:r>
      <w:r w:rsidRPr="004419DB">
        <w:rPr>
          <w:lang w:val="fr-FR"/>
        </w:rPr>
        <w:t>État resp</w:t>
      </w:r>
      <w:r w:rsidR="00655398">
        <w:rPr>
          <w:lang w:val="fr-FR"/>
        </w:rPr>
        <w:t>onsables individuellement de la </w:t>
      </w:r>
      <w:r w:rsidRPr="004419DB">
        <w:rPr>
          <w:lang w:val="fr-FR"/>
        </w:rPr>
        <w:t>violation</w:t>
      </w:r>
      <w:r w:rsidR="00310B2C">
        <w:rPr>
          <w:lang w:val="fr-FR"/>
        </w:rPr>
        <w:t>, pour autant que ce soit un recours utile</w:t>
      </w:r>
      <w:r w:rsidR="00310B2C">
        <w:rPr>
          <w:rStyle w:val="FootnoteReference"/>
        </w:rPr>
        <w:footnoteReference w:id="153"/>
      </w:r>
      <w:r w:rsidRPr="004419DB">
        <w:rPr>
          <w:lang w:val="fr-FR"/>
        </w:rPr>
        <w:t>. Il n</w:t>
      </w:r>
      <w:r w:rsidR="00F100CC">
        <w:rPr>
          <w:lang w:val="fr-FR"/>
        </w:rPr>
        <w:t>’</w:t>
      </w:r>
      <w:r w:rsidRPr="004419DB">
        <w:rPr>
          <w:lang w:val="fr-FR"/>
        </w:rPr>
        <w:t>exige pas qu</w:t>
      </w:r>
      <w:r w:rsidR="00F100CC">
        <w:rPr>
          <w:lang w:val="fr-FR"/>
        </w:rPr>
        <w:t>’</w:t>
      </w:r>
      <w:r w:rsidRPr="004419DB">
        <w:rPr>
          <w:lang w:val="fr-FR"/>
        </w:rPr>
        <w:t>une procédure unique soit mise en place pour assurer l</w:t>
      </w:r>
      <w:r w:rsidR="00F100CC">
        <w:rPr>
          <w:lang w:val="fr-FR"/>
        </w:rPr>
        <w:t>’</w:t>
      </w:r>
      <w:r w:rsidRPr="004419DB">
        <w:rPr>
          <w:lang w:val="fr-FR"/>
        </w:rPr>
        <w:t>indemnisation pour toutes les formes d</w:t>
      </w:r>
      <w:r w:rsidR="00F100CC">
        <w:rPr>
          <w:lang w:val="fr-FR"/>
        </w:rPr>
        <w:t>’</w:t>
      </w:r>
      <w:r w:rsidRPr="004419DB">
        <w:rPr>
          <w:lang w:val="fr-FR"/>
        </w:rPr>
        <w:t>arrestation illégale mais dispose seulement qu</w:t>
      </w:r>
      <w:r w:rsidR="00F100CC">
        <w:rPr>
          <w:lang w:val="fr-FR"/>
        </w:rPr>
        <w:t>’</w:t>
      </w:r>
      <w:r w:rsidRPr="004419DB">
        <w:rPr>
          <w:lang w:val="fr-FR"/>
        </w:rPr>
        <w:t>un système efficace de procédures doit exister afin d</w:t>
      </w:r>
      <w:r w:rsidR="00F100CC">
        <w:rPr>
          <w:lang w:val="fr-FR"/>
        </w:rPr>
        <w:t>’</w:t>
      </w:r>
      <w:r w:rsidRPr="004419DB">
        <w:rPr>
          <w:lang w:val="fr-FR"/>
        </w:rPr>
        <w:t>offrir une indemnisation dans tous les cas visés par le paragraphe 5. Le paragraphe 5 n</w:t>
      </w:r>
      <w:r w:rsidR="00F100CC">
        <w:rPr>
          <w:lang w:val="fr-FR"/>
        </w:rPr>
        <w:t>’</w:t>
      </w:r>
      <w:r w:rsidRPr="004419DB">
        <w:rPr>
          <w:lang w:val="fr-FR"/>
        </w:rPr>
        <w:t>oblige pas les États parties à indemniser les victimes de leur propre initiative mais leur permet de laisser l</w:t>
      </w:r>
      <w:r w:rsidR="00F100CC">
        <w:rPr>
          <w:lang w:val="fr-FR"/>
        </w:rPr>
        <w:t>’</w:t>
      </w:r>
      <w:r w:rsidRPr="004419DB">
        <w:rPr>
          <w:lang w:val="fr-FR"/>
        </w:rPr>
        <w:t>engagement de la procédure d</w:t>
      </w:r>
      <w:r w:rsidR="00F100CC">
        <w:rPr>
          <w:lang w:val="fr-FR"/>
        </w:rPr>
        <w:t>’</w:t>
      </w:r>
      <w:r w:rsidRPr="004419DB">
        <w:rPr>
          <w:lang w:val="fr-FR"/>
        </w:rPr>
        <w:t>indemnisation à l</w:t>
      </w:r>
      <w:r w:rsidR="00F100CC">
        <w:rPr>
          <w:lang w:val="fr-FR"/>
        </w:rPr>
        <w:t>’</w:t>
      </w:r>
      <w:r w:rsidRPr="004419DB">
        <w:rPr>
          <w:lang w:val="fr-FR"/>
        </w:rPr>
        <w:t>initiative de la victime</w:t>
      </w:r>
      <w:r w:rsidR="00D64899">
        <w:rPr>
          <w:rStyle w:val="FootnoteReference"/>
        </w:rPr>
        <w:footnoteReference w:id="154"/>
      </w:r>
      <w:r w:rsidRPr="004419DB">
        <w:rPr>
          <w:lang w:val="fr-FR"/>
        </w:rPr>
        <w:t>.</w:t>
      </w:r>
    </w:p>
    <w:p w:rsidR="004419DB" w:rsidRPr="004419DB" w:rsidRDefault="004419DB" w:rsidP="00D173F4">
      <w:pPr>
        <w:pStyle w:val="ParNoG"/>
        <w:rPr>
          <w:lang w:val="fr-FR"/>
        </w:rPr>
      </w:pPr>
      <w:r w:rsidRPr="004419DB">
        <w:rPr>
          <w:lang w:val="fr-FR"/>
        </w:rPr>
        <w:t>Une arrest</w:t>
      </w:r>
      <w:r w:rsidR="00D173F4">
        <w:rPr>
          <w:lang w:val="fr-FR"/>
        </w:rPr>
        <w:t>ation ou une détention illégale au sens du paragraphe 5 peu</w:t>
      </w:r>
      <w:r w:rsidRPr="004419DB">
        <w:rPr>
          <w:lang w:val="fr-FR"/>
        </w:rPr>
        <w:t>t se produire dans le cadre d</w:t>
      </w:r>
      <w:r w:rsidR="00F100CC">
        <w:rPr>
          <w:lang w:val="fr-FR"/>
        </w:rPr>
        <w:t>’</w:t>
      </w:r>
      <w:r w:rsidRPr="004419DB">
        <w:rPr>
          <w:lang w:val="fr-FR"/>
        </w:rPr>
        <w:t>une procédure pénale ou non pénale, ou en l</w:t>
      </w:r>
      <w:r w:rsidR="00F100CC">
        <w:rPr>
          <w:lang w:val="fr-FR"/>
        </w:rPr>
        <w:t>’</w:t>
      </w:r>
      <w:r w:rsidRPr="004419DB">
        <w:rPr>
          <w:lang w:val="fr-FR"/>
        </w:rPr>
        <w:t>absence de toute procédure</w:t>
      </w:r>
      <w:r w:rsidR="00D173F4">
        <w:rPr>
          <w:rStyle w:val="FootnoteReference"/>
        </w:rPr>
        <w:footnoteReference w:id="155"/>
      </w:r>
      <w:r w:rsidRPr="004419DB">
        <w:rPr>
          <w:lang w:val="fr-FR"/>
        </w:rPr>
        <w:t>. Le caractère «illégal» de l</w:t>
      </w:r>
      <w:r w:rsidR="00F100CC">
        <w:rPr>
          <w:lang w:val="fr-FR"/>
        </w:rPr>
        <w:t>’</w:t>
      </w:r>
      <w:r w:rsidRPr="004419DB">
        <w:rPr>
          <w:lang w:val="fr-FR"/>
        </w:rPr>
        <w:t>arrestation ou de la détention peut résulter d</w:t>
      </w:r>
      <w:r w:rsidR="00F100CC">
        <w:rPr>
          <w:lang w:val="fr-FR"/>
        </w:rPr>
        <w:t>’</w:t>
      </w:r>
      <w:r w:rsidRPr="004419DB">
        <w:rPr>
          <w:lang w:val="fr-FR"/>
        </w:rPr>
        <w:t>une violation de la législation nationale ou d</w:t>
      </w:r>
      <w:r w:rsidR="00F100CC">
        <w:rPr>
          <w:lang w:val="fr-FR"/>
        </w:rPr>
        <w:t>’</w:t>
      </w:r>
      <w:r w:rsidRPr="004419DB">
        <w:rPr>
          <w:lang w:val="fr-FR"/>
        </w:rPr>
        <w:t>une violation du Pacte lui-même, comme une détention foncièrement arbitraire et une détention qui s</w:t>
      </w:r>
      <w:r w:rsidR="00F100CC">
        <w:rPr>
          <w:lang w:val="fr-FR"/>
        </w:rPr>
        <w:t>’</w:t>
      </w:r>
      <w:r w:rsidRPr="004419DB">
        <w:rPr>
          <w:lang w:val="fr-FR"/>
        </w:rPr>
        <w:t>est déroulée en violation des règles procédurales d</w:t>
      </w:r>
      <w:r w:rsidR="00F100CC">
        <w:rPr>
          <w:lang w:val="fr-FR"/>
        </w:rPr>
        <w:t>’</w:t>
      </w:r>
      <w:r w:rsidRPr="004419DB">
        <w:rPr>
          <w:lang w:val="fr-FR"/>
        </w:rPr>
        <w:t>autres paragraphes de l</w:t>
      </w:r>
      <w:r w:rsidR="00F100CC">
        <w:rPr>
          <w:lang w:val="fr-FR"/>
        </w:rPr>
        <w:t>’</w:t>
      </w:r>
      <w:r w:rsidRPr="004419DB">
        <w:rPr>
          <w:lang w:val="fr-FR"/>
        </w:rPr>
        <w:t>article 9</w:t>
      </w:r>
      <w:r w:rsidR="005A7717">
        <w:rPr>
          <w:rStyle w:val="FootnoteReference"/>
        </w:rPr>
        <w:footnoteReference w:id="156"/>
      </w:r>
      <w:r w:rsidRPr="004419DB">
        <w:rPr>
          <w:lang w:val="fr-FR"/>
        </w:rPr>
        <w:t>. Toutefois, le fait qu</w:t>
      </w:r>
      <w:r w:rsidR="00F100CC">
        <w:rPr>
          <w:lang w:val="fr-FR"/>
        </w:rPr>
        <w:t>’</w:t>
      </w:r>
      <w:r w:rsidRPr="004419DB">
        <w:rPr>
          <w:lang w:val="fr-FR"/>
        </w:rPr>
        <w:t>un défendeur inculpé d</w:t>
      </w:r>
      <w:r w:rsidR="00F100CC">
        <w:rPr>
          <w:lang w:val="fr-FR"/>
        </w:rPr>
        <w:t>’</w:t>
      </w:r>
      <w:r w:rsidRPr="004419DB">
        <w:rPr>
          <w:lang w:val="fr-FR"/>
        </w:rPr>
        <w:t>une infraction pénale ait finalement été acquitté, en première instance ou en appel, ne rend pas en soi la détention qui a précédé «illégale»</w:t>
      </w:r>
      <w:r w:rsidR="00CB5CBA">
        <w:rPr>
          <w:rStyle w:val="FootnoteReference"/>
        </w:rPr>
        <w:footnoteReference w:id="157"/>
      </w:r>
      <w:r w:rsidR="00CB5CBA">
        <w:rPr>
          <w:lang w:val="fr-FR"/>
        </w:rPr>
        <w:t>.</w:t>
      </w:r>
    </w:p>
    <w:p w:rsidR="004419DB" w:rsidRPr="004419DB" w:rsidRDefault="004419DB" w:rsidP="00CB5CBA">
      <w:pPr>
        <w:pStyle w:val="ParNoG"/>
        <w:rPr>
          <w:lang w:val="fr-FR"/>
        </w:rPr>
      </w:pPr>
      <w:r w:rsidRPr="004419DB">
        <w:rPr>
          <w:lang w:val="fr-FR"/>
        </w:rPr>
        <w:t>L</w:t>
      </w:r>
      <w:r w:rsidR="00F100CC">
        <w:rPr>
          <w:lang w:val="fr-FR"/>
        </w:rPr>
        <w:t>’</w:t>
      </w:r>
      <w:r w:rsidRPr="004419DB">
        <w:rPr>
          <w:lang w:val="fr-FR"/>
        </w:rPr>
        <w:t>indemnisation exigée par le paragraphe 5 vise spécifiquement les préjudices d</w:t>
      </w:r>
      <w:r w:rsidR="00F100CC">
        <w:rPr>
          <w:lang w:val="fr-FR"/>
        </w:rPr>
        <w:t>’</w:t>
      </w:r>
      <w:r w:rsidRPr="004419DB">
        <w:rPr>
          <w:lang w:val="fr-FR"/>
        </w:rPr>
        <w:t>ordre financier et non financier découlant de l</w:t>
      </w:r>
      <w:r w:rsidR="00F100CC">
        <w:rPr>
          <w:lang w:val="fr-FR"/>
        </w:rPr>
        <w:t>’</w:t>
      </w:r>
      <w:r w:rsidRPr="004419DB">
        <w:rPr>
          <w:lang w:val="fr-FR"/>
        </w:rPr>
        <w:t>arrestation ou de la détention illégale</w:t>
      </w:r>
      <w:r w:rsidR="00CB5CBA">
        <w:rPr>
          <w:rStyle w:val="FootnoteReference"/>
        </w:rPr>
        <w:footnoteReference w:id="158"/>
      </w:r>
      <w:r w:rsidRPr="004419DB">
        <w:rPr>
          <w:lang w:val="fr-FR"/>
        </w:rPr>
        <w:t>. Si l</w:t>
      </w:r>
      <w:r w:rsidR="00F100CC">
        <w:rPr>
          <w:lang w:val="fr-FR"/>
        </w:rPr>
        <w:t>’</w:t>
      </w:r>
      <w:r w:rsidRPr="004419DB">
        <w:rPr>
          <w:lang w:val="fr-FR"/>
        </w:rPr>
        <w:t>illégalité de l</w:t>
      </w:r>
      <w:r w:rsidR="00F100CC">
        <w:rPr>
          <w:lang w:val="fr-FR"/>
        </w:rPr>
        <w:t>’</w:t>
      </w:r>
      <w:r w:rsidRPr="004419DB">
        <w:rPr>
          <w:lang w:val="fr-FR"/>
        </w:rPr>
        <w:t>arrestation tient à la violation d</w:t>
      </w:r>
      <w:r w:rsidR="00F100CC">
        <w:rPr>
          <w:lang w:val="fr-FR"/>
        </w:rPr>
        <w:t>’</w:t>
      </w:r>
      <w:r w:rsidRPr="004419DB">
        <w:rPr>
          <w:lang w:val="fr-FR"/>
        </w:rPr>
        <w:t>autres droits de l</w:t>
      </w:r>
      <w:r w:rsidR="00F100CC">
        <w:rPr>
          <w:lang w:val="fr-FR"/>
        </w:rPr>
        <w:t>’</w:t>
      </w:r>
      <w:r w:rsidRPr="004419DB">
        <w:rPr>
          <w:lang w:val="fr-FR"/>
        </w:rPr>
        <w:t>homme, comme la liberté d</w:t>
      </w:r>
      <w:r w:rsidR="00F100CC">
        <w:rPr>
          <w:lang w:val="fr-FR"/>
        </w:rPr>
        <w:t>’</w:t>
      </w:r>
      <w:r w:rsidRPr="004419DB">
        <w:rPr>
          <w:lang w:val="fr-FR"/>
        </w:rPr>
        <w:t>expression, l</w:t>
      </w:r>
      <w:r w:rsidR="00F100CC">
        <w:rPr>
          <w:lang w:val="fr-FR"/>
        </w:rPr>
        <w:t>’</w:t>
      </w:r>
      <w:r w:rsidRPr="004419DB">
        <w:rPr>
          <w:lang w:val="fr-FR"/>
        </w:rPr>
        <w:t>État partie peut en outre avoir l</w:t>
      </w:r>
      <w:r w:rsidR="00F100CC">
        <w:rPr>
          <w:lang w:val="fr-FR"/>
        </w:rPr>
        <w:t>’</w:t>
      </w:r>
      <w:r w:rsidRPr="004419DB">
        <w:rPr>
          <w:lang w:val="fr-FR"/>
        </w:rPr>
        <w:t>obligation d</w:t>
      </w:r>
      <w:r w:rsidR="00F100CC">
        <w:rPr>
          <w:lang w:val="fr-FR"/>
        </w:rPr>
        <w:t>’</w:t>
      </w:r>
      <w:r w:rsidRPr="004419DB">
        <w:rPr>
          <w:lang w:val="fr-FR"/>
        </w:rPr>
        <w:t>assurer une indemnisation ou une autre forme de réparation pour ces autres violations, comme l</w:t>
      </w:r>
      <w:r w:rsidR="00F100CC">
        <w:rPr>
          <w:lang w:val="fr-FR"/>
        </w:rPr>
        <w:t>’</w:t>
      </w:r>
      <w:r w:rsidRPr="004419DB">
        <w:rPr>
          <w:lang w:val="fr-FR"/>
        </w:rPr>
        <w:t>exige le paragraphe 3 de l</w:t>
      </w:r>
      <w:r w:rsidR="00F100CC">
        <w:rPr>
          <w:lang w:val="fr-FR"/>
        </w:rPr>
        <w:t>’</w:t>
      </w:r>
      <w:r w:rsidRPr="004419DB">
        <w:rPr>
          <w:lang w:val="fr-FR"/>
        </w:rPr>
        <w:t>article 2 du Pacte</w:t>
      </w:r>
      <w:r w:rsidR="00CB5CBA">
        <w:rPr>
          <w:rStyle w:val="FootnoteReference"/>
        </w:rPr>
        <w:footnoteReference w:id="159"/>
      </w:r>
      <w:r w:rsidRPr="004419DB">
        <w:rPr>
          <w:lang w:val="fr-FR"/>
        </w:rPr>
        <w:t>.</w:t>
      </w:r>
    </w:p>
    <w:p w:rsidR="004419DB" w:rsidRPr="004419DB" w:rsidRDefault="004C13A0" w:rsidP="004C13A0">
      <w:pPr>
        <w:pStyle w:val="HChG"/>
        <w:rPr>
          <w:lang w:val="fr-FR"/>
        </w:rPr>
      </w:pPr>
      <w:r>
        <w:rPr>
          <w:lang w:val="fr-FR"/>
        </w:rPr>
        <w:tab/>
        <w:t>VII.</w:t>
      </w:r>
      <w:r>
        <w:rPr>
          <w:lang w:val="fr-FR"/>
        </w:rPr>
        <w:tab/>
        <w:t>Relation de l</w:t>
      </w:r>
      <w:r w:rsidR="00F100CC">
        <w:rPr>
          <w:lang w:val="fr-FR"/>
        </w:rPr>
        <w:t>’</w:t>
      </w:r>
      <w:r>
        <w:rPr>
          <w:lang w:val="fr-FR"/>
        </w:rPr>
        <w:t>article </w:t>
      </w:r>
      <w:r w:rsidR="004419DB" w:rsidRPr="004419DB">
        <w:rPr>
          <w:lang w:val="fr-FR"/>
        </w:rPr>
        <w:t>9 avec d</w:t>
      </w:r>
      <w:r w:rsidR="00F100CC">
        <w:rPr>
          <w:lang w:val="fr-FR"/>
        </w:rPr>
        <w:t>’</w:t>
      </w:r>
      <w:r w:rsidR="004419DB" w:rsidRPr="004419DB">
        <w:rPr>
          <w:lang w:val="fr-FR"/>
        </w:rPr>
        <w:t>autres articles du Pacte</w:t>
      </w:r>
    </w:p>
    <w:p w:rsidR="004419DB" w:rsidRPr="004419DB" w:rsidRDefault="004419DB" w:rsidP="00BD7520">
      <w:pPr>
        <w:pStyle w:val="ParNoG"/>
        <w:rPr>
          <w:iCs/>
          <w:lang w:val="fr-FR"/>
        </w:rPr>
      </w:pPr>
      <w:r w:rsidRPr="004419DB">
        <w:rPr>
          <w:lang w:val="fr-FR"/>
        </w:rPr>
        <w:t>Les garanties de procédure et de fond énoncées par l</w:t>
      </w:r>
      <w:r w:rsidR="00F100CC">
        <w:rPr>
          <w:lang w:val="fr-FR"/>
        </w:rPr>
        <w:t>’</w:t>
      </w:r>
      <w:r w:rsidRPr="004419DB">
        <w:rPr>
          <w:lang w:val="fr-FR"/>
        </w:rPr>
        <w:t>article 9 coïncident et interagissent avec d</w:t>
      </w:r>
      <w:r w:rsidR="00F100CC">
        <w:rPr>
          <w:lang w:val="fr-FR"/>
        </w:rPr>
        <w:t>’</w:t>
      </w:r>
      <w:r w:rsidRPr="004419DB">
        <w:rPr>
          <w:lang w:val="fr-FR"/>
        </w:rPr>
        <w:t>autres garanties du Pacte. Certaines formes de conduite représentent isolément une violation de l</w:t>
      </w:r>
      <w:r w:rsidR="00F100CC">
        <w:rPr>
          <w:lang w:val="fr-FR"/>
        </w:rPr>
        <w:t>’</w:t>
      </w:r>
      <w:r w:rsidRPr="004419DB">
        <w:rPr>
          <w:lang w:val="fr-FR"/>
        </w:rPr>
        <w:t>article 9 et d</w:t>
      </w:r>
      <w:r w:rsidR="00F100CC">
        <w:rPr>
          <w:lang w:val="fr-FR"/>
        </w:rPr>
        <w:t>’</w:t>
      </w:r>
      <w:r w:rsidRPr="004419DB">
        <w:rPr>
          <w:lang w:val="fr-FR"/>
        </w:rPr>
        <w:t>un autre article, par exemple les retards dans le jugement d</w:t>
      </w:r>
      <w:r w:rsidR="00F100CC">
        <w:rPr>
          <w:lang w:val="fr-FR"/>
        </w:rPr>
        <w:t>’</w:t>
      </w:r>
      <w:r w:rsidRPr="004419DB">
        <w:rPr>
          <w:lang w:val="fr-FR"/>
        </w:rPr>
        <w:t xml:space="preserve">une personne </w:t>
      </w:r>
      <w:r w:rsidR="00BD7520">
        <w:rPr>
          <w:lang w:val="fr-FR"/>
        </w:rPr>
        <w:t xml:space="preserve">en détention </w:t>
      </w:r>
      <w:r w:rsidRPr="004419DB">
        <w:rPr>
          <w:lang w:val="fr-FR"/>
        </w:rPr>
        <w:t>inculpée d</w:t>
      </w:r>
      <w:r w:rsidR="00F100CC">
        <w:rPr>
          <w:lang w:val="fr-FR"/>
        </w:rPr>
        <w:t>’</w:t>
      </w:r>
      <w:r w:rsidRPr="004419DB">
        <w:rPr>
          <w:lang w:val="fr-FR"/>
        </w:rPr>
        <w:t>une infraction pénale tels qu</w:t>
      </w:r>
      <w:r w:rsidR="00F100CC">
        <w:rPr>
          <w:lang w:val="fr-FR"/>
        </w:rPr>
        <w:t>’</w:t>
      </w:r>
      <w:r w:rsidRPr="004419DB">
        <w:rPr>
          <w:lang w:val="fr-FR"/>
        </w:rPr>
        <w:t>ils violent le paragraphe 3 de l</w:t>
      </w:r>
      <w:r w:rsidR="00F100CC">
        <w:rPr>
          <w:lang w:val="fr-FR"/>
        </w:rPr>
        <w:t>’</w:t>
      </w:r>
      <w:r w:rsidRPr="004419DB">
        <w:rPr>
          <w:lang w:val="fr-FR"/>
        </w:rPr>
        <w:t>article 9 et le paragraphe 3 c) de l</w:t>
      </w:r>
      <w:r w:rsidR="00F100CC">
        <w:rPr>
          <w:lang w:val="fr-FR"/>
        </w:rPr>
        <w:t>’</w:t>
      </w:r>
      <w:r w:rsidRPr="004419DB">
        <w:rPr>
          <w:lang w:val="fr-FR"/>
        </w:rPr>
        <w:t>article 14. Dans certains cas, le contenu du paragraphe 1 de l</w:t>
      </w:r>
      <w:r w:rsidR="00F100CC">
        <w:rPr>
          <w:lang w:val="fr-FR"/>
        </w:rPr>
        <w:t>’</w:t>
      </w:r>
      <w:r w:rsidRPr="004419DB">
        <w:rPr>
          <w:lang w:val="fr-FR"/>
        </w:rPr>
        <w:t>article 9 est complété par le contenu d</w:t>
      </w:r>
      <w:r w:rsidR="00F100CC">
        <w:rPr>
          <w:lang w:val="fr-FR"/>
        </w:rPr>
        <w:t>’</w:t>
      </w:r>
      <w:r w:rsidRPr="004419DB">
        <w:rPr>
          <w:lang w:val="fr-FR"/>
        </w:rPr>
        <w:t>autres articles; par exemple, la détention peut être arbitraire du fait qu</w:t>
      </w:r>
      <w:r w:rsidR="00F100CC">
        <w:rPr>
          <w:lang w:val="fr-FR"/>
        </w:rPr>
        <w:t>’</w:t>
      </w:r>
      <w:r w:rsidRPr="004419DB">
        <w:rPr>
          <w:lang w:val="fr-FR"/>
        </w:rPr>
        <w:t>elle représente une répression pour l</w:t>
      </w:r>
      <w:r w:rsidR="00F100CC">
        <w:rPr>
          <w:lang w:val="fr-FR"/>
        </w:rPr>
        <w:t>’</w:t>
      </w:r>
      <w:r w:rsidRPr="004419DB">
        <w:rPr>
          <w:lang w:val="fr-FR"/>
        </w:rPr>
        <w:t>exercice de la liberté d</w:t>
      </w:r>
      <w:r w:rsidR="00F100CC">
        <w:rPr>
          <w:lang w:val="fr-FR"/>
        </w:rPr>
        <w:t>’</w:t>
      </w:r>
      <w:r w:rsidRPr="004419DB">
        <w:rPr>
          <w:lang w:val="fr-FR"/>
        </w:rPr>
        <w:t>expression, en violation de l</w:t>
      </w:r>
      <w:r w:rsidR="00F100CC">
        <w:rPr>
          <w:lang w:val="fr-FR"/>
        </w:rPr>
        <w:t>’</w:t>
      </w:r>
      <w:r w:rsidRPr="004419DB">
        <w:rPr>
          <w:lang w:val="fr-FR"/>
        </w:rPr>
        <w:t>article 19</w:t>
      </w:r>
      <w:r w:rsidR="00AE2CF2">
        <w:rPr>
          <w:rStyle w:val="FootnoteReference"/>
        </w:rPr>
        <w:footnoteReference w:id="160"/>
      </w:r>
      <w:r w:rsidRPr="004419DB">
        <w:rPr>
          <w:lang w:val="fr-FR"/>
        </w:rPr>
        <w:t>.</w:t>
      </w:r>
    </w:p>
    <w:p w:rsidR="004419DB" w:rsidRPr="004419DB" w:rsidRDefault="004419DB" w:rsidP="00531F40">
      <w:pPr>
        <w:pStyle w:val="ParNoG"/>
        <w:rPr>
          <w:lang w:val="fr-FR"/>
        </w:rPr>
      </w:pPr>
      <w:r w:rsidRPr="004419DB">
        <w:rPr>
          <w:lang w:val="fr-FR"/>
        </w:rPr>
        <w:t>L</w:t>
      </w:r>
      <w:r w:rsidR="00F100CC">
        <w:rPr>
          <w:lang w:val="fr-FR"/>
        </w:rPr>
        <w:t>’</w:t>
      </w:r>
      <w:r w:rsidRPr="004419DB">
        <w:rPr>
          <w:lang w:val="fr-FR"/>
        </w:rPr>
        <w:t>article 9 renforce en outre l</w:t>
      </w:r>
      <w:r w:rsidR="00F100CC">
        <w:rPr>
          <w:lang w:val="fr-FR"/>
        </w:rPr>
        <w:t>’</w:t>
      </w:r>
      <w:r w:rsidRPr="004419DB">
        <w:rPr>
          <w:lang w:val="fr-FR"/>
        </w:rPr>
        <w:t xml:space="preserve">obligation faite aux États parties en vertu du Pacte et du Protocole </w:t>
      </w:r>
      <w:r w:rsidRPr="00531F40">
        <w:t>facultatif</w:t>
      </w:r>
      <w:r w:rsidRPr="004419DB">
        <w:rPr>
          <w:lang w:val="fr-FR"/>
        </w:rPr>
        <w:t xml:space="preserve"> de protéger les individus </w:t>
      </w:r>
      <w:r w:rsidR="00531F40">
        <w:rPr>
          <w:lang w:val="fr-FR"/>
        </w:rPr>
        <w:t>qui ont</w:t>
      </w:r>
      <w:r w:rsidRPr="004419DB">
        <w:rPr>
          <w:lang w:val="fr-FR"/>
        </w:rPr>
        <w:t xml:space="preserve"> coopéré ou communiqué avec le Comité</w:t>
      </w:r>
      <w:r w:rsidR="00531F40">
        <w:rPr>
          <w:lang w:val="fr-FR"/>
        </w:rPr>
        <w:t xml:space="preserve"> contre des représailles,</w:t>
      </w:r>
      <w:r w:rsidRPr="004419DB">
        <w:rPr>
          <w:lang w:val="fr-FR"/>
        </w:rPr>
        <w:t xml:space="preserve"> </w:t>
      </w:r>
      <w:r w:rsidR="00531F40" w:rsidRPr="004419DB">
        <w:rPr>
          <w:lang w:val="fr-FR"/>
        </w:rPr>
        <w:t xml:space="preserve">par </w:t>
      </w:r>
      <w:r w:rsidRPr="004419DB">
        <w:rPr>
          <w:lang w:val="fr-FR"/>
        </w:rPr>
        <w:t>exemple des actes d</w:t>
      </w:r>
      <w:r w:rsidR="00F100CC">
        <w:rPr>
          <w:lang w:val="fr-FR"/>
        </w:rPr>
        <w:t>’</w:t>
      </w:r>
      <w:r w:rsidRPr="004419DB">
        <w:rPr>
          <w:lang w:val="fr-FR"/>
        </w:rPr>
        <w:t xml:space="preserve">intimidation physique ou </w:t>
      </w:r>
      <w:r w:rsidR="00531F40">
        <w:rPr>
          <w:lang w:val="fr-FR"/>
        </w:rPr>
        <w:t>des menaces à</w:t>
      </w:r>
      <w:r w:rsidRPr="004419DB">
        <w:rPr>
          <w:lang w:val="fr-FR"/>
        </w:rPr>
        <w:t xml:space="preserve"> leur liberté personnelle</w:t>
      </w:r>
      <w:r w:rsidR="00531F40">
        <w:rPr>
          <w:rStyle w:val="FootnoteReference"/>
        </w:rPr>
        <w:footnoteReference w:id="161"/>
      </w:r>
      <w:r w:rsidRPr="004419DB">
        <w:rPr>
          <w:lang w:val="fr-FR"/>
        </w:rPr>
        <w:t>.</w:t>
      </w:r>
    </w:p>
    <w:p w:rsidR="004419DB" w:rsidRPr="004419DB" w:rsidRDefault="004419DB" w:rsidP="00736F0C">
      <w:pPr>
        <w:pStyle w:val="ParNoG"/>
        <w:rPr>
          <w:iCs/>
          <w:lang w:val="fr-FR"/>
        </w:rPr>
      </w:pPr>
      <w:r w:rsidRPr="004419DB">
        <w:rPr>
          <w:lang w:val="fr-FR"/>
        </w:rPr>
        <w:t>Le droit à la vie garanti par l</w:t>
      </w:r>
      <w:r w:rsidR="00F100CC">
        <w:rPr>
          <w:lang w:val="fr-FR"/>
        </w:rPr>
        <w:t>’</w:t>
      </w:r>
      <w:r w:rsidRPr="004419DB">
        <w:rPr>
          <w:lang w:val="fr-FR"/>
        </w:rPr>
        <w:t>article 6 du Pacte, notamment le droit à la protection de la vie consacré au paragraphe 1 de l</w:t>
      </w:r>
      <w:r w:rsidR="00F100CC">
        <w:rPr>
          <w:lang w:val="fr-FR"/>
        </w:rPr>
        <w:t>’</w:t>
      </w:r>
      <w:r w:rsidRPr="004419DB">
        <w:rPr>
          <w:lang w:val="fr-FR"/>
        </w:rPr>
        <w:t>article 6, peut recouper le droit à la sécurité de la personne énoncé au paragraphe 1 de l</w:t>
      </w:r>
      <w:r w:rsidR="00F100CC">
        <w:rPr>
          <w:lang w:val="fr-FR"/>
        </w:rPr>
        <w:t>’</w:t>
      </w:r>
      <w:r w:rsidRPr="004419DB">
        <w:rPr>
          <w:lang w:val="fr-FR"/>
        </w:rPr>
        <w:t>article 9.</w:t>
      </w:r>
      <w:r w:rsidRPr="004419DB">
        <w:rPr>
          <w:iCs/>
          <w:lang w:val="fr-FR"/>
        </w:rPr>
        <w:t xml:space="preserve"> </w:t>
      </w:r>
      <w:r w:rsidRPr="004419DB">
        <w:rPr>
          <w:lang w:val="fr-FR"/>
        </w:rPr>
        <w:t xml:space="preserve">Le droit à la sécurité de la personne peut être considéré comme plus étendu dans la mesure où il </w:t>
      </w:r>
      <w:r w:rsidRPr="00736F0C">
        <w:t>vise</w:t>
      </w:r>
      <w:r w:rsidRPr="004419DB">
        <w:rPr>
          <w:lang w:val="fr-FR"/>
        </w:rPr>
        <w:t xml:space="preserve"> également des atteintes qui ne menacent pas la vie.</w:t>
      </w:r>
      <w:r w:rsidRPr="004419DB">
        <w:rPr>
          <w:iCs/>
          <w:lang w:val="fr-FR"/>
        </w:rPr>
        <w:t xml:space="preserve"> </w:t>
      </w:r>
      <w:r w:rsidRPr="004419DB">
        <w:rPr>
          <w:lang w:val="fr-FR"/>
        </w:rPr>
        <w:t>Les formes extrêmes de détention arbitraire qui sont en soi une menace pour la vie constituent une violation des droits à la liberté de la personne et à la sécurité de la personne, ainsi que du droit à la protection de la vie</w:t>
      </w:r>
      <w:r w:rsidR="00F07742">
        <w:rPr>
          <w:lang w:val="fr-FR"/>
        </w:rPr>
        <w:t>, en particulier les disparitions forcées</w:t>
      </w:r>
      <w:r w:rsidR="00F07742">
        <w:rPr>
          <w:rStyle w:val="FootnoteReference"/>
        </w:rPr>
        <w:footnoteReference w:id="162"/>
      </w:r>
      <w:r w:rsidRPr="004419DB">
        <w:rPr>
          <w:lang w:val="fr-FR"/>
        </w:rPr>
        <w:t>.</w:t>
      </w:r>
    </w:p>
    <w:p w:rsidR="004419DB" w:rsidRPr="004419DB" w:rsidRDefault="004419DB" w:rsidP="00FA3516">
      <w:pPr>
        <w:pStyle w:val="ParNoG"/>
        <w:rPr>
          <w:iCs/>
          <w:lang w:val="fr-FR"/>
        </w:rPr>
      </w:pPr>
      <w:r w:rsidRPr="004419DB">
        <w:rPr>
          <w:lang w:val="fr-FR"/>
        </w:rPr>
        <w:t>La détention arbitraire est source de risques de torture et de mauvais traitements et plusieurs des garanties de procédure énoncées à l</w:t>
      </w:r>
      <w:r w:rsidR="00F100CC">
        <w:rPr>
          <w:lang w:val="fr-FR"/>
        </w:rPr>
        <w:t>’</w:t>
      </w:r>
      <w:r w:rsidRPr="004419DB">
        <w:rPr>
          <w:lang w:val="fr-FR"/>
        </w:rPr>
        <w:t>article 9 servent à réduire la probabilité de tels risques. Une détention au secret prolongée est une violation de l</w:t>
      </w:r>
      <w:r w:rsidR="00F100CC">
        <w:rPr>
          <w:lang w:val="fr-FR"/>
        </w:rPr>
        <w:t>’</w:t>
      </w:r>
      <w:r w:rsidRPr="004419DB">
        <w:rPr>
          <w:lang w:val="fr-FR"/>
        </w:rPr>
        <w:t xml:space="preserve">article 9 et </w:t>
      </w:r>
      <w:r w:rsidR="00FA3516">
        <w:rPr>
          <w:lang w:val="fr-FR"/>
        </w:rPr>
        <w:t>serait généralement considérée comme une</w:t>
      </w:r>
      <w:r w:rsidRPr="004419DB">
        <w:rPr>
          <w:lang w:val="fr-FR"/>
        </w:rPr>
        <w:t xml:space="preserve"> violation de l</w:t>
      </w:r>
      <w:r w:rsidR="00F100CC">
        <w:rPr>
          <w:lang w:val="fr-FR"/>
        </w:rPr>
        <w:t>’</w:t>
      </w:r>
      <w:r w:rsidRPr="004419DB">
        <w:rPr>
          <w:lang w:val="fr-FR"/>
        </w:rPr>
        <w:t>article 7</w:t>
      </w:r>
      <w:r w:rsidR="00FA3516">
        <w:rPr>
          <w:rStyle w:val="FootnoteReference"/>
        </w:rPr>
        <w:footnoteReference w:id="163"/>
      </w:r>
      <w:r w:rsidRPr="004419DB">
        <w:rPr>
          <w:lang w:val="fr-FR"/>
        </w:rPr>
        <w:t>.</w:t>
      </w:r>
      <w:r w:rsidRPr="004419DB">
        <w:rPr>
          <w:iCs/>
          <w:lang w:val="fr-FR"/>
        </w:rPr>
        <w:t xml:space="preserve"> </w:t>
      </w:r>
      <w:r w:rsidRPr="004419DB">
        <w:rPr>
          <w:lang w:val="fr-FR"/>
        </w:rPr>
        <w:t>Le droit à la sécurité de la personne protège les intérêts de l</w:t>
      </w:r>
      <w:r w:rsidR="00F100CC">
        <w:rPr>
          <w:lang w:val="fr-FR"/>
        </w:rPr>
        <w:t>’</w:t>
      </w:r>
      <w:r w:rsidRPr="004419DB">
        <w:rPr>
          <w:lang w:val="fr-FR"/>
        </w:rPr>
        <w:t>intégrité corporelle et mentale, qui sont également protégés par l</w:t>
      </w:r>
      <w:r w:rsidR="00F100CC">
        <w:rPr>
          <w:lang w:val="fr-FR"/>
        </w:rPr>
        <w:t>’</w:t>
      </w:r>
      <w:r w:rsidRPr="004419DB">
        <w:rPr>
          <w:lang w:val="fr-FR"/>
        </w:rPr>
        <w:t>article 7</w:t>
      </w:r>
      <w:r w:rsidR="00D66D10">
        <w:rPr>
          <w:rStyle w:val="FootnoteReference"/>
        </w:rPr>
        <w:footnoteReference w:id="164"/>
      </w:r>
      <w:r w:rsidRPr="004419DB">
        <w:rPr>
          <w:lang w:val="fr-FR"/>
        </w:rPr>
        <w:t>.</w:t>
      </w:r>
    </w:p>
    <w:p w:rsidR="004419DB" w:rsidRPr="004419DB" w:rsidRDefault="004419DB" w:rsidP="00470106">
      <w:pPr>
        <w:pStyle w:val="ParNoG"/>
        <w:rPr>
          <w:iCs/>
          <w:lang w:val="fr-FR"/>
        </w:rPr>
      </w:pPr>
      <w:r w:rsidRPr="004419DB">
        <w:rPr>
          <w:lang w:val="fr-FR"/>
        </w:rPr>
        <w:t>Le renvoi d</w:t>
      </w:r>
      <w:r w:rsidR="00F100CC">
        <w:rPr>
          <w:lang w:val="fr-FR"/>
        </w:rPr>
        <w:t>’</w:t>
      </w:r>
      <w:r w:rsidRPr="004419DB">
        <w:rPr>
          <w:lang w:val="fr-FR"/>
        </w:rPr>
        <w:t>un</w:t>
      </w:r>
      <w:r w:rsidR="00470106">
        <w:rPr>
          <w:lang w:val="fr-FR"/>
        </w:rPr>
        <w:t>e</w:t>
      </w:r>
      <w:r w:rsidRPr="004419DB">
        <w:rPr>
          <w:lang w:val="fr-FR"/>
        </w:rPr>
        <w:t xml:space="preserve"> </w:t>
      </w:r>
      <w:r w:rsidR="00470106">
        <w:rPr>
          <w:lang w:val="fr-FR"/>
        </w:rPr>
        <w:t>personne</w:t>
      </w:r>
      <w:r w:rsidRPr="004419DB">
        <w:rPr>
          <w:lang w:val="fr-FR"/>
        </w:rPr>
        <w:t xml:space="preserve"> dans un pays où il existe </w:t>
      </w:r>
      <w:r w:rsidR="00470106">
        <w:rPr>
          <w:lang w:val="fr-FR"/>
        </w:rPr>
        <w:t>des motifs sérieux de croire qu</w:t>
      </w:r>
      <w:r w:rsidR="00F100CC">
        <w:rPr>
          <w:lang w:val="fr-FR"/>
        </w:rPr>
        <w:t>’</w:t>
      </w:r>
      <w:r w:rsidR="00470106">
        <w:rPr>
          <w:lang w:val="fr-FR"/>
        </w:rPr>
        <w:t>elle court un risque réel</w:t>
      </w:r>
      <w:r w:rsidRPr="004419DB">
        <w:rPr>
          <w:lang w:val="fr-FR"/>
        </w:rPr>
        <w:t xml:space="preserve"> d</w:t>
      </w:r>
      <w:r w:rsidR="00F100CC">
        <w:rPr>
          <w:lang w:val="fr-FR"/>
        </w:rPr>
        <w:t>’</w:t>
      </w:r>
      <w:r w:rsidRPr="004419DB">
        <w:rPr>
          <w:lang w:val="fr-FR"/>
        </w:rPr>
        <w:t>atteinte grave à sa liberté ou à sa sécurité, par exemple sous la forme d</w:t>
      </w:r>
      <w:r w:rsidR="00F100CC">
        <w:rPr>
          <w:lang w:val="fr-FR"/>
        </w:rPr>
        <w:t>’</w:t>
      </w:r>
      <w:r w:rsidRPr="004419DB">
        <w:rPr>
          <w:lang w:val="fr-FR"/>
        </w:rPr>
        <w:t>une détention arbitraire prolongée, peut constituer un traitemen</w:t>
      </w:r>
      <w:r w:rsidR="007E0663">
        <w:rPr>
          <w:lang w:val="fr-FR"/>
        </w:rPr>
        <w:t>t inhumain au sens de l</w:t>
      </w:r>
      <w:r w:rsidR="00F100CC">
        <w:rPr>
          <w:lang w:val="fr-FR"/>
        </w:rPr>
        <w:t>’</w:t>
      </w:r>
      <w:r w:rsidR="007E0663">
        <w:rPr>
          <w:lang w:val="fr-FR"/>
        </w:rPr>
        <w:t>article </w:t>
      </w:r>
      <w:r w:rsidRPr="004419DB">
        <w:rPr>
          <w:lang w:val="fr-FR"/>
        </w:rPr>
        <w:t>7 du Pacte</w:t>
      </w:r>
      <w:r w:rsidR="00470106">
        <w:rPr>
          <w:rStyle w:val="FootnoteReference"/>
        </w:rPr>
        <w:footnoteReference w:id="165"/>
      </w:r>
      <w:r w:rsidRPr="004419DB">
        <w:rPr>
          <w:lang w:val="fr-FR"/>
        </w:rPr>
        <w:t>.</w:t>
      </w:r>
    </w:p>
    <w:p w:rsidR="004419DB" w:rsidRPr="004419DB" w:rsidRDefault="004419DB" w:rsidP="00777572">
      <w:pPr>
        <w:pStyle w:val="ParNoG"/>
        <w:rPr>
          <w:lang w:val="fr-FR"/>
        </w:rPr>
      </w:pPr>
      <w:r w:rsidRPr="004419DB">
        <w:rPr>
          <w:lang w:val="fr-FR"/>
        </w:rPr>
        <w:t>Plusieurs garanties qui sont essentielles pour la prévention de la torture sont également nécessaires pour la protection des personnes placées en détention, sous quelque forme que ce soit, contre la détention arbitraire et les atteintes à la sécurité de la personne</w:t>
      </w:r>
      <w:r w:rsidR="00777572">
        <w:rPr>
          <w:rStyle w:val="FootnoteReference"/>
        </w:rPr>
        <w:footnoteReference w:id="166"/>
      </w:r>
      <w:r w:rsidRPr="004419DB">
        <w:rPr>
          <w:lang w:val="fr-FR"/>
        </w:rPr>
        <w:t xml:space="preserve">. </w:t>
      </w:r>
      <w:r w:rsidR="00BB09B1">
        <w:rPr>
          <w:lang w:val="fr-FR"/>
        </w:rPr>
        <w:t xml:space="preserve">Les exemples suivants ne sont pas exhaustifs. </w:t>
      </w:r>
      <w:r w:rsidRPr="004419DB">
        <w:rPr>
          <w:lang w:val="fr-FR"/>
        </w:rPr>
        <w:t xml:space="preserve">Les détenus doivent être placés uniquement dans des établissements officiellement reconnus comme des lieux de détention. Il faut tenir un registre officiel </w:t>
      </w:r>
      <w:r w:rsidR="00BB09B1">
        <w:rPr>
          <w:lang w:val="fr-FR"/>
        </w:rPr>
        <w:t xml:space="preserve">centralisé </w:t>
      </w:r>
      <w:r w:rsidRPr="004419DB">
        <w:rPr>
          <w:lang w:val="fr-FR"/>
        </w:rPr>
        <w:t>sur lequel sont inscrits les noms des détenus, les lieux de détention, les dates d</w:t>
      </w:r>
      <w:r w:rsidR="00F100CC">
        <w:rPr>
          <w:lang w:val="fr-FR"/>
        </w:rPr>
        <w:t>’</w:t>
      </w:r>
      <w:r w:rsidRPr="004419DB">
        <w:rPr>
          <w:lang w:val="fr-FR"/>
        </w:rPr>
        <w:t xml:space="preserve">entrée et de sortie des détenus ainsi que les noms des responsables de la détention, qui soit aisément disponible et accessible à tous les intéressés, notamment aux </w:t>
      </w:r>
      <w:r w:rsidR="00BB09B1">
        <w:rPr>
          <w:lang w:val="fr-FR"/>
        </w:rPr>
        <w:t>proches</w:t>
      </w:r>
      <w:r w:rsidR="00BB09B1">
        <w:rPr>
          <w:rStyle w:val="FootnoteReference"/>
        </w:rPr>
        <w:footnoteReference w:id="167"/>
      </w:r>
      <w:r w:rsidRPr="004419DB">
        <w:rPr>
          <w:lang w:val="fr-FR"/>
        </w:rPr>
        <w:t>. Il faut assurer un accès rapide et régulier à un personnel médical et à des avocats indépendants et, avec une surveillance appropriée lorsque le but légitime de la détention l</w:t>
      </w:r>
      <w:r w:rsidR="00F100CC">
        <w:rPr>
          <w:lang w:val="fr-FR"/>
        </w:rPr>
        <w:t>’</w:t>
      </w:r>
      <w:r w:rsidRPr="004419DB">
        <w:rPr>
          <w:lang w:val="fr-FR"/>
        </w:rPr>
        <w:t>exige, aux membres de la famille</w:t>
      </w:r>
      <w:r w:rsidR="00E93408">
        <w:rPr>
          <w:rStyle w:val="FootnoteReference"/>
        </w:rPr>
        <w:footnoteReference w:id="168"/>
      </w:r>
      <w:r w:rsidRPr="004419DB">
        <w:rPr>
          <w:lang w:val="fr-FR"/>
        </w:rPr>
        <w:t>. Les détenus doivent être rapidement informés de leurs droits dans une langue qu</w:t>
      </w:r>
      <w:r w:rsidR="00F100CC">
        <w:rPr>
          <w:lang w:val="fr-FR"/>
        </w:rPr>
        <w:t>’</w:t>
      </w:r>
      <w:r w:rsidRPr="004419DB">
        <w:rPr>
          <w:lang w:val="fr-FR"/>
        </w:rPr>
        <w:t>ils comprennent</w:t>
      </w:r>
      <w:r w:rsidR="00483D00">
        <w:rPr>
          <w:rStyle w:val="FootnoteReference"/>
        </w:rPr>
        <w:footnoteReference w:id="169"/>
      </w:r>
      <w:r w:rsidR="00483D00">
        <w:rPr>
          <w:lang w:val="fr-FR"/>
        </w:rPr>
        <w:t>;</w:t>
      </w:r>
      <w:r w:rsidRPr="004419DB">
        <w:rPr>
          <w:lang w:val="fr-FR"/>
        </w:rPr>
        <w:t xml:space="preserve"> </w:t>
      </w:r>
      <w:r w:rsidR="003F5A85">
        <w:rPr>
          <w:lang w:val="fr-FR"/>
        </w:rPr>
        <w:t>de brochures d</w:t>
      </w:r>
      <w:r w:rsidR="00F100CC">
        <w:rPr>
          <w:lang w:val="fr-FR"/>
        </w:rPr>
        <w:t>’</w:t>
      </w:r>
      <w:r w:rsidR="003F5A85">
        <w:rPr>
          <w:lang w:val="fr-FR"/>
        </w:rPr>
        <w:t>information rédigées dans la langue appropriée, y compris en braille, sont souvent utiles pour aider le détenu à conserver l</w:t>
      </w:r>
      <w:r w:rsidR="00F100CC">
        <w:rPr>
          <w:lang w:val="fr-FR"/>
        </w:rPr>
        <w:t>’</w:t>
      </w:r>
      <w:r w:rsidR="003F5A85">
        <w:rPr>
          <w:lang w:val="fr-FR"/>
        </w:rPr>
        <w:t>information. Les détenus étrangers doivent être informés qu</w:t>
      </w:r>
      <w:r w:rsidR="00F100CC">
        <w:rPr>
          <w:lang w:val="fr-FR"/>
        </w:rPr>
        <w:t>’</w:t>
      </w:r>
      <w:r w:rsidR="003F5A85">
        <w:rPr>
          <w:lang w:val="fr-FR"/>
        </w:rPr>
        <w:t>ils ont le droit de prendre contact avec les autorités consulaires de leur pays ou, dans le cas des demandeurs d</w:t>
      </w:r>
      <w:r w:rsidR="00F100CC">
        <w:rPr>
          <w:lang w:val="fr-FR"/>
        </w:rPr>
        <w:t>’</w:t>
      </w:r>
      <w:r w:rsidR="003F5A85">
        <w:rPr>
          <w:lang w:val="fr-FR"/>
        </w:rPr>
        <w:t>asile, avec le Haut</w:t>
      </w:r>
      <w:r w:rsidR="003F5A85">
        <w:rPr>
          <w:lang w:val="fr-FR"/>
        </w:rPr>
        <w:noBreakHyphen/>
        <w:t>Commissarait des Nations Unies pour les réfugiés</w:t>
      </w:r>
      <w:r w:rsidR="00620ADE">
        <w:rPr>
          <w:rStyle w:val="FootnoteReference"/>
        </w:rPr>
        <w:footnoteReference w:id="170"/>
      </w:r>
      <w:r w:rsidR="003F5A85">
        <w:rPr>
          <w:lang w:val="fr-FR"/>
        </w:rPr>
        <w:t xml:space="preserve">. </w:t>
      </w:r>
      <w:r w:rsidRPr="004419DB">
        <w:rPr>
          <w:lang w:val="fr-FR"/>
        </w:rPr>
        <w:t>Il faut établir un système de visite et d</w:t>
      </w:r>
      <w:r w:rsidR="00F100CC">
        <w:rPr>
          <w:lang w:val="fr-FR"/>
        </w:rPr>
        <w:t>’</w:t>
      </w:r>
      <w:r w:rsidRPr="004419DB">
        <w:rPr>
          <w:lang w:val="fr-FR"/>
        </w:rPr>
        <w:t>inspection indépendant et impartial de tous les lieux de détention, y compris des établissements de santé mentale.</w:t>
      </w:r>
    </w:p>
    <w:p w:rsidR="004419DB" w:rsidRPr="004419DB" w:rsidRDefault="004419DB" w:rsidP="00B22BFB">
      <w:pPr>
        <w:pStyle w:val="ParNoG"/>
        <w:rPr>
          <w:iCs/>
          <w:lang w:val="fr-FR"/>
        </w:rPr>
      </w:pPr>
      <w:r w:rsidRPr="004419DB">
        <w:rPr>
          <w:lang w:val="fr-FR"/>
        </w:rPr>
        <w:t>L</w:t>
      </w:r>
      <w:r w:rsidR="00F100CC">
        <w:rPr>
          <w:lang w:val="fr-FR"/>
        </w:rPr>
        <w:t>’</w:t>
      </w:r>
      <w:r w:rsidRPr="004419DB">
        <w:rPr>
          <w:lang w:val="fr-FR"/>
        </w:rPr>
        <w:t>article 10 du Pacte, qui concerne les conditions de détention des personnes privées de liberté, complète l</w:t>
      </w:r>
      <w:r w:rsidR="00F100CC">
        <w:rPr>
          <w:lang w:val="fr-FR"/>
        </w:rPr>
        <w:t>’</w:t>
      </w:r>
      <w:r w:rsidRPr="004419DB">
        <w:rPr>
          <w:lang w:val="fr-FR"/>
        </w:rPr>
        <w:t xml:space="preserve">article 9, qui porte </w:t>
      </w:r>
      <w:r w:rsidR="00915620">
        <w:rPr>
          <w:lang w:val="fr-FR"/>
        </w:rPr>
        <w:t xml:space="preserve">essentiellement </w:t>
      </w:r>
      <w:r w:rsidRPr="004419DB">
        <w:rPr>
          <w:lang w:val="fr-FR"/>
        </w:rPr>
        <w:t>sur le fait d</w:t>
      </w:r>
      <w:r w:rsidR="00F100CC">
        <w:rPr>
          <w:lang w:val="fr-FR"/>
        </w:rPr>
        <w:t>’</w:t>
      </w:r>
      <w:r w:rsidRPr="004419DB">
        <w:rPr>
          <w:lang w:val="fr-FR"/>
        </w:rPr>
        <w:t>être détenu. En même temps, le droit à la sécurité de la personne au sens du paragraphe 1 de l</w:t>
      </w:r>
      <w:r w:rsidR="00F100CC">
        <w:rPr>
          <w:lang w:val="fr-FR"/>
        </w:rPr>
        <w:t>’</w:t>
      </w:r>
      <w:r w:rsidRPr="004419DB">
        <w:rPr>
          <w:lang w:val="fr-FR"/>
        </w:rPr>
        <w:t>article 9 concerne le traitement des détenus aussi bien que des non-détenus. Le caractère approprié des conditions de détention eu égard à l</w:t>
      </w:r>
      <w:r w:rsidR="00F100CC">
        <w:rPr>
          <w:lang w:val="fr-FR"/>
        </w:rPr>
        <w:t>’</w:t>
      </w:r>
      <w:r w:rsidRPr="004419DB">
        <w:rPr>
          <w:lang w:val="fr-FR"/>
        </w:rPr>
        <w:t xml:space="preserve">objectif de la détention est parfois un facteur à prendre en </w:t>
      </w:r>
      <w:r w:rsidR="00915620">
        <w:rPr>
          <w:lang w:val="fr-FR"/>
        </w:rPr>
        <w:t>considération</w:t>
      </w:r>
      <w:r w:rsidRPr="004419DB">
        <w:rPr>
          <w:lang w:val="fr-FR"/>
        </w:rPr>
        <w:t xml:space="preserve"> pour déterminer si la détention est arbitraire au sens de l</w:t>
      </w:r>
      <w:r w:rsidR="00F100CC">
        <w:rPr>
          <w:lang w:val="fr-FR"/>
        </w:rPr>
        <w:t>’</w:t>
      </w:r>
      <w:r w:rsidRPr="004419DB">
        <w:rPr>
          <w:lang w:val="fr-FR"/>
        </w:rPr>
        <w:t>article 9</w:t>
      </w:r>
      <w:r w:rsidR="00915620">
        <w:rPr>
          <w:rStyle w:val="FootnoteReference"/>
        </w:rPr>
        <w:footnoteReference w:id="171"/>
      </w:r>
      <w:r w:rsidRPr="004419DB">
        <w:rPr>
          <w:lang w:val="fr-FR"/>
        </w:rPr>
        <w:t>.</w:t>
      </w:r>
      <w:r w:rsidRPr="004419DB">
        <w:rPr>
          <w:iCs/>
          <w:lang w:val="fr-FR"/>
        </w:rPr>
        <w:t xml:space="preserve"> </w:t>
      </w:r>
      <w:r w:rsidRPr="004419DB">
        <w:rPr>
          <w:lang w:val="fr-FR"/>
        </w:rPr>
        <w:t xml:space="preserve">Certains éléments des conditions de détention (comme le refus de permettre les contacts avec un conseil et avec la famille) peuvent donner lieu à des violations des garanties de procédure énoncées aux paragraphes 3 et 4 </w:t>
      </w:r>
      <w:r w:rsidR="00915620">
        <w:rPr>
          <w:lang w:val="fr-FR"/>
        </w:rPr>
        <w:t>de l</w:t>
      </w:r>
      <w:r w:rsidR="00F100CC">
        <w:rPr>
          <w:lang w:val="fr-FR"/>
        </w:rPr>
        <w:t>’</w:t>
      </w:r>
      <w:r w:rsidR="00915620">
        <w:rPr>
          <w:lang w:val="fr-FR"/>
        </w:rPr>
        <w:t>article 9. Le paragraphe 2 </w:t>
      </w:r>
      <w:r w:rsidRPr="004419DB">
        <w:rPr>
          <w:lang w:val="fr-FR"/>
        </w:rPr>
        <w:t>b) de l</w:t>
      </w:r>
      <w:r w:rsidR="00F100CC">
        <w:rPr>
          <w:lang w:val="fr-FR"/>
        </w:rPr>
        <w:t>’</w:t>
      </w:r>
      <w:r w:rsidRPr="004419DB">
        <w:rPr>
          <w:lang w:val="fr-FR"/>
        </w:rPr>
        <w:t>article 10 renforce dans le cas des mineurs l</w:t>
      </w:r>
      <w:r w:rsidR="00F100CC">
        <w:rPr>
          <w:lang w:val="fr-FR"/>
        </w:rPr>
        <w:t>’</w:t>
      </w:r>
      <w:r w:rsidRPr="004419DB">
        <w:rPr>
          <w:lang w:val="fr-FR"/>
        </w:rPr>
        <w:t>obligation faite au paragraphe 3 de l</w:t>
      </w:r>
      <w:r w:rsidR="00F100CC">
        <w:rPr>
          <w:lang w:val="fr-FR"/>
        </w:rPr>
        <w:t>’</w:t>
      </w:r>
      <w:r w:rsidRPr="004419DB">
        <w:rPr>
          <w:lang w:val="fr-FR"/>
        </w:rPr>
        <w:t>article 9 de juger rapidement les prévenus</w:t>
      </w:r>
      <w:r w:rsidRPr="004419DB">
        <w:rPr>
          <w:iCs/>
          <w:lang w:val="fr-FR"/>
        </w:rPr>
        <w:t>.</w:t>
      </w:r>
    </w:p>
    <w:p w:rsidR="00013C7D" w:rsidRDefault="004419DB" w:rsidP="00AB0B00">
      <w:pPr>
        <w:pStyle w:val="ParNoG"/>
        <w:rPr>
          <w:lang w:val="fr-FR"/>
        </w:rPr>
      </w:pPr>
      <w:r w:rsidRPr="00013C7D">
        <w:rPr>
          <w:lang w:val="fr-FR"/>
        </w:rPr>
        <w:t>La liberté de circulation protégée par l</w:t>
      </w:r>
      <w:r w:rsidR="00F100CC">
        <w:rPr>
          <w:lang w:val="fr-FR"/>
        </w:rPr>
        <w:t>’</w:t>
      </w:r>
      <w:r w:rsidRPr="00013C7D">
        <w:rPr>
          <w:lang w:val="fr-FR"/>
        </w:rPr>
        <w:t>article 12 du Pacte et la liberté de la personne protégée par l</w:t>
      </w:r>
      <w:r w:rsidR="00F100CC">
        <w:rPr>
          <w:lang w:val="fr-FR"/>
        </w:rPr>
        <w:t>’</w:t>
      </w:r>
      <w:r w:rsidRPr="00013C7D">
        <w:rPr>
          <w:lang w:val="fr-FR"/>
        </w:rPr>
        <w:t>article 9 se complètent. La détention est une forme particulièrement sévère de restriction à la liberté de circulation, mais dans certaines circonstances l</w:t>
      </w:r>
      <w:r w:rsidR="00F100CC">
        <w:rPr>
          <w:lang w:val="fr-FR"/>
        </w:rPr>
        <w:t>’</w:t>
      </w:r>
      <w:r w:rsidRPr="00013C7D">
        <w:rPr>
          <w:lang w:val="fr-FR"/>
        </w:rPr>
        <w:t>un et l</w:t>
      </w:r>
      <w:r w:rsidR="00F100CC">
        <w:rPr>
          <w:lang w:val="fr-FR"/>
        </w:rPr>
        <w:t>’</w:t>
      </w:r>
      <w:r w:rsidRPr="00013C7D">
        <w:rPr>
          <w:lang w:val="fr-FR"/>
        </w:rPr>
        <w:t>autre article peuvent s</w:t>
      </w:r>
      <w:r w:rsidR="00F100CC">
        <w:rPr>
          <w:lang w:val="fr-FR"/>
        </w:rPr>
        <w:t>’</w:t>
      </w:r>
      <w:r w:rsidRPr="00013C7D">
        <w:rPr>
          <w:lang w:val="fr-FR"/>
        </w:rPr>
        <w:t>appliquer en même temps</w:t>
      </w:r>
      <w:r w:rsidR="003B144D">
        <w:rPr>
          <w:rStyle w:val="FootnoteReference"/>
        </w:rPr>
        <w:footnoteReference w:id="172"/>
      </w:r>
      <w:r w:rsidRPr="00013C7D">
        <w:rPr>
          <w:lang w:val="fr-FR"/>
        </w:rPr>
        <w:t>.</w:t>
      </w:r>
      <w:r w:rsidRPr="00013C7D">
        <w:rPr>
          <w:iCs/>
          <w:lang w:val="fr-FR"/>
        </w:rPr>
        <w:t xml:space="preserve"> </w:t>
      </w:r>
      <w:r w:rsidRPr="00013C7D">
        <w:rPr>
          <w:lang w:val="fr-FR"/>
        </w:rPr>
        <w:t xml:space="preserve">La détention </w:t>
      </w:r>
      <w:r w:rsidR="00013C7D" w:rsidRPr="00013C7D">
        <w:rPr>
          <w:lang w:val="fr-FR"/>
        </w:rPr>
        <w:t>pendant le déplacement d</w:t>
      </w:r>
      <w:r w:rsidR="00F100CC">
        <w:rPr>
          <w:lang w:val="fr-FR"/>
        </w:rPr>
        <w:t>’</w:t>
      </w:r>
      <w:r w:rsidR="00013C7D" w:rsidRPr="00013C7D">
        <w:rPr>
          <w:lang w:val="fr-FR"/>
        </w:rPr>
        <w:t>un migrant contre son gré</w:t>
      </w:r>
      <w:r w:rsidRPr="00013C7D">
        <w:rPr>
          <w:lang w:val="fr-FR"/>
        </w:rPr>
        <w:t xml:space="preserve"> est souvent utilisée comme moyen d</w:t>
      </w:r>
      <w:r w:rsidR="00F100CC">
        <w:rPr>
          <w:lang w:val="fr-FR"/>
        </w:rPr>
        <w:t>’</w:t>
      </w:r>
      <w:r w:rsidRPr="00013C7D">
        <w:rPr>
          <w:lang w:val="fr-FR"/>
        </w:rPr>
        <w:t>imposer des restrictions à la liberté de circulation. L</w:t>
      </w:r>
      <w:r w:rsidR="00F100CC">
        <w:rPr>
          <w:lang w:val="fr-FR"/>
        </w:rPr>
        <w:t>’</w:t>
      </w:r>
      <w:r w:rsidRPr="00013C7D">
        <w:rPr>
          <w:lang w:val="fr-FR"/>
        </w:rPr>
        <w:t>article 9 vise cette utilisation de la détention pour l</w:t>
      </w:r>
      <w:r w:rsidR="00F100CC">
        <w:rPr>
          <w:lang w:val="fr-FR"/>
        </w:rPr>
        <w:t>’</w:t>
      </w:r>
      <w:r w:rsidRPr="00013C7D">
        <w:rPr>
          <w:lang w:val="fr-FR"/>
        </w:rPr>
        <w:t>exécution de décisions d</w:t>
      </w:r>
      <w:r w:rsidR="00F100CC">
        <w:rPr>
          <w:lang w:val="fr-FR"/>
        </w:rPr>
        <w:t>’</w:t>
      </w:r>
      <w:r w:rsidRPr="00013C7D">
        <w:rPr>
          <w:lang w:val="fr-FR"/>
        </w:rPr>
        <w:t>expulsion, de</w:t>
      </w:r>
      <w:r w:rsidR="00013C7D" w:rsidRPr="00013C7D">
        <w:rPr>
          <w:lang w:val="fr-FR"/>
        </w:rPr>
        <w:t xml:space="preserve"> renvoi ou d</w:t>
      </w:r>
      <w:r w:rsidR="00F100CC">
        <w:rPr>
          <w:lang w:val="fr-FR"/>
        </w:rPr>
        <w:t>’</w:t>
      </w:r>
      <w:r w:rsidR="00013C7D" w:rsidRPr="00013C7D">
        <w:rPr>
          <w:lang w:val="fr-FR"/>
        </w:rPr>
        <w:t>extradition.</w:t>
      </w:r>
    </w:p>
    <w:p w:rsidR="004419DB" w:rsidRDefault="004419DB" w:rsidP="00AB0B00">
      <w:pPr>
        <w:pStyle w:val="ParNoG"/>
        <w:rPr>
          <w:lang w:val="fr-FR"/>
        </w:rPr>
      </w:pPr>
      <w:r w:rsidRPr="00013C7D">
        <w:rPr>
          <w:lang w:val="fr-FR"/>
        </w:rPr>
        <w:t>La relation entre l</w:t>
      </w:r>
      <w:r w:rsidR="00F100CC">
        <w:rPr>
          <w:lang w:val="fr-FR"/>
        </w:rPr>
        <w:t>’</w:t>
      </w:r>
      <w:r w:rsidRPr="00013C7D">
        <w:rPr>
          <w:lang w:val="fr-FR"/>
        </w:rPr>
        <w:t>article 9 et l</w:t>
      </w:r>
      <w:r w:rsidR="00F100CC">
        <w:rPr>
          <w:lang w:val="fr-FR"/>
        </w:rPr>
        <w:t>’</w:t>
      </w:r>
      <w:r w:rsidRPr="00013C7D">
        <w:rPr>
          <w:lang w:val="fr-FR"/>
        </w:rPr>
        <w:t>article 14 du Pacte dans le cas des procès civils et pénaux a déjà été illustrée</w:t>
      </w:r>
      <w:r w:rsidR="005341C7">
        <w:rPr>
          <w:rStyle w:val="FootnoteReference"/>
        </w:rPr>
        <w:footnoteReference w:id="173"/>
      </w:r>
      <w:r w:rsidRPr="00013C7D">
        <w:rPr>
          <w:lang w:val="fr-FR"/>
        </w:rPr>
        <w:t>. L</w:t>
      </w:r>
      <w:r w:rsidR="00F100CC">
        <w:rPr>
          <w:lang w:val="fr-FR"/>
        </w:rPr>
        <w:t>’</w:t>
      </w:r>
      <w:r w:rsidRPr="00013C7D">
        <w:rPr>
          <w:lang w:val="fr-FR"/>
        </w:rPr>
        <w:t>article 9 traite des priv</w:t>
      </w:r>
      <w:r w:rsidR="005341C7">
        <w:rPr>
          <w:lang w:val="fr-FR"/>
        </w:rPr>
        <w:t>ations de liberté, dont certain</w:t>
      </w:r>
      <w:r w:rsidRPr="00013C7D">
        <w:rPr>
          <w:lang w:val="fr-FR"/>
        </w:rPr>
        <w:t xml:space="preserve">s </w:t>
      </w:r>
      <w:r w:rsidR="005341C7">
        <w:rPr>
          <w:lang w:val="fr-FR"/>
        </w:rPr>
        <w:t xml:space="preserve">cas </w:t>
      </w:r>
      <w:r w:rsidRPr="00013C7D">
        <w:rPr>
          <w:lang w:val="fr-FR"/>
        </w:rPr>
        <w:t>seulement ont lieu dans le cadre d</w:t>
      </w:r>
      <w:r w:rsidR="00F100CC">
        <w:rPr>
          <w:lang w:val="fr-FR"/>
        </w:rPr>
        <w:t>’</w:t>
      </w:r>
      <w:r w:rsidRPr="00013C7D">
        <w:rPr>
          <w:lang w:val="fr-FR"/>
        </w:rPr>
        <w:t>une procédure civile ou pénale entrant dans le champ d</w:t>
      </w:r>
      <w:r w:rsidR="00F100CC">
        <w:rPr>
          <w:lang w:val="fr-FR"/>
        </w:rPr>
        <w:t>’</w:t>
      </w:r>
      <w:r w:rsidRPr="00013C7D">
        <w:rPr>
          <w:lang w:val="fr-FR"/>
        </w:rPr>
        <w:t>application de l</w:t>
      </w:r>
      <w:r w:rsidR="00F100CC">
        <w:rPr>
          <w:lang w:val="fr-FR"/>
        </w:rPr>
        <w:t>’</w:t>
      </w:r>
      <w:r w:rsidRPr="00013C7D">
        <w:rPr>
          <w:lang w:val="fr-FR"/>
        </w:rPr>
        <w:t>article 14. Les garanties de procédure énoncées aux paragraphes 2 à 5 de l</w:t>
      </w:r>
      <w:r w:rsidR="00F100CC">
        <w:rPr>
          <w:lang w:val="fr-FR"/>
        </w:rPr>
        <w:t>’</w:t>
      </w:r>
      <w:r w:rsidRPr="00013C7D">
        <w:rPr>
          <w:lang w:val="fr-FR"/>
        </w:rPr>
        <w:t>article 9 s</w:t>
      </w:r>
      <w:r w:rsidR="00F100CC">
        <w:rPr>
          <w:lang w:val="fr-FR"/>
        </w:rPr>
        <w:t>’</w:t>
      </w:r>
      <w:r w:rsidRPr="00013C7D">
        <w:rPr>
          <w:lang w:val="fr-FR"/>
        </w:rPr>
        <w:t>appliquent dans le contexte d</w:t>
      </w:r>
      <w:r w:rsidR="00F100CC">
        <w:rPr>
          <w:lang w:val="fr-FR"/>
        </w:rPr>
        <w:t>’</w:t>
      </w:r>
      <w:r w:rsidRPr="00013C7D">
        <w:rPr>
          <w:lang w:val="fr-FR"/>
        </w:rPr>
        <w:t>une procédure régie par l</w:t>
      </w:r>
      <w:r w:rsidR="00F100CC">
        <w:rPr>
          <w:lang w:val="fr-FR"/>
        </w:rPr>
        <w:t>’</w:t>
      </w:r>
      <w:r w:rsidRPr="00013C7D">
        <w:rPr>
          <w:lang w:val="fr-FR"/>
        </w:rPr>
        <w:t>article 14 uniquement s</w:t>
      </w:r>
      <w:r w:rsidR="00F100CC">
        <w:rPr>
          <w:lang w:val="fr-FR"/>
        </w:rPr>
        <w:t>’</w:t>
      </w:r>
      <w:r w:rsidRPr="00013C7D">
        <w:rPr>
          <w:lang w:val="fr-FR"/>
        </w:rPr>
        <w:t>il y a effectivement arrestation ou détention</w:t>
      </w:r>
      <w:r w:rsidR="005341C7">
        <w:rPr>
          <w:rStyle w:val="FootnoteReference"/>
        </w:rPr>
        <w:footnoteReference w:id="174"/>
      </w:r>
      <w:r w:rsidRPr="00013C7D">
        <w:rPr>
          <w:lang w:val="fr-FR"/>
        </w:rPr>
        <w:t>.</w:t>
      </w:r>
    </w:p>
    <w:p w:rsidR="00AB0B00" w:rsidRPr="00013C7D" w:rsidRDefault="008575B5" w:rsidP="005237E5">
      <w:pPr>
        <w:pStyle w:val="ParNoG"/>
        <w:rPr>
          <w:lang w:val="fr-FR"/>
        </w:rPr>
      </w:pPr>
      <w:r>
        <w:t>Conformément au paragraphe 1 de l</w:t>
      </w:r>
      <w:r w:rsidR="00F100CC">
        <w:t>’</w:t>
      </w:r>
      <w:r>
        <w:t>article 24 du Pacte, tout enfant «</w:t>
      </w:r>
      <w:r w:rsidR="00AB0B00">
        <w:t>a droit, de la part de sa famille, de la société et de l</w:t>
      </w:r>
      <w:r w:rsidR="00F100CC">
        <w:t>’</w:t>
      </w:r>
      <w:r w:rsidR="00AB0B00">
        <w:t>État, aux mesures de protection qu</w:t>
      </w:r>
      <w:r w:rsidR="00F100CC">
        <w:t>’</w:t>
      </w:r>
      <w:r w:rsidR="00AB0B00">
        <w:t>exige sa condition de mineur</w:t>
      </w:r>
      <w:r>
        <w:t>»</w:t>
      </w:r>
      <w:r w:rsidR="00AB0B00">
        <w:t>. L</w:t>
      </w:r>
      <w:r w:rsidR="00F100CC">
        <w:t>’</w:t>
      </w:r>
      <w:r w:rsidR="00AB0B00">
        <w:t>application de cette disposition nécessite l</w:t>
      </w:r>
      <w:r w:rsidR="00F100CC">
        <w:t>’</w:t>
      </w:r>
      <w:r w:rsidR="00AB0B00">
        <w:t>adoption de mesures spéciales pour protéger la liberté et la sécurité de tout enfant, en plus des mesures impo</w:t>
      </w:r>
      <w:r w:rsidR="003579B5">
        <w:t>sées généralement par l</w:t>
      </w:r>
      <w:r w:rsidR="00F100CC">
        <w:t>’</w:t>
      </w:r>
      <w:r w:rsidR="003579B5">
        <w:t>article </w:t>
      </w:r>
      <w:r w:rsidR="00AB0B00">
        <w:t>9 à l</w:t>
      </w:r>
      <w:r w:rsidR="00F100CC">
        <w:t>’</w:t>
      </w:r>
      <w:r w:rsidR="00AB0B00">
        <w:t>égard de tous</w:t>
      </w:r>
      <w:r w:rsidR="003579B5">
        <w:rPr>
          <w:rStyle w:val="FootnoteReference"/>
        </w:rPr>
        <w:footnoteReference w:id="175"/>
      </w:r>
      <w:r w:rsidR="00AB0B00">
        <w:t>. Dans le cas d</w:t>
      </w:r>
      <w:r w:rsidR="00F100CC">
        <w:t>’</w:t>
      </w:r>
      <w:r w:rsidR="00AB0B00">
        <w:t>un enfant la privation de liberté doit être une mesure de dernier ressort, et être d</w:t>
      </w:r>
      <w:r w:rsidR="00F100CC">
        <w:t>’</w:t>
      </w:r>
      <w:r w:rsidR="00AB0B00">
        <w:t>une durée aussi brève que possible</w:t>
      </w:r>
      <w:r w:rsidR="00741961">
        <w:rPr>
          <w:rStyle w:val="FootnoteReference"/>
        </w:rPr>
        <w:footnoteReference w:id="176"/>
      </w:r>
      <w:r w:rsidR="00AB0B00">
        <w:t>. En plus des autres règles applicables à chaque catégorie de privation de liberté, l</w:t>
      </w:r>
      <w:r w:rsidR="00F100CC">
        <w:t>’</w:t>
      </w:r>
      <w:r w:rsidR="00AB0B00">
        <w:t>intérêt supérieur de l</w:t>
      </w:r>
      <w:r w:rsidR="00F100CC">
        <w:t>’</w:t>
      </w:r>
      <w:r w:rsidR="00AB0B00">
        <w:t>enfant doit être une considération primordiale chaque fois qu</w:t>
      </w:r>
      <w:r w:rsidR="00F100CC">
        <w:t>’</w:t>
      </w:r>
      <w:r w:rsidR="00AB0B00">
        <w:t>il est décidé d</w:t>
      </w:r>
      <w:r w:rsidR="00F100CC">
        <w:t>’</w:t>
      </w:r>
      <w:r w:rsidR="00AB0B00">
        <w:t>appliquer ou de poursuivre une mesure de privation de liberté</w:t>
      </w:r>
      <w:r w:rsidR="008F21B0">
        <w:rPr>
          <w:rStyle w:val="FootnoteReference"/>
        </w:rPr>
        <w:footnoteReference w:id="177"/>
      </w:r>
      <w:r w:rsidR="00AB0B00">
        <w:t>. Le Comité admet que parfois une forme particulière de privation de liberté pourrait servir l</w:t>
      </w:r>
      <w:r w:rsidR="00F100CC">
        <w:t>’</w:t>
      </w:r>
      <w:r w:rsidR="00AB0B00">
        <w:t>intérêt supérieur de l</w:t>
      </w:r>
      <w:r w:rsidR="00F100CC">
        <w:t>’</w:t>
      </w:r>
      <w:r w:rsidR="00AB0B00">
        <w:t>enfant. Le placement en institution équivaut à une privation de liberté au sens de l</w:t>
      </w:r>
      <w:r w:rsidR="00F100CC">
        <w:t>’</w:t>
      </w:r>
      <w:r w:rsidR="00AB0B00">
        <w:t>a</w:t>
      </w:r>
      <w:r w:rsidR="00F2303F">
        <w:t>rticle </w:t>
      </w:r>
      <w:r w:rsidR="00AB0B00">
        <w:t>9</w:t>
      </w:r>
      <w:r w:rsidR="00090B36">
        <w:rPr>
          <w:rStyle w:val="FootnoteReference"/>
        </w:rPr>
        <w:footnoteReference w:id="178"/>
      </w:r>
      <w:r w:rsidR="00AB0B00">
        <w:t>. La décision de priver un enfant de liberté doit être réexaminée périodiquement afin de déterminer si la mesure continue d</w:t>
      </w:r>
      <w:r w:rsidR="00F100CC">
        <w:t>’</w:t>
      </w:r>
      <w:r w:rsidR="00AB0B00">
        <w:t>être nécessaire et appropriée</w:t>
      </w:r>
      <w:r w:rsidR="00DD327E">
        <w:rPr>
          <w:rStyle w:val="FootnoteReference"/>
        </w:rPr>
        <w:footnoteReference w:id="179"/>
      </w:r>
      <w:r w:rsidR="00AB0B00">
        <w:t>. L</w:t>
      </w:r>
      <w:r w:rsidR="00F100CC">
        <w:t>’</w:t>
      </w:r>
      <w:r w:rsidR="00AB0B00">
        <w:t>enfant a le droit d</w:t>
      </w:r>
      <w:r w:rsidR="00F100CC">
        <w:t>’</w:t>
      </w:r>
      <w:r w:rsidR="00AB0B00">
        <w:t>être entendu, directement ou par l</w:t>
      </w:r>
      <w:r w:rsidR="00F100CC">
        <w:t>’</w:t>
      </w:r>
      <w:r w:rsidR="00AB0B00">
        <w:t>intermédiaire d</w:t>
      </w:r>
      <w:r w:rsidR="00F100CC">
        <w:t>’</w:t>
      </w:r>
      <w:r w:rsidR="00AB0B00">
        <w:t>un conseil ou d</w:t>
      </w:r>
      <w:r w:rsidR="00F100CC">
        <w:t>’</w:t>
      </w:r>
      <w:r w:rsidR="00AB0B00">
        <w:t>une autre personne qui off</w:t>
      </w:r>
      <w:r w:rsidR="00EB638A">
        <w:t xml:space="preserve">re une </w:t>
      </w:r>
      <w:r w:rsidR="00AB0B00">
        <w:t xml:space="preserve">assistance </w:t>
      </w:r>
      <w:r w:rsidR="00EB638A">
        <w:t>appropriée</w:t>
      </w:r>
      <w:r w:rsidR="00AB0B00">
        <w:t>, en ce qui concerne toute décision de privation de liberté, et les procédures appliquées doivent être adaptées aux enfants</w:t>
      </w:r>
      <w:r w:rsidR="00EB638A">
        <w:rPr>
          <w:rStyle w:val="FootnoteReference"/>
        </w:rPr>
        <w:footnoteReference w:id="180"/>
      </w:r>
      <w:r w:rsidR="00AB0B00">
        <w:t>. Le droit d</w:t>
      </w:r>
      <w:r w:rsidR="00F100CC">
        <w:t>’</w:t>
      </w:r>
      <w:r w:rsidR="00AB0B00">
        <w:t>être libéré en cas de détention illégale peut donner lieu au retour de l</w:t>
      </w:r>
      <w:r w:rsidR="00F100CC">
        <w:t>’</w:t>
      </w:r>
      <w:r w:rsidR="00AB0B00">
        <w:t>enfant dans sa famille ou à sa prise en charge selon d</w:t>
      </w:r>
      <w:r w:rsidR="00F100CC">
        <w:t>’</w:t>
      </w:r>
      <w:r w:rsidR="00AB0B00">
        <w:t>autres modalités conformes à son intérêt supérieur, plutôt qu</w:t>
      </w:r>
      <w:r w:rsidR="00F100CC">
        <w:t>’</w:t>
      </w:r>
      <w:r w:rsidR="00AB0B00">
        <w:t>à une situation dans laquelle l</w:t>
      </w:r>
      <w:r w:rsidR="00F100CC">
        <w:t>’</w:t>
      </w:r>
      <w:r w:rsidR="00AB0B00">
        <w:t>enfant se re</w:t>
      </w:r>
      <w:r w:rsidR="00EB638A">
        <w:t xml:space="preserve">trouve seul, sous </w:t>
      </w:r>
      <w:r w:rsidR="00F100CC">
        <w:t xml:space="preserve">sa </w:t>
      </w:r>
      <w:r w:rsidR="00EB638A">
        <w:t>propre garde</w:t>
      </w:r>
      <w:r w:rsidR="00EB638A">
        <w:rPr>
          <w:rStyle w:val="FootnoteReference"/>
        </w:rPr>
        <w:footnoteReference w:id="181"/>
      </w:r>
      <w:r w:rsidR="00EB638A">
        <w:t>.</w:t>
      </w:r>
    </w:p>
    <w:p w:rsidR="004419DB" w:rsidRPr="004419DB" w:rsidRDefault="004419DB" w:rsidP="00F3400B">
      <w:pPr>
        <w:pStyle w:val="ParNoG"/>
        <w:rPr>
          <w:lang w:val="fr-FR"/>
        </w:rPr>
      </w:pPr>
      <w:r w:rsidRPr="004419DB">
        <w:rPr>
          <w:lang w:val="fr-FR"/>
        </w:rPr>
        <w:t>Eu égard au paragraphe 1 de l</w:t>
      </w:r>
      <w:r w:rsidR="00F100CC">
        <w:rPr>
          <w:lang w:val="fr-FR"/>
        </w:rPr>
        <w:t>’</w:t>
      </w:r>
      <w:r w:rsidRPr="004419DB">
        <w:rPr>
          <w:lang w:val="fr-FR"/>
        </w:rPr>
        <w:t>article 2 du Pacte, les États parties ont l</w:t>
      </w:r>
      <w:r w:rsidR="00F100CC">
        <w:rPr>
          <w:lang w:val="fr-FR"/>
        </w:rPr>
        <w:t>’</w:t>
      </w:r>
      <w:r w:rsidRPr="004419DB">
        <w:rPr>
          <w:lang w:val="fr-FR"/>
        </w:rPr>
        <w:t>obligation de respecter et de garantir à tous les individus se trouvant sur leur territoire et à tous ceux qui relèvent de leur compétence les droits garantis à l</w:t>
      </w:r>
      <w:r w:rsidR="00F100CC">
        <w:rPr>
          <w:lang w:val="fr-FR"/>
        </w:rPr>
        <w:t>’</w:t>
      </w:r>
      <w:r w:rsidRPr="004419DB">
        <w:rPr>
          <w:lang w:val="fr-FR"/>
        </w:rPr>
        <w:t>article 9</w:t>
      </w:r>
      <w:r w:rsidR="00CA3398">
        <w:rPr>
          <w:rStyle w:val="FootnoteReference"/>
        </w:rPr>
        <w:footnoteReference w:id="182"/>
      </w:r>
      <w:r w:rsidRPr="004419DB">
        <w:rPr>
          <w:lang w:val="fr-FR"/>
        </w:rPr>
        <w:t>. Étant donné que l</w:t>
      </w:r>
      <w:r w:rsidR="00F100CC">
        <w:rPr>
          <w:lang w:val="fr-FR"/>
        </w:rPr>
        <w:t>’</w:t>
      </w:r>
      <w:r w:rsidRPr="004419DB">
        <w:rPr>
          <w:lang w:val="fr-FR"/>
        </w:rPr>
        <w:t>arrestation et la détention placent l</w:t>
      </w:r>
      <w:r w:rsidR="00F100CC">
        <w:rPr>
          <w:lang w:val="fr-FR"/>
        </w:rPr>
        <w:t>’</w:t>
      </w:r>
      <w:r w:rsidRPr="004419DB">
        <w:rPr>
          <w:lang w:val="fr-FR"/>
        </w:rPr>
        <w:t>individu sous le contrôle effectif d</w:t>
      </w:r>
      <w:r w:rsidR="00F100CC">
        <w:rPr>
          <w:lang w:val="fr-FR"/>
        </w:rPr>
        <w:t>’</w:t>
      </w:r>
      <w:r w:rsidRPr="004419DB">
        <w:rPr>
          <w:lang w:val="fr-FR"/>
        </w:rPr>
        <w:t>un État, l</w:t>
      </w:r>
      <w:r w:rsidR="00F100CC">
        <w:rPr>
          <w:lang w:val="fr-FR"/>
        </w:rPr>
        <w:t>’</w:t>
      </w:r>
      <w:r w:rsidRPr="004419DB">
        <w:rPr>
          <w:lang w:val="fr-FR"/>
        </w:rPr>
        <w:t>obligation de ne pas arrêter ou détenir arbitrairement ou illégalement des individus vaut aussi en dehors du territoire</w:t>
      </w:r>
      <w:r w:rsidR="00EF0FCF">
        <w:rPr>
          <w:rStyle w:val="FootnoteReference"/>
        </w:rPr>
        <w:footnoteReference w:id="183"/>
      </w:r>
      <w:r w:rsidRPr="004419DB">
        <w:rPr>
          <w:lang w:val="fr-FR"/>
        </w:rPr>
        <w:t>. Les États parties ne doivent pas soumettre des individus en dehors de leur territoire à</w:t>
      </w:r>
      <w:r w:rsidR="0081068B">
        <w:rPr>
          <w:lang w:val="fr-FR"/>
        </w:rPr>
        <w:t>, notamment,</w:t>
      </w:r>
      <w:r w:rsidRPr="004419DB">
        <w:rPr>
          <w:lang w:val="fr-FR"/>
        </w:rPr>
        <w:t xml:space="preserve"> une détention au secret prolongée</w:t>
      </w:r>
      <w:r w:rsidR="0081068B">
        <w:rPr>
          <w:lang w:val="fr-FR"/>
        </w:rPr>
        <w:t>,</w:t>
      </w:r>
      <w:r w:rsidRPr="004419DB">
        <w:rPr>
          <w:lang w:val="fr-FR"/>
        </w:rPr>
        <w:t xml:space="preserve"> ni </w:t>
      </w:r>
      <w:r w:rsidR="0081068B">
        <w:rPr>
          <w:lang w:val="fr-FR"/>
        </w:rPr>
        <w:t xml:space="preserve">leur dénier </w:t>
      </w:r>
      <w:r w:rsidRPr="004419DB">
        <w:rPr>
          <w:lang w:val="fr-FR"/>
        </w:rPr>
        <w:t>un réexamen de la légalité de leur détention</w:t>
      </w:r>
      <w:r w:rsidR="002C1AAC">
        <w:rPr>
          <w:rStyle w:val="FootnoteReference"/>
        </w:rPr>
        <w:footnoteReference w:id="184"/>
      </w:r>
      <w:r w:rsidRPr="004419DB">
        <w:rPr>
          <w:lang w:val="fr-FR"/>
        </w:rPr>
        <w:t>. Le fait que l</w:t>
      </w:r>
      <w:r w:rsidR="00F100CC">
        <w:rPr>
          <w:lang w:val="fr-FR"/>
        </w:rPr>
        <w:t>’</w:t>
      </w:r>
      <w:r w:rsidRPr="004419DB">
        <w:rPr>
          <w:lang w:val="fr-FR"/>
        </w:rPr>
        <w:t>arrestation a lieu hors du territoire peut être une circonstance à prendre en considération dans l</w:t>
      </w:r>
      <w:r w:rsidR="00F100CC">
        <w:rPr>
          <w:lang w:val="fr-FR"/>
        </w:rPr>
        <w:t>’</w:t>
      </w:r>
      <w:r w:rsidRPr="004419DB">
        <w:rPr>
          <w:lang w:val="fr-FR"/>
        </w:rPr>
        <w:t>évaluation du degré de promptitude exigé au paragraphe 3.</w:t>
      </w:r>
    </w:p>
    <w:p w:rsidR="004419DB" w:rsidRPr="004419DB" w:rsidRDefault="004419DB" w:rsidP="00681AB4">
      <w:pPr>
        <w:pStyle w:val="ParNoG"/>
        <w:rPr>
          <w:lang w:val="fr-FR"/>
        </w:rPr>
      </w:pPr>
      <w:r w:rsidRPr="004419DB">
        <w:rPr>
          <w:lang w:val="fr-FR"/>
        </w:rPr>
        <w:t>En ce qui concerne l</w:t>
      </w:r>
      <w:r w:rsidR="00F100CC">
        <w:rPr>
          <w:lang w:val="fr-FR"/>
        </w:rPr>
        <w:t>’</w:t>
      </w:r>
      <w:r w:rsidRPr="004419DB">
        <w:rPr>
          <w:lang w:val="fr-FR"/>
        </w:rPr>
        <w:t>article 4 du Pacte, le Comité relève tout d</w:t>
      </w:r>
      <w:r w:rsidR="00F100CC">
        <w:rPr>
          <w:lang w:val="fr-FR"/>
        </w:rPr>
        <w:t>’</w:t>
      </w:r>
      <w:r w:rsidRPr="004419DB">
        <w:rPr>
          <w:lang w:val="fr-FR"/>
        </w:rPr>
        <w:t xml:space="preserve">abord que, comme les autres </w:t>
      </w:r>
      <w:r w:rsidR="00681AB4">
        <w:rPr>
          <w:lang w:val="fr-FR"/>
        </w:rPr>
        <w:t>disposition</w:t>
      </w:r>
      <w:r w:rsidRPr="004419DB">
        <w:rPr>
          <w:lang w:val="fr-FR"/>
        </w:rPr>
        <w:t>s du Pacte, l</w:t>
      </w:r>
      <w:r w:rsidR="00F100CC">
        <w:rPr>
          <w:lang w:val="fr-FR"/>
        </w:rPr>
        <w:t>’</w:t>
      </w:r>
      <w:r w:rsidRPr="004419DB">
        <w:rPr>
          <w:lang w:val="fr-FR"/>
        </w:rPr>
        <w:t>article 9 s</w:t>
      </w:r>
      <w:r w:rsidR="00F100CC">
        <w:rPr>
          <w:lang w:val="fr-FR"/>
        </w:rPr>
        <w:t>’</w:t>
      </w:r>
      <w:r w:rsidRPr="004419DB">
        <w:rPr>
          <w:lang w:val="fr-FR"/>
        </w:rPr>
        <w:t>applique également dans les situations de conflit armé dans lesquelles les règles du droit international humanitaire sont applicables</w:t>
      </w:r>
      <w:r w:rsidR="000E5F3E">
        <w:rPr>
          <w:rStyle w:val="FootnoteReference"/>
        </w:rPr>
        <w:footnoteReference w:id="185"/>
      </w:r>
      <w:r w:rsidRPr="004419DB">
        <w:rPr>
          <w:lang w:val="fr-FR"/>
        </w:rPr>
        <w:t>. Si les règles du droit international humanitaire peuvent être pertinentes aux fins de l</w:t>
      </w:r>
      <w:r w:rsidR="00F100CC">
        <w:rPr>
          <w:lang w:val="fr-FR"/>
        </w:rPr>
        <w:t>’</w:t>
      </w:r>
      <w:r w:rsidRPr="004419DB">
        <w:rPr>
          <w:lang w:val="fr-FR"/>
        </w:rPr>
        <w:t>interprétation de l</w:t>
      </w:r>
      <w:r w:rsidR="00F100CC">
        <w:rPr>
          <w:lang w:val="fr-FR"/>
        </w:rPr>
        <w:t>’</w:t>
      </w:r>
      <w:r w:rsidRPr="004419DB">
        <w:rPr>
          <w:lang w:val="fr-FR"/>
        </w:rPr>
        <w:t>article 9, les deux domaines de droit sont complémentaires et ne s</w:t>
      </w:r>
      <w:r w:rsidR="00F100CC">
        <w:rPr>
          <w:lang w:val="fr-FR"/>
        </w:rPr>
        <w:t>’</w:t>
      </w:r>
      <w:r w:rsidRPr="004419DB">
        <w:rPr>
          <w:lang w:val="fr-FR"/>
        </w:rPr>
        <w:t>excluent pas l</w:t>
      </w:r>
      <w:r w:rsidR="00F100CC">
        <w:rPr>
          <w:lang w:val="fr-FR"/>
        </w:rPr>
        <w:t>’</w:t>
      </w:r>
      <w:r w:rsidRPr="004419DB">
        <w:rPr>
          <w:lang w:val="fr-FR"/>
        </w:rPr>
        <w:t>un l</w:t>
      </w:r>
      <w:r w:rsidR="00F100CC">
        <w:rPr>
          <w:lang w:val="fr-FR"/>
        </w:rPr>
        <w:t>’</w:t>
      </w:r>
      <w:r w:rsidRPr="004419DB">
        <w:rPr>
          <w:lang w:val="fr-FR"/>
        </w:rPr>
        <w:t>autre</w:t>
      </w:r>
      <w:r w:rsidR="001F137D">
        <w:rPr>
          <w:rStyle w:val="FootnoteReference"/>
        </w:rPr>
        <w:footnoteReference w:id="186"/>
      </w:r>
      <w:r w:rsidRPr="004419DB">
        <w:rPr>
          <w:lang w:val="fr-FR"/>
        </w:rPr>
        <w:t xml:space="preserve">. </w:t>
      </w:r>
      <w:r w:rsidR="00D860DA">
        <w:rPr>
          <w:lang w:val="fr-FR"/>
        </w:rPr>
        <w:t>La détention de sûreté autorisée et réglementée par le droit international humanitaire et conforme en principe à celui</w:t>
      </w:r>
      <w:r w:rsidR="00D860DA">
        <w:rPr>
          <w:lang w:val="fr-FR"/>
        </w:rPr>
        <w:noBreakHyphen/>
        <w:t>ci n</w:t>
      </w:r>
      <w:r w:rsidR="00F100CC">
        <w:rPr>
          <w:lang w:val="fr-FR"/>
        </w:rPr>
        <w:t>’</w:t>
      </w:r>
      <w:r w:rsidR="00D860DA">
        <w:rPr>
          <w:lang w:val="fr-FR"/>
        </w:rPr>
        <w:t xml:space="preserve">est pas arbitraire. </w:t>
      </w:r>
      <w:r w:rsidRPr="004419DB">
        <w:rPr>
          <w:lang w:val="fr-FR"/>
        </w:rPr>
        <w:t>En situation de conflit, l</w:t>
      </w:r>
      <w:r w:rsidR="00F100CC">
        <w:rPr>
          <w:lang w:val="fr-FR"/>
        </w:rPr>
        <w:t>’</w:t>
      </w:r>
      <w:r w:rsidRPr="004419DB">
        <w:rPr>
          <w:lang w:val="fr-FR"/>
        </w:rPr>
        <w:t>accès à tous les lieux de détention par le C</w:t>
      </w:r>
      <w:r w:rsidR="00D860DA">
        <w:rPr>
          <w:lang w:val="fr-FR"/>
        </w:rPr>
        <w:t>omité international de la Croix</w:t>
      </w:r>
      <w:r w:rsidR="00D860DA">
        <w:rPr>
          <w:lang w:val="fr-FR"/>
        </w:rPr>
        <w:noBreakHyphen/>
      </w:r>
      <w:r w:rsidRPr="004419DB">
        <w:rPr>
          <w:lang w:val="fr-FR"/>
        </w:rPr>
        <w:t>Rouge est une garantie supplémentaire essentielle pour la liberté et la sécurité de</w:t>
      </w:r>
      <w:r w:rsidR="00F100CC">
        <w:rPr>
          <w:lang w:val="fr-FR"/>
        </w:rPr>
        <w:t xml:space="preserve"> la </w:t>
      </w:r>
      <w:r w:rsidRPr="004419DB">
        <w:rPr>
          <w:lang w:val="fr-FR"/>
        </w:rPr>
        <w:t>personne.</w:t>
      </w:r>
    </w:p>
    <w:p w:rsidR="004419DB" w:rsidRPr="004419DB" w:rsidRDefault="004419DB" w:rsidP="00F30CEE">
      <w:pPr>
        <w:pStyle w:val="ParNoG"/>
        <w:rPr>
          <w:lang w:val="fr-FR"/>
        </w:rPr>
      </w:pPr>
      <w:r w:rsidRPr="004419DB">
        <w:rPr>
          <w:lang w:val="fr-FR"/>
        </w:rPr>
        <w:t>L</w:t>
      </w:r>
      <w:r w:rsidR="00F100CC">
        <w:rPr>
          <w:lang w:val="fr-FR"/>
        </w:rPr>
        <w:t>’</w:t>
      </w:r>
      <w:r w:rsidRPr="004419DB">
        <w:rPr>
          <w:lang w:val="fr-FR"/>
        </w:rPr>
        <w:t>article 9 ne figure pas parmi les droits non susceptibles de dérogation énumérés au paragraphe 2 de l</w:t>
      </w:r>
      <w:r w:rsidR="00F100CC">
        <w:rPr>
          <w:lang w:val="fr-FR"/>
        </w:rPr>
        <w:t>’</w:t>
      </w:r>
      <w:r w:rsidRPr="004419DB">
        <w:rPr>
          <w:lang w:val="fr-FR"/>
        </w:rPr>
        <w:t>article 4 du Pacte mais il existe des limites au pouvoir de déroger qu</w:t>
      </w:r>
      <w:r w:rsidR="00F100CC">
        <w:rPr>
          <w:lang w:val="fr-FR"/>
        </w:rPr>
        <w:t>’</w:t>
      </w:r>
      <w:r w:rsidRPr="004419DB">
        <w:rPr>
          <w:lang w:val="fr-FR"/>
        </w:rPr>
        <w:t>ont les États parties. Ceux qui suspendent l</w:t>
      </w:r>
      <w:r w:rsidR="00F100CC">
        <w:rPr>
          <w:lang w:val="fr-FR"/>
        </w:rPr>
        <w:t>’</w:t>
      </w:r>
      <w:r w:rsidRPr="004419DB">
        <w:rPr>
          <w:lang w:val="fr-FR"/>
        </w:rPr>
        <w:t>application des procédures normales exigées par l</w:t>
      </w:r>
      <w:r w:rsidR="00F100CC">
        <w:rPr>
          <w:lang w:val="fr-FR"/>
        </w:rPr>
        <w:t>’</w:t>
      </w:r>
      <w:r w:rsidRPr="004419DB">
        <w:rPr>
          <w:lang w:val="fr-FR"/>
        </w:rPr>
        <w:t>article 9 pendant un conflit armé ou dans d</w:t>
      </w:r>
      <w:r w:rsidR="00F100CC">
        <w:rPr>
          <w:lang w:val="fr-FR"/>
        </w:rPr>
        <w:t>’</w:t>
      </w:r>
      <w:r w:rsidRPr="004419DB">
        <w:rPr>
          <w:lang w:val="fr-FR"/>
        </w:rPr>
        <w:t>autres situations exceptionnelles doivent faire en sorte que les dérogations n</w:t>
      </w:r>
      <w:r w:rsidR="00F100CC">
        <w:rPr>
          <w:lang w:val="fr-FR"/>
        </w:rPr>
        <w:t>’</w:t>
      </w:r>
      <w:r w:rsidRPr="004419DB">
        <w:rPr>
          <w:lang w:val="fr-FR"/>
        </w:rPr>
        <w:t>aillent pas au-delà de ce qui est strictement nécessaire</w:t>
      </w:r>
      <w:r w:rsidR="00E624FA">
        <w:rPr>
          <w:rStyle w:val="FootnoteReference"/>
        </w:rPr>
        <w:footnoteReference w:id="187"/>
      </w:r>
      <w:r w:rsidRPr="004419DB">
        <w:rPr>
          <w:lang w:val="fr-FR"/>
        </w:rPr>
        <w:t>. Les mesures prises en dérogation doivent également être compatibles avec les autres obligations qui incombent à un État partie en vertu du droit international, y compris les règles du droit international humanitaire relatives à la privation de liberté, et ne doivent pas être discriminatoires</w:t>
      </w:r>
      <w:r w:rsidR="00E624FA">
        <w:rPr>
          <w:rStyle w:val="FootnoteReference"/>
        </w:rPr>
        <w:footnoteReference w:id="188"/>
      </w:r>
      <w:r w:rsidRPr="004419DB">
        <w:rPr>
          <w:lang w:val="fr-FR"/>
        </w:rPr>
        <w:t>. L</w:t>
      </w:r>
      <w:r w:rsidR="00F100CC">
        <w:rPr>
          <w:lang w:val="fr-FR"/>
        </w:rPr>
        <w:t>’</w:t>
      </w:r>
      <w:r w:rsidRPr="004419DB">
        <w:rPr>
          <w:lang w:val="fr-FR"/>
        </w:rPr>
        <w:t>interdiction de la prise d</w:t>
      </w:r>
      <w:r w:rsidR="00F100CC">
        <w:rPr>
          <w:lang w:val="fr-FR"/>
        </w:rPr>
        <w:t>’</w:t>
      </w:r>
      <w:r w:rsidRPr="004419DB">
        <w:rPr>
          <w:lang w:val="fr-FR"/>
        </w:rPr>
        <w:t>otages, des enlèvements ou des détentions non reconnues n</w:t>
      </w:r>
      <w:r w:rsidR="00F100CC">
        <w:rPr>
          <w:lang w:val="fr-FR"/>
        </w:rPr>
        <w:t>’</w:t>
      </w:r>
      <w:r w:rsidRPr="004419DB">
        <w:rPr>
          <w:lang w:val="fr-FR"/>
        </w:rPr>
        <w:t>est donc pas susceptible de dérogation</w:t>
      </w:r>
      <w:r w:rsidR="00DE3074">
        <w:rPr>
          <w:rStyle w:val="FootnoteReference"/>
        </w:rPr>
        <w:footnoteReference w:id="189"/>
      </w:r>
      <w:r w:rsidRPr="004419DB">
        <w:rPr>
          <w:lang w:val="fr-FR"/>
        </w:rPr>
        <w:t xml:space="preserve">. </w:t>
      </w:r>
    </w:p>
    <w:p w:rsidR="004419DB" w:rsidRPr="004419DB" w:rsidRDefault="004419DB" w:rsidP="00F100CC">
      <w:pPr>
        <w:pStyle w:val="ParNoG"/>
        <w:rPr>
          <w:lang w:val="fr-FR"/>
        </w:rPr>
      </w:pPr>
      <w:r w:rsidRPr="004419DB">
        <w:rPr>
          <w:lang w:val="fr-FR"/>
        </w:rPr>
        <w:t>Il y a d</w:t>
      </w:r>
      <w:r w:rsidR="00F100CC">
        <w:rPr>
          <w:lang w:val="fr-FR"/>
        </w:rPr>
        <w:t>’</w:t>
      </w:r>
      <w:r w:rsidRPr="004419DB">
        <w:rPr>
          <w:lang w:val="fr-FR"/>
        </w:rPr>
        <w:t>autres éléments de l</w:t>
      </w:r>
      <w:r w:rsidR="00F100CC">
        <w:rPr>
          <w:lang w:val="fr-FR"/>
        </w:rPr>
        <w:t>’</w:t>
      </w:r>
      <w:r w:rsidRPr="004419DB">
        <w:rPr>
          <w:lang w:val="fr-FR"/>
        </w:rPr>
        <w:t>article 9 qui, de l</w:t>
      </w:r>
      <w:r w:rsidR="00F100CC">
        <w:rPr>
          <w:lang w:val="fr-FR"/>
        </w:rPr>
        <w:t>’</w:t>
      </w:r>
      <w:r w:rsidRPr="004419DB">
        <w:rPr>
          <w:lang w:val="fr-FR"/>
        </w:rPr>
        <w:t>avis du Comité, ne peuvent pas être l</w:t>
      </w:r>
      <w:r w:rsidR="00F100CC">
        <w:rPr>
          <w:lang w:val="fr-FR"/>
        </w:rPr>
        <w:t>’</w:t>
      </w:r>
      <w:r w:rsidRPr="004419DB">
        <w:rPr>
          <w:lang w:val="fr-FR"/>
        </w:rPr>
        <w:t>objet d</w:t>
      </w:r>
      <w:r w:rsidR="00F100CC">
        <w:rPr>
          <w:lang w:val="fr-FR"/>
        </w:rPr>
        <w:t>’</w:t>
      </w:r>
      <w:r w:rsidRPr="004419DB">
        <w:rPr>
          <w:lang w:val="fr-FR"/>
        </w:rPr>
        <w:t>une dérogation licite au titre de l</w:t>
      </w:r>
      <w:r w:rsidR="00F100CC">
        <w:rPr>
          <w:lang w:val="fr-FR"/>
        </w:rPr>
        <w:t>’</w:t>
      </w:r>
      <w:r w:rsidRPr="004419DB">
        <w:rPr>
          <w:lang w:val="fr-FR"/>
        </w:rPr>
        <w:t>article 4. La garantie fondamentale contre la détention arbitraire n</w:t>
      </w:r>
      <w:r w:rsidR="00F100CC">
        <w:rPr>
          <w:lang w:val="fr-FR"/>
        </w:rPr>
        <w:t>’</w:t>
      </w:r>
      <w:r w:rsidRPr="004419DB">
        <w:rPr>
          <w:lang w:val="fr-FR"/>
        </w:rPr>
        <w:t>est pas susceptible de dérogation</w:t>
      </w:r>
      <w:r w:rsidR="00F96FD0">
        <w:rPr>
          <w:lang w:val="fr-FR"/>
        </w:rPr>
        <w:t xml:space="preserve"> dans la mesure où même les situations couvertes par l</w:t>
      </w:r>
      <w:r w:rsidR="00F100CC">
        <w:rPr>
          <w:lang w:val="fr-FR"/>
        </w:rPr>
        <w:t>’</w:t>
      </w:r>
      <w:r w:rsidR="00F96FD0">
        <w:rPr>
          <w:lang w:val="fr-FR"/>
        </w:rPr>
        <w:t>article 4 ne peuvent pas justifier une privation de liberté qui n</w:t>
      </w:r>
      <w:r w:rsidR="00F100CC">
        <w:rPr>
          <w:lang w:val="fr-FR"/>
        </w:rPr>
        <w:t>’</w:t>
      </w:r>
      <w:r w:rsidR="00F96FD0">
        <w:rPr>
          <w:lang w:val="fr-FR"/>
        </w:rPr>
        <w:t>est pas raisonnable ou nécessaire dans les circonstances</w:t>
      </w:r>
      <w:r w:rsidR="00F96FD0">
        <w:rPr>
          <w:rStyle w:val="FootnoteReference"/>
        </w:rPr>
        <w:footnoteReference w:id="190"/>
      </w:r>
      <w:r w:rsidRPr="004419DB">
        <w:rPr>
          <w:lang w:val="fr-FR"/>
        </w:rPr>
        <w:t>. L</w:t>
      </w:r>
      <w:r w:rsidR="00F100CC">
        <w:rPr>
          <w:lang w:val="fr-FR"/>
        </w:rPr>
        <w:t>’</w:t>
      </w:r>
      <w:r w:rsidRPr="004419DB">
        <w:rPr>
          <w:lang w:val="fr-FR"/>
        </w:rPr>
        <w:t>existence et la nature d</w:t>
      </w:r>
      <w:r w:rsidR="00F100CC">
        <w:rPr>
          <w:lang w:val="fr-FR"/>
        </w:rPr>
        <w:t>’</w:t>
      </w:r>
      <w:r w:rsidRPr="004419DB">
        <w:rPr>
          <w:lang w:val="fr-FR"/>
        </w:rPr>
        <w:t>un danger public exceptionnel qui menace l</w:t>
      </w:r>
      <w:r w:rsidR="00F100CC">
        <w:rPr>
          <w:lang w:val="fr-FR"/>
        </w:rPr>
        <w:t>’</w:t>
      </w:r>
      <w:r w:rsidRPr="004419DB">
        <w:rPr>
          <w:lang w:val="fr-FR"/>
        </w:rPr>
        <w:t>existence de la nation peuvent toutefois être prises en considération pour déterminer si une arrestation ou une détention particulière est arbitraire. Des dérogations valables à l</w:t>
      </w:r>
      <w:r w:rsidR="00F100CC">
        <w:rPr>
          <w:lang w:val="fr-FR"/>
        </w:rPr>
        <w:t>’</w:t>
      </w:r>
      <w:r w:rsidRPr="004419DB">
        <w:rPr>
          <w:lang w:val="fr-FR"/>
        </w:rPr>
        <w:t>exercice d</w:t>
      </w:r>
      <w:r w:rsidR="00F100CC">
        <w:rPr>
          <w:lang w:val="fr-FR"/>
        </w:rPr>
        <w:t>’</w:t>
      </w:r>
      <w:r w:rsidRPr="004419DB">
        <w:rPr>
          <w:lang w:val="fr-FR"/>
        </w:rPr>
        <w:t>autres droits qui sont susceptibles de dérogation peuvent également être pertinentes quand une privation de liberté est considérée comme arbitraire en raison de son interférence avec un autre droit protégé par le Pacte. Pendant un conflit armé international, les règles de fond et de procédure du droit international humanitaire sont applicables et limitent les possibilités de dérogation, contribuant ainsi à atténuer le risque de détention arbitraire</w:t>
      </w:r>
      <w:r w:rsidR="00315D1E">
        <w:rPr>
          <w:rStyle w:val="FootnoteReference"/>
        </w:rPr>
        <w:footnoteReference w:id="191"/>
      </w:r>
      <w:r w:rsidRPr="004419DB">
        <w:rPr>
          <w:lang w:val="fr-FR"/>
        </w:rPr>
        <w:t>. En dehors de ce contexte, les conditions de stricte nécessité et de proportionnalité s</w:t>
      </w:r>
      <w:r w:rsidR="00F100CC">
        <w:rPr>
          <w:lang w:val="fr-FR"/>
        </w:rPr>
        <w:t>’</w:t>
      </w:r>
      <w:r w:rsidRPr="004419DB">
        <w:rPr>
          <w:lang w:val="fr-FR"/>
        </w:rPr>
        <w:t>appliquent à toute mesure dérogatoire concernant la détention pour raisons de sécurité, qui doit être d</w:t>
      </w:r>
      <w:r w:rsidR="00F100CC">
        <w:rPr>
          <w:lang w:val="fr-FR"/>
        </w:rPr>
        <w:t>’</w:t>
      </w:r>
      <w:r w:rsidRPr="004419DB">
        <w:rPr>
          <w:lang w:val="fr-FR"/>
        </w:rPr>
        <w:t xml:space="preserve">une durée limitée et être accompagnée de procédures empêchant une application arbitraire, comme </w:t>
      </w:r>
      <w:r w:rsidR="00315D1E">
        <w:rPr>
          <w:lang w:val="fr-FR"/>
        </w:rPr>
        <w:t xml:space="preserve">il est </w:t>
      </w:r>
      <w:r w:rsidRPr="004419DB">
        <w:rPr>
          <w:lang w:val="fr-FR"/>
        </w:rPr>
        <w:t>expliqué au paragraphe</w:t>
      </w:r>
      <w:r w:rsidR="00315D1E">
        <w:rPr>
          <w:lang w:val="fr-FR"/>
        </w:rPr>
        <w:t> </w:t>
      </w:r>
      <w:r w:rsidRPr="004419DB">
        <w:rPr>
          <w:lang w:val="fr-FR"/>
        </w:rPr>
        <w:t>15</w:t>
      </w:r>
      <w:r w:rsidR="00315D1E">
        <w:rPr>
          <w:rStyle w:val="FootnoteReference"/>
        </w:rPr>
        <w:footnoteReference w:id="192"/>
      </w:r>
      <w:r w:rsidRPr="004419DB">
        <w:rPr>
          <w:lang w:val="fr-FR"/>
        </w:rPr>
        <w:t xml:space="preserve">, y compris le réexamen par un tribunal </w:t>
      </w:r>
      <w:r w:rsidR="00C56C16">
        <w:rPr>
          <w:lang w:val="fr-FR"/>
        </w:rPr>
        <w:t>au sens du paragraphe 45 du présent texte</w:t>
      </w:r>
      <w:r w:rsidR="00C56C16">
        <w:rPr>
          <w:rStyle w:val="FootnoteReference"/>
        </w:rPr>
        <w:footnoteReference w:id="193"/>
      </w:r>
      <w:r w:rsidRPr="004419DB">
        <w:rPr>
          <w:lang w:val="fr-FR"/>
        </w:rPr>
        <w:t>.</w:t>
      </w:r>
    </w:p>
    <w:p w:rsidR="004419DB" w:rsidRPr="004419DB" w:rsidRDefault="004419DB" w:rsidP="002F5FD4">
      <w:pPr>
        <w:pStyle w:val="ParNoG"/>
        <w:rPr>
          <w:lang w:val="fr-FR"/>
        </w:rPr>
      </w:pPr>
      <w:r w:rsidRPr="004419DB">
        <w:rPr>
          <w:lang w:val="fr-FR"/>
        </w:rPr>
        <w:t>Les garanties de procédure qui visent à protéger la liberté de la personne ne peuvent jamais faire l</w:t>
      </w:r>
      <w:r w:rsidR="00F100CC">
        <w:rPr>
          <w:lang w:val="fr-FR"/>
        </w:rPr>
        <w:t>’</w:t>
      </w:r>
      <w:r w:rsidRPr="004419DB">
        <w:rPr>
          <w:lang w:val="fr-FR"/>
        </w:rPr>
        <w:t>objet de mesures de dérogation qui contourneraient l</w:t>
      </w:r>
      <w:r w:rsidR="00F100CC">
        <w:rPr>
          <w:lang w:val="fr-FR"/>
        </w:rPr>
        <w:t>’</w:t>
      </w:r>
      <w:r w:rsidRPr="004419DB">
        <w:rPr>
          <w:lang w:val="fr-FR"/>
        </w:rPr>
        <w:t>obligation de protéger les droits auxquels il ne peut pas être dérogé</w:t>
      </w:r>
      <w:r w:rsidR="002F5FD4">
        <w:rPr>
          <w:rStyle w:val="FootnoteReference"/>
        </w:rPr>
        <w:footnoteReference w:id="194"/>
      </w:r>
      <w:r w:rsidRPr="004419DB">
        <w:rPr>
          <w:lang w:val="fr-FR"/>
        </w:rPr>
        <w:t>. Pour assurer la sauvegarde de droits intangibles, notamment des droits consacrés par l</w:t>
      </w:r>
      <w:r w:rsidR="00F100CC">
        <w:rPr>
          <w:lang w:val="fr-FR"/>
        </w:rPr>
        <w:t>’</w:t>
      </w:r>
      <w:r w:rsidRPr="004419DB">
        <w:rPr>
          <w:lang w:val="fr-FR"/>
        </w:rPr>
        <w:t>article 6 et par l</w:t>
      </w:r>
      <w:r w:rsidR="00F100CC">
        <w:rPr>
          <w:lang w:val="fr-FR"/>
        </w:rPr>
        <w:t>’</w:t>
      </w:r>
      <w:r w:rsidRPr="004419DB">
        <w:rPr>
          <w:lang w:val="fr-FR"/>
        </w:rPr>
        <w:t>article 7, le droit d</w:t>
      </w:r>
      <w:r w:rsidR="00F100CC">
        <w:rPr>
          <w:lang w:val="fr-FR"/>
        </w:rPr>
        <w:t>’</w:t>
      </w:r>
      <w:r w:rsidRPr="004419DB">
        <w:rPr>
          <w:lang w:val="fr-FR"/>
        </w:rPr>
        <w:t>introduire un recours devant un tribunal dans le but d</w:t>
      </w:r>
      <w:r w:rsidR="00F100CC">
        <w:rPr>
          <w:lang w:val="fr-FR"/>
        </w:rPr>
        <w:t>’</w:t>
      </w:r>
      <w:r w:rsidRPr="004419DB">
        <w:rPr>
          <w:lang w:val="fr-FR"/>
        </w:rPr>
        <w:t>obtenir qu</w:t>
      </w:r>
      <w:r w:rsidR="00F100CC">
        <w:rPr>
          <w:lang w:val="fr-FR"/>
        </w:rPr>
        <w:t>’</w:t>
      </w:r>
      <w:r w:rsidRPr="004419DB">
        <w:rPr>
          <w:lang w:val="fr-FR"/>
        </w:rPr>
        <w:t>il soit statué sans retard sur la légalité d</w:t>
      </w:r>
      <w:r w:rsidR="00F100CC">
        <w:rPr>
          <w:lang w:val="fr-FR"/>
        </w:rPr>
        <w:t>’</w:t>
      </w:r>
      <w:r w:rsidRPr="004419DB">
        <w:rPr>
          <w:lang w:val="fr-FR"/>
        </w:rPr>
        <w:t>une détention ne peut pas être amoindri par des mesures de dérogation</w:t>
      </w:r>
      <w:r w:rsidR="002F5FD4">
        <w:rPr>
          <w:rStyle w:val="FootnoteReference"/>
        </w:rPr>
        <w:footnoteReference w:id="195"/>
      </w:r>
      <w:r w:rsidRPr="004419DB">
        <w:rPr>
          <w:lang w:val="fr-FR"/>
        </w:rPr>
        <w:t xml:space="preserve">. </w:t>
      </w:r>
    </w:p>
    <w:p w:rsidR="00351332" w:rsidRPr="007D45FD" w:rsidRDefault="004419DB" w:rsidP="002F5FD4">
      <w:pPr>
        <w:pStyle w:val="ParNoG"/>
      </w:pPr>
      <w:r w:rsidRPr="004419DB">
        <w:rPr>
          <w:lang w:val="fr-FR"/>
        </w:rPr>
        <w:t>Si des réserves à certaines clauses de l</w:t>
      </w:r>
      <w:r w:rsidR="00F100CC">
        <w:rPr>
          <w:lang w:val="fr-FR"/>
        </w:rPr>
        <w:t>’</w:t>
      </w:r>
      <w:r w:rsidRPr="004419DB">
        <w:rPr>
          <w:lang w:val="fr-FR"/>
        </w:rPr>
        <w:t>article 9 peuvent être acceptables, il serait incompatible avec l</w:t>
      </w:r>
      <w:r w:rsidR="00F100CC">
        <w:rPr>
          <w:lang w:val="fr-FR"/>
        </w:rPr>
        <w:t>’</w:t>
      </w:r>
      <w:r w:rsidRPr="004419DB">
        <w:rPr>
          <w:lang w:val="fr-FR"/>
        </w:rPr>
        <w:t>objet et le but du Pacte qu</w:t>
      </w:r>
      <w:r w:rsidR="00F100CC">
        <w:rPr>
          <w:lang w:val="fr-FR"/>
        </w:rPr>
        <w:t>’</w:t>
      </w:r>
      <w:r w:rsidRPr="004419DB">
        <w:rPr>
          <w:lang w:val="fr-FR"/>
        </w:rPr>
        <w:t>un État partie se réserve le droit d</w:t>
      </w:r>
      <w:r w:rsidR="00F100CC">
        <w:rPr>
          <w:lang w:val="fr-FR"/>
        </w:rPr>
        <w:t>’</w:t>
      </w:r>
      <w:r w:rsidRPr="004419DB">
        <w:rPr>
          <w:lang w:val="fr-FR"/>
        </w:rPr>
        <w:t>arrêter et de détenir arbitrairement des individus</w:t>
      </w:r>
      <w:r w:rsidR="002F5FD4">
        <w:rPr>
          <w:rStyle w:val="FootnoteReference"/>
        </w:rPr>
        <w:footnoteReference w:id="196"/>
      </w:r>
      <w:r w:rsidRPr="004419DB">
        <w:rPr>
          <w:lang w:val="fr-FR"/>
        </w:rPr>
        <w:t>.</w:t>
      </w:r>
    </w:p>
    <w:p w:rsidR="007D45FD" w:rsidRPr="007D45FD" w:rsidRDefault="007D45FD" w:rsidP="007D45FD">
      <w:pPr>
        <w:pStyle w:val="SingleTxtG"/>
        <w:spacing w:before="240" w:after="0"/>
        <w:jc w:val="center"/>
        <w:rPr>
          <w:rStyle w:val="Astrisque10pt"/>
          <w:u w:val="single"/>
        </w:rPr>
      </w:pPr>
      <w:r>
        <w:rPr>
          <w:rStyle w:val="Astrisque10pt"/>
          <w:u w:val="single"/>
        </w:rPr>
        <w:tab/>
      </w:r>
      <w:r>
        <w:rPr>
          <w:rStyle w:val="Astrisque10pt"/>
          <w:u w:val="single"/>
        </w:rPr>
        <w:tab/>
      </w:r>
      <w:r>
        <w:rPr>
          <w:rStyle w:val="Astrisque10pt"/>
          <w:u w:val="single"/>
        </w:rPr>
        <w:tab/>
      </w:r>
    </w:p>
    <w:sectPr w:rsidR="007D45FD" w:rsidRPr="007D45FD" w:rsidSect="004419D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C51" w:rsidRDefault="00651C51" w:rsidP="00F95C08">
      <w:pPr>
        <w:spacing w:line="240" w:lineRule="auto"/>
      </w:pPr>
    </w:p>
  </w:endnote>
  <w:endnote w:type="continuationSeparator" w:id="0">
    <w:p w:rsidR="00651C51" w:rsidRPr="00AC3823" w:rsidRDefault="00651C51" w:rsidP="00AC3823">
      <w:pPr>
        <w:pStyle w:val="Footer"/>
      </w:pPr>
    </w:p>
  </w:endnote>
  <w:endnote w:type="continuationNotice" w:id="1">
    <w:p w:rsidR="00651C51" w:rsidRDefault="00651C51">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4D2" w:rsidRPr="004419DB" w:rsidRDefault="00D304D2" w:rsidP="004419DB">
    <w:pPr>
      <w:pStyle w:val="Footer"/>
      <w:tabs>
        <w:tab w:val="right" w:pos="9638"/>
      </w:tabs>
    </w:pPr>
    <w:r w:rsidRPr="004419DB">
      <w:rPr>
        <w:b/>
        <w:sz w:val="18"/>
      </w:rPr>
      <w:fldChar w:fldCharType="begin"/>
    </w:r>
    <w:r w:rsidRPr="004419DB">
      <w:rPr>
        <w:b/>
        <w:sz w:val="18"/>
      </w:rPr>
      <w:instrText xml:space="preserve"> PAGE  \* MERGEFORMAT </w:instrText>
    </w:r>
    <w:r w:rsidRPr="004419DB">
      <w:rPr>
        <w:b/>
        <w:sz w:val="18"/>
      </w:rPr>
      <w:fldChar w:fldCharType="separate"/>
    </w:r>
    <w:r w:rsidR="00BC0576">
      <w:rPr>
        <w:b/>
        <w:noProof/>
        <w:sz w:val="18"/>
      </w:rPr>
      <w:t>22</w:t>
    </w:r>
    <w:r w:rsidRPr="004419DB">
      <w:rPr>
        <w:b/>
        <w:sz w:val="18"/>
      </w:rPr>
      <w:fldChar w:fldCharType="end"/>
    </w:r>
    <w:r>
      <w:rPr>
        <w:b/>
        <w:sz w:val="18"/>
      </w:rPr>
      <w:tab/>
    </w:r>
    <w:r>
      <w:t>GE.14-24452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4D2" w:rsidRPr="004419DB" w:rsidRDefault="00D304D2" w:rsidP="004419DB">
    <w:pPr>
      <w:pStyle w:val="Footer"/>
      <w:tabs>
        <w:tab w:val="right" w:pos="9638"/>
      </w:tabs>
      <w:rPr>
        <w:b/>
        <w:sz w:val="18"/>
      </w:rPr>
    </w:pPr>
    <w:r>
      <w:t>GE.14-24452</w:t>
    </w:r>
    <w:r>
      <w:tab/>
    </w:r>
    <w:r w:rsidRPr="004419DB">
      <w:rPr>
        <w:b/>
        <w:sz w:val="18"/>
      </w:rPr>
      <w:fldChar w:fldCharType="begin"/>
    </w:r>
    <w:r w:rsidRPr="004419DB">
      <w:rPr>
        <w:b/>
        <w:sz w:val="18"/>
      </w:rPr>
      <w:instrText xml:space="preserve"> PAGE  \* MERGEFORMAT </w:instrText>
    </w:r>
    <w:r w:rsidRPr="004419DB">
      <w:rPr>
        <w:b/>
        <w:sz w:val="18"/>
      </w:rPr>
      <w:fldChar w:fldCharType="separate"/>
    </w:r>
    <w:r w:rsidR="00BC0576">
      <w:rPr>
        <w:b/>
        <w:noProof/>
        <w:sz w:val="18"/>
      </w:rPr>
      <w:t>21</w:t>
    </w:r>
    <w:r w:rsidRPr="004419D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4D2" w:rsidRPr="004419DB" w:rsidRDefault="00D304D2" w:rsidP="004419DB">
    <w:pPr>
      <w:pStyle w:val="Footer"/>
      <w:spacing w:before="120"/>
      <w:rPr>
        <w:sz w:val="20"/>
      </w:rPr>
    </w:pPr>
    <w:r>
      <w:rPr>
        <w:sz w:val="20"/>
      </w:rPr>
      <w:t>GE.</w:t>
    </w:r>
    <w:r w:rsidR="00926F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14-24452  (F)</w:t>
    </w:r>
    <w:r w:rsidR="000A664A">
      <w:rPr>
        <w:sz w:val="20"/>
      </w:rPr>
      <w:t xml:space="preserve">    241214    060115</w:t>
    </w:r>
    <w:r>
      <w:rPr>
        <w:sz w:val="20"/>
      </w:rPr>
      <w:br/>
    </w:r>
    <w:r w:rsidRPr="004419DB">
      <w:rPr>
        <w:rFonts w:ascii="C39T30Lfz" w:hAnsi="C39T30Lfz"/>
        <w:sz w:val="56"/>
      </w:rPr>
      <w:t></w:t>
    </w:r>
    <w:r w:rsidRPr="004419DB">
      <w:rPr>
        <w:rFonts w:ascii="C39T30Lfz" w:hAnsi="C39T30Lfz"/>
        <w:sz w:val="56"/>
      </w:rPr>
      <w:t></w:t>
    </w:r>
    <w:r w:rsidRPr="004419DB">
      <w:rPr>
        <w:rFonts w:ascii="C39T30Lfz" w:hAnsi="C39T30Lfz"/>
        <w:sz w:val="56"/>
      </w:rPr>
      <w:t></w:t>
    </w:r>
    <w:r w:rsidRPr="004419DB">
      <w:rPr>
        <w:rFonts w:ascii="C39T30Lfz" w:hAnsi="C39T30Lfz"/>
        <w:sz w:val="56"/>
      </w:rPr>
      <w:t></w:t>
    </w:r>
    <w:r w:rsidRPr="004419DB">
      <w:rPr>
        <w:rFonts w:ascii="C39T30Lfz" w:hAnsi="C39T30Lfz"/>
        <w:sz w:val="56"/>
      </w:rPr>
      <w:t></w:t>
    </w:r>
    <w:r w:rsidRPr="004419DB">
      <w:rPr>
        <w:rFonts w:ascii="C39T30Lfz" w:hAnsi="C39T30Lfz"/>
        <w:sz w:val="56"/>
      </w:rPr>
      <w:t></w:t>
    </w:r>
    <w:r w:rsidRPr="004419DB">
      <w:rPr>
        <w:rFonts w:ascii="C39T30Lfz" w:hAnsi="C39T30Lfz"/>
        <w:sz w:val="56"/>
      </w:rPr>
      <w:t></w:t>
    </w:r>
    <w:r w:rsidRPr="004419DB">
      <w:rPr>
        <w:rFonts w:ascii="C39T30Lfz" w:hAnsi="C39T30Lfz"/>
        <w:sz w:val="56"/>
      </w:rPr>
      <w:t></w:t>
    </w:r>
    <w:r w:rsidRPr="004419DB">
      <w:rPr>
        <w:rFonts w:ascii="C39T30Lfz" w:hAnsi="C39T30Lfz"/>
        <w:sz w:val="56"/>
      </w:rPr>
      <w:t></w:t>
    </w:r>
    <w:r w:rsidR="00926F09">
      <w:rPr>
        <w:noProof/>
      </w:rPr>
      <w:pict>
        <v:shape id="Image 1" o:spid="_x0000_s2049" type="#_x0000_t75" alt="http://undocs.org/m2/QRCode.ashx?DS=CCPR/C/GC/35&amp;Size=2&amp;Lang=F" style="position:absolute;margin-left:432.25pt;margin-top:632.1pt;width:50.25pt;height:50.25pt;z-index:2;visibility:visible;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C51" w:rsidRPr="00AC3823" w:rsidRDefault="00651C51" w:rsidP="00AC3823">
      <w:pPr>
        <w:pStyle w:val="Footer"/>
        <w:tabs>
          <w:tab w:val="right" w:pos="2155"/>
        </w:tabs>
        <w:spacing w:after="80" w:line="240" w:lineRule="atLeast"/>
        <w:ind w:left="680"/>
        <w:rPr>
          <w:u w:val="single"/>
        </w:rPr>
      </w:pPr>
      <w:r>
        <w:rPr>
          <w:u w:val="single"/>
        </w:rPr>
        <w:tab/>
      </w:r>
    </w:p>
  </w:footnote>
  <w:footnote w:type="continuationSeparator" w:id="0">
    <w:p w:rsidR="00651C51" w:rsidRPr="00AC3823" w:rsidRDefault="00651C51" w:rsidP="00AC3823">
      <w:pPr>
        <w:pStyle w:val="Footer"/>
        <w:tabs>
          <w:tab w:val="right" w:pos="2155"/>
        </w:tabs>
        <w:spacing w:after="80" w:line="240" w:lineRule="atLeast"/>
        <w:ind w:left="680"/>
        <w:rPr>
          <w:u w:val="single"/>
        </w:rPr>
      </w:pPr>
      <w:r>
        <w:rPr>
          <w:u w:val="single"/>
        </w:rPr>
        <w:tab/>
      </w:r>
    </w:p>
  </w:footnote>
  <w:footnote w:type="continuationNotice" w:id="1">
    <w:p w:rsidR="00651C51" w:rsidRPr="00AC3823" w:rsidRDefault="00651C51">
      <w:pPr>
        <w:spacing w:line="240" w:lineRule="auto"/>
        <w:rPr>
          <w:sz w:val="2"/>
          <w:szCs w:val="2"/>
        </w:rPr>
      </w:pPr>
    </w:p>
  </w:footnote>
  <w:footnote w:id="2">
    <w:p w:rsidR="00D304D2" w:rsidRPr="00D2007A" w:rsidRDefault="00D304D2">
      <w:pPr>
        <w:pStyle w:val="FootnoteText"/>
      </w:pPr>
      <w:r>
        <w:rPr>
          <w:rStyle w:val="FootnoteReference"/>
        </w:rPr>
        <w:tab/>
      </w:r>
      <w:r w:rsidRPr="00D2007A">
        <w:rPr>
          <w:rStyle w:val="FootnoteReference"/>
          <w:sz w:val="20"/>
          <w:vertAlign w:val="baseline"/>
        </w:rPr>
        <w:t>*</w:t>
      </w:r>
      <w:r>
        <w:rPr>
          <w:rStyle w:val="FootnoteReference"/>
          <w:sz w:val="20"/>
          <w:vertAlign w:val="baseline"/>
        </w:rPr>
        <w:tab/>
      </w:r>
      <w:r w:rsidRPr="000A664A">
        <w:rPr>
          <w:szCs w:val="18"/>
        </w:rPr>
        <w:t>Adoptée par le Comité à sa 112</w:t>
      </w:r>
      <w:r w:rsidRPr="000A664A">
        <w:rPr>
          <w:szCs w:val="18"/>
          <w:vertAlign w:val="superscript"/>
        </w:rPr>
        <w:t>e</w:t>
      </w:r>
      <w:r w:rsidRPr="000A664A">
        <w:rPr>
          <w:szCs w:val="18"/>
        </w:rPr>
        <w:t> session (7</w:t>
      </w:r>
      <w:r w:rsidRPr="000A664A">
        <w:rPr>
          <w:szCs w:val="18"/>
        </w:rPr>
        <w:noBreakHyphen/>
        <w:t>31 octobre 2014).</w:t>
      </w:r>
    </w:p>
  </w:footnote>
  <w:footnote w:id="3">
    <w:p w:rsidR="00D304D2" w:rsidRDefault="00D304D2">
      <w:pPr>
        <w:pStyle w:val="FootnoteText"/>
      </w:pPr>
      <w:r>
        <w:tab/>
      </w:r>
      <w:r>
        <w:rPr>
          <w:rStyle w:val="FootnoteReference"/>
        </w:rPr>
        <w:footnoteRef/>
      </w:r>
      <w:r>
        <w:tab/>
        <w:t>Communication n</w:t>
      </w:r>
      <w:r w:rsidRPr="00BE531F">
        <w:rPr>
          <w:vertAlign w:val="superscript"/>
        </w:rPr>
        <w:t>o</w:t>
      </w:r>
      <w:r>
        <w:t xml:space="preserve"> 854/1999, </w:t>
      </w:r>
      <w:r w:rsidRPr="00BE531F">
        <w:rPr>
          <w:i/>
        </w:rPr>
        <w:t>Wackenhei</w:t>
      </w:r>
      <w:r>
        <w:rPr>
          <w:i/>
        </w:rPr>
        <w:t>m</w:t>
      </w:r>
      <w:r>
        <w:t xml:space="preserve"> c. </w:t>
      </w:r>
      <w:r w:rsidRPr="00BE531F">
        <w:rPr>
          <w:i/>
        </w:rPr>
        <w:t>France</w:t>
      </w:r>
      <w:r>
        <w:t>, par. 6.3.</w:t>
      </w:r>
    </w:p>
  </w:footnote>
  <w:footnote w:id="4">
    <w:p w:rsidR="00D304D2" w:rsidRDefault="00D304D2">
      <w:pPr>
        <w:pStyle w:val="FootnoteText"/>
      </w:pPr>
      <w:r>
        <w:tab/>
      </w:r>
      <w:r>
        <w:rPr>
          <w:rStyle w:val="FootnoteReference"/>
        </w:rPr>
        <w:footnoteRef/>
      </w:r>
      <w:r>
        <w:tab/>
        <w:t>Communications n</w:t>
      </w:r>
      <w:r w:rsidRPr="007F6428">
        <w:rPr>
          <w:vertAlign w:val="superscript"/>
        </w:rPr>
        <w:t>o</w:t>
      </w:r>
      <w:r>
        <w:t xml:space="preserve"> 263/1987, </w:t>
      </w:r>
      <w:r w:rsidRPr="007F6428">
        <w:rPr>
          <w:i/>
        </w:rPr>
        <w:t>González del Río</w:t>
      </w:r>
      <w:r>
        <w:t xml:space="preserve"> c. </w:t>
      </w:r>
      <w:r w:rsidRPr="007F6428">
        <w:rPr>
          <w:i/>
        </w:rPr>
        <w:t>Pérou</w:t>
      </w:r>
      <w:r>
        <w:t>, par. 5.1; n</w:t>
      </w:r>
      <w:r w:rsidRPr="007F6428">
        <w:rPr>
          <w:vertAlign w:val="superscript"/>
        </w:rPr>
        <w:t>o</w:t>
      </w:r>
      <w:r>
        <w:t xml:space="preserve"> 833/1998, </w:t>
      </w:r>
      <w:r w:rsidRPr="007F6428">
        <w:rPr>
          <w:i/>
        </w:rPr>
        <w:t>Karker</w:t>
      </w:r>
      <w:r>
        <w:t xml:space="preserve"> c. </w:t>
      </w:r>
      <w:r w:rsidRPr="007F6428">
        <w:rPr>
          <w:i/>
        </w:rPr>
        <w:t>France</w:t>
      </w:r>
      <w:r>
        <w:t>, par. 8.5.</w:t>
      </w:r>
    </w:p>
  </w:footnote>
  <w:footnote w:id="5">
    <w:p w:rsidR="00D304D2" w:rsidRDefault="00D304D2">
      <w:pPr>
        <w:pStyle w:val="FootnoteText"/>
      </w:pPr>
      <w:r>
        <w:tab/>
      </w:r>
      <w:r>
        <w:rPr>
          <w:rStyle w:val="FootnoteReference"/>
        </w:rPr>
        <w:footnoteRef/>
      </w:r>
      <w:r>
        <w:tab/>
        <w:t>Voir observations finales concernant le rapport du Mexique (CCPR/C/MEX/CO/5, 2010), par. 15.</w:t>
      </w:r>
    </w:p>
  </w:footnote>
  <w:footnote w:id="6">
    <w:p w:rsidR="00D304D2" w:rsidRDefault="00D304D2">
      <w:pPr>
        <w:pStyle w:val="FootnoteText"/>
      </w:pPr>
      <w:r>
        <w:tab/>
      </w:r>
      <w:r>
        <w:rPr>
          <w:rStyle w:val="FootnoteReference"/>
        </w:rPr>
        <w:footnoteRef/>
      </w:r>
      <w:r>
        <w:tab/>
        <w:t>Communication n</w:t>
      </w:r>
      <w:r w:rsidRPr="008A07AD">
        <w:rPr>
          <w:vertAlign w:val="superscript"/>
        </w:rPr>
        <w:t>o</w:t>
      </w:r>
      <w:r>
        <w:t xml:space="preserve"> 1134/2002, </w:t>
      </w:r>
      <w:r w:rsidRPr="008A07AD">
        <w:rPr>
          <w:i/>
        </w:rPr>
        <w:t>Gorji-Dinka</w:t>
      </w:r>
      <w:r>
        <w:t xml:space="preserve"> c. </w:t>
      </w:r>
      <w:r w:rsidRPr="008A07AD">
        <w:rPr>
          <w:i/>
        </w:rPr>
        <w:t>Cameroun</w:t>
      </w:r>
      <w:r>
        <w:t xml:space="preserve">, par. 5.4; voir aussi observations finales concernant le rapport du Royaume-Uni </w:t>
      </w:r>
      <w:r w:rsidRPr="001A0BA1">
        <w:t>(CCPR/C/GBR/CO/6, 2008), par</w:t>
      </w:r>
      <w:r>
        <w:t>.</w:t>
      </w:r>
      <w:r w:rsidRPr="001A0BA1">
        <w:t> 17 (</w:t>
      </w:r>
      <w:r>
        <w:t>ordonnances de contrôle prévoyant notamment un couvre-feu d</w:t>
      </w:r>
      <w:r w:rsidR="00F100CC">
        <w:t>’</w:t>
      </w:r>
      <w:r>
        <w:t>une durée maximale de seize heures)</w:t>
      </w:r>
      <w:r w:rsidRPr="001A0BA1">
        <w:t>.</w:t>
      </w:r>
    </w:p>
  </w:footnote>
  <w:footnote w:id="7">
    <w:p w:rsidR="00D304D2" w:rsidRDefault="00D304D2">
      <w:pPr>
        <w:pStyle w:val="FootnoteText"/>
      </w:pPr>
      <w:r>
        <w:tab/>
      </w:r>
      <w:r>
        <w:rPr>
          <w:rStyle w:val="FootnoteReference"/>
        </w:rPr>
        <w:footnoteRef/>
      </w:r>
      <w:r>
        <w:tab/>
      </w:r>
      <w:r w:rsidRPr="004F0D61">
        <w:t>Communication</w:t>
      </w:r>
      <w:r>
        <w:t xml:space="preserve"> n</w:t>
      </w:r>
      <w:r w:rsidRPr="004F0D61">
        <w:rPr>
          <w:vertAlign w:val="superscript"/>
        </w:rPr>
        <w:t>o</w:t>
      </w:r>
      <w:r>
        <w:t> </w:t>
      </w:r>
      <w:r w:rsidRPr="004F0D61">
        <w:t>754/1997,</w:t>
      </w:r>
      <w:r>
        <w:t xml:space="preserve"> </w:t>
      </w:r>
      <w:r w:rsidRPr="004F0D61">
        <w:rPr>
          <w:i/>
        </w:rPr>
        <w:t xml:space="preserve">A. </w:t>
      </w:r>
      <w:r w:rsidRPr="004F0D61">
        <w:t>c.</w:t>
      </w:r>
      <w:r>
        <w:rPr>
          <w:i/>
        </w:rPr>
        <w:t> </w:t>
      </w:r>
      <w:r w:rsidRPr="004F0D61">
        <w:rPr>
          <w:i/>
        </w:rPr>
        <w:t>Nouvelle-Zélande</w:t>
      </w:r>
      <w:r w:rsidRPr="004F0D61">
        <w:t>, par. 7.2 (santé mentale);</w:t>
      </w:r>
      <w:r>
        <w:t xml:space="preserve"> </w:t>
      </w:r>
      <w:r w:rsidRPr="004F0D61">
        <w:t>voir observations finales concernant le rapport de la République de Moldova (CCPR/C/MDA/CO/2, 2009), par. 13 (maladie contagieuse)</w:t>
      </w:r>
      <w:r w:rsidR="000A664A">
        <w:t>.</w:t>
      </w:r>
    </w:p>
  </w:footnote>
  <w:footnote w:id="8">
    <w:p w:rsidR="00D304D2" w:rsidRDefault="00D304D2">
      <w:pPr>
        <w:pStyle w:val="FootnoteText"/>
      </w:pPr>
      <w:r>
        <w:tab/>
      </w:r>
      <w:r>
        <w:rPr>
          <w:rStyle w:val="FootnoteReference"/>
        </w:rPr>
        <w:footnoteRef/>
      </w:r>
      <w:r>
        <w:tab/>
      </w:r>
      <w:r w:rsidRPr="004F0D61">
        <w:t xml:space="preserve">Voir observations finales concernant le rapport de la Belgique </w:t>
      </w:r>
      <w:r>
        <w:t>(CCPR/CO/81/BEL, 2004), par</w:t>
      </w:r>
      <w:r w:rsidRPr="004F0D61">
        <w:t xml:space="preserve">. 17 (détention </w:t>
      </w:r>
      <w:r>
        <w:t>de</w:t>
      </w:r>
      <w:r w:rsidRPr="004F0D61">
        <w:t xml:space="preserve"> migrants en attente d</w:t>
      </w:r>
      <w:r w:rsidR="00F100CC">
        <w:t>’</w:t>
      </w:r>
      <w:r w:rsidRPr="004F0D61">
        <w:t>expulsion).</w:t>
      </w:r>
    </w:p>
  </w:footnote>
  <w:footnote w:id="9">
    <w:p w:rsidR="00D304D2" w:rsidRDefault="00D304D2">
      <w:pPr>
        <w:pStyle w:val="FootnoteText"/>
      </w:pPr>
      <w:r>
        <w:tab/>
      </w:r>
      <w:r>
        <w:rPr>
          <w:rStyle w:val="FootnoteReference"/>
        </w:rPr>
        <w:footnoteRef/>
      </w:r>
      <w:r>
        <w:tab/>
        <w:t>Communication n</w:t>
      </w:r>
      <w:r w:rsidRPr="003D1E00">
        <w:rPr>
          <w:vertAlign w:val="superscript"/>
        </w:rPr>
        <w:t>o</w:t>
      </w:r>
      <w:r>
        <w:t> </w:t>
      </w:r>
      <w:r w:rsidRPr="003D1E00">
        <w:t xml:space="preserve">52/1979, </w:t>
      </w:r>
      <w:r w:rsidRPr="003D1E00">
        <w:rPr>
          <w:i/>
        </w:rPr>
        <w:t>Saldías de López</w:t>
      </w:r>
      <w:r>
        <w:t xml:space="preserve"> c. </w:t>
      </w:r>
      <w:r w:rsidRPr="003D1E00">
        <w:rPr>
          <w:i/>
        </w:rPr>
        <w:t>Uruguay</w:t>
      </w:r>
      <w:r w:rsidRPr="003D1E00">
        <w:t>, par. 13.</w:t>
      </w:r>
    </w:p>
  </w:footnote>
  <w:footnote w:id="10">
    <w:p w:rsidR="00D304D2" w:rsidRDefault="00D304D2">
      <w:pPr>
        <w:pStyle w:val="FootnoteText"/>
      </w:pPr>
      <w:r>
        <w:tab/>
      </w:r>
      <w:r>
        <w:rPr>
          <w:rStyle w:val="FootnoteReference"/>
        </w:rPr>
        <w:footnoteRef/>
      </w:r>
      <w:r>
        <w:tab/>
      </w:r>
      <w:r w:rsidRPr="00C95F7A">
        <w:t>Voir observations finales concernant le rapport de la République tchèque (CCPR/C/CZE/CO/2, 2007), par.</w:t>
      </w:r>
      <w:r>
        <w:t> 13,</w:t>
      </w:r>
      <w:r w:rsidRPr="00C95F7A">
        <w:t xml:space="preserve"> et le rapport concernant la République de Corée (CCPR/C/KOR/CO/3, 2006), par. 13.</w:t>
      </w:r>
    </w:p>
  </w:footnote>
  <w:footnote w:id="11">
    <w:p w:rsidR="00D304D2" w:rsidRDefault="00D304D2">
      <w:pPr>
        <w:pStyle w:val="FootnoteText"/>
      </w:pPr>
      <w:r>
        <w:tab/>
      </w:r>
      <w:r>
        <w:rPr>
          <w:rStyle w:val="FootnoteReference"/>
        </w:rPr>
        <w:footnoteRef/>
      </w:r>
      <w:r>
        <w:tab/>
        <w:t>Communication n</w:t>
      </w:r>
      <w:r w:rsidRPr="004E7948">
        <w:rPr>
          <w:vertAlign w:val="superscript"/>
        </w:rPr>
        <w:t>o</w:t>
      </w:r>
      <w:r>
        <w:t> </w:t>
      </w:r>
      <w:r w:rsidRPr="004E7948">
        <w:t xml:space="preserve">265/1987, </w:t>
      </w:r>
      <w:r w:rsidRPr="004E7948">
        <w:rPr>
          <w:i/>
        </w:rPr>
        <w:t xml:space="preserve">Vuolanne </w:t>
      </w:r>
      <w:r w:rsidRPr="004E7948">
        <w:t>c.</w:t>
      </w:r>
      <w:r>
        <w:rPr>
          <w:i/>
        </w:rPr>
        <w:t> </w:t>
      </w:r>
      <w:r w:rsidRPr="004E7948">
        <w:rPr>
          <w:i/>
        </w:rPr>
        <w:t>Finlande</w:t>
      </w:r>
      <w:r w:rsidRPr="004E7948">
        <w:t>, par. 9.4.</w:t>
      </w:r>
    </w:p>
  </w:footnote>
  <w:footnote w:id="12">
    <w:p w:rsidR="00D304D2" w:rsidRDefault="00D304D2">
      <w:pPr>
        <w:pStyle w:val="FootnoteText"/>
      </w:pPr>
      <w:r>
        <w:tab/>
      </w:r>
      <w:r>
        <w:rPr>
          <w:rStyle w:val="FootnoteReference"/>
        </w:rPr>
        <w:footnoteRef/>
      </w:r>
      <w:r>
        <w:tab/>
        <w:t>Communication n</w:t>
      </w:r>
      <w:r w:rsidRPr="00223CD3">
        <w:rPr>
          <w:vertAlign w:val="superscript"/>
        </w:rPr>
        <w:t>o</w:t>
      </w:r>
      <w:r>
        <w:t> </w:t>
      </w:r>
      <w:r w:rsidRPr="00223CD3">
        <w:t xml:space="preserve">1758/2008, </w:t>
      </w:r>
      <w:r w:rsidRPr="00223CD3">
        <w:rPr>
          <w:i/>
        </w:rPr>
        <w:t xml:space="preserve">Jessop </w:t>
      </w:r>
      <w:r w:rsidRPr="00223CD3">
        <w:t>c.</w:t>
      </w:r>
      <w:r>
        <w:rPr>
          <w:i/>
        </w:rPr>
        <w:t> </w:t>
      </w:r>
      <w:r w:rsidRPr="00223CD3">
        <w:rPr>
          <w:i/>
        </w:rPr>
        <w:t>Nouvelle-Zélande</w:t>
      </w:r>
      <w:r w:rsidRPr="00223CD3">
        <w:t>, par. 7.9 et 7.10.</w:t>
      </w:r>
    </w:p>
  </w:footnote>
  <w:footnote w:id="13">
    <w:p w:rsidR="00D304D2" w:rsidRDefault="00D304D2">
      <w:pPr>
        <w:pStyle w:val="FootnoteText"/>
      </w:pPr>
      <w:r>
        <w:tab/>
      </w:r>
      <w:r>
        <w:rPr>
          <w:rStyle w:val="FootnoteReference"/>
        </w:rPr>
        <w:footnoteRef/>
      </w:r>
      <w:r>
        <w:tab/>
      </w:r>
      <w:r w:rsidRPr="00223CD3">
        <w:t>Voir observations finales concernant le rapport du Yémen (CCPR/C/YEM/CO/5, 2012), par. 24.</w:t>
      </w:r>
    </w:p>
  </w:footnote>
  <w:footnote w:id="14">
    <w:p w:rsidR="00D304D2" w:rsidRDefault="00D304D2">
      <w:pPr>
        <w:pStyle w:val="FootnoteText"/>
      </w:pPr>
      <w:r>
        <w:tab/>
      </w:r>
      <w:r>
        <w:rPr>
          <w:rStyle w:val="FootnoteReference"/>
        </w:rPr>
        <w:footnoteRef/>
      </w:r>
      <w:r>
        <w:tab/>
        <w:t>Communication n</w:t>
      </w:r>
      <w:r w:rsidRPr="00223CD3">
        <w:rPr>
          <w:vertAlign w:val="superscript"/>
        </w:rPr>
        <w:t>o</w:t>
      </w:r>
      <w:r>
        <w:t> </w:t>
      </w:r>
      <w:r w:rsidRPr="00223CD3">
        <w:t xml:space="preserve">319/1988, </w:t>
      </w:r>
      <w:r w:rsidRPr="00223CD3">
        <w:rPr>
          <w:i/>
        </w:rPr>
        <w:t xml:space="preserve">Cañón García </w:t>
      </w:r>
      <w:r w:rsidRPr="00223CD3">
        <w:t>c.</w:t>
      </w:r>
      <w:r>
        <w:rPr>
          <w:i/>
        </w:rPr>
        <w:t> Équateur</w:t>
      </w:r>
      <w:r w:rsidRPr="00223CD3">
        <w:t>, par. 5.1 et 5.2.</w:t>
      </w:r>
    </w:p>
  </w:footnote>
  <w:footnote w:id="15">
    <w:p w:rsidR="00D304D2" w:rsidRDefault="00D304D2">
      <w:pPr>
        <w:pStyle w:val="FootnoteText"/>
      </w:pPr>
      <w:r>
        <w:tab/>
      </w:r>
      <w:r>
        <w:rPr>
          <w:rStyle w:val="FootnoteReference"/>
        </w:rPr>
        <w:footnoteRef/>
      </w:r>
      <w:r>
        <w:tab/>
      </w:r>
      <w:r w:rsidRPr="00C35DCD">
        <w:t>Voir observations finales concernant le rapport du Guatemala (CCPR/C/GTM/CO/3, 2012), par. 16.</w:t>
      </w:r>
    </w:p>
  </w:footnote>
  <w:footnote w:id="16">
    <w:p w:rsidR="00D304D2" w:rsidRDefault="00D304D2">
      <w:pPr>
        <w:pStyle w:val="FootnoteText"/>
      </w:pPr>
      <w:r>
        <w:tab/>
      </w:r>
      <w:r>
        <w:rPr>
          <w:rStyle w:val="FootnoteReference"/>
        </w:rPr>
        <w:footnoteRef/>
      </w:r>
      <w:r>
        <w:tab/>
        <w:t>Communication n</w:t>
      </w:r>
      <w:r w:rsidRPr="00AC493D">
        <w:rPr>
          <w:vertAlign w:val="superscript"/>
        </w:rPr>
        <w:t>o</w:t>
      </w:r>
      <w:r>
        <w:t> </w:t>
      </w:r>
      <w:r w:rsidRPr="00AC493D">
        <w:t xml:space="preserve">613/1995, </w:t>
      </w:r>
      <w:r w:rsidRPr="00AC493D">
        <w:rPr>
          <w:i/>
        </w:rPr>
        <w:t xml:space="preserve">Leehong </w:t>
      </w:r>
      <w:r w:rsidRPr="00AC493D">
        <w:t>c.</w:t>
      </w:r>
      <w:r>
        <w:rPr>
          <w:i/>
        </w:rPr>
        <w:t> </w:t>
      </w:r>
      <w:r w:rsidRPr="00AC493D">
        <w:rPr>
          <w:i/>
        </w:rPr>
        <w:t>Jamaïque</w:t>
      </w:r>
      <w:r w:rsidRPr="00AC493D">
        <w:t>, par. 9.3.</w:t>
      </w:r>
    </w:p>
  </w:footnote>
  <w:footnote w:id="17">
    <w:p w:rsidR="00D304D2" w:rsidRDefault="00D304D2">
      <w:pPr>
        <w:pStyle w:val="FootnoteText"/>
      </w:pPr>
      <w:r>
        <w:tab/>
      </w:r>
      <w:r>
        <w:rPr>
          <w:rStyle w:val="FootnoteReference"/>
        </w:rPr>
        <w:footnoteRef/>
      </w:r>
      <w:r>
        <w:tab/>
        <w:t>Communication n</w:t>
      </w:r>
      <w:r w:rsidRPr="00AC493D">
        <w:rPr>
          <w:vertAlign w:val="superscript"/>
        </w:rPr>
        <w:t>o</w:t>
      </w:r>
      <w:r>
        <w:t> </w:t>
      </w:r>
      <w:r w:rsidRPr="00AC493D">
        <w:t xml:space="preserve">1560/2007, </w:t>
      </w:r>
      <w:r w:rsidRPr="00AC493D">
        <w:rPr>
          <w:i/>
        </w:rPr>
        <w:t xml:space="preserve">Marcellana et Gumanoy </w:t>
      </w:r>
      <w:r w:rsidRPr="00AC493D">
        <w:t>c.</w:t>
      </w:r>
      <w:r>
        <w:rPr>
          <w:i/>
        </w:rPr>
        <w:t> </w:t>
      </w:r>
      <w:r w:rsidRPr="00AC493D">
        <w:rPr>
          <w:i/>
        </w:rPr>
        <w:t>Philippines</w:t>
      </w:r>
      <w:r w:rsidRPr="00AC493D">
        <w:t>, par. </w:t>
      </w:r>
      <w:r w:rsidRPr="00AC493D">
        <w:rPr>
          <w:lang w:val="en-GB"/>
        </w:rPr>
        <w:t xml:space="preserve">7.7. </w:t>
      </w:r>
      <w:r w:rsidRPr="00AC493D">
        <w:t xml:space="preserve">Les États parties commettent aussi une violation du droit à la sécurité de la personne quand ils prétendent exercer leur compétence sur une personne qui se trouve en dehors de leur territoire en prononçant une </w:t>
      </w:r>
      <w:r w:rsidRPr="00AC493D">
        <w:rPr>
          <w:i/>
        </w:rPr>
        <w:t xml:space="preserve">fatwa </w:t>
      </w:r>
      <w:r w:rsidRPr="00AC493D">
        <w:t>ou une</w:t>
      </w:r>
      <w:r w:rsidRPr="00AC493D">
        <w:rPr>
          <w:i/>
        </w:rPr>
        <w:t xml:space="preserve"> </w:t>
      </w:r>
      <w:r w:rsidRPr="00AC493D">
        <w:t>autre forme de sentence de mort</w:t>
      </w:r>
      <w:r w:rsidRPr="00AC493D">
        <w:rPr>
          <w:i/>
        </w:rPr>
        <w:t xml:space="preserve"> </w:t>
      </w:r>
      <w:r w:rsidRPr="00AC493D">
        <w:t>appelant à l</w:t>
      </w:r>
      <w:r w:rsidR="00F100CC">
        <w:t>’</w:t>
      </w:r>
      <w:r w:rsidRPr="00AC493D">
        <w:t>exécution de la victime. Voir observations finales concernant le rapport de la République islamique d</w:t>
      </w:r>
      <w:r w:rsidR="00F100CC">
        <w:t>’</w:t>
      </w:r>
      <w:r w:rsidRPr="00AC493D">
        <w:t xml:space="preserve">Iran (CCPR/C/79/Add.25, 1993), par. 9; voir </w:t>
      </w:r>
      <w:r>
        <w:t>le paragraphe </w:t>
      </w:r>
      <w:r w:rsidR="00A709E0">
        <w:t>63 (</w:t>
      </w:r>
      <w:r w:rsidRPr="00AC493D">
        <w:t>question de l</w:t>
      </w:r>
      <w:r w:rsidR="00F100CC">
        <w:t>’</w:t>
      </w:r>
      <w:r w:rsidRPr="00AC493D">
        <w:t>application extraterritoriale).</w:t>
      </w:r>
    </w:p>
  </w:footnote>
  <w:footnote w:id="18">
    <w:p w:rsidR="00D304D2" w:rsidRDefault="00D304D2">
      <w:pPr>
        <w:pStyle w:val="FootnoteText"/>
      </w:pPr>
      <w:r>
        <w:tab/>
      </w:r>
      <w:r>
        <w:rPr>
          <w:rStyle w:val="FootnoteReference"/>
        </w:rPr>
        <w:footnoteRef/>
      </w:r>
      <w:r>
        <w:tab/>
      </w:r>
      <w:r w:rsidRPr="00010D38">
        <w:t>Voir observations finales concernant le rapport d</w:t>
      </w:r>
      <w:r w:rsidR="00F100CC">
        <w:t>’</w:t>
      </w:r>
      <w:r w:rsidRPr="00010D38">
        <w:t>El Salvador (CCPR/CO/78/SLV, 2003), par. 16.</w:t>
      </w:r>
    </w:p>
  </w:footnote>
  <w:footnote w:id="19">
    <w:p w:rsidR="00D304D2" w:rsidRDefault="00D304D2">
      <w:pPr>
        <w:pStyle w:val="FootnoteText"/>
      </w:pPr>
      <w:r>
        <w:tab/>
      </w:r>
      <w:r>
        <w:rPr>
          <w:rStyle w:val="FootnoteReference"/>
        </w:rPr>
        <w:footnoteRef/>
      </w:r>
      <w:r>
        <w:tab/>
      </w:r>
      <w:r w:rsidRPr="00F94B00">
        <w:t>Voir observations finales concernant le rapport de la Norvège (CCPR/C/NOR/CO/6, 2011), par. 10.</w:t>
      </w:r>
    </w:p>
  </w:footnote>
  <w:footnote w:id="20">
    <w:p w:rsidR="00D304D2" w:rsidRDefault="00D304D2">
      <w:pPr>
        <w:pStyle w:val="FootnoteText"/>
      </w:pPr>
      <w:r>
        <w:tab/>
      </w:r>
      <w:r>
        <w:rPr>
          <w:rStyle w:val="FootnoteReference"/>
        </w:rPr>
        <w:footnoteRef/>
      </w:r>
      <w:r>
        <w:tab/>
      </w:r>
      <w:r w:rsidRPr="009F074A">
        <w:t>Communication</w:t>
      </w:r>
      <w:r>
        <w:t xml:space="preserve"> n</w:t>
      </w:r>
      <w:r w:rsidRPr="009F074A">
        <w:rPr>
          <w:vertAlign w:val="superscript"/>
        </w:rPr>
        <w:t>o</w:t>
      </w:r>
      <w:r>
        <w:t> </w:t>
      </w:r>
      <w:r w:rsidRPr="009F074A">
        <w:t xml:space="preserve">613/1995, </w:t>
      </w:r>
      <w:r w:rsidRPr="009F074A">
        <w:rPr>
          <w:i/>
        </w:rPr>
        <w:t xml:space="preserve">Leehong </w:t>
      </w:r>
      <w:r w:rsidRPr="009F074A">
        <w:t>c.</w:t>
      </w:r>
      <w:r>
        <w:rPr>
          <w:i/>
        </w:rPr>
        <w:t> </w:t>
      </w:r>
      <w:r w:rsidRPr="009F074A">
        <w:rPr>
          <w:i/>
        </w:rPr>
        <w:t>Jamaïque</w:t>
      </w:r>
      <w:r w:rsidRPr="009F074A">
        <w:t>, par. 9.3; voir Principes de base sur le recours à la force et l</w:t>
      </w:r>
      <w:r w:rsidR="00F100CC">
        <w:t>’</w:t>
      </w:r>
      <w:r w:rsidRPr="009F074A">
        <w:t>utilisation des armes à feu par les responsables de l</w:t>
      </w:r>
      <w:r w:rsidR="00F100CC">
        <w:t>’</w:t>
      </w:r>
      <w:r w:rsidRPr="009F074A">
        <w:t>application des lois (1990).</w:t>
      </w:r>
    </w:p>
  </w:footnote>
  <w:footnote w:id="21">
    <w:p w:rsidR="00D304D2" w:rsidRDefault="00D304D2">
      <w:pPr>
        <w:pStyle w:val="FootnoteText"/>
      </w:pPr>
      <w:r>
        <w:tab/>
      </w:r>
      <w:r>
        <w:rPr>
          <w:rStyle w:val="FootnoteReference"/>
        </w:rPr>
        <w:footnoteRef/>
      </w:r>
      <w:r>
        <w:tab/>
      </w:r>
      <w:r w:rsidRPr="00D06746">
        <w:t>Voir observations finales concernant le rapport des Philippines (CCPR/C/PHL/CO/4, 2012), par. 14.</w:t>
      </w:r>
    </w:p>
  </w:footnote>
  <w:footnote w:id="22">
    <w:p w:rsidR="00D304D2" w:rsidRDefault="00D304D2">
      <w:pPr>
        <w:pStyle w:val="FootnoteText"/>
      </w:pPr>
      <w:r>
        <w:tab/>
      </w:r>
      <w:r>
        <w:rPr>
          <w:rStyle w:val="FootnoteReference"/>
        </w:rPr>
        <w:footnoteRef/>
      </w:r>
      <w:r>
        <w:tab/>
        <w:t>Communication n</w:t>
      </w:r>
      <w:r w:rsidRPr="009F074A">
        <w:rPr>
          <w:vertAlign w:val="superscript"/>
        </w:rPr>
        <w:t>o</w:t>
      </w:r>
      <w:r>
        <w:t> </w:t>
      </w:r>
      <w:r w:rsidRPr="009F074A">
        <w:t xml:space="preserve">1124/2002, </w:t>
      </w:r>
      <w:r w:rsidRPr="009F074A">
        <w:rPr>
          <w:i/>
        </w:rPr>
        <w:t xml:space="preserve">Obodzinsky </w:t>
      </w:r>
      <w:r w:rsidRPr="009F074A">
        <w:t>c</w:t>
      </w:r>
      <w:r w:rsidRPr="009F074A">
        <w:rPr>
          <w:i/>
        </w:rPr>
        <w:t>.</w:t>
      </w:r>
      <w:r>
        <w:rPr>
          <w:i/>
        </w:rPr>
        <w:t> </w:t>
      </w:r>
      <w:r w:rsidRPr="009F074A">
        <w:rPr>
          <w:i/>
        </w:rPr>
        <w:t>Canada</w:t>
      </w:r>
      <w:r w:rsidRPr="009F074A">
        <w:t>, par. 8.5.</w:t>
      </w:r>
    </w:p>
  </w:footnote>
  <w:footnote w:id="23">
    <w:p w:rsidR="00D304D2" w:rsidRDefault="00D304D2">
      <w:pPr>
        <w:pStyle w:val="FootnoteText"/>
      </w:pPr>
      <w:r>
        <w:tab/>
      </w:r>
      <w:r>
        <w:rPr>
          <w:rStyle w:val="FootnoteReference"/>
        </w:rPr>
        <w:footnoteRef/>
      </w:r>
      <w:r>
        <w:tab/>
      </w:r>
      <w:r w:rsidR="00F100CC">
        <w:t>Communication</w:t>
      </w:r>
      <w:r>
        <w:t xml:space="preserve"> n</w:t>
      </w:r>
      <w:r w:rsidRPr="00E953A8">
        <w:rPr>
          <w:vertAlign w:val="superscript"/>
        </w:rPr>
        <w:t>o</w:t>
      </w:r>
      <w:r>
        <w:t> </w:t>
      </w:r>
      <w:r w:rsidRPr="00E953A8">
        <w:t xml:space="preserve">414/1990, </w:t>
      </w:r>
      <w:r w:rsidRPr="00E953A8">
        <w:rPr>
          <w:i/>
        </w:rPr>
        <w:t xml:space="preserve">Mika Miha </w:t>
      </w:r>
      <w:r w:rsidRPr="00E953A8">
        <w:t>c.</w:t>
      </w:r>
      <w:r>
        <w:rPr>
          <w:i/>
        </w:rPr>
        <w:t> </w:t>
      </w:r>
      <w:r w:rsidRPr="00E953A8">
        <w:rPr>
          <w:i/>
        </w:rPr>
        <w:t>Guinée équatoriale</w:t>
      </w:r>
      <w:r w:rsidRPr="00E953A8">
        <w:t>, par. 6.5.</w:t>
      </w:r>
    </w:p>
  </w:footnote>
  <w:footnote w:id="24">
    <w:p w:rsidR="00D304D2" w:rsidRDefault="00D304D2">
      <w:pPr>
        <w:pStyle w:val="FootnoteText"/>
      </w:pPr>
      <w:r>
        <w:tab/>
      </w:r>
      <w:r>
        <w:rPr>
          <w:rStyle w:val="FootnoteReference"/>
        </w:rPr>
        <w:footnoteRef/>
      </w:r>
      <w:r>
        <w:tab/>
      </w:r>
      <w:r w:rsidRPr="00E953A8">
        <w:t>Voir observations finales concernant le rapport du Brésil (CCPR/C/BRA/CO/2, 2005), par. 16.</w:t>
      </w:r>
    </w:p>
  </w:footnote>
  <w:footnote w:id="25">
    <w:p w:rsidR="00D304D2" w:rsidRDefault="00D304D2">
      <w:pPr>
        <w:pStyle w:val="FootnoteText"/>
      </w:pPr>
      <w:r>
        <w:tab/>
      </w:r>
      <w:r>
        <w:rPr>
          <w:rStyle w:val="FootnoteReference"/>
        </w:rPr>
        <w:footnoteRef/>
      </w:r>
      <w:r>
        <w:tab/>
        <w:t>Communication n</w:t>
      </w:r>
      <w:r w:rsidRPr="00610275">
        <w:rPr>
          <w:vertAlign w:val="superscript"/>
        </w:rPr>
        <w:t>o</w:t>
      </w:r>
      <w:r>
        <w:t> </w:t>
      </w:r>
      <w:r w:rsidRPr="00610275">
        <w:t xml:space="preserve">856/1999, </w:t>
      </w:r>
      <w:r w:rsidRPr="00610275">
        <w:rPr>
          <w:i/>
        </w:rPr>
        <w:t xml:space="preserve">Chambala </w:t>
      </w:r>
      <w:r w:rsidRPr="00610275">
        <w:t>c.</w:t>
      </w:r>
      <w:r>
        <w:rPr>
          <w:i/>
        </w:rPr>
        <w:t> </w:t>
      </w:r>
      <w:r w:rsidRPr="00610275">
        <w:rPr>
          <w:i/>
        </w:rPr>
        <w:t>Zambie</w:t>
      </w:r>
      <w:r w:rsidRPr="00610275">
        <w:t>, par. 7.3.</w:t>
      </w:r>
    </w:p>
  </w:footnote>
  <w:footnote w:id="26">
    <w:p w:rsidR="00D304D2" w:rsidRDefault="00D304D2">
      <w:pPr>
        <w:pStyle w:val="FootnoteText"/>
      </w:pPr>
      <w:r>
        <w:tab/>
      </w:r>
      <w:r>
        <w:rPr>
          <w:rStyle w:val="FootnoteReference"/>
        </w:rPr>
        <w:footnoteRef/>
      </w:r>
      <w:r>
        <w:tab/>
        <w:t>Communications n</w:t>
      </w:r>
      <w:r w:rsidRPr="00610275">
        <w:rPr>
          <w:vertAlign w:val="superscript"/>
        </w:rPr>
        <w:t>o</w:t>
      </w:r>
      <w:r>
        <w:t> </w:t>
      </w:r>
      <w:r w:rsidRPr="00610275">
        <w:t xml:space="preserve">1134/2002, </w:t>
      </w:r>
      <w:r w:rsidRPr="00610275">
        <w:rPr>
          <w:i/>
        </w:rPr>
        <w:t xml:space="preserve">Gorji-Dinka </w:t>
      </w:r>
      <w:r>
        <w:t>c</w:t>
      </w:r>
      <w:r w:rsidRPr="00610275">
        <w:t>.</w:t>
      </w:r>
      <w:r>
        <w:t> </w:t>
      </w:r>
      <w:r w:rsidRPr="00610275">
        <w:rPr>
          <w:i/>
        </w:rPr>
        <w:t>Cameroun</w:t>
      </w:r>
      <w:r w:rsidRPr="00610275">
        <w:t xml:space="preserve">, par. 5.1; </w:t>
      </w:r>
      <w:r>
        <w:t>n</w:t>
      </w:r>
      <w:r w:rsidRPr="00610275">
        <w:rPr>
          <w:vertAlign w:val="superscript"/>
        </w:rPr>
        <w:t>o</w:t>
      </w:r>
      <w:r>
        <w:t> </w:t>
      </w:r>
      <w:r w:rsidRPr="00610275">
        <w:t xml:space="preserve">305/1988, </w:t>
      </w:r>
      <w:r>
        <w:rPr>
          <w:i/>
        </w:rPr>
        <w:t>Van </w:t>
      </w:r>
      <w:r w:rsidRPr="00610275">
        <w:rPr>
          <w:i/>
        </w:rPr>
        <w:t xml:space="preserve">Alphen </w:t>
      </w:r>
      <w:r w:rsidRPr="00610275">
        <w:t>c</w:t>
      </w:r>
      <w:r>
        <w:t>. </w:t>
      </w:r>
      <w:r w:rsidRPr="00610275">
        <w:rPr>
          <w:i/>
        </w:rPr>
        <w:t>Pays</w:t>
      </w:r>
      <w:r>
        <w:rPr>
          <w:i/>
        </w:rPr>
        <w:noBreakHyphen/>
      </w:r>
      <w:r w:rsidRPr="00610275">
        <w:rPr>
          <w:i/>
        </w:rPr>
        <w:t>Bas</w:t>
      </w:r>
      <w:r w:rsidRPr="00610275">
        <w:t>, par. 5.8.</w:t>
      </w:r>
    </w:p>
  </w:footnote>
  <w:footnote w:id="27">
    <w:p w:rsidR="00D304D2" w:rsidRDefault="00D304D2">
      <w:pPr>
        <w:pStyle w:val="FootnoteText"/>
      </w:pPr>
      <w:r>
        <w:tab/>
      </w:r>
      <w:r>
        <w:rPr>
          <w:rStyle w:val="FootnoteReference"/>
        </w:rPr>
        <w:footnoteRef/>
      </w:r>
      <w:r>
        <w:tab/>
      </w:r>
      <w:r w:rsidRPr="00244E20">
        <w:t>Commun</w:t>
      </w:r>
      <w:r>
        <w:t>ication n</w:t>
      </w:r>
      <w:r w:rsidRPr="00244E20">
        <w:rPr>
          <w:vertAlign w:val="superscript"/>
        </w:rPr>
        <w:t>o</w:t>
      </w:r>
      <w:r>
        <w:t> </w:t>
      </w:r>
      <w:r w:rsidRPr="00244E20">
        <w:t xml:space="preserve">1369/2005, </w:t>
      </w:r>
      <w:r w:rsidRPr="00244E20">
        <w:rPr>
          <w:i/>
        </w:rPr>
        <w:t xml:space="preserve">Kulov </w:t>
      </w:r>
      <w:r w:rsidRPr="00244E20">
        <w:t>c.</w:t>
      </w:r>
      <w:r>
        <w:rPr>
          <w:i/>
        </w:rPr>
        <w:t> </w:t>
      </w:r>
      <w:r w:rsidRPr="00244E20">
        <w:rPr>
          <w:i/>
        </w:rPr>
        <w:t>Kirghizistan</w:t>
      </w:r>
      <w:r w:rsidRPr="00244E20">
        <w:t>, par.</w:t>
      </w:r>
      <w:r>
        <w:t xml:space="preserve"> 8.3. </w:t>
      </w:r>
      <w:r w:rsidRPr="00244E20">
        <w:t>La question de la détention avant jugement dans une affaire pénale est étudiée plus avant</w:t>
      </w:r>
      <w:r>
        <w:t xml:space="preserve"> à la section IV</w:t>
      </w:r>
      <w:r w:rsidRPr="00244E20">
        <w:t>.</w:t>
      </w:r>
    </w:p>
  </w:footnote>
  <w:footnote w:id="28">
    <w:p w:rsidR="00D304D2" w:rsidRDefault="00D304D2">
      <w:pPr>
        <w:pStyle w:val="FootnoteText"/>
      </w:pPr>
      <w:r>
        <w:tab/>
      </w:r>
      <w:r>
        <w:rPr>
          <w:rStyle w:val="FootnoteReference"/>
        </w:rPr>
        <w:footnoteRef/>
      </w:r>
      <w:r>
        <w:tab/>
        <w:t>Communication n</w:t>
      </w:r>
      <w:r w:rsidRPr="001D5740">
        <w:rPr>
          <w:vertAlign w:val="superscript"/>
        </w:rPr>
        <w:t>o</w:t>
      </w:r>
      <w:r>
        <w:t> </w:t>
      </w:r>
      <w:r w:rsidRPr="001D5740">
        <w:t xml:space="preserve">1324/2004, </w:t>
      </w:r>
      <w:r w:rsidRPr="001D5740">
        <w:rPr>
          <w:i/>
        </w:rPr>
        <w:t xml:space="preserve">Shafiq </w:t>
      </w:r>
      <w:r w:rsidRPr="001D5740">
        <w:t>c.</w:t>
      </w:r>
      <w:r>
        <w:rPr>
          <w:i/>
        </w:rPr>
        <w:t> </w:t>
      </w:r>
      <w:r w:rsidRPr="001D5740">
        <w:rPr>
          <w:i/>
        </w:rPr>
        <w:t>Australie</w:t>
      </w:r>
      <w:r w:rsidRPr="001D5740">
        <w:t>, par. 7.2.</w:t>
      </w:r>
    </w:p>
  </w:footnote>
  <w:footnote w:id="29">
    <w:p w:rsidR="00D304D2" w:rsidRDefault="00D304D2">
      <w:pPr>
        <w:pStyle w:val="FootnoteText"/>
      </w:pPr>
      <w:r>
        <w:tab/>
      </w:r>
      <w:r>
        <w:rPr>
          <w:rStyle w:val="FootnoteReference"/>
        </w:rPr>
        <w:footnoteRef/>
      </w:r>
      <w:r>
        <w:tab/>
        <w:t>Communication n</w:t>
      </w:r>
      <w:r w:rsidRPr="00537E94">
        <w:rPr>
          <w:vertAlign w:val="superscript"/>
        </w:rPr>
        <w:t>o</w:t>
      </w:r>
      <w:r>
        <w:t> </w:t>
      </w:r>
      <w:r w:rsidRPr="00537E94">
        <w:t xml:space="preserve">631/1995, </w:t>
      </w:r>
      <w:r w:rsidRPr="00537E94">
        <w:rPr>
          <w:i/>
        </w:rPr>
        <w:t xml:space="preserve">Spakmo </w:t>
      </w:r>
      <w:r>
        <w:t>c</w:t>
      </w:r>
      <w:r w:rsidRPr="00537E94">
        <w:t>.</w:t>
      </w:r>
      <w:r>
        <w:t> </w:t>
      </w:r>
      <w:r w:rsidRPr="00537E94">
        <w:rPr>
          <w:i/>
        </w:rPr>
        <w:t>Norvège</w:t>
      </w:r>
      <w:r w:rsidRPr="00537E94">
        <w:t>, par. </w:t>
      </w:r>
      <w:r w:rsidRPr="00537E94">
        <w:rPr>
          <w:lang w:val="en-GB"/>
        </w:rPr>
        <w:t>6.3.</w:t>
      </w:r>
    </w:p>
  </w:footnote>
  <w:footnote w:id="30">
    <w:p w:rsidR="00D304D2" w:rsidRDefault="00D304D2">
      <w:pPr>
        <w:pStyle w:val="FootnoteText"/>
      </w:pPr>
      <w:r>
        <w:tab/>
      </w:r>
      <w:r>
        <w:rPr>
          <w:rStyle w:val="FootnoteReference"/>
        </w:rPr>
        <w:footnoteRef/>
      </w:r>
      <w:r>
        <w:tab/>
      </w:r>
      <w:r w:rsidRPr="00CE7595">
        <w:t>Communications</w:t>
      </w:r>
      <w:r>
        <w:t xml:space="preserve"> n</w:t>
      </w:r>
      <w:r w:rsidRPr="00CE7595">
        <w:rPr>
          <w:vertAlign w:val="superscript"/>
        </w:rPr>
        <w:t>o</w:t>
      </w:r>
      <w:r>
        <w:t> </w:t>
      </w:r>
      <w:r w:rsidRPr="00CE7595">
        <w:t xml:space="preserve">1460/2006, </w:t>
      </w:r>
      <w:r w:rsidRPr="00CE7595">
        <w:rPr>
          <w:i/>
        </w:rPr>
        <w:t xml:space="preserve">Yklymova </w:t>
      </w:r>
      <w:r>
        <w:t>c</w:t>
      </w:r>
      <w:r w:rsidRPr="00CE7595">
        <w:t>.</w:t>
      </w:r>
      <w:r>
        <w:t> </w:t>
      </w:r>
      <w:r w:rsidRPr="00CE7595">
        <w:rPr>
          <w:i/>
        </w:rPr>
        <w:t>Turkménistan</w:t>
      </w:r>
      <w:r w:rsidRPr="00CE7595">
        <w:t>, par.</w:t>
      </w:r>
      <w:r>
        <w:t xml:space="preserve"> 7.2 et </w:t>
      </w:r>
      <w:r w:rsidRPr="00CE7595">
        <w:t>7.3 (assignation à résidence de</w:t>
      </w:r>
      <w:r>
        <w:t xml:space="preserve"> facto</w:t>
      </w:r>
      <w:r w:rsidRPr="00CE7595">
        <w:t xml:space="preserve">); </w:t>
      </w:r>
      <w:r>
        <w:t>n</w:t>
      </w:r>
      <w:r w:rsidRPr="00CE7595">
        <w:rPr>
          <w:vertAlign w:val="superscript"/>
        </w:rPr>
        <w:t>o</w:t>
      </w:r>
      <w:r>
        <w:t> </w:t>
      </w:r>
      <w:r w:rsidRPr="00CE7595">
        <w:t xml:space="preserve">1096/2002, </w:t>
      </w:r>
      <w:r w:rsidRPr="00CE7595">
        <w:rPr>
          <w:i/>
        </w:rPr>
        <w:t xml:space="preserve">Kurbanova </w:t>
      </w:r>
      <w:r w:rsidRPr="00CE7595">
        <w:t>c.</w:t>
      </w:r>
      <w:r>
        <w:rPr>
          <w:i/>
        </w:rPr>
        <w:t> </w:t>
      </w:r>
      <w:r w:rsidRPr="00CE7595">
        <w:rPr>
          <w:i/>
        </w:rPr>
        <w:t>Tadjikistan</w:t>
      </w:r>
      <w:r w:rsidRPr="00CE7595">
        <w:t xml:space="preserve">, par. 7.2 (détention </w:t>
      </w:r>
      <w:r>
        <w:t>avant délivrance d</w:t>
      </w:r>
      <w:r w:rsidR="00F100CC">
        <w:t>’</w:t>
      </w:r>
      <w:r>
        <w:t>un mandat</w:t>
      </w:r>
      <w:r w:rsidRPr="00CE7595">
        <w:t xml:space="preserve"> d</w:t>
      </w:r>
      <w:r w:rsidR="00F100CC">
        <w:t>’</w:t>
      </w:r>
      <w:r w:rsidRPr="00CE7595">
        <w:t>arrestation).</w:t>
      </w:r>
    </w:p>
  </w:footnote>
  <w:footnote w:id="31">
    <w:p w:rsidR="00D304D2" w:rsidRDefault="00D304D2">
      <w:pPr>
        <w:pStyle w:val="FootnoteText"/>
      </w:pPr>
      <w:r>
        <w:tab/>
      </w:r>
      <w:r>
        <w:rPr>
          <w:rStyle w:val="FootnoteReference"/>
        </w:rPr>
        <w:footnoteRef/>
      </w:r>
      <w:r>
        <w:tab/>
      </w:r>
      <w:r w:rsidRPr="006305F8">
        <w:t>Communications</w:t>
      </w:r>
      <w:r>
        <w:t xml:space="preserve"> n</w:t>
      </w:r>
      <w:r w:rsidRPr="006305F8">
        <w:rPr>
          <w:vertAlign w:val="superscript"/>
        </w:rPr>
        <w:t>o</w:t>
      </w:r>
      <w:r>
        <w:t> </w:t>
      </w:r>
      <w:r w:rsidRPr="006305F8">
        <w:t xml:space="preserve">635/1995, </w:t>
      </w:r>
      <w:r w:rsidRPr="006305F8">
        <w:rPr>
          <w:i/>
        </w:rPr>
        <w:t xml:space="preserve">Morrison </w:t>
      </w:r>
      <w:r w:rsidRPr="006305F8">
        <w:t>c.</w:t>
      </w:r>
      <w:r>
        <w:rPr>
          <w:i/>
        </w:rPr>
        <w:t> </w:t>
      </w:r>
      <w:r w:rsidRPr="006305F8">
        <w:rPr>
          <w:i/>
        </w:rPr>
        <w:t>Jamaïque</w:t>
      </w:r>
      <w:r w:rsidRPr="006305F8">
        <w:t xml:space="preserve">, par. 22.2 et 22.3; </w:t>
      </w:r>
      <w:r>
        <w:t>n</w:t>
      </w:r>
      <w:r w:rsidRPr="006305F8">
        <w:rPr>
          <w:vertAlign w:val="superscript"/>
        </w:rPr>
        <w:t>o</w:t>
      </w:r>
      <w:r>
        <w:t> </w:t>
      </w:r>
      <w:r w:rsidRPr="006305F8">
        <w:t xml:space="preserve">1397/2005, </w:t>
      </w:r>
      <w:r w:rsidRPr="006305F8">
        <w:rPr>
          <w:i/>
        </w:rPr>
        <w:t xml:space="preserve">Engo </w:t>
      </w:r>
      <w:r w:rsidRPr="006305F8">
        <w:t>c.</w:t>
      </w:r>
      <w:r>
        <w:rPr>
          <w:i/>
        </w:rPr>
        <w:t> </w:t>
      </w:r>
      <w:r w:rsidRPr="006305F8">
        <w:rPr>
          <w:i/>
        </w:rPr>
        <w:t>Cameroun</w:t>
      </w:r>
      <w:r w:rsidRPr="006305F8">
        <w:t>, par. </w:t>
      </w:r>
      <w:r w:rsidRPr="006305F8">
        <w:rPr>
          <w:lang w:val="en-GB"/>
        </w:rPr>
        <w:t>7.3.</w:t>
      </w:r>
    </w:p>
  </w:footnote>
  <w:footnote w:id="32">
    <w:p w:rsidR="00D304D2" w:rsidRDefault="00D304D2">
      <w:pPr>
        <w:pStyle w:val="FootnoteText"/>
      </w:pPr>
      <w:r>
        <w:tab/>
      </w:r>
      <w:r>
        <w:rPr>
          <w:rStyle w:val="FootnoteReference"/>
        </w:rPr>
        <w:footnoteRef/>
      </w:r>
      <w:r>
        <w:tab/>
      </w:r>
      <w:r w:rsidRPr="006305F8">
        <w:t>La détention pour les infractio</w:t>
      </w:r>
      <w:r>
        <w:t>ns pénales telles que la fraude</w:t>
      </w:r>
      <w:r w:rsidRPr="006305F8">
        <w:t xml:space="preserve"> liées à des dettes civiles ne constitue</w:t>
      </w:r>
      <w:r>
        <w:t xml:space="preserve"> pas une violation de l</w:t>
      </w:r>
      <w:r w:rsidR="00F100CC">
        <w:t>’</w:t>
      </w:r>
      <w:r>
        <w:t>article </w:t>
      </w:r>
      <w:r w:rsidRPr="006305F8">
        <w:t>11 et n</w:t>
      </w:r>
      <w:r w:rsidR="00F100CC">
        <w:t>’</w:t>
      </w:r>
      <w:r w:rsidRPr="006305F8">
        <w:t>est pas une détention arbitraire.</w:t>
      </w:r>
      <w:r>
        <w:t xml:space="preserve"> Communication n</w:t>
      </w:r>
      <w:r w:rsidRPr="006305F8">
        <w:rPr>
          <w:vertAlign w:val="superscript"/>
        </w:rPr>
        <w:t>o</w:t>
      </w:r>
      <w:r>
        <w:t> </w:t>
      </w:r>
      <w:r w:rsidRPr="006305F8">
        <w:t xml:space="preserve">1342/2005, </w:t>
      </w:r>
      <w:r w:rsidRPr="006305F8">
        <w:rPr>
          <w:i/>
        </w:rPr>
        <w:t xml:space="preserve">Gavrilin </w:t>
      </w:r>
      <w:r w:rsidRPr="006305F8">
        <w:t>c.</w:t>
      </w:r>
      <w:r>
        <w:t> </w:t>
      </w:r>
      <w:r w:rsidRPr="006305F8">
        <w:rPr>
          <w:i/>
        </w:rPr>
        <w:t>Bélarus</w:t>
      </w:r>
      <w:r w:rsidRPr="006305F8">
        <w:t>, par. 7.3.</w:t>
      </w:r>
    </w:p>
  </w:footnote>
  <w:footnote w:id="33">
    <w:p w:rsidR="00D304D2" w:rsidRDefault="00D304D2">
      <w:pPr>
        <w:pStyle w:val="FootnoteText"/>
      </w:pPr>
      <w:r>
        <w:tab/>
      </w:r>
      <w:r>
        <w:rPr>
          <w:rStyle w:val="FootnoteReference"/>
        </w:rPr>
        <w:footnoteRef/>
      </w:r>
      <w:r>
        <w:tab/>
        <w:t>Communication n</w:t>
      </w:r>
      <w:r w:rsidRPr="009765A8">
        <w:rPr>
          <w:vertAlign w:val="superscript"/>
        </w:rPr>
        <w:t>o</w:t>
      </w:r>
      <w:r>
        <w:t> </w:t>
      </w:r>
      <w:r w:rsidRPr="009765A8">
        <w:t xml:space="preserve">1629/2007, </w:t>
      </w:r>
      <w:r w:rsidRPr="009765A8">
        <w:rPr>
          <w:i/>
        </w:rPr>
        <w:t xml:space="preserve">Fardon </w:t>
      </w:r>
      <w:r w:rsidRPr="009765A8">
        <w:t>c.</w:t>
      </w:r>
      <w:r>
        <w:t> </w:t>
      </w:r>
      <w:r w:rsidRPr="009765A8">
        <w:rPr>
          <w:i/>
        </w:rPr>
        <w:t>Australie</w:t>
      </w:r>
      <w:r w:rsidRPr="009765A8">
        <w:t>, par. 7.3.</w:t>
      </w:r>
    </w:p>
  </w:footnote>
  <w:footnote w:id="34">
    <w:p w:rsidR="00D304D2" w:rsidRDefault="00D304D2">
      <w:pPr>
        <w:pStyle w:val="FootnoteText"/>
      </w:pPr>
      <w:r>
        <w:tab/>
      </w:r>
      <w:r>
        <w:rPr>
          <w:rStyle w:val="FootnoteReference"/>
        </w:rPr>
        <w:footnoteRef/>
      </w:r>
      <w:r>
        <w:tab/>
      </w:r>
      <w:r w:rsidR="004D7FA2">
        <w:t>Ibid., par. 7.4 a) à 7.4 </w:t>
      </w:r>
      <w:r w:rsidRPr="00E67CAD">
        <w:t xml:space="preserve">c); voir observations finales concernant le rapport des </w:t>
      </w:r>
      <w:r w:rsidR="004D7FA2" w:rsidRPr="00E67CAD">
        <w:t>États-Unis</w:t>
      </w:r>
      <w:r w:rsidRPr="00E67CAD">
        <w:t xml:space="preserve"> d</w:t>
      </w:r>
      <w:r w:rsidR="00F100CC">
        <w:t>’</w:t>
      </w:r>
      <w:r w:rsidRPr="00E67CAD">
        <w:t>Amérique (CCPR/C/USA/CO/3/Rev.1, 2006), par. 19; Observation général</w:t>
      </w:r>
      <w:r>
        <w:t>e n</w:t>
      </w:r>
      <w:r w:rsidRPr="006B1E89">
        <w:rPr>
          <w:vertAlign w:val="superscript"/>
        </w:rPr>
        <w:t>o</w:t>
      </w:r>
      <w:r w:rsidRPr="006B1E89">
        <w:t> </w:t>
      </w:r>
      <w:r w:rsidRPr="00E67CAD">
        <w:t>32, par. 15 et 18.</w:t>
      </w:r>
    </w:p>
  </w:footnote>
  <w:footnote w:id="35">
    <w:p w:rsidR="00D304D2" w:rsidRDefault="00D304D2">
      <w:pPr>
        <w:pStyle w:val="FootnoteText"/>
      </w:pPr>
      <w:r>
        <w:tab/>
      </w:r>
      <w:r>
        <w:rPr>
          <w:rStyle w:val="FootnoteReference"/>
        </w:rPr>
        <w:footnoteRef/>
      </w:r>
      <w:r>
        <w:tab/>
        <w:t>Communication n</w:t>
      </w:r>
      <w:r w:rsidRPr="00E67CAD">
        <w:rPr>
          <w:vertAlign w:val="superscript"/>
        </w:rPr>
        <w:t>o</w:t>
      </w:r>
      <w:r>
        <w:t> </w:t>
      </w:r>
      <w:r w:rsidRPr="00E67CAD">
        <w:t xml:space="preserve">1629/2007, </w:t>
      </w:r>
      <w:r w:rsidRPr="00E67CAD">
        <w:rPr>
          <w:i/>
        </w:rPr>
        <w:t xml:space="preserve">Fardon </w:t>
      </w:r>
      <w:r w:rsidRPr="00E67CAD">
        <w:t>c.</w:t>
      </w:r>
      <w:r>
        <w:t> </w:t>
      </w:r>
      <w:r w:rsidRPr="00E67CAD">
        <w:rPr>
          <w:i/>
        </w:rPr>
        <w:t>Australie</w:t>
      </w:r>
      <w:r w:rsidRPr="00E67CAD">
        <w:t>, par. </w:t>
      </w:r>
      <w:r>
        <w:t>7.4 </w:t>
      </w:r>
      <w:r w:rsidRPr="00E67CAD">
        <w:t>a) (nouvelle peine d</w:t>
      </w:r>
      <w:r w:rsidR="00F100CC">
        <w:t>’</w:t>
      </w:r>
      <w:r w:rsidRPr="00E67CAD">
        <w:t>emprisonnement, qualifiée</w:t>
      </w:r>
      <w:r>
        <w:t xml:space="preserve"> de «</w:t>
      </w:r>
      <w:r w:rsidRPr="00E67CAD">
        <w:t>civile</w:t>
      </w:r>
      <w:r>
        <w:t>»</w:t>
      </w:r>
      <w:r w:rsidRPr="00E67CAD">
        <w:t>, sous le même régime carcéral que la peine précédente); voir observations finales concernant le rapport de la Belgique (CCPR/CO/81/BEL, 2004), par. 18 (placement dans les annexes psychiatriques des prisons) et concernant le rapport du Royaume-Uni (CCPR/CO/73/UK, 2001), par. 16 (placement de demandeurs d</w:t>
      </w:r>
      <w:r w:rsidR="00F100CC">
        <w:t>’</w:t>
      </w:r>
      <w:r w:rsidRPr="00E67CAD">
        <w:t>asile dans des prisons).</w:t>
      </w:r>
    </w:p>
  </w:footnote>
  <w:footnote w:id="36">
    <w:p w:rsidR="00D304D2" w:rsidRDefault="00D304D2">
      <w:pPr>
        <w:pStyle w:val="FootnoteText"/>
      </w:pPr>
      <w:r>
        <w:tab/>
      </w:r>
      <w:r>
        <w:rPr>
          <w:rStyle w:val="FootnoteReference"/>
        </w:rPr>
        <w:footnoteRef/>
      </w:r>
      <w:r>
        <w:tab/>
        <w:t>Communications n</w:t>
      </w:r>
      <w:r w:rsidRPr="00FE1B8A">
        <w:rPr>
          <w:vertAlign w:val="superscript"/>
        </w:rPr>
        <w:t>o</w:t>
      </w:r>
      <w:r>
        <w:t> </w:t>
      </w:r>
      <w:r w:rsidRPr="00FE1B8A">
        <w:t xml:space="preserve">1189/2003, </w:t>
      </w:r>
      <w:r w:rsidRPr="00FE1B8A">
        <w:rPr>
          <w:i/>
        </w:rPr>
        <w:t xml:space="preserve">Fernando </w:t>
      </w:r>
      <w:r w:rsidRPr="00FE1B8A">
        <w:t>c.</w:t>
      </w:r>
      <w:r>
        <w:t> </w:t>
      </w:r>
      <w:r w:rsidRPr="00FE1B8A">
        <w:rPr>
          <w:i/>
        </w:rPr>
        <w:t>Sri Lanka</w:t>
      </w:r>
      <w:r w:rsidRPr="00FE1B8A">
        <w:t xml:space="preserve">, par. 9.2; </w:t>
      </w:r>
      <w:r>
        <w:t>n</w:t>
      </w:r>
      <w:r w:rsidRPr="00FE1B8A">
        <w:rPr>
          <w:vertAlign w:val="superscript"/>
        </w:rPr>
        <w:t>o</w:t>
      </w:r>
      <w:r>
        <w:t> </w:t>
      </w:r>
      <w:r w:rsidRPr="00FE1B8A">
        <w:t xml:space="preserve">1373/2005, </w:t>
      </w:r>
      <w:r w:rsidRPr="00FE1B8A">
        <w:rPr>
          <w:i/>
        </w:rPr>
        <w:t xml:space="preserve">Dissanakye </w:t>
      </w:r>
      <w:r w:rsidRPr="00FE1B8A">
        <w:rPr>
          <w:iCs/>
        </w:rPr>
        <w:t>c.</w:t>
      </w:r>
      <w:r>
        <w:rPr>
          <w:iCs/>
        </w:rPr>
        <w:t> </w:t>
      </w:r>
      <w:r>
        <w:rPr>
          <w:i/>
        </w:rPr>
        <w:t>Sri </w:t>
      </w:r>
      <w:r w:rsidRPr="00FE1B8A">
        <w:rPr>
          <w:i/>
        </w:rPr>
        <w:t>Lanka</w:t>
      </w:r>
      <w:r w:rsidRPr="00FE1B8A">
        <w:t>, par. 8.3.</w:t>
      </w:r>
    </w:p>
  </w:footnote>
  <w:footnote w:id="37">
    <w:p w:rsidR="00D304D2" w:rsidRDefault="00D304D2">
      <w:pPr>
        <w:pStyle w:val="FootnoteText"/>
      </w:pPr>
      <w:r>
        <w:tab/>
      </w:r>
      <w:r>
        <w:rPr>
          <w:rStyle w:val="FootnoteReference"/>
        </w:rPr>
        <w:footnoteRef/>
      </w:r>
      <w:r>
        <w:tab/>
      </w:r>
      <w:r w:rsidRPr="000A3B73">
        <w:t xml:space="preserve">Ce paragraphe porte sur la détention de sûreté et non pas sur la question de la détention ordonnée à des fins de prévention après exécution de la peine punitive, qui est </w:t>
      </w:r>
      <w:r>
        <w:t>traitée plus loin au paragraphe </w:t>
      </w:r>
      <w:r w:rsidRPr="000A3B73">
        <w:t xml:space="preserve">21, ni </w:t>
      </w:r>
      <w:r>
        <w:t xml:space="preserve">sur </w:t>
      </w:r>
      <w:r w:rsidRPr="000A3B73">
        <w:t>la détention aux fins d</w:t>
      </w:r>
      <w:r w:rsidR="00F100CC">
        <w:t>’</w:t>
      </w:r>
      <w:r w:rsidRPr="000A3B73">
        <w:t>extradition ou de contrôle de l</w:t>
      </w:r>
      <w:r w:rsidR="00F100CC">
        <w:t>’</w:t>
      </w:r>
      <w:r w:rsidRPr="000A3B73">
        <w:t>imm</w:t>
      </w:r>
      <w:r>
        <w:t>igration, traitée au paragraphe </w:t>
      </w:r>
      <w:r w:rsidRPr="000A3B73">
        <w:t>18.</w:t>
      </w:r>
    </w:p>
  </w:footnote>
  <w:footnote w:id="38">
    <w:p w:rsidR="00D304D2" w:rsidRDefault="00D304D2">
      <w:pPr>
        <w:pStyle w:val="FootnoteText"/>
      </w:pPr>
      <w:r>
        <w:tab/>
      </w:r>
      <w:r>
        <w:rPr>
          <w:rStyle w:val="FootnoteReference"/>
        </w:rPr>
        <w:footnoteRef/>
      </w:r>
      <w:r>
        <w:tab/>
      </w:r>
      <w:r w:rsidRPr="007D0AA1">
        <w:t>Voir observations finales concernant le rapport de la Colombie (CCPR/C/CO</w:t>
      </w:r>
      <w:r w:rsidR="00094AE3">
        <w:t>L</w:t>
      </w:r>
      <w:r w:rsidRPr="007D0AA1">
        <w:t>/</w:t>
      </w:r>
      <w:r w:rsidR="00094AE3">
        <w:t>CO/</w:t>
      </w:r>
      <w:r w:rsidRPr="007D0AA1">
        <w:t>6, 2010), par. 20, et concernant le rappo</w:t>
      </w:r>
      <w:r w:rsidR="00094AE3">
        <w:t>rt de la Jordanie (CCPR/C/JOR/CO</w:t>
      </w:r>
      <w:r w:rsidRPr="007D0AA1">
        <w:t>/4, 2010), par. 11.</w:t>
      </w:r>
    </w:p>
  </w:footnote>
  <w:footnote w:id="39">
    <w:p w:rsidR="00D304D2" w:rsidRDefault="00D304D2">
      <w:pPr>
        <w:pStyle w:val="FootnoteText"/>
      </w:pPr>
      <w:r>
        <w:tab/>
      </w:r>
      <w:r>
        <w:rPr>
          <w:rStyle w:val="FootnoteReference"/>
        </w:rPr>
        <w:footnoteRef/>
      </w:r>
      <w:r>
        <w:tab/>
      </w:r>
      <w:r w:rsidRPr="00ED46BC">
        <w:t>Sur la relation entre l</w:t>
      </w:r>
      <w:r w:rsidR="00F100CC">
        <w:t>’</w:t>
      </w:r>
      <w:r w:rsidRPr="00ED46BC">
        <w:t>article</w:t>
      </w:r>
      <w:r>
        <w:t> 9 et l</w:t>
      </w:r>
      <w:r w:rsidR="00F100CC">
        <w:t>’</w:t>
      </w:r>
      <w:r>
        <w:t>article </w:t>
      </w:r>
      <w:r w:rsidRPr="00ED46BC">
        <w:t>4 du Pacte et le droit international humanitaire, voir plus loin les paragraphes 64 à 67.</w:t>
      </w:r>
    </w:p>
  </w:footnote>
  <w:footnote w:id="40">
    <w:p w:rsidR="00D304D2" w:rsidRDefault="00D304D2">
      <w:pPr>
        <w:pStyle w:val="FootnoteText"/>
      </w:pPr>
      <w:r>
        <w:tab/>
      </w:r>
      <w:r>
        <w:rPr>
          <w:rStyle w:val="FootnoteReference"/>
        </w:rPr>
        <w:footnoteRef/>
      </w:r>
      <w:r>
        <w:tab/>
        <w:t>Communication n</w:t>
      </w:r>
      <w:r w:rsidRPr="007320D5">
        <w:rPr>
          <w:vertAlign w:val="superscript"/>
        </w:rPr>
        <w:t>o</w:t>
      </w:r>
      <w:r>
        <w:t> </w:t>
      </w:r>
      <w:r w:rsidRPr="007320D5">
        <w:t xml:space="preserve">328/1988, </w:t>
      </w:r>
      <w:r w:rsidRPr="007320D5">
        <w:rPr>
          <w:i/>
        </w:rPr>
        <w:t xml:space="preserve">Zelaya Blanco </w:t>
      </w:r>
      <w:r w:rsidRPr="007320D5">
        <w:t>c.</w:t>
      </w:r>
      <w:r>
        <w:t> </w:t>
      </w:r>
      <w:r w:rsidRPr="007320D5">
        <w:rPr>
          <w:i/>
        </w:rPr>
        <w:t>Nicaragua</w:t>
      </w:r>
      <w:r w:rsidRPr="007320D5">
        <w:t>, par. 10.3.</w:t>
      </w:r>
    </w:p>
  </w:footnote>
  <w:footnote w:id="41">
    <w:p w:rsidR="00D304D2" w:rsidRDefault="00D304D2">
      <w:pPr>
        <w:pStyle w:val="FootnoteText"/>
      </w:pPr>
      <w:r>
        <w:tab/>
      </w:r>
      <w:r>
        <w:rPr>
          <w:rStyle w:val="FootnoteReference"/>
        </w:rPr>
        <w:footnoteRef/>
      </w:r>
      <w:r>
        <w:tab/>
        <w:t>Communication n</w:t>
      </w:r>
      <w:r w:rsidRPr="00BC1A29">
        <w:rPr>
          <w:vertAlign w:val="superscript"/>
        </w:rPr>
        <w:t>o</w:t>
      </w:r>
      <w:r>
        <w:t> </w:t>
      </w:r>
      <w:r w:rsidRPr="00BC1A29">
        <w:t xml:space="preserve">1314/2004, </w:t>
      </w:r>
      <w:r w:rsidRPr="00BC1A29">
        <w:rPr>
          <w:i/>
        </w:rPr>
        <w:t>O</w:t>
      </w:r>
      <w:r w:rsidR="00F100CC">
        <w:rPr>
          <w:i/>
        </w:rPr>
        <w:t>’</w:t>
      </w:r>
      <w:r w:rsidRPr="00BC1A29">
        <w:rPr>
          <w:i/>
        </w:rPr>
        <w:t xml:space="preserve">Neill et Quinn </w:t>
      </w:r>
      <w:r w:rsidRPr="00BC1A29">
        <w:t>c.</w:t>
      </w:r>
      <w:r>
        <w:rPr>
          <w:i/>
        </w:rPr>
        <w:t> </w:t>
      </w:r>
      <w:r w:rsidRPr="00BC1A29">
        <w:rPr>
          <w:i/>
        </w:rPr>
        <w:t>Irlande</w:t>
      </w:r>
      <w:r w:rsidR="00094AE3">
        <w:t>, par. 8.5 (</w:t>
      </w:r>
      <w:r w:rsidRPr="00BC1A29">
        <w:t>pas de violation); voir observations finales concernant le rapport du Honduras (CCPR/C/HND/CO/1, 2006), par. 13 (détention fondée sur l</w:t>
      </w:r>
      <w:r w:rsidR="00F100CC">
        <w:t>’</w:t>
      </w:r>
      <w:r w:rsidRPr="00BC1A29">
        <w:t>orientation sexuelle) et concernant le rapport du Cameroun (CCPR/C/CMR/CO/4, 2010), par. 12 (emprisonnement pour relations sexuelles entre adultes consentants du même sexe).</w:t>
      </w:r>
    </w:p>
  </w:footnote>
  <w:footnote w:id="42">
    <w:p w:rsidR="00D304D2" w:rsidRDefault="00D304D2">
      <w:pPr>
        <w:pStyle w:val="FootnoteText"/>
      </w:pPr>
      <w:r>
        <w:tab/>
      </w:r>
      <w:r>
        <w:rPr>
          <w:rStyle w:val="FootnoteReference"/>
        </w:rPr>
        <w:footnoteRef/>
      </w:r>
      <w:r>
        <w:tab/>
        <w:t>Communication n</w:t>
      </w:r>
      <w:r w:rsidRPr="00660136">
        <w:rPr>
          <w:vertAlign w:val="superscript"/>
        </w:rPr>
        <w:t>o</w:t>
      </w:r>
      <w:r>
        <w:t> </w:t>
      </w:r>
      <w:r w:rsidRPr="00660136">
        <w:t xml:space="preserve">1629/2007, </w:t>
      </w:r>
      <w:r w:rsidRPr="00660136">
        <w:rPr>
          <w:i/>
        </w:rPr>
        <w:t xml:space="preserve">Fardon </w:t>
      </w:r>
      <w:r w:rsidRPr="00660136">
        <w:t>c.</w:t>
      </w:r>
      <w:r>
        <w:t> </w:t>
      </w:r>
      <w:r w:rsidRPr="00660136">
        <w:rPr>
          <w:i/>
        </w:rPr>
        <w:t>Australie</w:t>
      </w:r>
      <w:r w:rsidR="001C69E1">
        <w:t>, par. 7.4 </w:t>
      </w:r>
      <w:r w:rsidRPr="00660136">
        <w:t>b).</w:t>
      </w:r>
    </w:p>
  </w:footnote>
  <w:footnote w:id="43">
    <w:p w:rsidR="00D304D2" w:rsidRDefault="00D304D2">
      <w:pPr>
        <w:pStyle w:val="FootnoteText"/>
      </w:pPr>
      <w:r>
        <w:tab/>
      </w:r>
      <w:r>
        <w:rPr>
          <w:rStyle w:val="FootnoteReference"/>
        </w:rPr>
        <w:footnoteRef/>
      </w:r>
      <w:r>
        <w:tab/>
      </w:r>
      <w:r w:rsidRPr="00720A06">
        <w:t>Communicatio</w:t>
      </w:r>
      <w:r>
        <w:t>n n</w:t>
      </w:r>
      <w:r w:rsidRPr="00720A06">
        <w:rPr>
          <w:vertAlign w:val="superscript"/>
        </w:rPr>
        <w:t>o</w:t>
      </w:r>
      <w:r>
        <w:t> </w:t>
      </w:r>
      <w:r w:rsidRPr="00720A06">
        <w:t xml:space="preserve">1007/2001, </w:t>
      </w:r>
      <w:r w:rsidRPr="00720A06">
        <w:rPr>
          <w:i/>
        </w:rPr>
        <w:t xml:space="preserve">Sineiro Fernández </w:t>
      </w:r>
      <w:r w:rsidRPr="00720A06">
        <w:t>c.</w:t>
      </w:r>
      <w:r>
        <w:rPr>
          <w:i/>
        </w:rPr>
        <w:t> </w:t>
      </w:r>
      <w:r w:rsidRPr="00720A06">
        <w:rPr>
          <w:i/>
        </w:rPr>
        <w:t>Espagne</w:t>
      </w:r>
      <w:r w:rsidRPr="00720A06">
        <w:t>, par. 6.3 (l</w:t>
      </w:r>
      <w:r w:rsidR="00F100CC">
        <w:t>’</w:t>
      </w:r>
      <w:r w:rsidRPr="00720A06">
        <w:t>absence de réexamen d</w:t>
      </w:r>
      <w:r w:rsidR="00F100CC">
        <w:t>’</w:t>
      </w:r>
      <w:r w:rsidRPr="00720A06">
        <w:t>une condamnation par une juridiction supérieure a constitué une violation du paragraphe</w:t>
      </w:r>
      <w:r>
        <w:t> 5 de l</w:t>
      </w:r>
      <w:r w:rsidR="00F100CC">
        <w:t>’</w:t>
      </w:r>
      <w:r w:rsidRPr="00720A06">
        <w:t>article 14, mais non du paragraphe 1 de l</w:t>
      </w:r>
      <w:r w:rsidR="00F100CC">
        <w:t>’</w:t>
      </w:r>
      <w:r>
        <w:t>article </w:t>
      </w:r>
      <w:r w:rsidRPr="00720A06">
        <w:t>9).</w:t>
      </w:r>
    </w:p>
  </w:footnote>
  <w:footnote w:id="44">
    <w:p w:rsidR="00D304D2" w:rsidRDefault="00D304D2">
      <w:pPr>
        <w:pStyle w:val="FootnoteText"/>
      </w:pPr>
      <w:r>
        <w:tab/>
      </w:r>
      <w:r>
        <w:rPr>
          <w:rStyle w:val="FootnoteReference"/>
        </w:rPr>
        <w:footnoteRef/>
      </w:r>
      <w:r>
        <w:tab/>
        <w:t>Communications n</w:t>
      </w:r>
      <w:r w:rsidRPr="006B1E89">
        <w:rPr>
          <w:vertAlign w:val="superscript"/>
        </w:rPr>
        <w:t>o</w:t>
      </w:r>
      <w:r>
        <w:t> </w:t>
      </w:r>
      <w:r w:rsidRPr="006B1E89">
        <w:t xml:space="preserve">560/1993, </w:t>
      </w:r>
      <w:r w:rsidRPr="006B1E89">
        <w:rPr>
          <w:i/>
        </w:rPr>
        <w:t xml:space="preserve">A. </w:t>
      </w:r>
      <w:r w:rsidRPr="006B1E89">
        <w:t>c</w:t>
      </w:r>
      <w:r>
        <w:rPr>
          <w:i/>
        </w:rPr>
        <w:t>. </w:t>
      </w:r>
      <w:r w:rsidRPr="006B1E89">
        <w:rPr>
          <w:i/>
        </w:rPr>
        <w:t>Australie</w:t>
      </w:r>
      <w:r w:rsidRPr="006B1E89">
        <w:t>, par. 9.3 et 9.4;</w:t>
      </w:r>
      <w:r>
        <w:t xml:space="preserve"> n</w:t>
      </w:r>
      <w:r w:rsidRPr="006B1E89">
        <w:rPr>
          <w:vertAlign w:val="superscript"/>
        </w:rPr>
        <w:t>o</w:t>
      </w:r>
      <w:r>
        <w:t> </w:t>
      </w:r>
      <w:r w:rsidRPr="006B1E89">
        <w:t xml:space="preserve">794/1998, </w:t>
      </w:r>
      <w:r w:rsidRPr="006B1E89">
        <w:rPr>
          <w:i/>
        </w:rPr>
        <w:t xml:space="preserve">Jalloh </w:t>
      </w:r>
      <w:r w:rsidRPr="006B1E89">
        <w:t>c.</w:t>
      </w:r>
      <w:r>
        <w:rPr>
          <w:i/>
        </w:rPr>
        <w:t> </w:t>
      </w:r>
      <w:r w:rsidRPr="006B1E89">
        <w:rPr>
          <w:i/>
        </w:rPr>
        <w:t>Pays-Bas</w:t>
      </w:r>
      <w:r w:rsidRPr="006B1E89">
        <w:t xml:space="preserve">, par. 8.2; </w:t>
      </w:r>
      <w:r>
        <w:t>n</w:t>
      </w:r>
      <w:r w:rsidRPr="006B1E89">
        <w:rPr>
          <w:vertAlign w:val="superscript"/>
        </w:rPr>
        <w:t>o</w:t>
      </w:r>
      <w:r>
        <w:t> </w:t>
      </w:r>
      <w:r w:rsidRPr="006B1E89">
        <w:t xml:space="preserve">1557/2007, </w:t>
      </w:r>
      <w:r w:rsidRPr="006B1E89">
        <w:rPr>
          <w:i/>
        </w:rPr>
        <w:t xml:space="preserve">Nystrom </w:t>
      </w:r>
      <w:r w:rsidRPr="006B1E89">
        <w:t>c.</w:t>
      </w:r>
      <w:r>
        <w:rPr>
          <w:i/>
        </w:rPr>
        <w:t> </w:t>
      </w:r>
      <w:r w:rsidRPr="006B1E89">
        <w:rPr>
          <w:i/>
        </w:rPr>
        <w:t>Australie</w:t>
      </w:r>
      <w:r w:rsidRPr="006B1E89">
        <w:t>, par. 7.2 et 7.3.</w:t>
      </w:r>
    </w:p>
  </w:footnote>
  <w:footnote w:id="45">
    <w:p w:rsidR="00D304D2" w:rsidRDefault="00D304D2">
      <w:pPr>
        <w:pStyle w:val="FootnoteText"/>
      </w:pPr>
      <w:r>
        <w:tab/>
      </w:r>
      <w:r>
        <w:rPr>
          <w:rStyle w:val="FootnoteReference"/>
        </w:rPr>
        <w:footnoteRef/>
      </w:r>
      <w:r>
        <w:tab/>
        <w:t>Communication n</w:t>
      </w:r>
      <w:r w:rsidRPr="005C0966">
        <w:rPr>
          <w:vertAlign w:val="superscript"/>
        </w:rPr>
        <w:t>o</w:t>
      </w:r>
      <w:r>
        <w:t> </w:t>
      </w:r>
      <w:r w:rsidRPr="005C0966">
        <w:t xml:space="preserve">1069/2002, </w:t>
      </w:r>
      <w:r w:rsidRPr="005C0966">
        <w:rPr>
          <w:i/>
        </w:rPr>
        <w:t xml:space="preserve">Bakhtiyari </w:t>
      </w:r>
      <w:r>
        <w:t>c. </w:t>
      </w:r>
      <w:r w:rsidRPr="005C0966">
        <w:rPr>
          <w:i/>
        </w:rPr>
        <w:t>Australie</w:t>
      </w:r>
      <w:r w:rsidRPr="005C0966">
        <w:t>, par. 9.2 et 9.3.</w:t>
      </w:r>
    </w:p>
  </w:footnote>
  <w:footnote w:id="46">
    <w:p w:rsidR="00D304D2" w:rsidRDefault="00D304D2">
      <w:pPr>
        <w:pStyle w:val="FootnoteText"/>
      </w:pPr>
      <w:r>
        <w:tab/>
      </w:r>
      <w:r>
        <w:rPr>
          <w:rStyle w:val="FootnoteReference"/>
        </w:rPr>
        <w:footnoteRef/>
      </w:r>
      <w:r>
        <w:tab/>
        <w:t>Communications n</w:t>
      </w:r>
      <w:r w:rsidRPr="005C0966">
        <w:rPr>
          <w:vertAlign w:val="superscript"/>
        </w:rPr>
        <w:t>o</w:t>
      </w:r>
      <w:r>
        <w:t> </w:t>
      </w:r>
      <w:r w:rsidRPr="005C0966">
        <w:t xml:space="preserve">1551/2007, </w:t>
      </w:r>
      <w:r w:rsidRPr="005C0966">
        <w:rPr>
          <w:i/>
        </w:rPr>
        <w:t xml:space="preserve">Tarlue </w:t>
      </w:r>
      <w:r w:rsidRPr="005C0966">
        <w:t>c.</w:t>
      </w:r>
      <w:r>
        <w:t> </w:t>
      </w:r>
      <w:r w:rsidRPr="005C0966">
        <w:rPr>
          <w:i/>
        </w:rPr>
        <w:t>Canada</w:t>
      </w:r>
      <w:r w:rsidRPr="005C0966">
        <w:t xml:space="preserve">, par. 3.3 et 7.6; </w:t>
      </w:r>
      <w:r>
        <w:t>n</w:t>
      </w:r>
      <w:r w:rsidRPr="005C0966">
        <w:rPr>
          <w:vertAlign w:val="superscript"/>
        </w:rPr>
        <w:t>o</w:t>
      </w:r>
      <w:r>
        <w:t> </w:t>
      </w:r>
      <w:r w:rsidRPr="005C0966">
        <w:t xml:space="preserve">1051/2002, </w:t>
      </w:r>
      <w:r w:rsidRPr="005C0966">
        <w:rPr>
          <w:i/>
        </w:rPr>
        <w:t xml:space="preserve">Ahani </w:t>
      </w:r>
      <w:r w:rsidRPr="005C0966">
        <w:t>c.</w:t>
      </w:r>
      <w:r>
        <w:rPr>
          <w:i/>
        </w:rPr>
        <w:t> </w:t>
      </w:r>
      <w:r w:rsidRPr="005C0966">
        <w:rPr>
          <w:i/>
        </w:rPr>
        <w:t>Canada</w:t>
      </w:r>
      <w:r w:rsidRPr="005C0966">
        <w:t>, par. 10.2.</w:t>
      </w:r>
    </w:p>
  </w:footnote>
  <w:footnote w:id="47">
    <w:p w:rsidR="00D304D2" w:rsidRDefault="00D304D2">
      <w:pPr>
        <w:pStyle w:val="FootnoteText"/>
      </w:pPr>
      <w:r>
        <w:tab/>
      </w:r>
      <w:r>
        <w:rPr>
          <w:rStyle w:val="FootnoteReference"/>
        </w:rPr>
        <w:footnoteRef/>
      </w:r>
      <w:r>
        <w:tab/>
        <w:t>Communications n</w:t>
      </w:r>
      <w:r w:rsidRPr="005C0966">
        <w:rPr>
          <w:vertAlign w:val="superscript"/>
        </w:rPr>
        <w:t>o</w:t>
      </w:r>
      <w:r>
        <w:t> </w:t>
      </w:r>
      <w:r w:rsidRPr="005C0966">
        <w:t xml:space="preserve">1014/2001, </w:t>
      </w:r>
      <w:r w:rsidRPr="005C0966">
        <w:rPr>
          <w:i/>
        </w:rPr>
        <w:t xml:space="preserve">Baban </w:t>
      </w:r>
      <w:r w:rsidRPr="005C0966">
        <w:t>c.</w:t>
      </w:r>
      <w:r>
        <w:rPr>
          <w:i/>
        </w:rPr>
        <w:t> </w:t>
      </w:r>
      <w:r w:rsidRPr="005C0966">
        <w:rPr>
          <w:i/>
        </w:rPr>
        <w:t>Australie</w:t>
      </w:r>
      <w:r w:rsidRPr="005C0966">
        <w:t xml:space="preserve">, par. 7.2; </w:t>
      </w:r>
      <w:r>
        <w:t>n</w:t>
      </w:r>
      <w:r w:rsidRPr="005C0966">
        <w:rPr>
          <w:vertAlign w:val="superscript"/>
        </w:rPr>
        <w:t>o</w:t>
      </w:r>
      <w:r>
        <w:t> </w:t>
      </w:r>
      <w:r w:rsidRPr="005C0966">
        <w:t xml:space="preserve">1069/2002, </w:t>
      </w:r>
      <w:r w:rsidRPr="005C0966">
        <w:rPr>
          <w:i/>
        </w:rPr>
        <w:t xml:space="preserve">Bakhtiyari </w:t>
      </w:r>
      <w:r w:rsidRPr="005C0966">
        <w:t>c.</w:t>
      </w:r>
      <w:r>
        <w:rPr>
          <w:i/>
        </w:rPr>
        <w:t> </w:t>
      </w:r>
      <w:r w:rsidRPr="005C0966">
        <w:rPr>
          <w:i/>
        </w:rPr>
        <w:t>Australie</w:t>
      </w:r>
      <w:r w:rsidRPr="005C0966">
        <w:t xml:space="preserve">, par. 9.2 et 9.3; voir Haut-Commissariat des Nations Unies pour les réfugiés (HCR) </w:t>
      </w:r>
      <w:r>
        <w:t>«</w:t>
      </w:r>
      <w:r w:rsidRPr="005C0966">
        <w:t>Principes directeurs relatifs aux critère</w:t>
      </w:r>
      <w:r>
        <w:t>s</w:t>
      </w:r>
      <w:r w:rsidRPr="005C0966">
        <w:t xml:space="preserve"> et aux normes applicables à la détention des demandeurs d</w:t>
      </w:r>
      <w:r w:rsidR="00F100CC">
        <w:t>’</w:t>
      </w:r>
      <w:r w:rsidRPr="005C0966">
        <w:t>asile</w:t>
      </w:r>
      <w:r>
        <w:t xml:space="preserve"> et alternatives à la détention</w:t>
      </w:r>
      <w:r w:rsidRPr="005C0966">
        <w:t>» (2012), principe directeur</w:t>
      </w:r>
      <w:r>
        <w:t> </w:t>
      </w:r>
      <w:r w:rsidRPr="005C0966">
        <w:t>4.3 et annex</w:t>
      </w:r>
      <w:r>
        <w:t>e </w:t>
      </w:r>
      <w:r w:rsidRPr="005C0966">
        <w:t>A (où sont exposées des mesures de substitution à la détention).</w:t>
      </w:r>
    </w:p>
  </w:footnote>
  <w:footnote w:id="48">
    <w:p w:rsidR="00D304D2" w:rsidRDefault="00D304D2">
      <w:pPr>
        <w:pStyle w:val="FootnoteText"/>
      </w:pPr>
      <w:r>
        <w:tab/>
      </w:r>
      <w:r>
        <w:rPr>
          <w:rStyle w:val="FootnoteReference"/>
        </w:rPr>
        <w:footnoteRef/>
      </w:r>
      <w:r>
        <w:tab/>
        <w:t>Communications n</w:t>
      </w:r>
      <w:r w:rsidRPr="007F5A41">
        <w:rPr>
          <w:vertAlign w:val="superscript"/>
        </w:rPr>
        <w:t>o</w:t>
      </w:r>
      <w:r>
        <w:t> </w:t>
      </w:r>
      <w:r w:rsidRPr="007F5A41">
        <w:t xml:space="preserve">1324/2004, </w:t>
      </w:r>
      <w:r w:rsidRPr="007F5A41">
        <w:rPr>
          <w:i/>
        </w:rPr>
        <w:t xml:space="preserve">Shafiq </w:t>
      </w:r>
      <w:r w:rsidRPr="007F5A41">
        <w:t>c.</w:t>
      </w:r>
      <w:r>
        <w:rPr>
          <w:i/>
        </w:rPr>
        <w:t> </w:t>
      </w:r>
      <w:r w:rsidRPr="007F5A41">
        <w:rPr>
          <w:i/>
        </w:rPr>
        <w:t>Australie</w:t>
      </w:r>
      <w:r w:rsidRPr="007F5A41">
        <w:t>, par. 7.3;</w:t>
      </w:r>
      <w:r>
        <w:t xml:space="preserve"> n</w:t>
      </w:r>
      <w:r w:rsidRPr="007F5A41">
        <w:rPr>
          <w:vertAlign w:val="superscript"/>
        </w:rPr>
        <w:t>o</w:t>
      </w:r>
      <w:r>
        <w:t> </w:t>
      </w:r>
      <w:r w:rsidRPr="007F5A41">
        <w:t xml:space="preserve">900/1999, </w:t>
      </w:r>
      <w:r w:rsidRPr="007F5A41">
        <w:rPr>
          <w:i/>
        </w:rPr>
        <w:t>C.</w:t>
      </w:r>
      <w:r>
        <w:rPr>
          <w:i/>
        </w:rPr>
        <w:t xml:space="preserve"> </w:t>
      </w:r>
      <w:r w:rsidRPr="007F5A41">
        <w:t>c.</w:t>
      </w:r>
      <w:r>
        <w:rPr>
          <w:i/>
        </w:rPr>
        <w:t> </w:t>
      </w:r>
      <w:r w:rsidRPr="007F5A41">
        <w:rPr>
          <w:i/>
        </w:rPr>
        <w:t>Australie</w:t>
      </w:r>
      <w:r w:rsidRPr="007F5A41">
        <w:t>, par. 8.2 et 8.4.</w:t>
      </w:r>
    </w:p>
  </w:footnote>
  <w:footnote w:id="49">
    <w:p w:rsidR="00D304D2" w:rsidRDefault="00D304D2">
      <w:pPr>
        <w:pStyle w:val="FootnoteText"/>
      </w:pPr>
      <w:r>
        <w:tab/>
      </w:r>
      <w:r>
        <w:rPr>
          <w:rStyle w:val="FootnoteReference"/>
        </w:rPr>
        <w:footnoteRef/>
      </w:r>
      <w:r>
        <w:tab/>
        <w:t>Communication n</w:t>
      </w:r>
      <w:r w:rsidRPr="008D75AB">
        <w:rPr>
          <w:vertAlign w:val="superscript"/>
        </w:rPr>
        <w:t>o</w:t>
      </w:r>
      <w:r>
        <w:t> </w:t>
      </w:r>
      <w:r w:rsidRPr="008D75AB">
        <w:t xml:space="preserve">2094/2011, </w:t>
      </w:r>
      <w:r w:rsidRPr="008D75AB">
        <w:rPr>
          <w:i/>
          <w:iCs/>
        </w:rPr>
        <w:t>F.</w:t>
      </w:r>
      <w:r w:rsidR="001C69E1">
        <w:rPr>
          <w:i/>
          <w:iCs/>
        </w:rPr>
        <w:t> </w:t>
      </w:r>
      <w:r w:rsidRPr="008D75AB">
        <w:rPr>
          <w:i/>
          <w:iCs/>
        </w:rPr>
        <w:t>K.</w:t>
      </w:r>
      <w:r w:rsidR="001C69E1">
        <w:rPr>
          <w:i/>
          <w:iCs/>
        </w:rPr>
        <w:t> </w:t>
      </w:r>
      <w:r w:rsidRPr="008D75AB">
        <w:rPr>
          <w:i/>
          <w:iCs/>
        </w:rPr>
        <w:t>A.</w:t>
      </w:r>
      <w:r w:rsidR="001C69E1">
        <w:rPr>
          <w:i/>
          <w:iCs/>
        </w:rPr>
        <w:t> </w:t>
      </w:r>
      <w:r w:rsidRPr="008D75AB">
        <w:rPr>
          <w:i/>
          <w:iCs/>
        </w:rPr>
        <w:t>G</w:t>
      </w:r>
      <w:r>
        <w:rPr>
          <w:i/>
          <w:iCs/>
        </w:rPr>
        <w:t>.</w:t>
      </w:r>
      <w:r w:rsidRPr="008D75AB">
        <w:rPr>
          <w:iCs/>
        </w:rPr>
        <w:t xml:space="preserve"> c.</w:t>
      </w:r>
      <w:r>
        <w:rPr>
          <w:i/>
          <w:iCs/>
        </w:rPr>
        <w:t> </w:t>
      </w:r>
      <w:r w:rsidRPr="008D75AB">
        <w:rPr>
          <w:i/>
          <w:iCs/>
        </w:rPr>
        <w:t>Australie</w:t>
      </w:r>
      <w:r w:rsidRPr="008D75AB">
        <w:t>, par. 9.3.</w:t>
      </w:r>
    </w:p>
  </w:footnote>
  <w:footnote w:id="50">
    <w:p w:rsidR="00D304D2" w:rsidRDefault="00D304D2">
      <w:pPr>
        <w:pStyle w:val="FootnoteText"/>
      </w:pPr>
      <w:r>
        <w:tab/>
      </w:r>
      <w:r>
        <w:rPr>
          <w:rStyle w:val="FootnoteReference"/>
        </w:rPr>
        <w:footnoteRef/>
      </w:r>
      <w:r>
        <w:tab/>
        <w:t>Communications n</w:t>
      </w:r>
      <w:r w:rsidRPr="001575BD">
        <w:rPr>
          <w:vertAlign w:val="superscript"/>
        </w:rPr>
        <w:t>o</w:t>
      </w:r>
      <w:r>
        <w:t> </w:t>
      </w:r>
      <w:r w:rsidRPr="001575BD">
        <w:t xml:space="preserve">1050/2002, </w:t>
      </w:r>
      <w:r w:rsidRPr="001575BD">
        <w:rPr>
          <w:i/>
        </w:rPr>
        <w:t xml:space="preserve">D. et E. </w:t>
      </w:r>
      <w:r w:rsidRPr="001575BD">
        <w:t>c.</w:t>
      </w:r>
      <w:r>
        <w:rPr>
          <w:i/>
        </w:rPr>
        <w:t> </w:t>
      </w:r>
      <w:r w:rsidRPr="001575BD">
        <w:rPr>
          <w:i/>
        </w:rPr>
        <w:t>Australie</w:t>
      </w:r>
      <w:r w:rsidRPr="001575BD">
        <w:t xml:space="preserve">, par. 7.2; </w:t>
      </w:r>
      <w:r>
        <w:t>n</w:t>
      </w:r>
      <w:r w:rsidRPr="001575BD">
        <w:rPr>
          <w:vertAlign w:val="superscript"/>
        </w:rPr>
        <w:t>o</w:t>
      </w:r>
      <w:r>
        <w:t> </w:t>
      </w:r>
      <w:r w:rsidRPr="001575BD">
        <w:t xml:space="preserve">794/1998, </w:t>
      </w:r>
      <w:r w:rsidRPr="001575BD">
        <w:rPr>
          <w:i/>
        </w:rPr>
        <w:t xml:space="preserve">Jalloh </w:t>
      </w:r>
      <w:r>
        <w:t>c. </w:t>
      </w:r>
      <w:r w:rsidRPr="001575BD">
        <w:rPr>
          <w:i/>
        </w:rPr>
        <w:t>Pays-Bas</w:t>
      </w:r>
      <w:r w:rsidRPr="001575BD">
        <w:t>, par. 8.2 et 8.3; voir aussi Convention relative aux droits de l</w:t>
      </w:r>
      <w:r w:rsidR="00F100CC">
        <w:t>’</w:t>
      </w:r>
      <w:r w:rsidRPr="001575BD">
        <w:t>enfant, art. 3, par.</w:t>
      </w:r>
      <w:r>
        <w:t> </w:t>
      </w:r>
      <w:r w:rsidRPr="001575BD">
        <w:t>1, et</w:t>
      </w:r>
      <w:r w:rsidR="001C69E1">
        <w:t xml:space="preserve"> 37 </w:t>
      </w:r>
      <w:r w:rsidRPr="001575BD">
        <w:t>b).</w:t>
      </w:r>
    </w:p>
  </w:footnote>
  <w:footnote w:id="51">
    <w:p w:rsidR="00D304D2" w:rsidRDefault="00D304D2">
      <w:pPr>
        <w:pStyle w:val="FootnoteText"/>
      </w:pPr>
      <w:r>
        <w:tab/>
      </w:r>
      <w:r>
        <w:rPr>
          <w:rStyle w:val="FootnoteReference"/>
        </w:rPr>
        <w:footnoteRef/>
      </w:r>
      <w:r>
        <w:tab/>
      </w:r>
      <w:r w:rsidRPr="00490457">
        <w:t>Voir observations finales concernant le rapport de la Lettonie (CCPR/C/LVA/CO/3, 2014), par. </w:t>
      </w:r>
      <w:r w:rsidRPr="00490457">
        <w:rPr>
          <w:lang w:val="en-GB"/>
        </w:rPr>
        <w:t>16.</w:t>
      </w:r>
    </w:p>
  </w:footnote>
  <w:footnote w:id="52">
    <w:p w:rsidR="00D304D2" w:rsidRDefault="00D304D2">
      <w:pPr>
        <w:pStyle w:val="FootnoteText"/>
      </w:pPr>
      <w:r>
        <w:tab/>
      </w:r>
      <w:r>
        <w:rPr>
          <w:rStyle w:val="FootnoteReference"/>
        </w:rPr>
        <w:footnoteRef/>
      </w:r>
      <w:r>
        <w:tab/>
      </w:r>
      <w:r w:rsidRPr="00314A4B">
        <w:t>Communications</w:t>
      </w:r>
      <w:r>
        <w:t xml:space="preserve"> n</w:t>
      </w:r>
      <w:r w:rsidRPr="00314A4B">
        <w:rPr>
          <w:vertAlign w:val="superscript"/>
        </w:rPr>
        <w:t>o</w:t>
      </w:r>
      <w:r>
        <w:t> </w:t>
      </w:r>
      <w:r w:rsidRPr="00314A4B">
        <w:t xml:space="preserve">1061/2002, </w:t>
      </w:r>
      <w:r w:rsidRPr="00314A4B">
        <w:rPr>
          <w:i/>
        </w:rPr>
        <w:t xml:space="preserve">Fijalkowska </w:t>
      </w:r>
      <w:r w:rsidRPr="00314A4B">
        <w:t>c.</w:t>
      </w:r>
      <w:r>
        <w:rPr>
          <w:i/>
        </w:rPr>
        <w:t> </w:t>
      </w:r>
      <w:r w:rsidRPr="00314A4B">
        <w:rPr>
          <w:i/>
        </w:rPr>
        <w:t>Pologne</w:t>
      </w:r>
      <w:r w:rsidRPr="00314A4B">
        <w:t xml:space="preserve">, par. 8.3; </w:t>
      </w:r>
      <w:r>
        <w:t>n</w:t>
      </w:r>
      <w:r w:rsidRPr="00314A4B">
        <w:rPr>
          <w:vertAlign w:val="superscript"/>
        </w:rPr>
        <w:t>o</w:t>
      </w:r>
      <w:r>
        <w:t> </w:t>
      </w:r>
      <w:r w:rsidRPr="00314A4B">
        <w:t xml:space="preserve">1629/2007, </w:t>
      </w:r>
      <w:r w:rsidRPr="00314A4B">
        <w:rPr>
          <w:i/>
        </w:rPr>
        <w:t xml:space="preserve">Fardon </w:t>
      </w:r>
      <w:r w:rsidRPr="00314A4B">
        <w:t>c.</w:t>
      </w:r>
      <w:r>
        <w:t> </w:t>
      </w:r>
      <w:r w:rsidRPr="00314A4B">
        <w:rPr>
          <w:i/>
        </w:rPr>
        <w:t>Australie</w:t>
      </w:r>
      <w:r w:rsidRPr="00314A4B">
        <w:t>, par. 7.3; voir observations finales concernant le rapport de la Fédération de Russie (CCPR/C/RUS/CO/6, 2009), par. 19; Convention relative aux droits des personnes handicapées, art. 14, par.</w:t>
      </w:r>
      <w:r>
        <w:t> </w:t>
      </w:r>
      <w:r w:rsidR="00F7448E">
        <w:t>1 </w:t>
      </w:r>
      <w:r w:rsidRPr="00314A4B">
        <w:t>b).</w:t>
      </w:r>
    </w:p>
  </w:footnote>
  <w:footnote w:id="53">
    <w:p w:rsidR="00D304D2" w:rsidRDefault="00D304D2">
      <w:pPr>
        <w:pStyle w:val="FootnoteText"/>
      </w:pPr>
      <w:r>
        <w:tab/>
      </w:r>
      <w:r>
        <w:rPr>
          <w:rStyle w:val="FootnoteReference"/>
        </w:rPr>
        <w:footnoteRef/>
      </w:r>
      <w:r>
        <w:tab/>
        <w:t>Communication n</w:t>
      </w:r>
      <w:r w:rsidRPr="00DB717D">
        <w:rPr>
          <w:vertAlign w:val="superscript"/>
        </w:rPr>
        <w:t>o</w:t>
      </w:r>
      <w:r>
        <w:t> </w:t>
      </w:r>
      <w:r w:rsidRPr="00DB717D">
        <w:t xml:space="preserve">1061/2002, </w:t>
      </w:r>
      <w:r w:rsidRPr="00DB717D">
        <w:rPr>
          <w:i/>
        </w:rPr>
        <w:t xml:space="preserve">Fijalkowska </w:t>
      </w:r>
      <w:r w:rsidRPr="00DB717D">
        <w:t>c.</w:t>
      </w:r>
      <w:r>
        <w:rPr>
          <w:i/>
        </w:rPr>
        <w:t> </w:t>
      </w:r>
      <w:r w:rsidRPr="00DB717D">
        <w:rPr>
          <w:i/>
        </w:rPr>
        <w:t>Pologne</w:t>
      </w:r>
      <w:r w:rsidRPr="00DB717D">
        <w:t>, par. 8.3.</w:t>
      </w:r>
    </w:p>
  </w:footnote>
  <w:footnote w:id="54">
    <w:p w:rsidR="00D304D2" w:rsidRDefault="00D304D2">
      <w:pPr>
        <w:pStyle w:val="FootnoteText"/>
      </w:pPr>
      <w:r>
        <w:tab/>
      </w:r>
      <w:r>
        <w:rPr>
          <w:rStyle w:val="FootnoteReference"/>
        </w:rPr>
        <w:footnoteRef/>
      </w:r>
      <w:r>
        <w:tab/>
      </w:r>
      <w:r w:rsidRPr="00DB717D">
        <w:t>Voir observations finales concernant le rapport de la République tchèque (</w:t>
      </w:r>
      <w:r>
        <w:t xml:space="preserve">CCPR/C/CZE/CO/2, 2007), par. 14; </w:t>
      </w:r>
      <w:r w:rsidRPr="00DB717D">
        <w:t>voir aussi Comité des droits de l</w:t>
      </w:r>
      <w:r w:rsidR="00F100CC">
        <w:t>’</w:t>
      </w:r>
      <w:r>
        <w:t>enfant, Observation générale n</w:t>
      </w:r>
      <w:r w:rsidRPr="00DB717D">
        <w:rPr>
          <w:vertAlign w:val="superscript"/>
        </w:rPr>
        <w:t>o</w:t>
      </w:r>
      <w:r>
        <w:t> </w:t>
      </w:r>
      <w:r w:rsidRPr="00DB717D">
        <w:t>9, par. 48.</w:t>
      </w:r>
    </w:p>
  </w:footnote>
  <w:footnote w:id="55">
    <w:p w:rsidR="00D304D2" w:rsidRDefault="00D304D2">
      <w:pPr>
        <w:pStyle w:val="FootnoteText"/>
      </w:pPr>
      <w:r>
        <w:tab/>
      </w:r>
      <w:r>
        <w:rPr>
          <w:rStyle w:val="FootnoteReference"/>
        </w:rPr>
        <w:footnoteRef/>
      </w:r>
      <w:r>
        <w:tab/>
      </w:r>
      <w:r w:rsidRPr="00DB717D">
        <w:t>Voir observations finales concernant le rapport de la Bulgarie (CCPR/C/BGR/CO/3, 2011), par. 10.</w:t>
      </w:r>
    </w:p>
  </w:footnote>
  <w:footnote w:id="56">
    <w:p w:rsidR="00D304D2" w:rsidRDefault="00D304D2">
      <w:pPr>
        <w:pStyle w:val="FootnoteText"/>
      </w:pPr>
      <w:r>
        <w:tab/>
      </w:r>
      <w:r>
        <w:rPr>
          <w:rStyle w:val="FootnoteReference"/>
        </w:rPr>
        <w:footnoteRef/>
      </w:r>
      <w:r>
        <w:tab/>
        <w:t>Communication n</w:t>
      </w:r>
      <w:r w:rsidRPr="00DB717D">
        <w:rPr>
          <w:vertAlign w:val="superscript"/>
        </w:rPr>
        <w:t>o</w:t>
      </w:r>
      <w:r>
        <w:t> </w:t>
      </w:r>
      <w:r w:rsidRPr="00DB717D">
        <w:t xml:space="preserve">754/1997, </w:t>
      </w:r>
      <w:r w:rsidR="00A865A0">
        <w:rPr>
          <w:i/>
        </w:rPr>
        <w:t>A. </w:t>
      </w:r>
      <w:r w:rsidRPr="00DB717D">
        <w:t>c.</w:t>
      </w:r>
      <w:r>
        <w:rPr>
          <w:i/>
        </w:rPr>
        <w:t> </w:t>
      </w:r>
      <w:r w:rsidR="00344769">
        <w:rPr>
          <w:i/>
        </w:rPr>
        <w:t>Nouvelle</w:t>
      </w:r>
      <w:r w:rsidR="00344769">
        <w:rPr>
          <w:i/>
        </w:rPr>
        <w:noBreakHyphen/>
      </w:r>
      <w:r w:rsidRPr="00DB717D">
        <w:rPr>
          <w:i/>
        </w:rPr>
        <w:t>Zélande</w:t>
      </w:r>
      <w:r w:rsidRPr="00DB717D">
        <w:t>, par.</w:t>
      </w:r>
      <w:r>
        <w:t> </w:t>
      </w:r>
      <w:r w:rsidRPr="00DB717D">
        <w:t>7.2; voir Comité des droits de l</w:t>
      </w:r>
      <w:r w:rsidR="00F100CC">
        <w:t>’</w:t>
      </w:r>
      <w:r>
        <w:t>enfant, Observation générale n</w:t>
      </w:r>
      <w:r w:rsidRPr="00DB717D">
        <w:rPr>
          <w:vertAlign w:val="superscript"/>
        </w:rPr>
        <w:t>o</w:t>
      </w:r>
      <w:r>
        <w:t> </w:t>
      </w:r>
      <w:r w:rsidRPr="00DB717D">
        <w:t>9, par. 50.</w:t>
      </w:r>
    </w:p>
  </w:footnote>
  <w:footnote w:id="57">
    <w:p w:rsidR="00D304D2" w:rsidRDefault="00D304D2">
      <w:pPr>
        <w:pStyle w:val="FootnoteText"/>
      </w:pPr>
      <w:r>
        <w:tab/>
      </w:r>
      <w:r>
        <w:rPr>
          <w:rStyle w:val="FootnoteReference"/>
        </w:rPr>
        <w:footnoteRef/>
      </w:r>
      <w:r>
        <w:tab/>
        <w:t>Communications n</w:t>
      </w:r>
      <w:r w:rsidRPr="00DB717D">
        <w:rPr>
          <w:vertAlign w:val="superscript"/>
        </w:rPr>
        <w:t>o</w:t>
      </w:r>
      <w:r>
        <w:t> </w:t>
      </w:r>
      <w:r w:rsidRPr="00DB717D">
        <w:t xml:space="preserve">1061/2002, </w:t>
      </w:r>
      <w:r w:rsidRPr="00DB717D">
        <w:rPr>
          <w:i/>
        </w:rPr>
        <w:t>Fijalkowska</w:t>
      </w:r>
      <w:r w:rsidRPr="00DB717D">
        <w:t xml:space="preserve"> c</w:t>
      </w:r>
      <w:r w:rsidRPr="00DB717D">
        <w:rPr>
          <w:i/>
        </w:rPr>
        <w:t>.</w:t>
      </w:r>
      <w:r>
        <w:rPr>
          <w:i/>
        </w:rPr>
        <w:t> </w:t>
      </w:r>
      <w:r w:rsidRPr="00DB717D">
        <w:rPr>
          <w:i/>
        </w:rPr>
        <w:t>Pologne</w:t>
      </w:r>
      <w:r w:rsidRPr="00DB717D">
        <w:t>, par.</w:t>
      </w:r>
      <w:r>
        <w:t> </w:t>
      </w:r>
      <w:r w:rsidRPr="00DB717D">
        <w:t xml:space="preserve">8.3 et 8.4; </w:t>
      </w:r>
      <w:r>
        <w:t>n</w:t>
      </w:r>
      <w:r w:rsidRPr="00DB717D">
        <w:rPr>
          <w:vertAlign w:val="superscript"/>
        </w:rPr>
        <w:t>o</w:t>
      </w:r>
      <w:r>
        <w:t> </w:t>
      </w:r>
      <w:r w:rsidRPr="00DB717D">
        <w:t xml:space="preserve">754/1997, </w:t>
      </w:r>
      <w:r w:rsidR="00F7448E">
        <w:rPr>
          <w:i/>
        </w:rPr>
        <w:t>A. </w:t>
      </w:r>
      <w:r>
        <w:t>c. </w:t>
      </w:r>
      <w:r w:rsidRPr="00F7448E">
        <w:rPr>
          <w:i/>
        </w:rPr>
        <w:t>Nouvelle</w:t>
      </w:r>
      <w:r w:rsidRPr="00F7448E">
        <w:rPr>
          <w:i/>
        </w:rPr>
        <w:noBreakHyphen/>
        <w:t>Zélande</w:t>
      </w:r>
      <w:r w:rsidRPr="00DB717D">
        <w:t>, par.</w:t>
      </w:r>
      <w:r>
        <w:t> </w:t>
      </w:r>
      <w:r w:rsidRPr="00DB717D">
        <w:t xml:space="preserve">7.3; </w:t>
      </w:r>
      <w:r>
        <w:t>Observation générale n</w:t>
      </w:r>
      <w:r w:rsidRPr="00DB717D">
        <w:rPr>
          <w:vertAlign w:val="superscript"/>
        </w:rPr>
        <w:t>o</w:t>
      </w:r>
      <w:r>
        <w:t> </w:t>
      </w:r>
      <w:r w:rsidRPr="00DB717D">
        <w:t>31, par. 15.</w:t>
      </w:r>
    </w:p>
  </w:footnote>
  <w:footnote w:id="58">
    <w:p w:rsidR="00D304D2" w:rsidRDefault="00D304D2">
      <w:pPr>
        <w:pStyle w:val="FootnoteText"/>
      </w:pPr>
      <w:r>
        <w:tab/>
      </w:r>
      <w:r>
        <w:rPr>
          <w:rStyle w:val="FootnoteReference"/>
        </w:rPr>
        <w:footnoteRef/>
      </w:r>
      <w:r>
        <w:tab/>
        <w:t>Communication n</w:t>
      </w:r>
      <w:r w:rsidRPr="007B5226">
        <w:rPr>
          <w:vertAlign w:val="superscript"/>
        </w:rPr>
        <w:t>o</w:t>
      </w:r>
      <w:r>
        <w:t> </w:t>
      </w:r>
      <w:r w:rsidRPr="007B5226">
        <w:t xml:space="preserve">1388/2005, </w:t>
      </w:r>
      <w:r>
        <w:rPr>
          <w:i/>
        </w:rPr>
        <w:t>de Leó</w:t>
      </w:r>
      <w:r w:rsidRPr="007B5226">
        <w:rPr>
          <w:i/>
        </w:rPr>
        <w:t xml:space="preserve">n Castro </w:t>
      </w:r>
      <w:r w:rsidRPr="007B5226">
        <w:t>c.</w:t>
      </w:r>
      <w:r>
        <w:rPr>
          <w:i/>
        </w:rPr>
        <w:t> </w:t>
      </w:r>
      <w:r w:rsidRPr="007B5226">
        <w:rPr>
          <w:i/>
        </w:rPr>
        <w:t>Espagne</w:t>
      </w:r>
      <w:r w:rsidRPr="007B5226">
        <w:t>, par. 9.3.</w:t>
      </w:r>
    </w:p>
  </w:footnote>
  <w:footnote w:id="59">
    <w:p w:rsidR="00D304D2" w:rsidRDefault="00D304D2">
      <w:pPr>
        <w:pStyle w:val="FootnoteText"/>
      </w:pPr>
      <w:r>
        <w:tab/>
      </w:r>
      <w:r>
        <w:rPr>
          <w:rStyle w:val="FootnoteReference"/>
        </w:rPr>
        <w:footnoteRef/>
      </w:r>
      <w:r>
        <w:tab/>
        <w:t>Communication n</w:t>
      </w:r>
      <w:r w:rsidRPr="009B02E0">
        <w:rPr>
          <w:vertAlign w:val="superscript"/>
        </w:rPr>
        <w:t>o</w:t>
      </w:r>
      <w:r>
        <w:t> </w:t>
      </w:r>
      <w:r w:rsidRPr="009B02E0">
        <w:t xml:space="preserve">1492/2006, </w:t>
      </w:r>
      <w:r w:rsidRPr="009B02E0">
        <w:rPr>
          <w:i/>
        </w:rPr>
        <w:t xml:space="preserve">Van der Plaat </w:t>
      </w:r>
      <w:r w:rsidRPr="009B02E0">
        <w:t>c</w:t>
      </w:r>
      <w:r w:rsidRPr="009B02E0">
        <w:rPr>
          <w:i/>
        </w:rPr>
        <w:t>.</w:t>
      </w:r>
      <w:r>
        <w:rPr>
          <w:i/>
        </w:rPr>
        <w:t> </w:t>
      </w:r>
      <w:r w:rsidR="00A54609">
        <w:rPr>
          <w:i/>
        </w:rPr>
        <w:t>Nouvelle</w:t>
      </w:r>
      <w:r w:rsidR="00A54609">
        <w:rPr>
          <w:i/>
        </w:rPr>
        <w:noBreakHyphen/>
      </w:r>
      <w:r w:rsidRPr="009B02E0">
        <w:rPr>
          <w:i/>
        </w:rPr>
        <w:t>Zélande</w:t>
      </w:r>
      <w:r w:rsidRPr="009B02E0">
        <w:t>, par. 6.3.</w:t>
      </w:r>
    </w:p>
  </w:footnote>
  <w:footnote w:id="60">
    <w:p w:rsidR="00D304D2" w:rsidRDefault="00D304D2">
      <w:pPr>
        <w:pStyle w:val="FootnoteText"/>
      </w:pPr>
      <w:r>
        <w:tab/>
      </w:r>
      <w:r>
        <w:rPr>
          <w:rStyle w:val="FootnoteReference"/>
        </w:rPr>
        <w:footnoteRef/>
      </w:r>
      <w:r>
        <w:tab/>
      </w:r>
      <w:r w:rsidRPr="0037697D">
        <w:t>Selon les différents système</w:t>
      </w:r>
      <w:r>
        <w:t>s</w:t>
      </w:r>
      <w:r w:rsidRPr="0037697D">
        <w:t xml:space="preserve"> de droit, ce</w:t>
      </w:r>
      <w:r>
        <w:t>tte</w:t>
      </w:r>
      <w:r w:rsidRPr="0037697D">
        <w:t xml:space="preserve"> détention peut être appelé</w:t>
      </w:r>
      <w:r>
        <w:t>e «</w:t>
      </w:r>
      <w:r w:rsidRPr="0037697D">
        <w:t>rétention de sûreté</w:t>
      </w:r>
      <w:r>
        <w:t>»</w:t>
      </w:r>
      <w:r w:rsidRPr="0037697D">
        <w:t xml:space="preserve">, </w:t>
      </w:r>
      <w:r>
        <w:t>«Sicherungsverwahrung»</w:t>
      </w:r>
      <w:r w:rsidRPr="0037697D">
        <w:t xml:space="preserve"> ou </w:t>
      </w:r>
      <w:r>
        <w:t>«</w:t>
      </w:r>
      <w:r w:rsidRPr="0037697D">
        <w:t>preventive detention</w:t>
      </w:r>
      <w:r>
        <w:t>»</w:t>
      </w:r>
      <w:r w:rsidRPr="0037697D">
        <w:t xml:space="preserve">; </w:t>
      </w:r>
      <w:r>
        <w:t>voir communication n</w:t>
      </w:r>
      <w:r w:rsidRPr="0037697D">
        <w:rPr>
          <w:vertAlign w:val="superscript"/>
        </w:rPr>
        <w:t>o</w:t>
      </w:r>
      <w:r>
        <w:t> </w:t>
      </w:r>
      <w:r w:rsidRPr="0037697D">
        <w:t xml:space="preserve">1090/2002, </w:t>
      </w:r>
      <w:r w:rsidR="00CD271A">
        <w:rPr>
          <w:i/>
        </w:rPr>
        <w:t>Rameka </w:t>
      </w:r>
      <w:r w:rsidRPr="0037697D">
        <w:t>c.</w:t>
      </w:r>
      <w:r w:rsidR="00A54609">
        <w:rPr>
          <w:i/>
        </w:rPr>
        <w:t> Nouvelle</w:t>
      </w:r>
      <w:r w:rsidR="00A54609">
        <w:rPr>
          <w:i/>
        </w:rPr>
        <w:noBreakHyphen/>
      </w:r>
      <w:r w:rsidRPr="0037697D">
        <w:rPr>
          <w:i/>
        </w:rPr>
        <w:t>Zélande</w:t>
      </w:r>
      <w:r w:rsidRPr="0037697D">
        <w:t>.</w:t>
      </w:r>
    </w:p>
  </w:footnote>
  <w:footnote w:id="61">
    <w:p w:rsidR="00D304D2" w:rsidRDefault="00D304D2">
      <w:pPr>
        <w:pStyle w:val="FootnoteText"/>
      </w:pPr>
      <w:r>
        <w:tab/>
      </w:r>
      <w:r>
        <w:rPr>
          <w:rStyle w:val="FootnoteReference"/>
        </w:rPr>
        <w:footnoteRef/>
      </w:r>
      <w:r>
        <w:tab/>
      </w:r>
      <w:r w:rsidRPr="00156F1E">
        <w:t>Ibid., par.</w:t>
      </w:r>
      <w:r>
        <w:t> </w:t>
      </w:r>
      <w:r w:rsidRPr="00156F1E">
        <w:t>7.3.</w:t>
      </w:r>
    </w:p>
  </w:footnote>
  <w:footnote w:id="62">
    <w:p w:rsidR="00D304D2" w:rsidRDefault="00D304D2">
      <w:pPr>
        <w:pStyle w:val="FootnoteText"/>
      </w:pPr>
      <w:r>
        <w:tab/>
      </w:r>
      <w:r>
        <w:rPr>
          <w:rStyle w:val="FootnoteReference"/>
        </w:rPr>
        <w:footnoteRef/>
      </w:r>
      <w:r>
        <w:tab/>
      </w:r>
      <w:r w:rsidRPr="000C4428">
        <w:t>Voir observations finales concernant le rapport de l</w:t>
      </w:r>
      <w:r w:rsidR="00F100CC">
        <w:t>’</w:t>
      </w:r>
      <w:r w:rsidRPr="000C4428">
        <w:t>Allemagne (CCPR/C/DEU/CO/6, 2012), par.</w:t>
      </w:r>
      <w:r>
        <w:t> </w:t>
      </w:r>
      <w:r w:rsidRPr="000C4428">
        <w:t>14.</w:t>
      </w:r>
    </w:p>
  </w:footnote>
  <w:footnote w:id="63">
    <w:p w:rsidR="00D304D2" w:rsidRDefault="00D304D2">
      <w:pPr>
        <w:pStyle w:val="FootnoteText"/>
      </w:pPr>
      <w:r>
        <w:tab/>
      </w:r>
      <w:r>
        <w:rPr>
          <w:rStyle w:val="FootnoteReference"/>
        </w:rPr>
        <w:footnoteRef/>
      </w:r>
      <w:r>
        <w:tab/>
        <w:t>Communication n</w:t>
      </w:r>
      <w:r w:rsidRPr="000C4428">
        <w:rPr>
          <w:vertAlign w:val="superscript"/>
        </w:rPr>
        <w:t>o</w:t>
      </w:r>
      <w:r>
        <w:t> </w:t>
      </w:r>
      <w:r w:rsidRPr="000C4428">
        <w:t xml:space="preserve">1512/2006, </w:t>
      </w:r>
      <w:r w:rsidRPr="000C4428">
        <w:rPr>
          <w:i/>
        </w:rPr>
        <w:t xml:space="preserve">Dean </w:t>
      </w:r>
      <w:r w:rsidRPr="000C4428">
        <w:t>c.</w:t>
      </w:r>
      <w:r>
        <w:rPr>
          <w:i/>
        </w:rPr>
        <w:t> </w:t>
      </w:r>
      <w:r w:rsidRPr="000C4428">
        <w:rPr>
          <w:i/>
        </w:rPr>
        <w:t>Nouvelle-Zélande</w:t>
      </w:r>
      <w:r w:rsidRPr="000C4428">
        <w:t>, par.</w:t>
      </w:r>
      <w:r>
        <w:t> </w:t>
      </w:r>
      <w:r w:rsidRPr="000C4428">
        <w:t>7.5.</w:t>
      </w:r>
    </w:p>
  </w:footnote>
  <w:footnote w:id="64">
    <w:p w:rsidR="00D304D2" w:rsidRDefault="00D304D2">
      <w:pPr>
        <w:pStyle w:val="FootnoteText"/>
      </w:pPr>
      <w:r>
        <w:tab/>
      </w:r>
      <w:r>
        <w:rPr>
          <w:rStyle w:val="FootnoteReference"/>
        </w:rPr>
        <w:footnoteRef/>
      </w:r>
      <w:r>
        <w:tab/>
        <w:t>Communication n</w:t>
      </w:r>
      <w:r w:rsidRPr="000C4428">
        <w:rPr>
          <w:vertAlign w:val="superscript"/>
        </w:rPr>
        <w:t>o</w:t>
      </w:r>
      <w:r>
        <w:t> </w:t>
      </w:r>
      <w:r w:rsidRPr="000C4428">
        <w:t xml:space="preserve">1629/2007, </w:t>
      </w:r>
      <w:r w:rsidRPr="000C4428">
        <w:rPr>
          <w:i/>
        </w:rPr>
        <w:t xml:space="preserve">Fardon </w:t>
      </w:r>
      <w:r w:rsidRPr="000C4428">
        <w:t>c.</w:t>
      </w:r>
      <w:r>
        <w:rPr>
          <w:i/>
        </w:rPr>
        <w:t> </w:t>
      </w:r>
      <w:r w:rsidRPr="000C4428">
        <w:rPr>
          <w:i/>
        </w:rPr>
        <w:t>Australie</w:t>
      </w:r>
      <w:r w:rsidRPr="000C4428">
        <w:t>, par.</w:t>
      </w:r>
      <w:r>
        <w:t> </w:t>
      </w:r>
      <w:r w:rsidRPr="000C4428">
        <w:t>7.4.</w:t>
      </w:r>
    </w:p>
  </w:footnote>
  <w:footnote w:id="65">
    <w:p w:rsidR="00D304D2" w:rsidRDefault="00D304D2">
      <w:pPr>
        <w:pStyle w:val="FootnoteText"/>
      </w:pPr>
      <w:r>
        <w:tab/>
      </w:r>
      <w:r>
        <w:rPr>
          <w:rStyle w:val="FootnoteReference"/>
        </w:rPr>
        <w:footnoteRef/>
      </w:r>
      <w:r>
        <w:tab/>
      </w:r>
      <w:r w:rsidRPr="00B62D9F">
        <w:t xml:space="preserve">Voir observations finales concernant le rapport des </w:t>
      </w:r>
      <w:r>
        <w:t xml:space="preserve">États suivants: </w:t>
      </w:r>
      <w:r w:rsidRPr="00B62D9F">
        <w:t>Philippines (CCPR/CO/79/PHL, 2003), par.14 (termes vagues de la loi contre le vagabondage), Maurice (CCPR/CO/83/MUS, 2005), pa</w:t>
      </w:r>
      <w:r>
        <w:t>r. </w:t>
      </w:r>
      <w:r w:rsidRPr="00B62D9F">
        <w:t>12 (loi antiterroriste), Fédération de Russie (CCPR/C/RUS/CO/6, 2009), par.</w:t>
      </w:r>
      <w:r>
        <w:t> 24 («</w:t>
      </w:r>
      <w:r w:rsidRPr="00B62D9F">
        <w:t>activité extrémiste</w:t>
      </w:r>
      <w:r>
        <w:t>»</w:t>
      </w:r>
      <w:r w:rsidRPr="00B62D9F">
        <w:t>), Honduras (CCPR/C/HND/CO/1, 2006), par. </w:t>
      </w:r>
      <w:r>
        <w:rPr>
          <w:lang w:val="en-GB"/>
        </w:rPr>
        <w:t>13 («</w:t>
      </w:r>
      <w:r w:rsidRPr="00B62D9F">
        <w:rPr>
          <w:lang w:val="en-GB"/>
        </w:rPr>
        <w:t>association illégale</w:t>
      </w:r>
      <w:r>
        <w:rPr>
          <w:lang w:val="en-GB"/>
        </w:rPr>
        <w:t>»</w:t>
      </w:r>
      <w:r w:rsidRPr="00B62D9F">
        <w:rPr>
          <w:lang w:val="en-GB"/>
        </w:rPr>
        <w:t>).</w:t>
      </w:r>
    </w:p>
  </w:footnote>
  <w:footnote w:id="66">
    <w:p w:rsidR="00D304D2" w:rsidRDefault="00D304D2">
      <w:pPr>
        <w:pStyle w:val="FootnoteText"/>
      </w:pPr>
      <w:r>
        <w:tab/>
      </w:r>
      <w:r>
        <w:rPr>
          <w:rStyle w:val="FootnoteReference"/>
        </w:rPr>
        <w:footnoteRef/>
      </w:r>
      <w:r>
        <w:tab/>
        <w:t>Communication n</w:t>
      </w:r>
      <w:r w:rsidRPr="002476AA">
        <w:rPr>
          <w:vertAlign w:val="superscript"/>
        </w:rPr>
        <w:t>o</w:t>
      </w:r>
      <w:r>
        <w:t> </w:t>
      </w:r>
      <w:r w:rsidRPr="002476AA">
        <w:t xml:space="preserve">702/1996, </w:t>
      </w:r>
      <w:r w:rsidRPr="002476AA">
        <w:rPr>
          <w:i/>
        </w:rPr>
        <w:t xml:space="preserve">McLawrence </w:t>
      </w:r>
      <w:r w:rsidRPr="002476AA">
        <w:t>c.</w:t>
      </w:r>
      <w:r>
        <w:t> </w:t>
      </w:r>
      <w:r w:rsidRPr="002476AA">
        <w:rPr>
          <w:i/>
        </w:rPr>
        <w:t>Jamaïque</w:t>
      </w:r>
      <w:r w:rsidRPr="002476AA">
        <w:t>, par. 5.5</w:t>
      </w:r>
      <w:r>
        <w:t>: «</w:t>
      </w:r>
      <w:r w:rsidR="00A54609" w:rsidRPr="002476AA">
        <w:t xml:space="preserve">le </w:t>
      </w:r>
      <w:r w:rsidRPr="002476AA">
        <w:t>principe de légalité est violé si un individu est arrêté ou détenu pour des motifs qui ne sont pas clairem</w:t>
      </w:r>
      <w:r w:rsidR="00A54609">
        <w:t>ent prévus par la loi nationale</w:t>
      </w:r>
      <w:r>
        <w:t>»</w:t>
      </w:r>
      <w:r w:rsidRPr="002476AA">
        <w:t>.</w:t>
      </w:r>
    </w:p>
  </w:footnote>
  <w:footnote w:id="67">
    <w:p w:rsidR="00D304D2" w:rsidRDefault="00D304D2">
      <w:pPr>
        <w:pStyle w:val="FootnoteText"/>
      </w:pPr>
      <w:r>
        <w:tab/>
      </w:r>
      <w:r>
        <w:rPr>
          <w:rStyle w:val="FootnoteReference"/>
        </w:rPr>
        <w:footnoteRef/>
      </w:r>
      <w:r>
        <w:tab/>
        <w:t>Communications n</w:t>
      </w:r>
      <w:r w:rsidRPr="002476AA">
        <w:rPr>
          <w:vertAlign w:val="superscript"/>
        </w:rPr>
        <w:t>o</w:t>
      </w:r>
      <w:r>
        <w:t> </w:t>
      </w:r>
      <w:r w:rsidRPr="002476AA">
        <w:t xml:space="preserve">856/1999, </w:t>
      </w:r>
      <w:r w:rsidRPr="002476AA">
        <w:rPr>
          <w:i/>
        </w:rPr>
        <w:t xml:space="preserve">Chambala </w:t>
      </w:r>
      <w:r w:rsidRPr="002476AA">
        <w:t>c.</w:t>
      </w:r>
      <w:r>
        <w:rPr>
          <w:i/>
        </w:rPr>
        <w:t> </w:t>
      </w:r>
      <w:r w:rsidRPr="002476AA">
        <w:rPr>
          <w:i/>
        </w:rPr>
        <w:t>Zambie</w:t>
      </w:r>
      <w:r w:rsidRPr="002476AA">
        <w:t xml:space="preserve">, par. 7.3; </w:t>
      </w:r>
      <w:r>
        <w:t>n</w:t>
      </w:r>
      <w:r w:rsidRPr="002476AA">
        <w:rPr>
          <w:vertAlign w:val="superscript"/>
        </w:rPr>
        <w:t>o</w:t>
      </w:r>
      <w:r>
        <w:t> </w:t>
      </w:r>
      <w:r w:rsidRPr="002476AA">
        <w:t xml:space="preserve">138/1981, </w:t>
      </w:r>
      <w:r w:rsidRPr="002476AA">
        <w:rPr>
          <w:i/>
        </w:rPr>
        <w:t xml:space="preserve">Mpandanjila et consorts </w:t>
      </w:r>
      <w:r w:rsidRPr="002476AA">
        <w:t>c.</w:t>
      </w:r>
      <w:r>
        <w:rPr>
          <w:i/>
        </w:rPr>
        <w:t> </w:t>
      </w:r>
      <w:r w:rsidRPr="002476AA">
        <w:rPr>
          <w:i/>
        </w:rPr>
        <w:t>Zaïre</w:t>
      </w:r>
      <w:r w:rsidRPr="002476AA">
        <w:t>, par. 10.</w:t>
      </w:r>
    </w:p>
  </w:footnote>
  <w:footnote w:id="68">
    <w:p w:rsidR="00D304D2" w:rsidRDefault="00D304D2">
      <w:pPr>
        <w:pStyle w:val="FootnoteText"/>
      </w:pPr>
      <w:r>
        <w:tab/>
      </w:r>
      <w:r>
        <w:rPr>
          <w:rStyle w:val="FootnoteReference"/>
        </w:rPr>
        <w:footnoteRef/>
      </w:r>
      <w:r>
        <w:tab/>
        <w:t>Communications n</w:t>
      </w:r>
      <w:r w:rsidRPr="002476AA">
        <w:rPr>
          <w:vertAlign w:val="superscript"/>
        </w:rPr>
        <w:t>o</w:t>
      </w:r>
      <w:r>
        <w:t> </w:t>
      </w:r>
      <w:r w:rsidRPr="002476AA">
        <w:t xml:space="preserve">1461/2006, </w:t>
      </w:r>
      <w:r>
        <w:t>n</w:t>
      </w:r>
      <w:r w:rsidRPr="002476AA">
        <w:rPr>
          <w:vertAlign w:val="superscript"/>
        </w:rPr>
        <w:t>o</w:t>
      </w:r>
      <w:r>
        <w:t> </w:t>
      </w:r>
      <w:r w:rsidRPr="002476AA">
        <w:t xml:space="preserve">1462/2006, </w:t>
      </w:r>
      <w:r>
        <w:t>n</w:t>
      </w:r>
      <w:r w:rsidRPr="002476AA">
        <w:rPr>
          <w:vertAlign w:val="superscript"/>
        </w:rPr>
        <w:t>o</w:t>
      </w:r>
      <w:r>
        <w:t> </w:t>
      </w:r>
      <w:r w:rsidRPr="002476AA">
        <w:t xml:space="preserve">1476/2006, </w:t>
      </w:r>
      <w:r>
        <w:t>n</w:t>
      </w:r>
      <w:r w:rsidRPr="002476AA">
        <w:rPr>
          <w:vertAlign w:val="superscript"/>
        </w:rPr>
        <w:t>o</w:t>
      </w:r>
      <w:r>
        <w:t> </w:t>
      </w:r>
      <w:r w:rsidRPr="002476AA">
        <w:t xml:space="preserve">1477/2006, </w:t>
      </w:r>
      <w:r w:rsidRPr="002476AA">
        <w:rPr>
          <w:i/>
        </w:rPr>
        <w:t xml:space="preserve">Maksudov et consorts </w:t>
      </w:r>
      <w:r w:rsidRPr="002476AA">
        <w:t>c.</w:t>
      </w:r>
      <w:r>
        <w:rPr>
          <w:i/>
        </w:rPr>
        <w:t> </w:t>
      </w:r>
      <w:r w:rsidRPr="002476AA">
        <w:rPr>
          <w:i/>
        </w:rPr>
        <w:t>Kirghizistan</w:t>
      </w:r>
      <w:r w:rsidRPr="002476AA">
        <w:t>, par.</w:t>
      </w:r>
      <w:r>
        <w:t> </w:t>
      </w:r>
      <w:r w:rsidRPr="002476AA">
        <w:t>12.2.</w:t>
      </w:r>
    </w:p>
  </w:footnote>
  <w:footnote w:id="69">
    <w:p w:rsidR="00D304D2" w:rsidRDefault="00D304D2">
      <w:pPr>
        <w:pStyle w:val="FootnoteText"/>
      </w:pPr>
      <w:r>
        <w:tab/>
      </w:r>
      <w:r>
        <w:rPr>
          <w:rStyle w:val="FootnoteReference"/>
        </w:rPr>
        <w:footnoteRef/>
      </w:r>
      <w:r>
        <w:tab/>
        <w:t>Communication n</w:t>
      </w:r>
      <w:r w:rsidRPr="0010382A">
        <w:rPr>
          <w:vertAlign w:val="superscript"/>
        </w:rPr>
        <w:t>o</w:t>
      </w:r>
      <w:r>
        <w:t> </w:t>
      </w:r>
      <w:r w:rsidRPr="0010382A">
        <w:t xml:space="preserve">1110/2002, </w:t>
      </w:r>
      <w:r w:rsidRPr="0010382A">
        <w:rPr>
          <w:i/>
        </w:rPr>
        <w:t xml:space="preserve">Rolando </w:t>
      </w:r>
      <w:r w:rsidRPr="0010382A">
        <w:t>c.</w:t>
      </w:r>
      <w:r>
        <w:rPr>
          <w:i/>
        </w:rPr>
        <w:t> </w:t>
      </w:r>
      <w:r w:rsidRPr="0010382A">
        <w:rPr>
          <w:i/>
        </w:rPr>
        <w:t>Philippines</w:t>
      </w:r>
      <w:r w:rsidRPr="0010382A">
        <w:t>, par.</w:t>
      </w:r>
      <w:r>
        <w:t> </w:t>
      </w:r>
      <w:r w:rsidRPr="0010382A">
        <w:t>5.5.</w:t>
      </w:r>
    </w:p>
  </w:footnote>
  <w:footnote w:id="70">
    <w:p w:rsidR="00D304D2" w:rsidRDefault="00D304D2">
      <w:pPr>
        <w:pStyle w:val="FootnoteText"/>
      </w:pPr>
      <w:r>
        <w:tab/>
      </w:r>
      <w:r>
        <w:rPr>
          <w:rStyle w:val="FootnoteReference"/>
        </w:rPr>
        <w:footnoteRef/>
      </w:r>
      <w:r>
        <w:tab/>
        <w:t>Communication n</w:t>
      </w:r>
      <w:r w:rsidRPr="001D230B">
        <w:rPr>
          <w:vertAlign w:val="superscript"/>
        </w:rPr>
        <w:t>o</w:t>
      </w:r>
      <w:r>
        <w:t> </w:t>
      </w:r>
      <w:r w:rsidRPr="001D230B">
        <w:t xml:space="preserve">770/1997, </w:t>
      </w:r>
      <w:r w:rsidRPr="001D230B">
        <w:rPr>
          <w:i/>
        </w:rPr>
        <w:t xml:space="preserve">Gridin </w:t>
      </w:r>
      <w:r w:rsidRPr="001D230B">
        <w:t>c.</w:t>
      </w:r>
      <w:r>
        <w:rPr>
          <w:i/>
        </w:rPr>
        <w:t> </w:t>
      </w:r>
      <w:r w:rsidRPr="001D230B">
        <w:rPr>
          <w:i/>
        </w:rPr>
        <w:t>Fédération de Russie</w:t>
      </w:r>
      <w:r w:rsidRPr="001D230B">
        <w:t>, par. 8.1.</w:t>
      </w:r>
    </w:p>
  </w:footnote>
  <w:footnote w:id="71">
    <w:p w:rsidR="00D304D2" w:rsidRDefault="00D304D2">
      <w:pPr>
        <w:pStyle w:val="FootnoteText"/>
      </w:pPr>
      <w:r>
        <w:tab/>
      </w:r>
      <w:r>
        <w:rPr>
          <w:rStyle w:val="FootnoteReference"/>
        </w:rPr>
        <w:footnoteRef/>
      </w:r>
      <w:r>
        <w:tab/>
        <w:t>Communication n</w:t>
      </w:r>
      <w:r w:rsidRPr="001D230B">
        <w:rPr>
          <w:vertAlign w:val="superscript"/>
        </w:rPr>
        <w:t>o</w:t>
      </w:r>
      <w:r>
        <w:t> </w:t>
      </w:r>
      <w:r w:rsidRPr="001D230B">
        <w:t xml:space="preserve">1449/2006, </w:t>
      </w:r>
      <w:r w:rsidRPr="001D230B">
        <w:rPr>
          <w:i/>
        </w:rPr>
        <w:t xml:space="preserve">Umarov </w:t>
      </w:r>
      <w:r>
        <w:t>c. </w:t>
      </w:r>
      <w:r w:rsidRPr="001D230B">
        <w:rPr>
          <w:i/>
        </w:rPr>
        <w:t>Ouzbékistan</w:t>
      </w:r>
      <w:r w:rsidRPr="001D230B">
        <w:t>, par. 8.4.</w:t>
      </w:r>
    </w:p>
  </w:footnote>
  <w:footnote w:id="72">
    <w:p w:rsidR="00D304D2" w:rsidRDefault="00D304D2">
      <w:pPr>
        <w:pStyle w:val="FootnoteText"/>
      </w:pPr>
      <w:r>
        <w:tab/>
      </w:r>
      <w:r>
        <w:rPr>
          <w:rStyle w:val="FootnoteReference"/>
        </w:rPr>
        <w:footnoteRef/>
      </w:r>
      <w:r>
        <w:tab/>
      </w:r>
      <w:r w:rsidRPr="001D230B">
        <w:t>Communicatio</w:t>
      </w:r>
      <w:r>
        <w:t>n n</w:t>
      </w:r>
      <w:r w:rsidRPr="001D230B">
        <w:rPr>
          <w:vertAlign w:val="superscript"/>
        </w:rPr>
        <w:t>o</w:t>
      </w:r>
      <w:r>
        <w:t> </w:t>
      </w:r>
      <w:r w:rsidRPr="001D230B">
        <w:t xml:space="preserve">981/2001, </w:t>
      </w:r>
      <w:r w:rsidRPr="001D230B">
        <w:rPr>
          <w:i/>
        </w:rPr>
        <w:t xml:space="preserve">Gómez Casafranca </w:t>
      </w:r>
      <w:r w:rsidRPr="001D230B">
        <w:t>c.</w:t>
      </w:r>
      <w:r>
        <w:t> </w:t>
      </w:r>
      <w:r w:rsidRPr="001D230B">
        <w:rPr>
          <w:i/>
        </w:rPr>
        <w:t>Pérou</w:t>
      </w:r>
      <w:r w:rsidRPr="001D230B">
        <w:t>, par. 7.2.</w:t>
      </w:r>
    </w:p>
  </w:footnote>
  <w:footnote w:id="73">
    <w:p w:rsidR="00D304D2" w:rsidRDefault="00D304D2">
      <w:pPr>
        <w:pStyle w:val="FootnoteText"/>
      </w:pPr>
      <w:r>
        <w:tab/>
      </w:r>
      <w:r>
        <w:rPr>
          <w:rStyle w:val="FootnoteReference"/>
        </w:rPr>
        <w:footnoteRef/>
      </w:r>
      <w:r>
        <w:tab/>
        <w:t>Communication n</w:t>
      </w:r>
      <w:r w:rsidRPr="001D230B">
        <w:rPr>
          <w:vertAlign w:val="superscript"/>
        </w:rPr>
        <w:t>o</w:t>
      </w:r>
      <w:r>
        <w:t> </w:t>
      </w:r>
      <w:r w:rsidRPr="001D230B">
        <w:t xml:space="preserve">2024/2011, </w:t>
      </w:r>
      <w:r w:rsidRPr="001D230B">
        <w:rPr>
          <w:i/>
        </w:rPr>
        <w:t xml:space="preserve">Israil </w:t>
      </w:r>
      <w:r w:rsidRPr="001D230B">
        <w:t>c.</w:t>
      </w:r>
      <w:r>
        <w:rPr>
          <w:i/>
        </w:rPr>
        <w:t> </w:t>
      </w:r>
      <w:r w:rsidRPr="001D230B">
        <w:rPr>
          <w:i/>
        </w:rPr>
        <w:t>Kazakhstan</w:t>
      </w:r>
      <w:r w:rsidRPr="001D230B">
        <w:t>, par. 9.2.</w:t>
      </w:r>
    </w:p>
  </w:footnote>
  <w:footnote w:id="74">
    <w:p w:rsidR="00D304D2" w:rsidRDefault="00D304D2">
      <w:pPr>
        <w:pStyle w:val="FootnoteText"/>
      </w:pPr>
      <w:r>
        <w:tab/>
      </w:r>
      <w:r>
        <w:rPr>
          <w:rStyle w:val="FootnoteReference"/>
        </w:rPr>
        <w:footnoteRef/>
      </w:r>
      <w:r>
        <w:tab/>
        <w:t>Communication n</w:t>
      </w:r>
      <w:r w:rsidRPr="001D230B">
        <w:rPr>
          <w:vertAlign w:val="superscript"/>
        </w:rPr>
        <w:t>o</w:t>
      </w:r>
      <w:r>
        <w:t> </w:t>
      </w:r>
      <w:r w:rsidRPr="001D230B">
        <w:t xml:space="preserve">1208/2003, </w:t>
      </w:r>
      <w:r w:rsidRPr="001D230B">
        <w:rPr>
          <w:i/>
        </w:rPr>
        <w:t xml:space="preserve">Kurbonov </w:t>
      </w:r>
      <w:r w:rsidRPr="001D230B">
        <w:t>c.</w:t>
      </w:r>
      <w:r>
        <w:rPr>
          <w:i/>
        </w:rPr>
        <w:t> </w:t>
      </w:r>
      <w:r w:rsidRPr="001D230B">
        <w:rPr>
          <w:i/>
        </w:rPr>
        <w:t>Tadjikistan</w:t>
      </w:r>
      <w:r w:rsidRPr="001D230B">
        <w:t>, par. 6.5.</w:t>
      </w:r>
    </w:p>
  </w:footnote>
  <w:footnote w:id="75">
    <w:p w:rsidR="00D304D2" w:rsidRDefault="00D304D2">
      <w:pPr>
        <w:pStyle w:val="FootnoteText"/>
      </w:pPr>
      <w:r>
        <w:tab/>
      </w:r>
      <w:r>
        <w:rPr>
          <w:rStyle w:val="FootnoteReference"/>
        </w:rPr>
        <w:footnoteRef/>
      </w:r>
      <w:r>
        <w:tab/>
        <w:t>Communication n</w:t>
      </w:r>
      <w:r w:rsidRPr="00183E4C">
        <w:rPr>
          <w:vertAlign w:val="superscript"/>
        </w:rPr>
        <w:t>o</w:t>
      </w:r>
      <w:r>
        <w:t> </w:t>
      </w:r>
      <w:r w:rsidRPr="00183E4C">
        <w:t xml:space="preserve">1412/2005, </w:t>
      </w:r>
      <w:r w:rsidRPr="00183E4C">
        <w:rPr>
          <w:i/>
        </w:rPr>
        <w:t xml:space="preserve">Butovenko </w:t>
      </w:r>
      <w:r w:rsidRPr="00183E4C">
        <w:t>c.</w:t>
      </w:r>
      <w:r>
        <w:rPr>
          <w:i/>
        </w:rPr>
        <w:t> </w:t>
      </w:r>
      <w:r w:rsidRPr="00183E4C">
        <w:rPr>
          <w:i/>
        </w:rPr>
        <w:t>Ukraine</w:t>
      </w:r>
      <w:r w:rsidRPr="00183E4C">
        <w:t>, par. 7.6.</w:t>
      </w:r>
    </w:p>
  </w:footnote>
  <w:footnote w:id="76">
    <w:p w:rsidR="00D304D2" w:rsidRDefault="00D304D2">
      <w:pPr>
        <w:pStyle w:val="FootnoteText"/>
      </w:pPr>
      <w:r>
        <w:tab/>
      </w:r>
      <w:r>
        <w:rPr>
          <w:rStyle w:val="FootnoteReference"/>
        </w:rPr>
        <w:footnoteRef/>
      </w:r>
      <w:r>
        <w:tab/>
      </w:r>
      <w:r w:rsidRPr="008E7E48">
        <w:t>Communicat</w:t>
      </w:r>
      <w:r>
        <w:t>ion n</w:t>
      </w:r>
      <w:r w:rsidRPr="008E7E48">
        <w:rPr>
          <w:vertAlign w:val="superscript"/>
        </w:rPr>
        <w:t>o</w:t>
      </w:r>
      <w:r>
        <w:t> </w:t>
      </w:r>
      <w:r w:rsidRPr="008E7E48">
        <w:t xml:space="preserve">1425/2005, </w:t>
      </w:r>
      <w:r w:rsidRPr="008E7E48">
        <w:rPr>
          <w:i/>
        </w:rPr>
        <w:t xml:space="preserve">Marz </w:t>
      </w:r>
      <w:r w:rsidRPr="008E7E48">
        <w:t>c.</w:t>
      </w:r>
      <w:r>
        <w:rPr>
          <w:i/>
        </w:rPr>
        <w:t> </w:t>
      </w:r>
      <w:r w:rsidRPr="008E7E48">
        <w:rPr>
          <w:i/>
        </w:rPr>
        <w:t>Fédération de Russie,</w:t>
      </w:r>
      <w:r w:rsidRPr="008E7E48">
        <w:t xml:space="preserve"> par. 5.3.</w:t>
      </w:r>
    </w:p>
  </w:footnote>
  <w:footnote w:id="77">
    <w:p w:rsidR="00D304D2" w:rsidRDefault="00D304D2">
      <w:pPr>
        <w:pStyle w:val="FootnoteText"/>
      </w:pPr>
      <w:r>
        <w:tab/>
      </w:r>
      <w:r>
        <w:rPr>
          <w:rStyle w:val="FootnoteReference"/>
        </w:rPr>
        <w:footnoteRef/>
      </w:r>
      <w:r>
        <w:tab/>
        <w:t>Communications n</w:t>
      </w:r>
      <w:r w:rsidRPr="007B0F0E">
        <w:rPr>
          <w:vertAlign w:val="superscript"/>
        </w:rPr>
        <w:t>o</w:t>
      </w:r>
      <w:r>
        <w:t> </w:t>
      </w:r>
      <w:r w:rsidRPr="007B0F0E">
        <w:t xml:space="preserve">1460/2006, </w:t>
      </w:r>
      <w:r w:rsidRPr="007B0F0E">
        <w:rPr>
          <w:i/>
        </w:rPr>
        <w:t xml:space="preserve">Yklymova </w:t>
      </w:r>
      <w:r w:rsidRPr="007B0F0E">
        <w:t>c.</w:t>
      </w:r>
      <w:r>
        <w:rPr>
          <w:i/>
        </w:rPr>
        <w:t> </w:t>
      </w:r>
      <w:r w:rsidRPr="007B0F0E">
        <w:rPr>
          <w:i/>
        </w:rPr>
        <w:t>Turkménistan</w:t>
      </w:r>
      <w:r w:rsidRPr="007B0F0E">
        <w:t xml:space="preserve">, par. 7.2 (assignation à résidence </w:t>
      </w:r>
      <w:r>
        <w:t>de facto</w:t>
      </w:r>
      <w:r w:rsidRPr="007B0F0E">
        <w:t xml:space="preserve">); </w:t>
      </w:r>
      <w:r>
        <w:t>n</w:t>
      </w:r>
      <w:r w:rsidRPr="007B0F0E">
        <w:rPr>
          <w:vertAlign w:val="superscript"/>
        </w:rPr>
        <w:t>o</w:t>
      </w:r>
      <w:r>
        <w:t> </w:t>
      </w:r>
      <w:r w:rsidRPr="007B0F0E">
        <w:t xml:space="preserve">414/1990, </w:t>
      </w:r>
      <w:r w:rsidRPr="007B0F0E">
        <w:rPr>
          <w:i/>
        </w:rPr>
        <w:t xml:space="preserve">Mika Miha </w:t>
      </w:r>
      <w:r w:rsidRPr="007B0F0E">
        <w:t>c.</w:t>
      </w:r>
      <w:r>
        <w:rPr>
          <w:i/>
        </w:rPr>
        <w:t> </w:t>
      </w:r>
      <w:r w:rsidRPr="007B0F0E">
        <w:rPr>
          <w:i/>
        </w:rPr>
        <w:t>Guinée équatoriale</w:t>
      </w:r>
      <w:r w:rsidRPr="007B0F0E">
        <w:t>, par. 6.5 (ordonnance présidentielle arbitraire).</w:t>
      </w:r>
    </w:p>
  </w:footnote>
  <w:footnote w:id="78">
    <w:p w:rsidR="00D304D2" w:rsidRDefault="00D304D2">
      <w:pPr>
        <w:pStyle w:val="FootnoteText"/>
      </w:pPr>
      <w:r>
        <w:tab/>
      </w:r>
      <w:r>
        <w:rPr>
          <w:rStyle w:val="FootnoteReference"/>
        </w:rPr>
        <w:footnoteRef/>
      </w:r>
      <w:r>
        <w:tab/>
      </w:r>
      <w:r w:rsidRPr="003A6F54">
        <w:t>Voir</w:t>
      </w:r>
      <w:r w:rsidR="000C4F13">
        <w:t>,</w:t>
      </w:r>
      <w:r w:rsidRPr="003A6F54">
        <w:t xml:space="preserve"> par exemple, </w:t>
      </w:r>
      <w:r w:rsidRPr="003A6F54">
        <w:rPr>
          <w:i/>
        </w:rPr>
        <w:t>Affaire</w:t>
      </w:r>
      <w:r w:rsidRPr="003A6F54">
        <w:t xml:space="preserve"> </w:t>
      </w:r>
      <w:r w:rsidRPr="003A6F54">
        <w:rPr>
          <w:i/>
        </w:rPr>
        <w:t>Ahmadou Sadio Diallo</w:t>
      </w:r>
      <w:r w:rsidRPr="003A6F54">
        <w:t xml:space="preserve"> </w:t>
      </w:r>
      <w:r w:rsidRPr="003A6F54">
        <w:rPr>
          <w:i/>
        </w:rPr>
        <w:t xml:space="preserve">(République de Guinée </w:t>
      </w:r>
      <w:r w:rsidRPr="003A6F54">
        <w:rPr>
          <w:iCs/>
        </w:rPr>
        <w:t>c.</w:t>
      </w:r>
      <w:r>
        <w:rPr>
          <w:i/>
        </w:rPr>
        <w:t> </w:t>
      </w:r>
      <w:r w:rsidRPr="003A6F54">
        <w:rPr>
          <w:i/>
        </w:rPr>
        <w:t>République démocratique du Congo)</w:t>
      </w:r>
      <w:r w:rsidRPr="003A6F54">
        <w:t>, Cour internationale de Justice, Recueil</w:t>
      </w:r>
      <w:r>
        <w:t xml:space="preserve"> 2010, p. </w:t>
      </w:r>
      <w:r w:rsidRPr="003A6F54">
        <w:t xml:space="preserve">639, par. 77 (où est </w:t>
      </w:r>
      <w:r>
        <w:t>citée l</w:t>
      </w:r>
      <w:r w:rsidR="00F100CC">
        <w:t>’</w:t>
      </w:r>
      <w:r>
        <w:t>Observation générale n</w:t>
      </w:r>
      <w:r w:rsidRPr="003A6F54">
        <w:rPr>
          <w:vertAlign w:val="superscript"/>
        </w:rPr>
        <w:t>o</w:t>
      </w:r>
      <w:r>
        <w:t> </w:t>
      </w:r>
      <w:r w:rsidRPr="003A6F54">
        <w:t>8 du Comité).</w:t>
      </w:r>
    </w:p>
  </w:footnote>
  <w:footnote w:id="79">
    <w:p w:rsidR="00D304D2" w:rsidRDefault="00D304D2">
      <w:pPr>
        <w:pStyle w:val="FootnoteText"/>
      </w:pPr>
      <w:r>
        <w:tab/>
      </w:r>
      <w:r>
        <w:rPr>
          <w:rStyle w:val="FootnoteReference"/>
        </w:rPr>
        <w:footnoteRef/>
      </w:r>
      <w:r>
        <w:tab/>
        <w:t>Communications n</w:t>
      </w:r>
      <w:r w:rsidRPr="007103CB">
        <w:rPr>
          <w:vertAlign w:val="superscript"/>
        </w:rPr>
        <w:t>o</w:t>
      </w:r>
      <w:r>
        <w:t> </w:t>
      </w:r>
      <w:r w:rsidRPr="007103CB">
        <w:t xml:space="preserve">635/1995, </w:t>
      </w:r>
      <w:r w:rsidRPr="007103CB">
        <w:rPr>
          <w:i/>
        </w:rPr>
        <w:t xml:space="preserve">Morrison </w:t>
      </w:r>
      <w:r w:rsidRPr="007103CB">
        <w:t>c.</w:t>
      </w:r>
      <w:r>
        <w:rPr>
          <w:i/>
        </w:rPr>
        <w:t> </w:t>
      </w:r>
      <w:r w:rsidRPr="007103CB">
        <w:rPr>
          <w:i/>
        </w:rPr>
        <w:t>Jamaïque</w:t>
      </w:r>
      <w:r w:rsidRPr="007103CB">
        <w:t xml:space="preserve">, par. 22.2 et 22.3; </w:t>
      </w:r>
      <w:r>
        <w:t>n</w:t>
      </w:r>
      <w:r w:rsidRPr="007103CB">
        <w:rPr>
          <w:vertAlign w:val="superscript"/>
        </w:rPr>
        <w:t>o</w:t>
      </w:r>
      <w:r>
        <w:t> </w:t>
      </w:r>
      <w:r w:rsidRPr="007103CB">
        <w:t xml:space="preserve">1397/2005, </w:t>
      </w:r>
      <w:r w:rsidRPr="007103CB">
        <w:rPr>
          <w:i/>
        </w:rPr>
        <w:t xml:space="preserve">Engo </w:t>
      </w:r>
      <w:r w:rsidRPr="007103CB">
        <w:t>c.</w:t>
      </w:r>
      <w:r>
        <w:rPr>
          <w:i/>
        </w:rPr>
        <w:t> </w:t>
      </w:r>
      <w:r w:rsidRPr="007103CB">
        <w:rPr>
          <w:i/>
        </w:rPr>
        <w:t>Cameroun</w:t>
      </w:r>
      <w:r w:rsidRPr="007103CB">
        <w:t>, par. </w:t>
      </w:r>
      <w:r w:rsidRPr="007103CB">
        <w:rPr>
          <w:lang w:val="en-GB"/>
        </w:rPr>
        <w:t>7.3.</w:t>
      </w:r>
    </w:p>
  </w:footnote>
  <w:footnote w:id="80">
    <w:p w:rsidR="00D304D2" w:rsidRDefault="00D304D2">
      <w:pPr>
        <w:pStyle w:val="FootnoteText"/>
      </w:pPr>
      <w:r>
        <w:tab/>
      </w:r>
      <w:r>
        <w:rPr>
          <w:rStyle w:val="FootnoteReference"/>
        </w:rPr>
        <w:footnoteRef/>
      </w:r>
      <w:r>
        <w:tab/>
        <w:t>Communication n</w:t>
      </w:r>
      <w:r w:rsidRPr="00240236">
        <w:rPr>
          <w:vertAlign w:val="superscript"/>
        </w:rPr>
        <w:t>o</w:t>
      </w:r>
      <w:r>
        <w:t> </w:t>
      </w:r>
      <w:r w:rsidRPr="00240236">
        <w:t xml:space="preserve">248/1987, </w:t>
      </w:r>
      <w:r w:rsidRPr="00240236">
        <w:rPr>
          <w:i/>
        </w:rPr>
        <w:t xml:space="preserve">Campbell </w:t>
      </w:r>
      <w:r w:rsidRPr="00240236">
        <w:t>c.</w:t>
      </w:r>
      <w:r>
        <w:rPr>
          <w:i/>
        </w:rPr>
        <w:t> </w:t>
      </w:r>
      <w:r w:rsidRPr="00240236">
        <w:rPr>
          <w:i/>
        </w:rPr>
        <w:t>Jamaïque</w:t>
      </w:r>
      <w:r w:rsidRPr="00240236">
        <w:t>, par. 6.3.</w:t>
      </w:r>
    </w:p>
  </w:footnote>
  <w:footnote w:id="81">
    <w:p w:rsidR="00D304D2" w:rsidRDefault="00D304D2">
      <w:pPr>
        <w:pStyle w:val="FootnoteText"/>
      </w:pPr>
      <w:r>
        <w:tab/>
      </w:r>
      <w:r>
        <w:rPr>
          <w:rStyle w:val="FootnoteReference"/>
        </w:rPr>
        <w:footnoteRef/>
      </w:r>
      <w:r>
        <w:tab/>
        <w:t>Communication n</w:t>
      </w:r>
      <w:r w:rsidRPr="00D8352F">
        <w:rPr>
          <w:vertAlign w:val="superscript"/>
        </w:rPr>
        <w:t>o</w:t>
      </w:r>
      <w:r>
        <w:t> </w:t>
      </w:r>
      <w:r w:rsidRPr="00D8352F">
        <w:t xml:space="preserve">1177/2003, </w:t>
      </w:r>
      <w:r w:rsidRPr="00D8352F">
        <w:rPr>
          <w:i/>
          <w:iCs/>
        </w:rPr>
        <w:t xml:space="preserve">Ilombe </w:t>
      </w:r>
      <w:r w:rsidRPr="00D8352F">
        <w:rPr>
          <w:i/>
        </w:rPr>
        <w:t xml:space="preserve">et Shandwe </w:t>
      </w:r>
      <w:r>
        <w:t>c. </w:t>
      </w:r>
      <w:r w:rsidRPr="00D8352F">
        <w:rPr>
          <w:i/>
        </w:rPr>
        <w:t>République démocratique du Congo</w:t>
      </w:r>
      <w:r w:rsidRPr="00D8352F">
        <w:t>, par. 6.2.</w:t>
      </w:r>
    </w:p>
  </w:footnote>
  <w:footnote w:id="82">
    <w:p w:rsidR="00D304D2" w:rsidRDefault="00D304D2">
      <w:pPr>
        <w:pStyle w:val="FootnoteText"/>
      </w:pPr>
      <w:r>
        <w:tab/>
      </w:r>
      <w:r>
        <w:rPr>
          <w:rStyle w:val="FootnoteReference"/>
        </w:rPr>
        <w:footnoteRef/>
      </w:r>
      <w:r>
        <w:tab/>
      </w:r>
      <w:r w:rsidRPr="00D8352F">
        <w:t>C</w:t>
      </w:r>
      <w:r>
        <w:t>ommunication n</w:t>
      </w:r>
      <w:r w:rsidRPr="00D8352F">
        <w:rPr>
          <w:vertAlign w:val="superscript"/>
        </w:rPr>
        <w:t>o</w:t>
      </w:r>
      <w:r>
        <w:t> </w:t>
      </w:r>
      <w:r w:rsidR="000C4F13">
        <w:t>1</w:t>
      </w:r>
      <w:r w:rsidRPr="00D8352F">
        <w:t xml:space="preserve">812/2008, </w:t>
      </w:r>
      <w:r w:rsidRPr="00D8352F">
        <w:rPr>
          <w:i/>
        </w:rPr>
        <w:t xml:space="preserve">Levinov </w:t>
      </w:r>
      <w:r>
        <w:t>c. </w:t>
      </w:r>
      <w:r w:rsidRPr="00D8352F">
        <w:rPr>
          <w:i/>
        </w:rPr>
        <w:t>Bélarus</w:t>
      </w:r>
      <w:r w:rsidRPr="00D8352F">
        <w:t>, par. 7.5.</w:t>
      </w:r>
    </w:p>
  </w:footnote>
  <w:footnote w:id="83">
    <w:p w:rsidR="00D304D2" w:rsidRDefault="00D304D2">
      <w:pPr>
        <w:pStyle w:val="FootnoteText"/>
      </w:pPr>
      <w:r>
        <w:tab/>
      </w:r>
      <w:r>
        <w:rPr>
          <w:rStyle w:val="FootnoteReference"/>
        </w:rPr>
        <w:footnoteRef/>
      </w:r>
      <w:r>
        <w:tab/>
        <w:t>Communication n</w:t>
      </w:r>
      <w:r w:rsidRPr="00D8352F">
        <w:rPr>
          <w:vertAlign w:val="superscript"/>
        </w:rPr>
        <w:t>o</w:t>
      </w:r>
      <w:r>
        <w:t> </w:t>
      </w:r>
      <w:r w:rsidRPr="00D8352F">
        <w:t xml:space="preserve">868/1999, </w:t>
      </w:r>
      <w:r w:rsidRPr="00D8352F">
        <w:rPr>
          <w:i/>
        </w:rPr>
        <w:t xml:space="preserve">Wilson </w:t>
      </w:r>
      <w:r w:rsidRPr="00D8352F">
        <w:t>c.</w:t>
      </w:r>
      <w:r>
        <w:rPr>
          <w:i/>
        </w:rPr>
        <w:t> </w:t>
      </w:r>
      <w:r w:rsidRPr="00D8352F">
        <w:rPr>
          <w:i/>
        </w:rPr>
        <w:t>Philippines</w:t>
      </w:r>
      <w:r w:rsidRPr="00D8352F">
        <w:t>, par. 3.3 et 7.5.</w:t>
      </w:r>
    </w:p>
  </w:footnote>
  <w:footnote w:id="84">
    <w:p w:rsidR="00D304D2" w:rsidRDefault="00D304D2">
      <w:pPr>
        <w:pStyle w:val="FootnoteText"/>
      </w:pPr>
      <w:r>
        <w:tab/>
      </w:r>
      <w:r>
        <w:rPr>
          <w:rStyle w:val="FootnoteReference"/>
        </w:rPr>
        <w:footnoteRef/>
      </w:r>
      <w:r>
        <w:tab/>
        <w:t>Communication n</w:t>
      </w:r>
      <w:r w:rsidRPr="00EB5E51">
        <w:rPr>
          <w:vertAlign w:val="superscript"/>
        </w:rPr>
        <w:t>o</w:t>
      </w:r>
      <w:r>
        <w:t> </w:t>
      </w:r>
      <w:r w:rsidRPr="00EB5E51">
        <w:t xml:space="preserve">526/1993, </w:t>
      </w:r>
      <w:r w:rsidRPr="00EB5E51">
        <w:rPr>
          <w:i/>
        </w:rPr>
        <w:t xml:space="preserve">Hill et Hill </w:t>
      </w:r>
      <w:r w:rsidRPr="00EB5E51">
        <w:t>c.</w:t>
      </w:r>
      <w:r>
        <w:rPr>
          <w:i/>
        </w:rPr>
        <w:t> </w:t>
      </w:r>
      <w:r w:rsidRPr="00EB5E51">
        <w:rPr>
          <w:i/>
        </w:rPr>
        <w:t>Espagne</w:t>
      </w:r>
      <w:r w:rsidRPr="00EB5E51">
        <w:t>, par. 12.2.</w:t>
      </w:r>
    </w:p>
  </w:footnote>
  <w:footnote w:id="85">
    <w:p w:rsidR="00D304D2" w:rsidRDefault="00D304D2">
      <w:pPr>
        <w:pStyle w:val="FootnoteText"/>
      </w:pPr>
      <w:r>
        <w:tab/>
      </w:r>
      <w:r>
        <w:rPr>
          <w:rStyle w:val="FootnoteReference"/>
        </w:rPr>
        <w:footnoteRef/>
      </w:r>
      <w:r>
        <w:tab/>
        <w:t>Communication n</w:t>
      </w:r>
      <w:r w:rsidRPr="00EB5E51">
        <w:rPr>
          <w:vertAlign w:val="superscript"/>
        </w:rPr>
        <w:t>o</w:t>
      </w:r>
      <w:r>
        <w:t> </w:t>
      </w:r>
      <w:r w:rsidRPr="00EB5E51">
        <w:t xml:space="preserve">1402/2005, </w:t>
      </w:r>
      <w:r w:rsidRPr="00EB5E51">
        <w:rPr>
          <w:i/>
          <w:iCs/>
        </w:rPr>
        <w:t>Krasnov</w:t>
      </w:r>
      <w:r w:rsidRPr="00EB5E51">
        <w:rPr>
          <w:i/>
        </w:rPr>
        <w:t xml:space="preserve"> </w:t>
      </w:r>
      <w:r w:rsidRPr="00EB5E51">
        <w:t>c.</w:t>
      </w:r>
      <w:r>
        <w:rPr>
          <w:i/>
        </w:rPr>
        <w:t> </w:t>
      </w:r>
      <w:r w:rsidRPr="00EB5E51">
        <w:rPr>
          <w:i/>
        </w:rPr>
        <w:t>Kirghizistan</w:t>
      </w:r>
      <w:r w:rsidRPr="00EB5E51">
        <w:t>, par. 8.5; Observation général</w:t>
      </w:r>
      <w:r>
        <w:t>e n</w:t>
      </w:r>
      <w:r w:rsidRPr="00EB5E51">
        <w:rPr>
          <w:vertAlign w:val="superscript"/>
        </w:rPr>
        <w:t>o</w:t>
      </w:r>
      <w:r>
        <w:t> </w:t>
      </w:r>
      <w:r w:rsidRPr="00EB5E51">
        <w:t>32, par. 42; voir Comité des droits de l</w:t>
      </w:r>
      <w:r w:rsidR="00F100CC">
        <w:t>’</w:t>
      </w:r>
      <w:r>
        <w:t>enfant, Observation générale n</w:t>
      </w:r>
      <w:r w:rsidRPr="00EB5E51">
        <w:rPr>
          <w:vertAlign w:val="superscript"/>
        </w:rPr>
        <w:t>o</w:t>
      </w:r>
      <w:r>
        <w:t> </w:t>
      </w:r>
      <w:r w:rsidRPr="00EB5E51">
        <w:t>10, par. 48.</w:t>
      </w:r>
    </w:p>
  </w:footnote>
  <w:footnote w:id="86">
    <w:p w:rsidR="00D304D2" w:rsidRDefault="00D304D2">
      <w:pPr>
        <w:pStyle w:val="FootnoteText"/>
      </w:pPr>
      <w:r>
        <w:tab/>
      </w:r>
      <w:r>
        <w:rPr>
          <w:rStyle w:val="FootnoteReference"/>
        </w:rPr>
        <w:footnoteRef/>
      </w:r>
      <w:r>
        <w:tab/>
        <w:t>Communications n</w:t>
      </w:r>
      <w:r w:rsidRPr="00DA0547">
        <w:rPr>
          <w:vertAlign w:val="superscript"/>
        </w:rPr>
        <w:t>o</w:t>
      </w:r>
      <w:r>
        <w:t> </w:t>
      </w:r>
      <w:r w:rsidRPr="00DA0547">
        <w:t xml:space="preserve">1782/2008, </w:t>
      </w:r>
      <w:r w:rsidRPr="00DA0547">
        <w:rPr>
          <w:i/>
        </w:rPr>
        <w:t xml:space="preserve">Aboufaied </w:t>
      </w:r>
      <w:r w:rsidRPr="00DA0547">
        <w:t>c.</w:t>
      </w:r>
      <w:r>
        <w:t> </w:t>
      </w:r>
      <w:r w:rsidRPr="00DA0547">
        <w:rPr>
          <w:i/>
        </w:rPr>
        <w:t>Libye</w:t>
      </w:r>
      <w:r w:rsidRPr="00DA0547">
        <w:t>, par. 7.6. L</w:t>
      </w:r>
      <w:r w:rsidR="00F100CC">
        <w:t>’</w:t>
      </w:r>
      <w:r w:rsidRPr="00DA0547">
        <w:t>obligation d</w:t>
      </w:r>
      <w:r w:rsidR="00F100CC">
        <w:t>’</w:t>
      </w:r>
      <w:r w:rsidRPr="00DA0547">
        <w:t>informer un détenu des charges qui pèsent sur lui s</w:t>
      </w:r>
      <w:r w:rsidR="00F100CC">
        <w:t>’</w:t>
      </w:r>
      <w:r w:rsidRPr="00DA0547">
        <w:t xml:space="preserve">applique à la </w:t>
      </w:r>
      <w:r w:rsidR="007D5B6F" w:rsidRPr="00DA0547">
        <w:t>détention</w:t>
      </w:r>
      <w:r w:rsidRPr="00DA0547">
        <w:t xml:space="preserve"> aux fins d</w:t>
      </w:r>
      <w:r w:rsidR="00F100CC">
        <w:t>’</w:t>
      </w:r>
      <w:r w:rsidRPr="00DA0547">
        <w:t>év</w:t>
      </w:r>
      <w:r w:rsidR="007D5B6F">
        <w:t>entuelles poursuites militaires</w:t>
      </w:r>
      <w:r w:rsidRPr="00DA0547">
        <w:t xml:space="preserve">, indépendamment de la question de savoir si le procès du détenu par une juridiction militaire serait </w:t>
      </w:r>
      <w:r>
        <w:t>int</w:t>
      </w:r>
      <w:r w:rsidR="007D5B6F">
        <w:t>erdit par l</w:t>
      </w:r>
      <w:r w:rsidR="00F100CC">
        <w:t>’</w:t>
      </w:r>
      <w:r w:rsidR="007D5B6F">
        <w:t>article 14 du Pacte;</w:t>
      </w:r>
      <w:r>
        <w:t xml:space="preserve"> n</w:t>
      </w:r>
      <w:r w:rsidRPr="00DA0547">
        <w:rPr>
          <w:vertAlign w:val="superscript"/>
        </w:rPr>
        <w:t>o</w:t>
      </w:r>
      <w:r>
        <w:t> </w:t>
      </w:r>
      <w:r w:rsidRPr="00DA0547">
        <w:t xml:space="preserve">1640/2007, </w:t>
      </w:r>
      <w:r w:rsidRPr="00DA0547">
        <w:rPr>
          <w:i/>
          <w:iCs/>
        </w:rPr>
        <w:t xml:space="preserve">El Abani </w:t>
      </w:r>
      <w:r w:rsidRPr="00DA0547">
        <w:t>c.</w:t>
      </w:r>
      <w:r>
        <w:rPr>
          <w:i/>
          <w:iCs/>
        </w:rPr>
        <w:t> </w:t>
      </w:r>
      <w:r w:rsidRPr="00DA0547">
        <w:rPr>
          <w:i/>
          <w:iCs/>
        </w:rPr>
        <w:t>Algérie</w:t>
      </w:r>
      <w:r w:rsidRPr="00DA0547">
        <w:t>, par. 7.6 et 7.8.</w:t>
      </w:r>
    </w:p>
  </w:footnote>
  <w:footnote w:id="87">
    <w:p w:rsidR="00D304D2" w:rsidRDefault="00D304D2">
      <w:pPr>
        <w:pStyle w:val="FootnoteText"/>
      </w:pPr>
      <w:r>
        <w:tab/>
      </w:r>
      <w:r>
        <w:rPr>
          <w:rStyle w:val="FootnoteReference"/>
        </w:rPr>
        <w:footnoteRef/>
      </w:r>
      <w:r>
        <w:tab/>
      </w:r>
      <w:r w:rsidRPr="00BE29D4">
        <w:t>Communic</w:t>
      </w:r>
      <w:r>
        <w:t>ation n</w:t>
      </w:r>
      <w:r w:rsidRPr="00BE29D4">
        <w:rPr>
          <w:vertAlign w:val="superscript"/>
        </w:rPr>
        <w:t>o</w:t>
      </w:r>
      <w:r>
        <w:t> </w:t>
      </w:r>
      <w:r w:rsidRPr="00BE29D4">
        <w:t xml:space="preserve">493/1992, </w:t>
      </w:r>
      <w:r w:rsidRPr="00BE29D4">
        <w:rPr>
          <w:i/>
        </w:rPr>
        <w:t xml:space="preserve">Griffin </w:t>
      </w:r>
      <w:r w:rsidRPr="00BE29D4">
        <w:t>c.</w:t>
      </w:r>
      <w:r>
        <w:t> </w:t>
      </w:r>
      <w:r w:rsidRPr="00BE29D4">
        <w:rPr>
          <w:i/>
        </w:rPr>
        <w:t>Espagne</w:t>
      </w:r>
      <w:r w:rsidRPr="00BE29D4">
        <w:t>, par. 9.2.</w:t>
      </w:r>
    </w:p>
  </w:footnote>
  <w:footnote w:id="88">
    <w:p w:rsidR="00D304D2" w:rsidRDefault="00D304D2">
      <w:pPr>
        <w:pStyle w:val="FootnoteText"/>
      </w:pPr>
      <w:r>
        <w:tab/>
      </w:r>
      <w:r>
        <w:rPr>
          <w:rStyle w:val="FootnoteReference"/>
        </w:rPr>
        <w:footnoteRef/>
      </w:r>
      <w:r>
        <w:tab/>
        <w:t>Observation générale n</w:t>
      </w:r>
      <w:r w:rsidRPr="00BE29D4">
        <w:rPr>
          <w:vertAlign w:val="superscript"/>
        </w:rPr>
        <w:t>o</w:t>
      </w:r>
      <w:r>
        <w:t> 32, par. </w:t>
      </w:r>
      <w:r w:rsidRPr="00BE29D4">
        <w:t>31;</w:t>
      </w:r>
      <w:r>
        <w:t xml:space="preserve"> communication n</w:t>
      </w:r>
      <w:r w:rsidRPr="00BE29D4">
        <w:rPr>
          <w:vertAlign w:val="superscript"/>
        </w:rPr>
        <w:t>o</w:t>
      </w:r>
      <w:r>
        <w:t> </w:t>
      </w:r>
      <w:r w:rsidRPr="00BE29D4">
        <w:t xml:space="preserve">702/1996, </w:t>
      </w:r>
      <w:r w:rsidRPr="00BE29D4">
        <w:rPr>
          <w:i/>
        </w:rPr>
        <w:t xml:space="preserve">McLawrence </w:t>
      </w:r>
      <w:r w:rsidRPr="00BE29D4">
        <w:t>c.</w:t>
      </w:r>
      <w:r>
        <w:rPr>
          <w:i/>
        </w:rPr>
        <w:t> </w:t>
      </w:r>
      <w:r w:rsidRPr="00BE29D4">
        <w:rPr>
          <w:i/>
        </w:rPr>
        <w:t>Jamaïque</w:t>
      </w:r>
      <w:r w:rsidRPr="00BE29D4">
        <w:t>, par. 5.9.</w:t>
      </w:r>
    </w:p>
  </w:footnote>
  <w:footnote w:id="89">
    <w:p w:rsidR="00D304D2" w:rsidRDefault="00D304D2">
      <w:pPr>
        <w:pStyle w:val="FootnoteText"/>
      </w:pPr>
      <w:r>
        <w:tab/>
      </w:r>
      <w:r>
        <w:rPr>
          <w:rStyle w:val="FootnoteReference"/>
        </w:rPr>
        <w:footnoteRef/>
      </w:r>
      <w:r>
        <w:tab/>
        <w:t>Communication n</w:t>
      </w:r>
      <w:r w:rsidRPr="0001662D">
        <w:rPr>
          <w:vertAlign w:val="superscript"/>
        </w:rPr>
        <w:t>o</w:t>
      </w:r>
      <w:r>
        <w:t> </w:t>
      </w:r>
      <w:r w:rsidRPr="0001662D">
        <w:t xml:space="preserve">712/1996, </w:t>
      </w:r>
      <w:r w:rsidRPr="0001662D">
        <w:rPr>
          <w:i/>
        </w:rPr>
        <w:t xml:space="preserve">Smirnova </w:t>
      </w:r>
      <w:r w:rsidRPr="0001662D">
        <w:t>c.</w:t>
      </w:r>
      <w:r>
        <w:rPr>
          <w:i/>
        </w:rPr>
        <w:t> </w:t>
      </w:r>
      <w:r w:rsidRPr="0001662D">
        <w:rPr>
          <w:i/>
        </w:rPr>
        <w:t>Fédération de Russie</w:t>
      </w:r>
      <w:r w:rsidRPr="0001662D">
        <w:t>, par.</w:t>
      </w:r>
      <w:r>
        <w:t> </w:t>
      </w:r>
      <w:r w:rsidRPr="0001662D">
        <w:t>10.3.</w:t>
      </w:r>
    </w:p>
  </w:footnote>
  <w:footnote w:id="90">
    <w:p w:rsidR="00D304D2" w:rsidRPr="004973A0" w:rsidRDefault="00D304D2">
      <w:pPr>
        <w:pStyle w:val="FootnoteText"/>
      </w:pPr>
      <w:r>
        <w:tab/>
      </w:r>
      <w:r>
        <w:rPr>
          <w:rStyle w:val="FootnoteReference"/>
        </w:rPr>
        <w:footnoteRef/>
      </w:r>
      <w:r>
        <w:tab/>
        <w:t>Communications n</w:t>
      </w:r>
      <w:r w:rsidRPr="00D304D2">
        <w:rPr>
          <w:vertAlign w:val="superscript"/>
        </w:rPr>
        <w:t>o</w:t>
      </w:r>
      <w:r>
        <w:t> </w:t>
      </w:r>
      <w:r w:rsidRPr="00D304D2">
        <w:t xml:space="preserve">1782/2008, </w:t>
      </w:r>
      <w:r w:rsidRPr="00D304D2">
        <w:rPr>
          <w:i/>
        </w:rPr>
        <w:t>Aboufaied</w:t>
      </w:r>
      <w:r w:rsidRPr="00D304D2">
        <w:rPr>
          <w:i/>
          <w:iCs/>
        </w:rPr>
        <w:t xml:space="preserve"> </w:t>
      </w:r>
      <w:r>
        <w:t>c</w:t>
      </w:r>
      <w:r w:rsidRPr="00D304D2">
        <w:t>.</w:t>
      </w:r>
      <w:r>
        <w:rPr>
          <w:i/>
        </w:rPr>
        <w:t> Libye</w:t>
      </w:r>
      <w:r>
        <w:t>, par</w:t>
      </w:r>
      <w:r w:rsidRPr="00D304D2">
        <w:t>. 7.6. Le paragraphe 3 s</w:t>
      </w:r>
      <w:r w:rsidR="00F100CC">
        <w:t>’</w:t>
      </w:r>
      <w:r w:rsidRPr="00D304D2">
        <w:t>applique à la détention aux fins d</w:t>
      </w:r>
      <w:r w:rsidR="00F100CC">
        <w:t>’</w:t>
      </w:r>
      <w:r w:rsidRPr="00D304D2">
        <w:t>éventuelles poursuites militaire</w:t>
      </w:r>
      <w:r w:rsidR="007D5B6F">
        <w:t>s</w:t>
      </w:r>
      <w:r w:rsidRPr="00D304D2">
        <w:t>, indépendamment de la question de savoir si le procès du détenu par une juridiction militaire serait co</w:t>
      </w:r>
      <w:r>
        <w:t>ntraire à l</w:t>
      </w:r>
      <w:r w:rsidR="00F100CC">
        <w:t>’</w:t>
      </w:r>
      <w:r>
        <w:t>article 14 du Pacte;</w:t>
      </w:r>
      <w:r w:rsidRPr="00D304D2">
        <w:t xml:space="preserve"> n</w:t>
      </w:r>
      <w:r w:rsidRPr="00D304D2">
        <w:rPr>
          <w:vertAlign w:val="superscript"/>
        </w:rPr>
        <w:t>o</w:t>
      </w:r>
      <w:r>
        <w:t> </w:t>
      </w:r>
      <w:r w:rsidRPr="00D304D2">
        <w:t xml:space="preserve">1813/2008, </w:t>
      </w:r>
      <w:r w:rsidRPr="00D304D2">
        <w:rPr>
          <w:i/>
        </w:rPr>
        <w:t xml:space="preserve">Akwanga </w:t>
      </w:r>
      <w:r w:rsidRPr="00D304D2">
        <w:t>c.</w:t>
      </w:r>
      <w:r>
        <w:rPr>
          <w:i/>
        </w:rPr>
        <w:t> </w:t>
      </w:r>
      <w:r w:rsidRPr="00D304D2">
        <w:rPr>
          <w:i/>
        </w:rPr>
        <w:t>Cameroun</w:t>
      </w:r>
      <w:r w:rsidRPr="00D304D2">
        <w:t>, par. 7.4 et 7.5. En cas de conflit armé international, les règles détaillées du droit international humanitaire relatives à l</w:t>
      </w:r>
      <w:r w:rsidR="00F100CC">
        <w:t>’</w:t>
      </w:r>
      <w:r w:rsidRPr="00D304D2">
        <w:t xml:space="preserve">engagement de poursuites </w:t>
      </w:r>
      <w:r w:rsidR="004973A0" w:rsidRPr="00D304D2">
        <w:t>militaires</w:t>
      </w:r>
      <w:r w:rsidRPr="00D304D2">
        <w:t xml:space="preserve"> sont également pertinentes </w:t>
      </w:r>
      <w:r w:rsidR="004973A0" w:rsidRPr="00D304D2">
        <w:t>pour</w:t>
      </w:r>
      <w:r w:rsidR="004973A0">
        <w:t xml:space="preserve"> l</w:t>
      </w:r>
      <w:r w:rsidR="00F100CC">
        <w:t>’</w:t>
      </w:r>
      <w:r w:rsidR="004973A0">
        <w:t>interprétation du paragraphe </w:t>
      </w:r>
      <w:r w:rsidRPr="00D304D2">
        <w:t>3 de l</w:t>
      </w:r>
      <w:r w:rsidR="00F100CC">
        <w:t>’</w:t>
      </w:r>
      <w:r w:rsidRPr="00D304D2">
        <w:t>article</w:t>
      </w:r>
      <w:r w:rsidR="004973A0">
        <w:t> </w:t>
      </w:r>
      <w:r w:rsidRPr="00D304D2">
        <w:t>9, qui</w:t>
      </w:r>
      <w:r w:rsidR="004973A0">
        <w:t xml:space="preserve"> </w:t>
      </w:r>
      <w:r w:rsidR="004973A0" w:rsidRPr="00D304D2">
        <w:t>continue</w:t>
      </w:r>
      <w:r w:rsidRPr="00D304D2">
        <w:t xml:space="preserve"> de </w:t>
      </w:r>
      <w:r w:rsidR="007D5B6F">
        <w:t>s</w:t>
      </w:r>
      <w:r w:rsidR="00F100CC">
        <w:t>’</w:t>
      </w:r>
      <w:r w:rsidR="007D5B6F">
        <w:t>appliquer. Voir le paragraphe </w:t>
      </w:r>
      <w:r w:rsidRPr="004973A0">
        <w:t>64.</w:t>
      </w:r>
    </w:p>
  </w:footnote>
  <w:footnote w:id="91">
    <w:p w:rsidR="004F4CE0" w:rsidRDefault="004F4CE0">
      <w:pPr>
        <w:pStyle w:val="FootnoteText"/>
      </w:pPr>
      <w:r>
        <w:tab/>
      </w:r>
      <w:r>
        <w:rPr>
          <w:rStyle w:val="FootnoteReference"/>
        </w:rPr>
        <w:footnoteRef/>
      </w:r>
      <w:r>
        <w:tab/>
        <w:t>Communication n</w:t>
      </w:r>
      <w:r w:rsidRPr="004F4CE0">
        <w:rPr>
          <w:vertAlign w:val="superscript"/>
        </w:rPr>
        <w:t>o</w:t>
      </w:r>
      <w:r>
        <w:t> </w:t>
      </w:r>
      <w:r w:rsidRPr="004F4CE0">
        <w:t xml:space="preserve">1787/2008, </w:t>
      </w:r>
      <w:r w:rsidRPr="004F4CE0">
        <w:rPr>
          <w:i/>
        </w:rPr>
        <w:t xml:space="preserve">Kovsh </w:t>
      </w:r>
      <w:r w:rsidRPr="004F4CE0">
        <w:rPr>
          <w:iCs/>
        </w:rPr>
        <w:t>c.</w:t>
      </w:r>
      <w:r>
        <w:rPr>
          <w:iCs/>
        </w:rPr>
        <w:t> </w:t>
      </w:r>
      <w:r w:rsidRPr="004F4CE0">
        <w:rPr>
          <w:i/>
        </w:rPr>
        <w:t>Bélarus</w:t>
      </w:r>
      <w:r w:rsidRPr="004F4CE0">
        <w:t>, par. 7.3 à 7.5.</w:t>
      </w:r>
    </w:p>
  </w:footnote>
  <w:footnote w:id="92">
    <w:p w:rsidR="006A468C" w:rsidRDefault="006A468C">
      <w:pPr>
        <w:pStyle w:val="FootnoteText"/>
      </w:pPr>
      <w:r>
        <w:tab/>
      </w:r>
      <w:r>
        <w:rPr>
          <w:rStyle w:val="FootnoteReference"/>
        </w:rPr>
        <w:footnoteRef/>
      </w:r>
      <w:r>
        <w:tab/>
        <w:t>Communications n</w:t>
      </w:r>
      <w:r w:rsidRPr="006A468C">
        <w:rPr>
          <w:vertAlign w:val="superscript"/>
        </w:rPr>
        <w:t>o</w:t>
      </w:r>
      <w:r>
        <w:t> </w:t>
      </w:r>
      <w:r w:rsidRPr="006A468C">
        <w:t xml:space="preserve">1128/2002, </w:t>
      </w:r>
      <w:r w:rsidRPr="006A468C">
        <w:rPr>
          <w:i/>
        </w:rPr>
        <w:t xml:space="preserve">Marques de Morais </w:t>
      </w:r>
      <w:r>
        <w:t>c. </w:t>
      </w:r>
      <w:r w:rsidRPr="006A468C">
        <w:rPr>
          <w:i/>
        </w:rPr>
        <w:t>Angola</w:t>
      </w:r>
      <w:r w:rsidRPr="006A468C">
        <w:t xml:space="preserve">, par. 6.3 et 6.4; </w:t>
      </w:r>
      <w:r>
        <w:t>n</w:t>
      </w:r>
      <w:r w:rsidRPr="006A468C">
        <w:rPr>
          <w:vertAlign w:val="superscript"/>
        </w:rPr>
        <w:t>o</w:t>
      </w:r>
      <w:r>
        <w:t> </w:t>
      </w:r>
      <w:r w:rsidRPr="006A468C">
        <w:t xml:space="preserve">1096/2002, </w:t>
      </w:r>
      <w:r w:rsidRPr="006A468C">
        <w:rPr>
          <w:i/>
        </w:rPr>
        <w:t xml:space="preserve">Kurbanova </w:t>
      </w:r>
      <w:r w:rsidRPr="006A468C">
        <w:t>c.</w:t>
      </w:r>
      <w:r>
        <w:rPr>
          <w:i/>
        </w:rPr>
        <w:t> </w:t>
      </w:r>
      <w:r w:rsidRPr="006A468C">
        <w:rPr>
          <w:i/>
        </w:rPr>
        <w:t>Tadjikistan</w:t>
      </w:r>
      <w:r w:rsidRPr="006A468C">
        <w:t>, par.</w:t>
      </w:r>
      <w:r>
        <w:t> </w:t>
      </w:r>
      <w:r w:rsidRPr="006A468C">
        <w:t>7.2.</w:t>
      </w:r>
    </w:p>
  </w:footnote>
  <w:footnote w:id="93">
    <w:p w:rsidR="006A468C" w:rsidRDefault="006A468C">
      <w:pPr>
        <w:pStyle w:val="FootnoteText"/>
      </w:pPr>
      <w:r>
        <w:tab/>
      </w:r>
      <w:r>
        <w:rPr>
          <w:rStyle w:val="FootnoteReference"/>
        </w:rPr>
        <w:footnoteRef/>
      </w:r>
      <w:r>
        <w:tab/>
        <w:t>Communication n</w:t>
      </w:r>
      <w:r w:rsidRPr="006A468C">
        <w:rPr>
          <w:vertAlign w:val="superscript"/>
        </w:rPr>
        <w:t>o</w:t>
      </w:r>
      <w:r>
        <w:t> 1914</w:t>
      </w:r>
      <w:r w:rsidR="004973A0">
        <w:t xml:space="preserve">, 1915, </w:t>
      </w:r>
      <w:r w:rsidRPr="006A468C">
        <w:t xml:space="preserve">1916/2009, </w:t>
      </w:r>
      <w:r w:rsidRPr="006A468C">
        <w:rPr>
          <w:i/>
        </w:rPr>
        <w:t xml:space="preserve">Musaev </w:t>
      </w:r>
      <w:r w:rsidRPr="006A468C">
        <w:t>c.</w:t>
      </w:r>
      <w:r>
        <w:rPr>
          <w:i/>
        </w:rPr>
        <w:t> </w:t>
      </w:r>
      <w:r w:rsidRPr="006A468C">
        <w:rPr>
          <w:i/>
        </w:rPr>
        <w:t>Ouzbékistan</w:t>
      </w:r>
      <w:r w:rsidRPr="006A468C">
        <w:t>, par. 9.3.</w:t>
      </w:r>
    </w:p>
  </w:footnote>
  <w:footnote w:id="94">
    <w:p w:rsidR="006A468C" w:rsidRDefault="006A468C">
      <w:pPr>
        <w:pStyle w:val="FootnoteText"/>
      </w:pPr>
      <w:r>
        <w:tab/>
      </w:r>
      <w:r>
        <w:rPr>
          <w:rStyle w:val="FootnoteReference"/>
        </w:rPr>
        <w:footnoteRef/>
      </w:r>
      <w:r>
        <w:tab/>
        <w:t>Communications n</w:t>
      </w:r>
      <w:r w:rsidRPr="006A468C">
        <w:rPr>
          <w:vertAlign w:val="superscript"/>
        </w:rPr>
        <w:t>o</w:t>
      </w:r>
      <w:r>
        <w:t> </w:t>
      </w:r>
      <w:r w:rsidRPr="006A468C">
        <w:t xml:space="preserve">635/1995, </w:t>
      </w:r>
      <w:r w:rsidRPr="006A468C">
        <w:rPr>
          <w:i/>
        </w:rPr>
        <w:t xml:space="preserve">Morrison </w:t>
      </w:r>
      <w:r w:rsidRPr="006A468C">
        <w:t>c.</w:t>
      </w:r>
      <w:r>
        <w:rPr>
          <w:i/>
        </w:rPr>
        <w:t> </w:t>
      </w:r>
      <w:r w:rsidRPr="006A468C">
        <w:rPr>
          <w:i/>
        </w:rPr>
        <w:t>Jamaïque</w:t>
      </w:r>
      <w:r w:rsidRPr="006A468C">
        <w:t xml:space="preserve">, par. 22.2 et 22.3; </w:t>
      </w:r>
      <w:r>
        <w:t>n° </w:t>
      </w:r>
      <w:r w:rsidRPr="006A468C">
        <w:t xml:space="preserve">762/1997, </w:t>
      </w:r>
      <w:r w:rsidRPr="006A468C">
        <w:rPr>
          <w:i/>
        </w:rPr>
        <w:t xml:space="preserve">Jensen </w:t>
      </w:r>
      <w:r w:rsidRPr="006A468C">
        <w:t>c.</w:t>
      </w:r>
      <w:r>
        <w:rPr>
          <w:i/>
        </w:rPr>
        <w:t> </w:t>
      </w:r>
      <w:r w:rsidRPr="006A468C">
        <w:rPr>
          <w:i/>
        </w:rPr>
        <w:t>Australie</w:t>
      </w:r>
      <w:r w:rsidRPr="006A468C">
        <w:t>, par. 6.3.</w:t>
      </w:r>
    </w:p>
  </w:footnote>
  <w:footnote w:id="95">
    <w:p w:rsidR="004973A0" w:rsidRDefault="004973A0">
      <w:pPr>
        <w:pStyle w:val="FootnoteText"/>
      </w:pPr>
      <w:r>
        <w:tab/>
      </w:r>
      <w:r>
        <w:rPr>
          <w:rStyle w:val="FootnoteReference"/>
        </w:rPr>
        <w:footnoteRef/>
      </w:r>
      <w:r>
        <w:tab/>
        <w:t>Communication n</w:t>
      </w:r>
      <w:r w:rsidRPr="004973A0">
        <w:rPr>
          <w:vertAlign w:val="superscript"/>
        </w:rPr>
        <w:t>o</w:t>
      </w:r>
      <w:r>
        <w:t> </w:t>
      </w:r>
      <w:r w:rsidRPr="004973A0">
        <w:t xml:space="preserve">521/1992, </w:t>
      </w:r>
      <w:r w:rsidRPr="004973A0">
        <w:rPr>
          <w:i/>
        </w:rPr>
        <w:t xml:space="preserve">Kulomin </w:t>
      </w:r>
      <w:r w:rsidRPr="004973A0">
        <w:t>c.</w:t>
      </w:r>
      <w:r>
        <w:rPr>
          <w:i/>
        </w:rPr>
        <w:t> </w:t>
      </w:r>
      <w:r w:rsidRPr="004973A0">
        <w:rPr>
          <w:i/>
        </w:rPr>
        <w:t>Hongrie</w:t>
      </w:r>
      <w:r w:rsidRPr="004973A0">
        <w:t>, par. 11.3.</w:t>
      </w:r>
    </w:p>
  </w:footnote>
  <w:footnote w:id="96">
    <w:p w:rsidR="004973A0" w:rsidRDefault="004973A0">
      <w:pPr>
        <w:pStyle w:val="FootnoteText"/>
      </w:pPr>
      <w:r>
        <w:tab/>
      </w:r>
      <w:r>
        <w:rPr>
          <w:rStyle w:val="FootnoteReference"/>
        </w:rPr>
        <w:footnoteRef/>
      </w:r>
      <w:r>
        <w:tab/>
        <w:t>Voir ibid</w:t>
      </w:r>
      <w:r w:rsidR="00007EFC">
        <w:t>.</w:t>
      </w:r>
      <w:r>
        <w:t>;</w:t>
      </w:r>
      <w:r w:rsidRPr="004973A0">
        <w:t xml:space="preserve"> communications</w:t>
      </w:r>
      <w:r>
        <w:t xml:space="preserve"> n</w:t>
      </w:r>
      <w:r w:rsidRPr="004973A0">
        <w:rPr>
          <w:vertAlign w:val="superscript"/>
        </w:rPr>
        <w:t>o</w:t>
      </w:r>
      <w:r>
        <w:t> </w:t>
      </w:r>
      <w:r w:rsidRPr="004973A0">
        <w:t xml:space="preserve">1547/2007, </w:t>
      </w:r>
      <w:r w:rsidRPr="004973A0">
        <w:rPr>
          <w:i/>
        </w:rPr>
        <w:t xml:space="preserve">Torobekov </w:t>
      </w:r>
      <w:r w:rsidRPr="004973A0">
        <w:t>c.</w:t>
      </w:r>
      <w:r>
        <w:rPr>
          <w:i/>
        </w:rPr>
        <w:t> </w:t>
      </w:r>
      <w:r w:rsidRPr="004973A0">
        <w:rPr>
          <w:i/>
        </w:rPr>
        <w:t>Kirghizistan</w:t>
      </w:r>
      <w:r w:rsidRPr="004973A0">
        <w:t xml:space="preserve">, par. 6.2; </w:t>
      </w:r>
      <w:r>
        <w:t>n</w:t>
      </w:r>
      <w:r w:rsidRPr="004973A0">
        <w:rPr>
          <w:vertAlign w:val="superscript"/>
        </w:rPr>
        <w:t>o</w:t>
      </w:r>
      <w:r>
        <w:t> </w:t>
      </w:r>
      <w:r w:rsidRPr="004973A0">
        <w:t xml:space="preserve">1278/2004, </w:t>
      </w:r>
      <w:r w:rsidRPr="004973A0">
        <w:rPr>
          <w:i/>
        </w:rPr>
        <w:t xml:space="preserve">Reshetnikov </w:t>
      </w:r>
      <w:r w:rsidRPr="004973A0">
        <w:t>c</w:t>
      </w:r>
      <w:r>
        <w:rPr>
          <w:i/>
        </w:rPr>
        <w:t>. </w:t>
      </w:r>
      <w:r w:rsidRPr="004973A0">
        <w:rPr>
          <w:i/>
        </w:rPr>
        <w:t>Fédération de Russie</w:t>
      </w:r>
      <w:r>
        <w:t>,</w:t>
      </w:r>
      <w:r w:rsidRPr="004973A0">
        <w:t xml:space="preserve"> par. 8.2; observations finales concernant le rapport du Tadjikistan (CCPR/CO/84/TJK, 2005), par. 12.</w:t>
      </w:r>
    </w:p>
  </w:footnote>
  <w:footnote w:id="97">
    <w:p w:rsidR="004973A0" w:rsidRDefault="004973A0">
      <w:pPr>
        <w:pStyle w:val="FootnoteText"/>
      </w:pPr>
      <w:r>
        <w:tab/>
      </w:r>
      <w:r>
        <w:rPr>
          <w:rStyle w:val="FootnoteReference"/>
        </w:rPr>
        <w:footnoteRef/>
      </w:r>
      <w:r>
        <w:tab/>
      </w:r>
      <w:r w:rsidRPr="004973A0">
        <w:t>Communications</w:t>
      </w:r>
      <w:r>
        <w:t xml:space="preserve"> n</w:t>
      </w:r>
      <w:r w:rsidRPr="004973A0">
        <w:rPr>
          <w:vertAlign w:val="superscript"/>
        </w:rPr>
        <w:t>o</w:t>
      </w:r>
      <w:r>
        <w:t> </w:t>
      </w:r>
      <w:r w:rsidRPr="004973A0">
        <w:t xml:space="preserve">702/1996, </w:t>
      </w:r>
      <w:r w:rsidRPr="004973A0">
        <w:rPr>
          <w:i/>
        </w:rPr>
        <w:t xml:space="preserve">McLawrence </w:t>
      </w:r>
      <w:r w:rsidRPr="004973A0">
        <w:t>c.</w:t>
      </w:r>
      <w:r>
        <w:rPr>
          <w:i/>
        </w:rPr>
        <w:t> </w:t>
      </w:r>
      <w:r w:rsidRPr="004973A0">
        <w:rPr>
          <w:i/>
        </w:rPr>
        <w:t>Jamaïque</w:t>
      </w:r>
      <w:r w:rsidRPr="004973A0">
        <w:t xml:space="preserve">, par. 5.6; </w:t>
      </w:r>
      <w:r>
        <w:t>n</w:t>
      </w:r>
      <w:r w:rsidRPr="004973A0">
        <w:rPr>
          <w:vertAlign w:val="superscript"/>
        </w:rPr>
        <w:t>o</w:t>
      </w:r>
      <w:r>
        <w:t> </w:t>
      </w:r>
      <w:r w:rsidRPr="004973A0">
        <w:t xml:space="preserve">2120/2011, </w:t>
      </w:r>
      <w:r w:rsidRPr="004973A0">
        <w:rPr>
          <w:i/>
          <w:iCs/>
        </w:rPr>
        <w:t xml:space="preserve">Kovalev </w:t>
      </w:r>
      <w:r w:rsidRPr="004973A0">
        <w:t>c.</w:t>
      </w:r>
      <w:r>
        <w:t> </w:t>
      </w:r>
      <w:r w:rsidRPr="004973A0">
        <w:rPr>
          <w:i/>
          <w:iCs/>
        </w:rPr>
        <w:t>Bélarus</w:t>
      </w:r>
      <w:r w:rsidRPr="004973A0">
        <w:t>, par. 11.3.</w:t>
      </w:r>
    </w:p>
  </w:footnote>
  <w:footnote w:id="98">
    <w:p w:rsidR="004973A0" w:rsidRDefault="004973A0">
      <w:pPr>
        <w:pStyle w:val="FootnoteText"/>
      </w:pPr>
      <w:r>
        <w:tab/>
      </w:r>
      <w:r>
        <w:rPr>
          <w:rStyle w:val="FootnoteReference"/>
        </w:rPr>
        <w:footnoteRef/>
      </w:r>
      <w:r>
        <w:tab/>
        <w:t>Communications n</w:t>
      </w:r>
      <w:r w:rsidRPr="004973A0">
        <w:rPr>
          <w:vertAlign w:val="superscript"/>
        </w:rPr>
        <w:t>o</w:t>
      </w:r>
      <w:r>
        <w:t> </w:t>
      </w:r>
      <w:r w:rsidRPr="004973A0">
        <w:t xml:space="preserve">1128/2002, </w:t>
      </w:r>
      <w:r w:rsidRPr="004973A0">
        <w:rPr>
          <w:i/>
        </w:rPr>
        <w:t xml:space="preserve">Marques de Morais </w:t>
      </w:r>
      <w:r w:rsidRPr="004973A0">
        <w:t>c.</w:t>
      </w:r>
      <w:r>
        <w:rPr>
          <w:i/>
        </w:rPr>
        <w:t> </w:t>
      </w:r>
      <w:r w:rsidRPr="004973A0">
        <w:rPr>
          <w:i/>
        </w:rPr>
        <w:t>Angola</w:t>
      </w:r>
      <w:r w:rsidRPr="004973A0">
        <w:t xml:space="preserve">, par. 6.3; </w:t>
      </w:r>
      <w:r>
        <w:t>n</w:t>
      </w:r>
      <w:r w:rsidRPr="004973A0">
        <w:rPr>
          <w:vertAlign w:val="superscript"/>
        </w:rPr>
        <w:t>o</w:t>
      </w:r>
      <w:r>
        <w:t> </w:t>
      </w:r>
      <w:r w:rsidRPr="004973A0">
        <w:t xml:space="preserve">277/1988, </w:t>
      </w:r>
      <w:r w:rsidRPr="004973A0">
        <w:rPr>
          <w:i/>
        </w:rPr>
        <w:t xml:space="preserve">Terán Jijón </w:t>
      </w:r>
      <w:r w:rsidRPr="004973A0">
        <w:t>c.</w:t>
      </w:r>
      <w:r>
        <w:rPr>
          <w:i/>
        </w:rPr>
        <w:t> </w:t>
      </w:r>
      <w:r w:rsidR="00007EFC" w:rsidRPr="004973A0">
        <w:rPr>
          <w:i/>
        </w:rPr>
        <w:t>Équateur</w:t>
      </w:r>
      <w:r w:rsidRPr="004973A0">
        <w:t>, par.</w:t>
      </w:r>
      <w:r>
        <w:t> </w:t>
      </w:r>
      <w:r w:rsidRPr="004973A0">
        <w:t>5.3 (</w:t>
      </w:r>
      <w:r>
        <w:t xml:space="preserve">un </w:t>
      </w:r>
      <w:r w:rsidRPr="004973A0">
        <w:t xml:space="preserve">délai de cinq jours </w:t>
      </w:r>
      <w:r>
        <w:t>n</w:t>
      </w:r>
      <w:r w:rsidR="00F100CC">
        <w:t>’</w:t>
      </w:r>
      <w:r>
        <w:t>est pas</w:t>
      </w:r>
      <w:r w:rsidRPr="004973A0">
        <w:t xml:space="preserve"> considéré comme bref); </w:t>
      </w:r>
      <w:r>
        <w:t>n</w:t>
      </w:r>
      <w:r w:rsidRPr="004973A0">
        <w:rPr>
          <w:vertAlign w:val="superscript"/>
        </w:rPr>
        <w:t>o</w:t>
      </w:r>
      <w:r>
        <w:t> </w:t>
      </w:r>
      <w:r w:rsidRPr="004973A0">
        <w:t xml:space="preserve">625/1995, </w:t>
      </w:r>
      <w:r w:rsidRPr="004973A0">
        <w:rPr>
          <w:i/>
        </w:rPr>
        <w:t xml:space="preserve">Freemantle </w:t>
      </w:r>
      <w:r w:rsidRPr="004973A0">
        <w:t>c</w:t>
      </w:r>
      <w:r>
        <w:rPr>
          <w:i/>
        </w:rPr>
        <w:t>. </w:t>
      </w:r>
      <w:r w:rsidRPr="004973A0">
        <w:rPr>
          <w:i/>
        </w:rPr>
        <w:t>Jamaïque</w:t>
      </w:r>
      <w:r w:rsidRPr="004973A0">
        <w:t>, par. 7.4 (</w:t>
      </w:r>
      <w:r>
        <w:t xml:space="preserve">un </w:t>
      </w:r>
      <w:r w:rsidRPr="004973A0">
        <w:t xml:space="preserve">délai de quatre jours </w:t>
      </w:r>
      <w:r>
        <w:t>n</w:t>
      </w:r>
      <w:r w:rsidR="00F100CC">
        <w:t>’</w:t>
      </w:r>
      <w:r>
        <w:t>est pas</w:t>
      </w:r>
      <w:r w:rsidRPr="004973A0">
        <w:t xml:space="preserve"> considéré comme bref).</w:t>
      </w:r>
    </w:p>
  </w:footnote>
  <w:footnote w:id="99">
    <w:p w:rsidR="0046657E" w:rsidRDefault="0046657E">
      <w:pPr>
        <w:pStyle w:val="FootnoteText"/>
      </w:pPr>
      <w:r>
        <w:tab/>
      </w:r>
      <w:r>
        <w:rPr>
          <w:rStyle w:val="FootnoteReference"/>
        </w:rPr>
        <w:footnoteRef/>
      </w:r>
      <w:r>
        <w:tab/>
        <w:t>Communication n</w:t>
      </w:r>
      <w:r w:rsidRPr="0046657E">
        <w:rPr>
          <w:vertAlign w:val="superscript"/>
        </w:rPr>
        <w:t>o</w:t>
      </w:r>
      <w:r>
        <w:t> </w:t>
      </w:r>
      <w:r w:rsidRPr="0046657E">
        <w:t xml:space="preserve">1787/2008, </w:t>
      </w:r>
      <w:r w:rsidRPr="0046657E">
        <w:rPr>
          <w:i/>
          <w:iCs/>
        </w:rPr>
        <w:t xml:space="preserve">Kovsh </w:t>
      </w:r>
      <w:r w:rsidRPr="0046657E">
        <w:t>c.</w:t>
      </w:r>
      <w:r>
        <w:rPr>
          <w:i/>
          <w:iCs/>
        </w:rPr>
        <w:t> </w:t>
      </w:r>
      <w:r w:rsidRPr="0046657E">
        <w:rPr>
          <w:i/>
          <w:iCs/>
        </w:rPr>
        <w:t>Bélarus</w:t>
      </w:r>
      <w:r w:rsidRPr="0046657E">
        <w:t>, par. 7.3 à 7.5.</w:t>
      </w:r>
    </w:p>
  </w:footnote>
  <w:footnote w:id="100">
    <w:p w:rsidR="0046657E" w:rsidRDefault="0046657E">
      <w:pPr>
        <w:pStyle w:val="FootnoteText"/>
      </w:pPr>
      <w:r>
        <w:tab/>
      </w:r>
      <w:r>
        <w:rPr>
          <w:rStyle w:val="FootnoteReference"/>
        </w:rPr>
        <w:footnoteRef/>
      </w:r>
      <w:r>
        <w:tab/>
      </w:r>
      <w:r w:rsidRPr="0046657E">
        <w:rPr>
          <w:lang w:val="en-GB"/>
        </w:rPr>
        <w:t xml:space="preserve">Ibid. </w:t>
      </w:r>
      <w:r>
        <w:t>Voir aussi communication n</w:t>
      </w:r>
      <w:r w:rsidRPr="0046657E">
        <w:rPr>
          <w:vertAlign w:val="superscript"/>
        </w:rPr>
        <w:t>o</w:t>
      </w:r>
      <w:r>
        <w:t> </w:t>
      </w:r>
      <w:r w:rsidRPr="0046657E">
        <w:t xml:space="preserve">336/1988, </w:t>
      </w:r>
      <w:r w:rsidRPr="0046657E">
        <w:rPr>
          <w:i/>
        </w:rPr>
        <w:t xml:space="preserve">Fillastre </w:t>
      </w:r>
      <w:r w:rsidRPr="0046657E">
        <w:rPr>
          <w:i/>
          <w:iCs/>
        </w:rPr>
        <w:t xml:space="preserve">et Bizouarn </w:t>
      </w:r>
      <w:r w:rsidRPr="0046657E">
        <w:t>c.</w:t>
      </w:r>
      <w:r>
        <w:t> </w:t>
      </w:r>
      <w:r w:rsidRPr="0046657E">
        <w:rPr>
          <w:i/>
        </w:rPr>
        <w:t>Bolivie</w:t>
      </w:r>
      <w:r w:rsidRPr="0046657E">
        <w:t>, par. 6.4 (des contraintes budgétaires ne peuvent pas justifier un délai de dix jours).</w:t>
      </w:r>
    </w:p>
  </w:footnote>
  <w:footnote w:id="101">
    <w:p w:rsidR="0046657E" w:rsidRDefault="0046657E">
      <w:pPr>
        <w:pStyle w:val="FootnoteText"/>
      </w:pPr>
      <w:r>
        <w:tab/>
      </w:r>
      <w:r>
        <w:rPr>
          <w:rStyle w:val="FootnoteReference"/>
        </w:rPr>
        <w:footnoteRef/>
      </w:r>
      <w:r>
        <w:tab/>
      </w:r>
      <w:r w:rsidRPr="0046657E">
        <w:t>Voir observations finales concernant le rapport de la Hongrie (</w:t>
      </w:r>
      <w:r w:rsidR="00007EFC">
        <w:t>CCPR/</w:t>
      </w:r>
      <w:r w:rsidRPr="0046657E">
        <w:t>CO/74/HUN, 2002), par. 8.</w:t>
      </w:r>
    </w:p>
  </w:footnote>
  <w:footnote w:id="102">
    <w:p w:rsidR="0046657E" w:rsidRDefault="0046657E">
      <w:pPr>
        <w:pStyle w:val="FootnoteText"/>
      </w:pPr>
      <w:r>
        <w:tab/>
      </w:r>
      <w:r>
        <w:rPr>
          <w:rStyle w:val="FootnoteReference"/>
        </w:rPr>
        <w:footnoteRef/>
      </w:r>
      <w:r>
        <w:tab/>
      </w:r>
      <w:r w:rsidRPr="0046657E">
        <w:t>Comité des droits de l</w:t>
      </w:r>
      <w:r w:rsidR="00F100CC">
        <w:t>’</w:t>
      </w:r>
      <w:r>
        <w:t>enfant, Observation générale n</w:t>
      </w:r>
      <w:r w:rsidRPr="0046657E">
        <w:rPr>
          <w:vertAlign w:val="superscript"/>
        </w:rPr>
        <w:t>o</w:t>
      </w:r>
      <w:r>
        <w:t> </w:t>
      </w:r>
      <w:r w:rsidRPr="0046657E">
        <w:t>10, par. 83.</w:t>
      </w:r>
    </w:p>
  </w:footnote>
  <w:footnote w:id="103">
    <w:p w:rsidR="004E0619" w:rsidRDefault="004E0619">
      <w:pPr>
        <w:pStyle w:val="FootnoteText"/>
      </w:pPr>
      <w:r>
        <w:tab/>
      </w:r>
      <w:r>
        <w:rPr>
          <w:rStyle w:val="FootnoteReference"/>
        </w:rPr>
        <w:footnoteRef/>
      </w:r>
      <w:r>
        <w:tab/>
      </w:r>
      <w:r w:rsidRPr="004E0619">
        <w:t>Communicati</w:t>
      </w:r>
      <w:r>
        <w:t>ons n</w:t>
      </w:r>
      <w:r w:rsidRPr="004E0619">
        <w:rPr>
          <w:vertAlign w:val="superscript"/>
        </w:rPr>
        <w:t>o</w:t>
      </w:r>
      <w:r>
        <w:t> </w:t>
      </w:r>
      <w:r w:rsidRPr="004E0619">
        <w:t xml:space="preserve">289/1988, </w:t>
      </w:r>
      <w:r w:rsidRPr="004E0619">
        <w:rPr>
          <w:i/>
        </w:rPr>
        <w:t xml:space="preserve">Wolf </w:t>
      </w:r>
      <w:r w:rsidRPr="004E0619">
        <w:t>c.</w:t>
      </w:r>
      <w:r>
        <w:rPr>
          <w:i/>
        </w:rPr>
        <w:t> </w:t>
      </w:r>
      <w:r w:rsidRPr="004E0619">
        <w:rPr>
          <w:i/>
        </w:rPr>
        <w:t>Panama</w:t>
      </w:r>
      <w:r w:rsidRPr="004E0619">
        <w:t xml:space="preserve">, par. 6.2; </w:t>
      </w:r>
      <w:r>
        <w:t>n</w:t>
      </w:r>
      <w:r w:rsidRPr="004E0619">
        <w:rPr>
          <w:vertAlign w:val="superscript"/>
        </w:rPr>
        <w:t>o</w:t>
      </w:r>
      <w:r>
        <w:t> </w:t>
      </w:r>
      <w:r w:rsidRPr="004E0619">
        <w:t xml:space="preserve">613/1995, </w:t>
      </w:r>
      <w:r w:rsidRPr="004E0619">
        <w:rPr>
          <w:i/>
        </w:rPr>
        <w:t xml:space="preserve">Leehong </w:t>
      </w:r>
      <w:r w:rsidRPr="004E0619">
        <w:t>c.</w:t>
      </w:r>
      <w:r>
        <w:rPr>
          <w:i/>
        </w:rPr>
        <w:t> </w:t>
      </w:r>
      <w:r w:rsidRPr="004E0619">
        <w:rPr>
          <w:i/>
        </w:rPr>
        <w:t>Jamaïque</w:t>
      </w:r>
      <w:r w:rsidRPr="004E0619">
        <w:t>, par. 9.5. Pour</w:t>
      </w:r>
      <w:r>
        <w:t xml:space="preserve"> l</w:t>
      </w:r>
      <w:r w:rsidR="00F100CC">
        <w:t>’</w:t>
      </w:r>
      <w:r>
        <w:t>expression «</w:t>
      </w:r>
      <w:r w:rsidRPr="004E0619">
        <w:t>autorité habilitée par la loi à ex</w:t>
      </w:r>
      <w:r>
        <w:t>ercer des fonctions judiciaires»</w:t>
      </w:r>
      <w:r w:rsidR="00007EFC">
        <w:t>, voir le </w:t>
      </w:r>
      <w:r>
        <w:t>paragraphe </w:t>
      </w:r>
      <w:r w:rsidRPr="004E0619">
        <w:t>32.</w:t>
      </w:r>
    </w:p>
  </w:footnote>
  <w:footnote w:id="104">
    <w:p w:rsidR="00156CD9" w:rsidRDefault="00156CD9">
      <w:pPr>
        <w:pStyle w:val="FootnoteText"/>
      </w:pPr>
      <w:r>
        <w:tab/>
      </w:r>
      <w:r>
        <w:rPr>
          <w:rStyle w:val="FootnoteReference"/>
        </w:rPr>
        <w:footnoteRef/>
      </w:r>
      <w:r>
        <w:tab/>
      </w:r>
      <w:r w:rsidRPr="00156CD9">
        <w:t>Voir l</w:t>
      </w:r>
      <w:r w:rsidR="00F100CC">
        <w:t>’</w:t>
      </w:r>
      <w:r w:rsidRPr="00156CD9">
        <w:t>Ensemble de principes pour la protection de toutes les personnes soumises à une forme quelconque de détention ou d</w:t>
      </w:r>
      <w:r w:rsidR="00F100CC">
        <w:t>’</w:t>
      </w:r>
      <w:r w:rsidRPr="00156CD9">
        <w:t>emprisonnement, adopté par l</w:t>
      </w:r>
      <w:r w:rsidR="00F100CC">
        <w:t>’</w:t>
      </w:r>
      <w:r w:rsidRPr="00156CD9">
        <w:t>Assemb</w:t>
      </w:r>
      <w:r>
        <w:t>lée générale dans sa résolution 43/173, principe </w:t>
      </w:r>
      <w:r w:rsidRPr="00156CD9">
        <w:t>37.</w:t>
      </w:r>
    </w:p>
  </w:footnote>
  <w:footnote w:id="105">
    <w:p w:rsidR="00706BEC" w:rsidRDefault="00706BEC">
      <w:pPr>
        <w:pStyle w:val="FootnoteText"/>
      </w:pPr>
      <w:r>
        <w:tab/>
      </w:r>
      <w:r>
        <w:rPr>
          <w:rStyle w:val="FootnoteReference"/>
        </w:rPr>
        <w:footnoteRef/>
      </w:r>
      <w:r>
        <w:tab/>
      </w:r>
      <w:r w:rsidRPr="00706BEC">
        <w:t>Voir observations finales concernant le rapport du Kenya (CCPR/C/KEN/CO/3, 2012), par. 19; voir aussi art</w:t>
      </w:r>
      <w:r w:rsidR="006F0151">
        <w:t>.</w:t>
      </w:r>
      <w:r>
        <w:t> </w:t>
      </w:r>
      <w:r w:rsidR="006F0151">
        <w:t>14, par. 3 </w:t>
      </w:r>
      <w:r w:rsidRPr="00706BEC">
        <w:t xml:space="preserve">d); </w:t>
      </w:r>
      <w:r w:rsidR="006F0151">
        <w:t>Ensemble de principes (note 102</w:t>
      </w:r>
      <w:r w:rsidRPr="00706BEC">
        <w:t>), principe 11.</w:t>
      </w:r>
    </w:p>
  </w:footnote>
  <w:footnote w:id="106">
    <w:p w:rsidR="00C42614" w:rsidRDefault="00C42614">
      <w:pPr>
        <w:pStyle w:val="FootnoteText"/>
      </w:pPr>
      <w:r>
        <w:tab/>
      </w:r>
      <w:r>
        <w:rPr>
          <w:rStyle w:val="FootnoteReference"/>
        </w:rPr>
        <w:footnoteRef/>
      </w:r>
      <w:r>
        <w:tab/>
        <w:t>Communication n</w:t>
      </w:r>
      <w:r w:rsidRPr="00C42614">
        <w:rPr>
          <w:vertAlign w:val="superscript"/>
        </w:rPr>
        <w:t>o</w:t>
      </w:r>
      <w:r>
        <w:t> </w:t>
      </w:r>
      <w:r w:rsidRPr="00C42614">
        <w:t xml:space="preserve">1297/2004, </w:t>
      </w:r>
      <w:r w:rsidRPr="00C42614">
        <w:rPr>
          <w:i/>
        </w:rPr>
        <w:t xml:space="preserve">Medjnoune </w:t>
      </w:r>
      <w:r w:rsidRPr="00C42614">
        <w:t>c.</w:t>
      </w:r>
      <w:r>
        <w:t> </w:t>
      </w:r>
      <w:r w:rsidRPr="00C42614">
        <w:rPr>
          <w:i/>
        </w:rPr>
        <w:t>Algérie</w:t>
      </w:r>
      <w:r w:rsidRPr="00C42614">
        <w:t>, par. 8.7.</w:t>
      </w:r>
    </w:p>
  </w:footnote>
  <w:footnote w:id="107">
    <w:p w:rsidR="007344AA" w:rsidRDefault="007344AA">
      <w:pPr>
        <w:pStyle w:val="FootnoteText"/>
      </w:pPr>
      <w:r>
        <w:tab/>
      </w:r>
      <w:r>
        <w:rPr>
          <w:rStyle w:val="FootnoteReference"/>
        </w:rPr>
        <w:footnoteRef/>
      </w:r>
      <w:r>
        <w:tab/>
        <w:t>Communications n</w:t>
      </w:r>
      <w:r w:rsidRPr="007344AA">
        <w:rPr>
          <w:vertAlign w:val="superscript"/>
        </w:rPr>
        <w:t>o</w:t>
      </w:r>
      <w:r>
        <w:t> </w:t>
      </w:r>
      <w:r w:rsidRPr="007344AA">
        <w:t xml:space="preserve">1781/2008, </w:t>
      </w:r>
      <w:r w:rsidRPr="007344AA">
        <w:rPr>
          <w:i/>
        </w:rPr>
        <w:t xml:space="preserve">Berzig </w:t>
      </w:r>
      <w:r w:rsidRPr="007344AA">
        <w:t>c.</w:t>
      </w:r>
      <w:r>
        <w:rPr>
          <w:i/>
        </w:rPr>
        <w:t> </w:t>
      </w:r>
      <w:r w:rsidRPr="007344AA">
        <w:rPr>
          <w:i/>
        </w:rPr>
        <w:t>Algérie</w:t>
      </w:r>
      <w:r w:rsidRPr="007344AA">
        <w:t xml:space="preserve">, par. 8.4, 8.5 et 8.8; </w:t>
      </w:r>
      <w:r>
        <w:t>n</w:t>
      </w:r>
      <w:r w:rsidRPr="007344AA">
        <w:rPr>
          <w:vertAlign w:val="superscript"/>
        </w:rPr>
        <w:t>o</w:t>
      </w:r>
      <w:r>
        <w:t> </w:t>
      </w:r>
      <w:r w:rsidRPr="007344AA">
        <w:t xml:space="preserve">176/1984, </w:t>
      </w:r>
      <w:r w:rsidRPr="007344AA">
        <w:rPr>
          <w:i/>
        </w:rPr>
        <w:t xml:space="preserve">Lafuente Peñarrieta </w:t>
      </w:r>
      <w:r w:rsidRPr="007344AA">
        <w:t>c.</w:t>
      </w:r>
      <w:r>
        <w:rPr>
          <w:i/>
        </w:rPr>
        <w:t> </w:t>
      </w:r>
      <w:r w:rsidRPr="007344AA">
        <w:rPr>
          <w:i/>
        </w:rPr>
        <w:t>Bolivie</w:t>
      </w:r>
      <w:r w:rsidRPr="007344AA">
        <w:t>, par. 16.</w:t>
      </w:r>
    </w:p>
  </w:footnote>
  <w:footnote w:id="108">
    <w:p w:rsidR="002D064F" w:rsidRDefault="002D064F">
      <w:pPr>
        <w:pStyle w:val="FootnoteText"/>
      </w:pPr>
      <w:r>
        <w:tab/>
      </w:r>
      <w:r>
        <w:rPr>
          <w:rStyle w:val="FootnoteReference"/>
        </w:rPr>
        <w:footnoteRef/>
      </w:r>
      <w:r>
        <w:tab/>
        <w:t>Observation générale n</w:t>
      </w:r>
      <w:r w:rsidRPr="002D064F">
        <w:rPr>
          <w:vertAlign w:val="superscript"/>
        </w:rPr>
        <w:t>o</w:t>
      </w:r>
      <w:r>
        <w:t> </w:t>
      </w:r>
      <w:r w:rsidRPr="002D064F">
        <w:t>32, par. 32, 34 et 38; observations</w:t>
      </w:r>
      <w:r>
        <w:t xml:space="preserve"> </w:t>
      </w:r>
      <w:r w:rsidRPr="002D064F">
        <w:t>finales concernant le rapport du Togo (CCPR/C/TGO/CO/4,</w:t>
      </w:r>
      <w:r w:rsidR="006F0151">
        <w:t xml:space="preserve"> 2011), par. 19; voir par.</w:t>
      </w:r>
      <w:r w:rsidRPr="002D064F">
        <w:t> 58.</w:t>
      </w:r>
    </w:p>
  </w:footnote>
  <w:footnote w:id="109">
    <w:p w:rsidR="00F757C1" w:rsidRDefault="00F757C1">
      <w:pPr>
        <w:pStyle w:val="FootnoteText"/>
      </w:pPr>
      <w:r>
        <w:tab/>
      </w:r>
      <w:r>
        <w:rPr>
          <w:rStyle w:val="FootnoteReference"/>
        </w:rPr>
        <w:footnoteRef/>
      </w:r>
      <w:r>
        <w:tab/>
      </w:r>
      <w:r w:rsidRPr="00F757C1">
        <w:t xml:space="preserve">Voir observations finales concernant le rapport du Tadjikistan (CCPR/CO/84/TJK, 2005), par. 12; </w:t>
      </w:r>
      <w:r>
        <w:t>communication n</w:t>
      </w:r>
      <w:r w:rsidRPr="00F757C1">
        <w:rPr>
          <w:vertAlign w:val="superscript"/>
        </w:rPr>
        <w:t>o</w:t>
      </w:r>
      <w:r>
        <w:t> </w:t>
      </w:r>
      <w:r w:rsidRPr="00F757C1">
        <w:t xml:space="preserve">647/1995, </w:t>
      </w:r>
      <w:r w:rsidRPr="00F757C1">
        <w:rPr>
          <w:i/>
        </w:rPr>
        <w:t xml:space="preserve">Pennant </w:t>
      </w:r>
      <w:r w:rsidRPr="00F757C1">
        <w:t>c.</w:t>
      </w:r>
      <w:r>
        <w:rPr>
          <w:i/>
        </w:rPr>
        <w:t> </w:t>
      </w:r>
      <w:r w:rsidRPr="00F757C1">
        <w:rPr>
          <w:i/>
        </w:rPr>
        <w:t>Jamaïque</w:t>
      </w:r>
      <w:r w:rsidRPr="00F757C1">
        <w:t>, par. 8.2.</w:t>
      </w:r>
    </w:p>
  </w:footnote>
  <w:footnote w:id="110">
    <w:p w:rsidR="001D1A42" w:rsidRDefault="001D1A42">
      <w:pPr>
        <w:pStyle w:val="FootnoteText"/>
      </w:pPr>
      <w:r>
        <w:tab/>
      </w:r>
      <w:r>
        <w:rPr>
          <w:rStyle w:val="FootnoteReference"/>
        </w:rPr>
        <w:footnoteRef/>
      </w:r>
      <w:r>
        <w:tab/>
        <w:t>Communication n</w:t>
      </w:r>
      <w:r w:rsidRPr="001D1A42">
        <w:rPr>
          <w:vertAlign w:val="superscript"/>
        </w:rPr>
        <w:t>o</w:t>
      </w:r>
      <w:r>
        <w:t> </w:t>
      </w:r>
      <w:r w:rsidRPr="001D1A42">
        <w:t xml:space="preserve">1397/2005, </w:t>
      </w:r>
      <w:r w:rsidRPr="001D1A42">
        <w:rPr>
          <w:i/>
        </w:rPr>
        <w:t xml:space="preserve">Engo </w:t>
      </w:r>
      <w:r w:rsidRPr="001D1A42">
        <w:t>c</w:t>
      </w:r>
      <w:r w:rsidR="008F5F3F">
        <w:t>.</w:t>
      </w:r>
      <w:r>
        <w:rPr>
          <w:i/>
        </w:rPr>
        <w:t> </w:t>
      </w:r>
      <w:r w:rsidRPr="001D1A42">
        <w:rPr>
          <w:i/>
        </w:rPr>
        <w:t>Cameroun</w:t>
      </w:r>
      <w:r w:rsidRPr="001D1A42">
        <w:t>, par. 7.2. Sur la relati</w:t>
      </w:r>
      <w:r w:rsidR="006F0151">
        <w:t>on entre l</w:t>
      </w:r>
      <w:r w:rsidR="00F100CC">
        <w:t>’</w:t>
      </w:r>
      <w:r w:rsidR="006F0151">
        <w:t>article 9, par.</w:t>
      </w:r>
      <w:r w:rsidRPr="001D1A42">
        <w:t> 3, et l</w:t>
      </w:r>
      <w:r w:rsidR="00F100CC">
        <w:t>’</w:t>
      </w:r>
      <w:r>
        <w:t>article </w:t>
      </w:r>
      <w:r w:rsidRPr="001D1A42">
        <w:t>14, par</w:t>
      </w:r>
      <w:r w:rsidR="006F0151">
        <w:t>. 3 </w:t>
      </w:r>
      <w:r w:rsidRPr="001D1A42">
        <w:t>c), relativement à cet aspect, voir l</w:t>
      </w:r>
      <w:r w:rsidR="00F100CC">
        <w:t>’</w:t>
      </w:r>
      <w:r w:rsidRPr="001D1A42">
        <w:t>O</w:t>
      </w:r>
      <w:r>
        <w:t>bservation générale n</w:t>
      </w:r>
      <w:r w:rsidRPr="001D1A42">
        <w:rPr>
          <w:vertAlign w:val="superscript"/>
        </w:rPr>
        <w:t>o</w:t>
      </w:r>
      <w:r>
        <w:t> </w:t>
      </w:r>
      <w:r w:rsidRPr="001D1A42">
        <w:t>32, par. 61.</w:t>
      </w:r>
    </w:p>
  </w:footnote>
  <w:footnote w:id="111">
    <w:p w:rsidR="008F5F3F" w:rsidRDefault="008F5F3F">
      <w:pPr>
        <w:pStyle w:val="FootnoteText"/>
      </w:pPr>
      <w:r>
        <w:tab/>
      </w:r>
      <w:r>
        <w:rPr>
          <w:rStyle w:val="FootnoteReference"/>
        </w:rPr>
        <w:footnoteRef/>
      </w:r>
      <w:r>
        <w:tab/>
        <w:t>Communication n</w:t>
      </w:r>
      <w:r w:rsidRPr="008F5F3F">
        <w:rPr>
          <w:vertAlign w:val="superscript"/>
        </w:rPr>
        <w:t>o</w:t>
      </w:r>
      <w:r>
        <w:t> </w:t>
      </w:r>
      <w:r w:rsidRPr="008F5F3F">
        <w:t xml:space="preserve">788/1997, </w:t>
      </w:r>
      <w:r w:rsidRPr="008F5F3F">
        <w:rPr>
          <w:i/>
        </w:rPr>
        <w:t xml:space="preserve">Cagas </w:t>
      </w:r>
      <w:r w:rsidRPr="008F5F3F">
        <w:t>c.</w:t>
      </w:r>
      <w:r>
        <w:rPr>
          <w:i/>
        </w:rPr>
        <w:t> </w:t>
      </w:r>
      <w:r w:rsidRPr="008F5F3F">
        <w:rPr>
          <w:i/>
        </w:rPr>
        <w:t>Philippines</w:t>
      </w:r>
      <w:r w:rsidRPr="008F5F3F">
        <w:t>, par. 7.3.</w:t>
      </w:r>
    </w:p>
  </w:footnote>
  <w:footnote w:id="112">
    <w:p w:rsidR="008E3CDC" w:rsidRDefault="008E3CDC">
      <w:pPr>
        <w:pStyle w:val="FootnoteText"/>
      </w:pPr>
      <w:r>
        <w:tab/>
      </w:r>
      <w:r>
        <w:rPr>
          <w:rStyle w:val="FootnoteReference"/>
        </w:rPr>
        <w:footnoteRef/>
      </w:r>
      <w:r>
        <w:tab/>
        <w:t>Observation générale n</w:t>
      </w:r>
      <w:r w:rsidRPr="008E3CDC">
        <w:rPr>
          <w:vertAlign w:val="superscript"/>
        </w:rPr>
        <w:t>o</w:t>
      </w:r>
      <w:r>
        <w:t> </w:t>
      </w:r>
      <w:r w:rsidRPr="008E3CDC">
        <w:t xml:space="preserve">32, par. 35; </w:t>
      </w:r>
      <w:r>
        <w:t>communication n</w:t>
      </w:r>
      <w:r w:rsidRPr="008E3CDC">
        <w:rPr>
          <w:vertAlign w:val="superscript"/>
        </w:rPr>
        <w:t>o</w:t>
      </w:r>
      <w:r>
        <w:t> </w:t>
      </w:r>
      <w:r w:rsidRPr="008E3CDC">
        <w:t xml:space="preserve">818/1998, </w:t>
      </w:r>
      <w:r w:rsidRPr="008E3CDC">
        <w:rPr>
          <w:i/>
        </w:rPr>
        <w:t xml:space="preserve">Sextus </w:t>
      </w:r>
      <w:r w:rsidRPr="008E3CDC">
        <w:t>c.</w:t>
      </w:r>
      <w:r>
        <w:rPr>
          <w:i/>
        </w:rPr>
        <w:t> </w:t>
      </w:r>
      <w:r w:rsidRPr="008E3CDC">
        <w:rPr>
          <w:i/>
        </w:rPr>
        <w:t>Trini</w:t>
      </w:r>
      <w:r w:rsidR="00310404">
        <w:rPr>
          <w:i/>
        </w:rPr>
        <w:t>té</w:t>
      </w:r>
      <w:r w:rsidR="00310404">
        <w:rPr>
          <w:i/>
        </w:rPr>
        <w:noBreakHyphen/>
      </w:r>
      <w:r>
        <w:rPr>
          <w:i/>
        </w:rPr>
        <w:t>et</w:t>
      </w:r>
      <w:r w:rsidR="00310404">
        <w:rPr>
          <w:i/>
        </w:rPr>
        <w:noBreakHyphen/>
      </w:r>
      <w:r w:rsidRPr="008E3CDC">
        <w:rPr>
          <w:i/>
          <w:iCs/>
        </w:rPr>
        <w:t>Tobago</w:t>
      </w:r>
      <w:r w:rsidRPr="008E3CDC">
        <w:t>, par. 7.2.</w:t>
      </w:r>
    </w:p>
  </w:footnote>
  <w:footnote w:id="113">
    <w:p w:rsidR="005D7480" w:rsidRDefault="005D7480">
      <w:pPr>
        <w:pStyle w:val="FootnoteText"/>
      </w:pPr>
      <w:r>
        <w:tab/>
      </w:r>
      <w:r>
        <w:rPr>
          <w:rStyle w:val="FootnoteReference"/>
        </w:rPr>
        <w:footnoteRef/>
      </w:r>
      <w:r>
        <w:tab/>
        <w:t>Communications n</w:t>
      </w:r>
      <w:r w:rsidRPr="005D7480">
        <w:rPr>
          <w:vertAlign w:val="superscript"/>
        </w:rPr>
        <w:t>o</w:t>
      </w:r>
      <w:r>
        <w:t> </w:t>
      </w:r>
      <w:r w:rsidRPr="005D7480">
        <w:t xml:space="preserve">1085/2002, </w:t>
      </w:r>
      <w:r w:rsidRPr="005D7480">
        <w:rPr>
          <w:i/>
        </w:rPr>
        <w:t xml:space="preserve">Taright </w:t>
      </w:r>
      <w:r>
        <w:t>c. </w:t>
      </w:r>
      <w:r w:rsidRPr="005D7480">
        <w:rPr>
          <w:i/>
        </w:rPr>
        <w:t>Algérie</w:t>
      </w:r>
      <w:r w:rsidRPr="005D7480">
        <w:t xml:space="preserve">, par. 8.2 à 8.4; </w:t>
      </w:r>
      <w:r>
        <w:t>n</w:t>
      </w:r>
      <w:r w:rsidRPr="005D7480">
        <w:rPr>
          <w:vertAlign w:val="superscript"/>
        </w:rPr>
        <w:t>o</w:t>
      </w:r>
      <w:r>
        <w:t> </w:t>
      </w:r>
      <w:r w:rsidRPr="005D7480">
        <w:t xml:space="preserve">386/1989, </w:t>
      </w:r>
      <w:r w:rsidRPr="005D7480">
        <w:rPr>
          <w:i/>
        </w:rPr>
        <w:t xml:space="preserve">Koné </w:t>
      </w:r>
      <w:r>
        <w:rPr>
          <w:iCs/>
        </w:rPr>
        <w:t>c. </w:t>
      </w:r>
      <w:r w:rsidRPr="005D7480">
        <w:rPr>
          <w:i/>
        </w:rPr>
        <w:t>Sénégal</w:t>
      </w:r>
      <w:r w:rsidRPr="005D7480">
        <w:t xml:space="preserve">, par. 8.6; </w:t>
      </w:r>
      <w:r>
        <w:t>voir aussi</w:t>
      </w:r>
      <w:r w:rsidRPr="005D7480">
        <w:t xml:space="preserve"> communications</w:t>
      </w:r>
      <w:r>
        <w:t xml:space="preserve"> n</w:t>
      </w:r>
      <w:r w:rsidRPr="005D7480">
        <w:rPr>
          <w:vertAlign w:val="superscript"/>
        </w:rPr>
        <w:t>o</w:t>
      </w:r>
      <w:r>
        <w:t> </w:t>
      </w:r>
      <w:r w:rsidRPr="005D7480">
        <w:t xml:space="preserve">677/1996, </w:t>
      </w:r>
      <w:r w:rsidRPr="005D7480">
        <w:rPr>
          <w:i/>
        </w:rPr>
        <w:t xml:space="preserve">Teesdale </w:t>
      </w:r>
      <w:r w:rsidRPr="005D7480">
        <w:t>c.</w:t>
      </w:r>
      <w:r>
        <w:t> </w:t>
      </w:r>
      <w:r w:rsidRPr="005D7480">
        <w:rPr>
          <w:i/>
        </w:rPr>
        <w:t>Trini</w:t>
      </w:r>
      <w:r w:rsidR="00310404">
        <w:rPr>
          <w:i/>
        </w:rPr>
        <w:t>té</w:t>
      </w:r>
      <w:r w:rsidR="00310404">
        <w:rPr>
          <w:i/>
        </w:rPr>
        <w:noBreakHyphen/>
        <w:t>et</w:t>
      </w:r>
      <w:r w:rsidR="00310404">
        <w:rPr>
          <w:i/>
        </w:rPr>
        <w:noBreakHyphen/>
      </w:r>
      <w:r w:rsidRPr="005D7480">
        <w:rPr>
          <w:i/>
        </w:rPr>
        <w:t>Tobago</w:t>
      </w:r>
      <w:r w:rsidRPr="005D7480">
        <w:t>, par</w:t>
      </w:r>
      <w:r>
        <w:t>. </w:t>
      </w:r>
      <w:r w:rsidR="006F0151">
        <w:t>9.3 (</w:t>
      </w:r>
      <w:r w:rsidRPr="005D7480">
        <w:t xml:space="preserve">un délai de dix-sept mois avait constitué une violation du paragraphe 3); </w:t>
      </w:r>
      <w:r>
        <w:t>n</w:t>
      </w:r>
      <w:r w:rsidRPr="005D7480">
        <w:rPr>
          <w:vertAlign w:val="superscript"/>
        </w:rPr>
        <w:t>o</w:t>
      </w:r>
      <w:r>
        <w:t> </w:t>
      </w:r>
      <w:r w:rsidRPr="005D7480">
        <w:t xml:space="preserve">614/1995, </w:t>
      </w:r>
      <w:r w:rsidRPr="005D7480">
        <w:rPr>
          <w:i/>
        </w:rPr>
        <w:t xml:space="preserve">Thomas </w:t>
      </w:r>
      <w:r w:rsidRPr="005D7480">
        <w:t>c.</w:t>
      </w:r>
      <w:r>
        <w:rPr>
          <w:i/>
        </w:rPr>
        <w:t> </w:t>
      </w:r>
      <w:r w:rsidRPr="005D7480">
        <w:rPr>
          <w:i/>
        </w:rPr>
        <w:t>Jamaïque</w:t>
      </w:r>
      <w:r w:rsidRPr="005D7480">
        <w:t xml:space="preserve">, par. 9.6 (un délai de près de quatorze </w:t>
      </w:r>
      <w:r>
        <w:t xml:space="preserve">mois </w:t>
      </w:r>
      <w:r w:rsidRPr="005D7480">
        <w:t>n</w:t>
      </w:r>
      <w:r w:rsidR="00F100CC">
        <w:t>’</w:t>
      </w:r>
      <w:r w:rsidRPr="005D7480">
        <w:t xml:space="preserve">avait pas constitué une violation du paragraphe 3); </w:t>
      </w:r>
      <w:r>
        <w:t>Observation générale n</w:t>
      </w:r>
      <w:r w:rsidRPr="005D7480">
        <w:rPr>
          <w:vertAlign w:val="superscript"/>
        </w:rPr>
        <w:t>o</w:t>
      </w:r>
      <w:r>
        <w:t> </w:t>
      </w:r>
      <w:r w:rsidR="006F0151">
        <w:t>32, par. 35 (</w:t>
      </w:r>
      <w:r w:rsidRPr="005D7480">
        <w:t>où sont étudiés les facteurs qui entrent en jeu pour déterminer si la longueur d</w:t>
      </w:r>
      <w:r w:rsidR="00F100CC">
        <w:t>’</w:t>
      </w:r>
      <w:r w:rsidRPr="005D7480">
        <w:t>une procédure pénale est raisonnable ou non).</w:t>
      </w:r>
    </w:p>
  </w:footnote>
  <w:footnote w:id="114">
    <w:p w:rsidR="00310404" w:rsidRDefault="00310404">
      <w:pPr>
        <w:pStyle w:val="FootnoteText"/>
      </w:pPr>
      <w:r>
        <w:tab/>
      </w:r>
      <w:r>
        <w:rPr>
          <w:rStyle w:val="FootnoteReference"/>
        </w:rPr>
        <w:footnoteRef/>
      </w:r>
      <w:r>
        <w:tab/>
        <w:t>Communication n</w:t>
      </w:r>
      <w:r w:rsidRPr="00310404">
        <w:rPr>
          <w:vertAlign w:val="superscript"/>
        </w:rPr>
        <w:t>o</w:t>
      </w:r>
      <w:r>
        <w:t> </w:t>
      </w:r>
      <w:r w:rsidRPr="00310404">
        <w:t xml:space="preserve">721/1997, </w:t>
      </w:r>
      <w:r w:rsidRPr="00310404">
        <w:rPr>
          <w:i/>
        </w:rPr>
        <w:t xml:space="preserve">Boodoo </w:t>
      </w:r>
      <w:r w:rsidRPr="00310404">
        <w:t>c.</w:t>
      </w:r>
      <w:r>
        <w:rPr>
          <w:i/>
        </w:rPr>
        <w:t> </w:t>
      </w:r>
      <w:r w:rsidRPr="00310404">
        <w:rPr>
          <w:i/>
        </w:rPr>
        <w:t>Trini</w:t>
      </w:r>
      <w:r>
        <w:rPr>
          <w:i/>
        </w:rPr>
        <w:t>té</w:t>
      </w:r>
      <w:r>
        <w:rPr>
          <w:i/>
        </w:rPr>
        <w:noBreakHyphen/>
        <w:t>et</w:t>
      </w:r>
      <w:r>
        <w:rPr>
          <w:i/>
        </w:rPr>
        <w:noBreakHyphen/>
      </w:r>
      <w:r w:rsidRPr="00310404">
        <w:rPr>
          <w:i/>
        </w:rPr>
        <w:t>Tobago</w:t>
      </w:r>
      <w:r w:rsidRPr="00310404">
        <w:t>, par. 6.2.</w:t>
      </w:r>
    </w:p>
  </w:footnote>
  <w:footnote w:id="115">
    <w:p w:rsidR="00EC2707" w:rsidRDefault="00EC2707">
      <w:pPr>
        <w:pStyle w:val="FootnoteText"/>
      </w:pPr>
      <w:r>
        <w:tab/>
      </w:r>
      <w:r>
        <w:rPr>
          <w:rStyle w:val="FootnoteReference"/>
        </w:rPr>
        <w:footnoteRef/>
      </w:r>
      <w:r>
        <w:tab/>
      </w:r>
      <w:r w:rsidRPr="00EC2707">
        <w:t>Communications</w:t>
      </w:r>
      <w:r>
        <w:t xml:space="preserve"> n</w:t>
      </w:r>
      <w:r w:rsidRPr="00EC2707">
        <w:rPr>
          <w:vertAlign w:val="superscript"/>
        </w:rPr>
        <w:t>o</w:t>
      </w:r>
      <w:r>
        <w:t> </w:t>
      </w:r>
      <w:r w:rsidRPr="00EC2707">
        <w:t xml:space="preserve">336/1988, </w:t>
      </w:r>
      <w:r w:rsidRPr="00EC2707">
        <w:rPr>
          <w:i/>
        </w:rPr>
        <w:t>Fillastre et</w:t>
      </w:r>
      <w:r w:rsidRPr="00EC2707">
        <w:rPr>
          <w:i/>
          <w:iCs/>
        </w:rPr>
        <w:t xml:space="preserve"> Bizouarn </w:t>
      </w:r>
      <w:r w:rsidRPr="00EC2707">
        <w:t>c.</w:t>
      </w:r>
      <w:r>
        <w:rPr>
          <w:i/>
        </w:rPr>
        <w:t> </w:t>
      </w:r>
      <w:r w:rsidRPr="00EC2707">
        <w:rPr>
          <w:i/>
        </w:rPr>
        <w:t>Bolivie</w:t>
      </w:r>
      <w:r w:rsidRPr="00EC2707">
        <w:t xml:space="preserve">, par. 6.5; </w:t>
      </w:r>
      <w:r>
        <w:t>n</w:t>
      </w:r>
      <w:r w:rsidRPr="00EC2707">
        <w:rPr>
          <w:vertAlign w:val="superscript"/>
        </w:rPr>
        <w:t>o</w:t>
      </w:r>
      <w:r>
        <w:t> </w:t>
      </w:r>
      <w:r w:rsidRPr="00EC2707">
        <w:t xml:space="preserve">818/1998, </w:t>
      </w:r>
      <w:r w:rsidRPr="00EC2707">
        <w:rPr>
          <w:i/>
        </w:rPr>
        <w:t xml:space="preserve">Sextus </w:t>
      </w:r>
      <w:r w:rsidRPr="00EC2707">
        <w:t>c</w:t>
      </w:r>
      <w:r>
        <w:t>. </w:t>
      </w:r>
      <w:r w:rsidRPr="00EC2707">
        <w:rPr>
          <w:i/>
        </w:rPr>
        <w:t>Trini</w:t>
      </w:r>
      <w:r>
        <w:rPr>
          <w:i/>
        </w:rPr>
        <w:t>té</w:t>
      </w:r>
      <w:r>
        <w:rPr>
          <w:i/>
        </w:rPr>
        <w:noBreakHyphen/>
        <w:t>et</w:t>
      </w:r>
      <w:r>
        <w:rPr>
          <w:i/>
        </w:rPr>
        <w:noBreakHyphen/>
      </w:r>
      <w:r w:rsidRPr="00EC2707">
        <w:rPr>
          <w:i/>
        </w:rPr>
        <w:t>Tobago</w:t>
      </w:r>
      <w:r w:rsidRPr="00EC2707">
        <w:t>, par. 4.2 et 7.2.</w:t>
      </w:r>
    </w:p>
  </w:footnote>
  <w:footnote w:id="116">
    <w:p w:rsidR="00EC2707" w:rsidRDefault="00EC2707">
      <w:pPr>
        <w:pStyle w:val="FootnoteText"/>
      </w:pPr>
      <w:r>
        <w:tab/>
      </w:r>
      <w:r>
        <w:rPr>
          <w:rStyle w:val="FootnoteReference"/>
        </w:rPr>
        <w:footnoteRef/>
      </w:r>
      <w:r>
        <w:tab/>
        <w:t>Communication n</w:t>
      </w:r>
      <w:r w:rsidRPr="00EC2707">
        <w:rPr>
          <w:vertAlign w:val="superscript"/>
        </w:rPr>
        <w:t>o</w:t>
      </w:r>
      <w:r>
        <w:t> </w:t>
      </w:r>
      <w:r w:rsidRPr="00EC2707">
        <w:t xml:space="preserve">1085/2002, </w:t>
      </w:r>
      <w:r w:rsidRPr="00EC2707">
        <w:rPr>
          <w:i/>
        </w:rPr>
        <w:t xml:space="preserve">Taright </w:t>
      </w:r>
      <w:r w:rsidRPr="00EC2707">
        <w:t>c.</w:t>
      </w:r>
      <w:r>
        <w:rPr>
          <w:i/>
        </w:rPr>
        <w:t> </w:t>
      </w:r>
      <w:r w:rsidR="00DB5910" w:rsidRPr="00EC2707">
        <w:rPr>
          <w:i/>
        </w:rPr>
        <w:t>Algérie</w:t>
      </w:r>
      <w:r w:rsidRPr="00EC2707">
        <w:t>, par. 8.3.</w:t>
      </w:r>
    </w:p>
  </w:footnote>
  <w:footnote w:id="117">
    <w:p w:rsidR="00EC2707" w:rsidRDefault="00EC2707">
      <w:pPr>
        <w:pStyle w:val="FootnoteText"/>
      </w:pPr>
      <w:r>
        <w:tab/>
      </w:r>
      <w:r>
        <w:rPr>
          <w:rStyle w:val="FootnoteReference"/>
        </w:rPr>
        <w:footnoteRef/>
      </w:r>
      <w:r>
        <w:tab/>
        <w:t>Observation générale n</w:t>
      </w:r>
      <w:r w:rsidRPr="00EC2707">
        <w:rPr>
          <w:vertAlign w:val="superscript"/>
        </w:rPr>
        <w:t>o</w:t>
      </w:r>
      <w:r>
        <w:t> </w:t>
      </w:r>
      <w:r w:rsidRPr="00EC2707">
        <w:t>21, par. 13; vo</w:t>
      </w:r>
      <w:r>
        <w:t>ir aussi Observation générale n</w:t>
      </w:r>
      <w:r w:rsidRPr="00EC2707">
        <w:rPr>
          <w:vertAlign w:val="superscript"/>
        </w:rPr>
        <w:t>o</w:t>
      </w:r>
      <w:r>
        <w:t> </w:t>
      </w:r>
      <w:r w:rsidRPr="00EC2707">
        <w:t>32, par. 42; Comité des droits de l</w:t>
      </w:r>
      <w:r w:rsidR="00F100CC">
        <w:t>’</w:t>
      </w:r>
      <w:r w:rsidRPr="00EC2707">
        <w:t xml:space="preserve">enfant, </w:t>
      </w:r>
      <w:r>
        <w:t>Observation générale n</w:t>
      </w:r>
      <w:r w:rsidRPr="00EC2707">
        <w:rPr>
          <w:vertAlign w:val="superscript"/>
        </w:rPr>
        <w:t>o</w:t>
      </w:r>
      <w:r>
        <w:t> </w:t>
      </w:r>
      <w:r w:rsidRPr="00EC2707">
        <w:t>10, par. 83.</w:t>
      </w:r>
    </w:p>
  </w:footnote>
  <w:footnote w:id="118">
    <w:p w:rsidR="00DB5910" w:rsidRDefault="00DB5910">
      <w:pPr>
        <w:pStyle w:val="FootnoteText"/>
      </w:pPr>
      <w:r>
        <w:tab/>
      </w:r>
      <w:r>
        <w:rPr>
          <w:rStyle w:val="FootnoteReference"/>
        </w:rPr>
        <w:footnoteRef/>
      </w:r>
      <w:r>
        <w:tab/>
        <w:t>Communication n</w:t>
      </w:r>
      <w:r w:rsidRPr="00DB5910">
        <w:rPr>
          <w:vertAlign w:val="superscript"/>
        </w:rPr>
        <w:t>o</w:t>
      </w:r>
      <w:r>
        <w:t> </w:t>
      </w:r>
      <w:r w:rsidRPr="00DB5910">
        <w:t xml:space="preserve">1128/2002, </w:t>
      </w:r>
      <w:r w:rsidRPr="00DB5910">
        <w:rPr>
          <w:i/>
        </w:rPr>
        <w:t xml:space="preserve">Marques de Morais </w:t>
      </w:r>
      <w:r w:rsidRPr="00DB5910">
        <w:t>c.</w:t>
      </w:r>
      <w:r>
        <w:t> </w:t>
      </w:r>
      <w:r w:rsidRPr="00DB5910">
        <w:rPr>
          <w:i/>
        </w:rPr>
        <w:t>Angola</w:t>
      </w:r>
      <w:r w:rsidRPr="00DB5910">
        <w:t>, par. 6.1 et 6.4.</w:t>
      </w:r>
    </w:p>
  </w:footnote>
  <w:footnote w:id="119">
    <w:p w:rsidR="006579E8" w:rsidRDefault="006579E8">
      <w:pPr>
        <w:pStyle w:val="FootnoteText"/>
      </w:pPr>
      <w:r>
        <w:tab/>
      </w:r>
      <w:r>
        <w:rPr>
          <w:rStyle w:val="FootnoteReference"/>
        </w:rPr>
        <w:footnoteRef/>
      </w:r>
      <w:r>
        <w:tab/>
      </w:r>
      <w:r w:rsidRPr="006579E8">
        <w:t>Communica</w:t>
      </w:r>
      <w:r>
        <w:t>tions n</w:t>
      </w:r>
      <w:r w:rsidRPr="006579E8">
        <w:rPr>
          <w:vertAlign w:val="superscript"/>
        </w:rPr>
        <w:t>o</w:t>
      </w:r>
      <w:r>
        <w:t> </w:t>
      </w:r>
      <w:r w:rsidRPr="006579E8">
        <w:t xml:space="preserve">1502/2006, </w:t>
      </w:r>
      <w:r w:rsidRPr="006579E8">
        <w:rPr>
          <w:i/>
        </w:rPr>
        <w:t xml:space="preserve">Marinich </w:t>
      </w:r>
      <w:r w:rsidRPr="006579E8">
        <w:t>c.</w:t>
      </w:r>
      <w:r>
        <w:rPr>
          <w:i/>
        </w:rPr>
        <w:t> </w:t>
      </w:r>
      <w:r w:rsidRPr="006579E8">
        <w:rPr>
          <w:i/>
        </w:rPr>
        <w:t>Bélarus</w:t>
      </w:r>
      <w:r w:rsidRPr="006579E8">
        <w:t xml:space="preserve">, par. 10.4; </w:t>
      </w:r>
      <w:r>
        <w:t>n</w:t>
      </w:r>
      <w:r w:rsidRPr="006579E8">
        <w:rPr>
          <w:vertAlign w:val="superscript"/>
        </w:rPr>
        <w:t>o</w:t>
      </w:r>
      <w:r>
        <w:t> </w:t>
      </w:r>
      <w:r w:rsidRPr="006579E8">
        <w:t xml:space="preserve">1940/2010, </w:t>
      </w:r>
      <w:r w:rsidRPr="006579E8">
        <w:rPr>
          <w:i/>
          <w:iCs/>
        </w:rPr>
        <w:t xml:space="preserve">Cedeño </w:t>
      </w:r>
      <w:r>
        <w:t>c. </w:t>
      </w:r>
      <w:r w:rsidRPr="006579E8">
        <w:rPr>
          <w:i/>
        </w:rPr>
        <w:t>République bolivarienne du</w:t>
      </w:r>
      <w:r w:rsidRPr="006579E8">
        <w:rPr>
          <w:i/>
          <w:iCs/>
        </w:rPr>
        <w:t xml:space="preserve"> Venezuela</w:t>
      </w:r>
      <w:r w:rsidRPr="006579E8">
        <w:t xml:space="preserve">, par. 7.10; </w:t>
      </w:r>
      <w:r>
        <w:t>n</w:t>
      </w:r>
      <w:r w:rsidRPr="006579E8">
        <w:rPr>
          <w:vertAlign w:val="superscript"/>
        </w:rPr>
        <w:t>o</w:t>
      </w:r>
      <w:r>
        <w:t> </w:t>
      </w:r>
      <w:r w:rsidRPr="006579E8">
        <w:t xml:space="preserve">1547/2007, </w:t>
      </w:r>
      <w:r w:rsidRPr="006579E8">
        <w:rPr>
          <w:i/>
        </w:rPr>
        <w:t xml:space="preserve">Torobekov </w:t>
      </w:r>
      <w:r w:rsidRPr="006579E8">
        <w:t>c.</w:t>
      </w:r>
      <w:r>
        <w:rPr>
          <w:i/>
        </w:rPr>
        <w:t> </w:t>
      </w:r>
      <w:r w:rsidRPr="006579E8">
        <w:rPr>
          <w:i/>
        </w:rPr>
        <w:t>Kirghizistan</w:t>
      </w:r>
      <w:r w:rsidRPr="006579E8">
        <w:t>, par. 6.3.</w:t>
      </w:r>
    </w:p>
  </w:footnote>
  <w:footnote w:id="120">
    <w:p w:rsidR="009C31A5" w:rsidRDefault="009C31A5">
      <w:pPr>
        <w:pStyle w:val="FootnoteText"/>
      </w:pPr>
      <w:r>
        <w:tab/>
      </w:r>
      <w:r>
        <w:rPr>
          <w:rStyle w:val="FootnoteReference"/>
        </w:rPr>
        <w:footnoteRef/>
      </w:r>
      <w:r>
        <w:tab/>
      </w:r>
      <w:r w:rsidRPr="009C31A5">
        <w:rPr>
          <w:spacing w:val="-2"/>
        </w:rPr>
        <w:t>Voir observations finales concernant le rapport de la Bosnie</w:t>
      </w:r>
      <w:r w:rsidRPr="009C31A5">
        <w:rPr>
          <w:spacing w:val="-2"/>
        </w:rPr>
        <w:noBreakHyphen/>
        <w:t>Herzégovine (CCPR/C/BIH/CO/1, 2006), par. 18.</w:t>
      </w:r>
    </w:p>
  </w:footnote>
  <w:footnote w:id="121">
    <w:p w:rsidR="00CA72D6" w:rsidRDefault="00CA72D6">
      <w:pPr>
        <w:pStyle w:val="FootnoteText"/>
      </w:pPr>
      <w:r>
        <w:tab/>
      </w:r>
      <w:r>
        <w:rPr>
          <w:rStyle w:val="FootnoteReference"/>
        </w:rPr>
        <w:footnoteRef/>
      </w:r>
      <w:r>
        <w:tab/>
      </w:r>
      <w:r w:rsidRPr="00CA72D6">
        <w:t>Voir observations f</w:t>
      </w:r>
      <w:r>
        <w:t xml:space="preserve">inales concernant les rapports </w:t>
      </w:r>
      <w:r w:rsidRPr="00CA72D6">
        <w:t>de l</w:t>
      </w:r>
      <w:r w:rsidR="00F100CC">
        <w:t>’</w:t>
      </w:r>
      <w:r w:rsidRPr="00CA72D6">
        <w:t>Argentine (CCPR/CO/70/ARG, 2000), par. 10; et de Sri Lanka (CCPR/CO/79/LKA, 2003), par. 13.</w:t>
      </w:r>
    </w:p>
  </w:footnote>
  <w:footnote w:id="122">
    <w:p w:rsidR="00A27C12" w:rsidRDefault="00A27C12">
      <w:pPr>
        <w:pStyle w:val="FootnoteText"/>
      </w:pPr>
      <w:r>
        <w:tab/>
      </w:r>
      <w:r>
        <w:rPr>
          <w:rStyle w:val="FootnoteReference"/>
        </w:rPr>
        <w:footnoteRef/>
      </w:r>
      <w:r>
        <w:tab/>
        <w:t>Communication n</w:t>
      </w:r>
      <w:r w:rsidRPr="00A27C12">
        <w:rPr>
          <w:vertAlign w:val="superscript"/>
        </w:rPr>
        <w:t>o</w:t>
      </w:r>
      <w:r>
        <w:t> </w:t>
      </w:r>
      <w:r w:rsidRPr="00A27C12">
        <w:t xml:space="preserve">1178/2003, </w:t>
      </w:r>
      <w:r w:rsidRPr="00A27C12">
        <w:rPr>
          <w:i/>
        </w:rPr>
        <w:t xml:space="preserve">Smantser </w:t>
      </w:r>
      <w:r w:rsidRPr="00A27C12">
        <w:t>c.</w:t>
      </w:r>
      <w:r>
        <w:rPr>
          <w:i/>
        </w:rPr>
        <w:t> </w:t>
      </w:r>
      <w:r w:rsidRPr="00A27C12">
        <w:rPr>
          <w:i/>
        </w:rPr>
        <w:t>Bélarus</w:t>
      </w:r>
      <w:r w:rsidRPr="00A27C12">
        <w:t>, par. 10.3.</w:t>
      </w:r>
    </w:p>
  </w:footnote>
  <w:footnote w:id="123">
    <w:p w:rsidR="00A27C12" w:rsidRDefault="00A27C12">
      <w:pPr>
        <w:pStyle w:val="FootnoteText"/>
      </w:pPr>
      <w:r>
        <w:tab/>
      </w:r>
      <w:r>
        <w:rPr>
          <w:rStyle w:val="FootnoteReference"/>
        </w:rPr>
        <w:footnoteRef/>
      </w:r>
      <w:r>
        <w:tab/>
      </w:r>
      <w:r w:rsidRPr="00A27C12">
        <w:t>Commun</w:t>
      </w:r>
      <w:r>
        <w:t>ication n</w:t>
      </w:r>
      <w:r w:rsidRPr="00A27C12">
        <w:rPr>
          <w:vertAlign w:val="superscript"/>
        </w:rPr>
        <w:t>o</w:t>
      </w:r>
      <w:r>
        <w:t> </w:t>
      </w:r>
      <w:r w:rsidRPr="00A27C12">
        <w:t xml:space="preserve">526/1993, </w:t>
      </w:r>
      <w:r w:rsidRPr="00A27C12">
        <w:rPr>
          <w:i/>
        </w:rPr>
        <w:t xml:space="preserve">Hill et Hill </w:t>
      </w:r>
      <w:r w:rsidRPr="00A27C12">
        <w:t>c.</w:t>
      </w:r>
      <w:r>
        <w:rPr>
          <w:i/>
        </w:rPr>
        <w:t> </w:t>
      </w:r>
      <w:r w:rsidRPr="00A27C12">
        <w:rPr>
          <w:i/>
        </w:rPr>
        <w:t>Espagne</w:t>
      </w:r>
      <w:r w:rsidRPr="00A27C12">
        <w:t>, par. 12.3.</w:t>
      </w:r>
    </w:p>
  </w:footnote>
  <w:footnote w:id="124">
    <w:p w:rsidR="001C29AA" w:rsidRDefault="001C29AA">
      <w:pPr>
        <w:pStyle w:val="FootnoteText"/>
      </w:pPr>
      <w:r>
        <w:tab/>
      </w:r>
      <w:r>
        <w:rPr>
          <w:rStyle w:val="FootnoteReference"/>
        </w:rPr>
        <w:footnoteRef/>
      </w:r>
      <w:r>
        <w:tab/>
        <w:t>Communication n</w:t>
      </w:r>
      <w:r w:rsidRPr="001C29AA">
        <w:rPr>
          <w:vertAlign w:val="superscript"/>
        </w:rPr>
        <w:t>o</w:t>
      </w:r>
      <w:r>
        <w:t> </w:t>
      </w:r>
      <w:r w:rsidRPr="001C29AA">
        <w:t xml:space="preserve">1085/2002, </w:t>
      </w:r>
      <w:r w:rsidRPr="001C29AA">
        <w:rPr>
          <w:i/>
        </w:rPr>
        <w:t xml:space="preserve">Taright </w:t>
      </w:r>
      <w:r w:rsidRPr="001C29AA">
        <w:t>c.</w:t>
      </w:r>
      <w:r>
        <w:rPr>
          <w:i/>
        </w:rPr>
        <w:t> </w:t>
      </w:r>
      <w:r w:rsidRPr="001C29AA">
        <w:rPr>
          <w:i/>
        </w:rPr>
        <w:t>Algérie</w:t>
      </w:r>
      <w:r w:rsidRPr="001C29AA">
        <w:t>, par. 8.3 et 8.4.</w:t>
      </w:r>
    </w:p>
  </w:footnote>
  <w:footnote w:id="125">
    <w:p w:rsidR="001C29AA" w:rsidRDefault="001C29AA">
      <w:pPr>
        <w:pStyle w:val="FootnoteText"/>
      </w:pPr>
      <w:r>
        <w:tab/>
      </w:r>
      <w:r>
        <w:rPr>
          <w:rStyle w:val="FootnoteReference"/>
        </w:rPr>
        <w:footnoteRef/>
      </w:r>
      <w:r>
        <w:tab/>
        <w:t>Observation générale n</w:t>
      </w:r>
      <w:r w:rsidRPr="001C29AA">
        <w:rPr>
          <w:vertAlign w:val="superscript"/>
        </w:rPr>
        <w:t>o</w:t>
      </w:r>
      <w:r>
        <w:t> </w:t>
      </w:r>
      <w:r w:rsidRPr="001C29AA">
        <w:t>32</w:t>
      </w:r>
      <w:r w:rsidR="00F100CC">
        <w:t>,</w:t>
      </w:r>
      <w:r w:rsidRPr="001C29AA">
        <w:t xml:space="preserve"> par</w:t>
      </w:r>
      <w:r>
        <w:t>. </w:t>
      </w:r>
      <w:r w:rsidRPr="001C29AA">
        <w:t>42; voir Comité des droits de l</w:t>
      </w:r>
      <w:r w:rsidR="00F100CC">
        <w:t>’</w:t>
      </w:r>
      <w:r>
        <w:t>enfant, Observation générale n</w:t>
      </w:r>
      <w:r w:rsidRPr="001C29AA">
        <w:rPr>
          <w:vertAlign w:val="superscript"/>
        </w:rPr>
        <w:t>o</w:t>
      </w:r>
      <w:r>
        <w:t> </w:t>
      </w:r>
      <w:r w:rsidRPr="001C29AA">
        <w:t>10, par. 80.</w:t>
      </w:r>
    </w:p>
  </w:footnote>
  <w:footnote w:id="126">
    <w:p w:rsidR="0020342E" w:rsidRDefault="0020342E">
      <w:pPr>
        <w:pStyle w:val="FootnoteText"/>
      </w:pPr>
      <w:r>
        <w:tab/>
      </w:r>
      <w:r>
        <w:rPr>
          <w:rStyle w:val="FootnoteReference"/>
        </w:rPr>
        <w:footnoteRef/>
      </w:r>
      <w:r>
        <w:tab/>
      </w:r>
      <w:r w:rsidRPr="0020342E">
        <w:t>Communicati</w:t>
      </w:r>
      <w:r>
        <w:t>on n</w:t>
      </w:r>
      <w:r w:rsidRPr="0020342E">
        <w:rPr>
          <w:vertAlign w:val="superscript"/>
        </w:rPr>
        <w:t>o</w:t>
      </w:r>
      <w:r>
        <w:t> </w:t>
      </w:r>
      <w:r w:rsidRPr="0020342E">
        <w:t xml:space="preserve">1342/2005, </w:t>
      </w:r>
      <w:r w:rsidRPr="0020342E">
        <w:rPr>
          <w:i/>
        </w:rPr>
        <w:t xml:space="preserve">Gavrilin </w:t>
      </w:r>
      <w:r w:rsidRPr="0020342E">
        <w:t>c.</w:t>
      </w:r>
      <w:r>
        <w:rPr>
          <w:i/>
        </w:rPr>
        <w:t> </w:t>
      </w:r>
      <w:r w:rsidRPr="0020342E">
        <w:rPr>
          <w:i/>
        </w:rPr>
        <w:t>Bélarus</w:t>
      </w:r>
      <w:r w:rsidRPr="0020342E">
        <w:t>, par. 7.4.</w:t>
      </w:r>
    </w:p>
  </w:footnote>
  <w:footnote w:id="127">
    <w:p w:rsidR="0020342E" w:rsidRDefault="0020342E">
      <w:pPr>
        <w:pStyle w:val="FootnoteText"/>
      </w:pPr>
      <w:r>
        <w:tab/>
      </w:r>
      <w:r>
        <w:rPr>
          <w:rStyle w:val="FootnoteReference"/>
        </w:rPr>
        <w:footnoteRef/>
      </w:r>
      <w:r>
        <w:tab/>
        <w:t>Communications n</w:t>
      </w:r>
      <w:r w:rsidRPr="0020342E">
        <w:rPr>
          <w:vertAlign w:val="superscript"/>
        </w:rPr>
        <w:t>o</w:t>
      </w:r>
      <w:r>
        <w:t> </w:t>
      </w:r>
      <w:r w:rsidRPr="0020342E">
        <w:t xml:space="preserve">1051/2002, </w:t>
      </w:r>
      <w:r w:rsidRPr="0020342E">
        <w:rPr>
          <w:i/>
        </w:rPr>
        <w:t xml:space="preserve">Ahani </w:t>
      </w:r>
      <w:r w:rsidRPr="0020342E">
        <w:t>c.</w:t>
      </w:r>
      <w:r>
        <w:t> </w:t>
      </w:r>
      <w:r w:rsidRPr="0020342E">
        <w:rPr>
          <w:i/>
        </w:rPr>
        <w:t>Canada</w:t>
      </w:r>
      <w:r w:rsidRPr="0020342E">
        <w:t>, par. 10.2;</w:t>
      </w:r>
      <w:r>
        <w:t xml:space="preserve"> n</w:t>
      </w:r>
      <w:r w:rsidRPr="0020342E">
        <w:rPr>
          <w:vertAlign w:val="superscript"/>
        </w:rPr>
        <w:t>o</w:t>
      </w:r>
      <w:r>
        <w:t> </w:t>
      </w:r>
      <w:r w:rsidRPr="0020342E">
        <w:t xml:space="preserve">754/1997, </w:t>
      </w:r>
      <w:r w:rsidRPr="0020342E">
        <w:rPr>
          <w:i/>
        </w:rPr>
        <w:t xml:space="preserve">A. </w:t>
      </w:r>
      <w:r w:rsidRPr="0020342E">
        <w:t>c.</w:t>
      </w:r>
      <w:r>
        <w:rPr>
          <w:i/>
        </w:rPr>
        <w:t> </w:t>
      </w:r>
      <w:r w:rsidRPr="0020342E">
        <w:rPr>
          <w:i/>
        </w:rPr>
        <w:t>Nouvelle-Zélande</w:t>
      </w:r>
      <w:r w:rsidRPr="0020342E">
        <w:t>, par. 7.3.</w:t>
      </w:r>
    </w:p>
  </w:footnote>
  <w:footnote w:id="128">
    <w:p w:rsidR="0020342E" w:rsidRDefault="0020342E">
      <w:pPr>
        <w:pStyle w:val="FootnoteText"/>
      </w:pPr>
      <w:r>
        <w:tab/>
      </w:r>
      <w:r>
        <w:rPr>
          <w:rStyle w:val="FootnoteReference"/>
        </w:rPr>
        <w:footnoteRef/>
      </w:r>
      <w:r>
        <w:tab/>
        <w:t>Communications n</w:t>
      </w:r>
      <w:r w:rsidRPr="0020342E">
        <w:rPr>
          <w:vertAlign w:val="superscript"/>
        </w:rPr>
        <w:t>o</w:t>
      </w:r>
      <w:r>
        <w:t> </w:t>
      </w:r>
      <w:r w:rsidRPr="0020342E">
        <w:t xml:space="preserve">248/1987, </w:t>
      </w:r>
      <w:r w:rsidRPr="0020342E">
        <w:rPr>
          <w:i/>
        </w:rPr>
        <w:t xml:space="preserve">Campbell </w:t>
      </w:r>
      <w:r w:rsidRPr="0020342E">
        <w:t>c.</w:t>
      </w:r>
      <w:r>
        <w:rPr>
          <w:i/>
        </w:rPr>
        <w:t> </w:t>
      </w:r>
      <w:r w:rsidRPr="0020342E">
        <w:rPr>
          <w:i/>
        </w:rPr>
        <w:t>Jamaïque</w:t>
      </w:r>
      <w:r w:rsidRPr="0020342E">
        <w:t>, par. 6.4;</w:t>
      </w:r>
      <w:r>
        <w:t xml:space="preserve"> n</w:t>
      </w:r>
      <w:r w:rsidRPr="0020342E">
        <w:rPr>
          <w:vertAlign w:val="superscript"/>
        </w:rPr>
        <w:t>o</w:t>
      </w:r>
      <w:r>
        <w:t> </w:t>
      </w:r>
      <w:r w:rsidRPr="0020342E">
        <w:t xml:space="preserve">962/2001, </w:t>
      </w:r>
      <w:r w:rsidRPr="0020342E">
        <w:rPr>
          <w:i/>
        </w:rPr>
        <w:t xml:space="preserve">Mulezi </w:t>
      </w:r>
      <w:r w:rsidRPr="0020342E">
        <w:t>c.</w:t>
      </w:r>
      <w:r>
        <w:t> </w:t>
      </w:r>
      <w:r w:rsidRPr="0020342E">
        <w:rPr>
          <w:i/>
        </w:rPr>
        <w:t>République démocratique du Congo</w:t>
      </w:r>
      <w:r>
        <w:t>, par</w:t>
      </w:r>
      <w:r w:rsidRPr="0020342E">
        <w:t xml:space="preserve">. 5.2; </w:t>
      </w:r>
      <w:r>
        <w:t>n</w:t>
      </w:r>
      <w:r w:rsidRPr="0020342E">
        <w:rPr>
          <w:vertAlign w:val="superscript"/>
        </w:rPr>
        <w:t>o</w:t>
      </w:r>
      <w:r>
        <w:t> </w:t>
      </w:r>
      <w:r w:rsidRPr="0020342E">
        <w:t xml:space="preserve">1051/2002, </w:t>
      </w:r>
      <w:r w:rsidRPr="0020342E">
        <w:rPr>
          <w:i/>
        </w:rPr>
        <w:t xml:space="preserve">Ahani </w:t>
      </w:r>
      <w:r w:rsidRPr="0020342E">
        <w:t>c.</w:t>
      </w:r>
      <w:r>
        <w:t> </w:t>
      </w:r>
      <w:r w:rsidRPr="0020342E">
        <w:rPr>
          <w:i/>
        </w:rPr>
        <w:t>Canada</w:t>
      </w:r>
      <w:r w:rsidRPr="0020342E">
        <w:t xml:space="preserve">, par. 10.2; </w:t>
      </w:r>
      <w:r>
        <w:t>n</w:t>
      </w:r>
      <w:r w:rsidRPr="0020342E">
        <w:rPr>
          <w:vertAlign w:val="superscript"/>
        </w:rPr>
        <w:t>o</w:t>
      </w:r>
      <w:r>
        <w:t> </w:t>
      </w:r>
      <w:r w:rsidRPr="0020342E">
        <w:t xml:space="preserve">1061/2002, </w:t>
      </w:r>
      <w:r w:rsidRPr="0020342E">
        <w:rPr>
          <w:i/>
        </w:rPr>
        <w:t xml:space="preserve">Fijalkowska </w:t>
      </w:r>
      <w:r w:rsidRPr="0020342E">
        <w:t>c</w:t>
      </w:r>
      <w:r>
        <w:t>.</w:t>
      </w:r>
      <w:r>
        <w:rPr>
          <w:i/>
        </w:rPr>
        <w:t> </w:t>
      </w:r>
      <w:r w:rsidRPr="0020342E">
        <w:rPr>
          <w:i/>
        </w:rPr>
        <w:t>Pologne</w:t>
      </w:r>
      <w:r w:rsidRPr="0020342E">
        <w:t xml:space="preserve">, par. 8.4; </w:t>
      </w:r>
      <w:r>
        <w:t>n</w:t>
      </w:r>
      <w:r w:rsidRPr="0020342E">
        <w:rPr>
          <w:vertAlign w:val="superscript"/>
        </w:rPr>
        <w:t>o</w:t>
      </w:r>
      <w:r>
        <w:t> </w:t>
      </w:r>
      <w:r w:rsidRPr="0020342E">
        <w:t xml:space="preserve">291/1988, </w:t>
      </w:r>
      <w:r w:rsidRPr="0020342E">
        <w:rPr>
          <w:i/>
        </w:rPr>
        <w:t xml:space="preserve">Torres </w:t>
      </w:r>
      <w:r w:rsidRPr="0020342E">
        <w:t>c.</w:t>
      </w:r>
      <w:r>
        <w:rPr>
          <w:i/>
        </w:rPr>
        <w:t> </w:t>
      </w:r>
      <w:r w:rsidRPr="0020342E">
        <w:rPr>
          <w:i/>
        </w:rPr>
        <w:t>Finlande</w:t>
      </w:r>
      <w:r w:rsidRPr="0020342E">
        <w:t xml:space="preserve">, par. 7.4; </w:t>
      </w:r>
      <w:r>
        <w:t>n</w:t>
      </w:r>
      <w:r w:rsidRPr="0020342E">
        <w:rPr>
          <w:vertAlign w:val="superscript"/>
        </w:rPr>
        <w:t>o</w:t>
      </w:r>
      <w:r>
        <w:t> </w:t>
      </w:r>
      <w:r w:rsidRPr="0020342E">
        <w:t xml:space="preserve">414/1990, </w:t>
      </w:r>
      <w:r w:rsidRPr="0020342E">
        <w:rPr>
          <w:i/>
        </w:rPr>
        <w:t xml:space="preserve">Mika Miha </w:t>
      </w:r>
      <w:r w:rsidRPr="0020342E">
        <w:t>c.</w:t>
      </w:r>
      <w:r>
        <w:rPr>
          <w:i/>
        </w:rPr>
        <w:t> </w:t>
      </w:r>
      <w:r w:rsidRPr="0020342E">
        <w:rPr>
          <w:i/>
        </w:rPr>
        <w:t>Guinée équatoriale</w:t>
      </w:r>
      <w:r w:rsidRPr="0020342E">
        <w:t>, par. 6.5.</w:t>
      </w:r>
    </w:p>
  </w:footnote>
  <w:footnote w:id="129">
    <w:p w:rsidR="0020342E" w:rsidRDefault="0020342E">
      <w:pPr>
        <w:pStyle w:val="FootnoteText"/>
      </w:pPr>
      <w:r>
        <w:tab/>
      </w:r>
      <w:r>
        <w:rPr>
          <w:rStyle w:val="FootnoteReference"/>
        </w:rPr>
        <w:footnoteRef/>
      </w:r>
      <w:r>
        <w:tab/>
        <w:t>Communication n</w:t>
      </w:r>
      <w:r w:rsidRPr="0020342E">
        <w:rPr>
          <w:vertAlign w:val="superscript"/>
        </w:rPr>
        <w:t>o</w:t>
      </w:r>
      <w:r>
        <w:t> </w:t>
      </w:r>
      <w:r w:rsidRPr="0020342E">
        <w:t xml:space="preserve">265/1987, </w:t>
      </w:r>
      <w:r w:rsidRPr="0020342E">
        <w:rPr>
          <w:i/>
        </w:rPr>
        <w:t xml:space="preserve">Vuolanne </w:t>
      </w:r>
      <w:r w:rsidRPr="0020342E">
        <w:t>c.</w:t>
      </w:r>
      <w:r>
        <w:rPr>
          <w:i/>
        </w:rPr>
        <w:t> </w:t>
      </w:r>
      <w:r w:rsidRPr="0020342E">
        <w:rPr>
          <w:i/>
        </w:rPr>
        <w:t>Finlande</w:t>
      </w:r>
      <w:r w:rsidRPr="0020342E">
        <w:t>, par. 9.5; voir observations finales concernant le rapport du Rwanda (CCPR/C/RWA/CO/3, 2009), par. 16 (recommandant l</w:t>
      </w:r>
      <w:r w:rsidR="00F100CC">
        <w:t>’</w:t>
      </w:r>
      <w:r w:rsidRPr="0020342E">
        <w:t>abolition de la détention pour vagabondage).</w:t>
      </w:r>
    </w:p>
  </w:footnote>
  <w:footnote w:id="130">
    <w:p w:rsidR="0020342E" w:rsidRDefault="0020342E">
      <w:pPr>
        <w:pStyle w:val="FootnoteText"/>
      </w:pPr>
      <w:r>
        <w:tab/>
      </w:r>
      <w:r>
        <w:rPr>
          <w:rStyle w:val="FootnoteReference"/>
        </w:rPr>
        <w:footnoteRef/>
      </w:r>
      <w:r>
        <w:tab/>
      </w:r>
      <w:r w:rsidRPr="0020342E">
        <w:t>Voir observations finales concernant le rapport de la République de Moldova (CCPR/CO/75/MDA, 2002), par. 11.</w:t>
      </w:r>
    </w:p>
  </w:footnote>
  <w:footnote w:id="131">
    <w:p w:rsidR="000E518F" w:rsidRDefault="000E518F">
      <w:pPr>
        <w:pStyle w:val="FootnoteText"/>
      </w:pPr>
      <w:r>
        <w:tab/>
      </w:r>
      <w:r>
        <w:rPr>
          <w:rStyle w:val="FootnoteReference"/>
        </w:rPr>
        <w:footnoteRef/>
      </w:r>
      <w:r>
        <w:tab/>
      </w:r>
      <w:r w:rsidRPr="000E518F">
        <w:t>Communications</w:t>
      </w:r>
      <w:r>
        <w:t xml:space="preserve"> n</w:t>
      </w:r>
      <w:r w:rsidRPr="000E518F">
        <w:rPr>
          <w:vertAlign w:val="superscript"/>
        </w:rPr>
        <w:t>o</w:t>
      </w:r>
      <w:r>
        <w:t> </w:t>
      </w:r>
      <w:r w:rsidRPr="000E518F">
        <w:t xml:space="preserve">1172/2003, </w:t>
      </w:r>
      <w:r w:rsidRPr="000E518F">
        <w:rPr>
          <w:i/>
        </w:rPr>
        <w:t xml:space="preserve">Madani </w:t>
      </w:r>
      <w:r w:rsidRPr="000E518F">
        <w:t>c</w:t>
      </w:r>
      <w:r>
        <w:t>. </w:t>
      </w:r>
      <w:r w:rsidRPr="000E518F">
        <w:rPr>
          <w:i/>
        </w:rPr>
        <w:t>Algérie</w:t>
      </w:r>
      <w:r w:rsidRPr="000E518F">
        <w:t xml:space="preserve">, par. 8.5; </w:t>
      </w:r>
      <w:r>
        <w:t>n</w:t>
      </w:r>
      <w:r w:rsidRPr="000E518F">
        <w:rPr>
          <w:vertAlign w:val="superscript"/>
        </w:rPr>
        <w:t>o</w:t>
      </w:r>
      <w:r>
        <w:t> </w:t>
      </w:r>
      <w:r w:rsidRPr="000E518F">
        <w:t xml:space="preserve">265/1987, </w:t>
      </w:r>
      <w:r w:rsidRPr="000E518F">
        <w:rPr>
          <w:i/>
        </w:rPr>
        <w:t xml:space="preserve">Vuolanne </w:t>
      </w:r>
      <w:r w:rsidRPr="000E518F">
        <w:t>c.</w:t>
      </w:r>
      <w:r>
        <w:rPr>
          <w:i/>
        </w:rPr>
        <w:t> </w:t>
      </w:r>
      <w:r w:rsidRPr="000E518F">
        <w:rPr>
          <w:i/>
        </w:rPr>
        <w:t>Finlande</w:t>
      </w:r>
      <w:r w:rsidRPr="000E518F">
        <w:t>, par. 9.5.</w:t>
      </w:r>
    </w:p>
  </w:footnote>
  <w:footnote w:id="132">
    <w:p w:rsidR="00BD5716" w:rsidRDefault="00BD5716">
      <w:pPr>
        <w:pStyle w:val="FootnoteText"/>
      </w:pPr>
      <w:r>
        <w:tab/>
      </w:r>
      <w:r>
        <w:rPr>
          <w:rStyle w:val="FootnoteReference"/>
        </w:rPr>
        <w:footnoteRef/>
      </w:r>
      <w:r>
        <w:tab/>
        <w:t>Communications n</w:t>
      </w:r>
      <w:r w:rsidRPr="00BD5716">
        <w:rPr>
          <w:vertAlign w:val="superscript"/>
        </w:rPr>
        <w:t>o</w:t>
      </w:r>
      <w:r>
        <w:t> </w:t>
      </w:r>
      <w:r w:rsidRPr="00BD5716">
        <w:t xml:space="preserve">954/2000, </w:t>
      </w:r>
      <w:r w:rsidRPr="00BD5716">
        <w:rPr>
          <w:i/>
        </w:rPr>
        <w:t xml:space="preserve">Minogue </w:t>
      </w:r>
      <w:r w:rsidRPr="00BD5716">
        <w:t>c.</w:t>
      </w:r>
      <w:r>
        <w:rPr>
          <w:i/>
        </w:rPr>
        <w:t> </w:t>
      </w:r>
      <w:r w:rsidRPr="00BD5716">
        <w:rPr>
          <w:i/>
        </w:rPr>
        <w:t>Australie</w:t>
      </w:r>
      <w:r w:rsidRPr="00BD5716">
        <w:t xml:space="preserve">, par. 6.4; </w:t>
      </w:r>
      <w:r>
        <w:t>n</w:t>
      </w:r>
      <w:r w:rsidRPr="00BD5716">
        <w:rPr>
          <w:vertAlign w:val="superscript"/>
        </w:rPr>
        <w:t>o</w:t>
      </w:r>
      <w:r>
        <w:t> </w:t>
      </w:r>
      <w:r w:rsidRPr="00BD5716">
        <w:t xml:space="preserve">1342/2005, </w:t>
      </w:r>
      <w:r w:rsidRPr="00BD5716">
        <w:rPr>
          <w:i/>
        </w:rPr>
        <w:t xml:space="preserve">Gavrilin </w:t>
      </w:r>
      <w:r w:rsidRPr="00BD5716">
        <w:t>c.</w:t>
      </w:r>
      <w:r>
        <w:rPr>
          <w:i/>
        </w:rPr>
        <w:t> </w:t>
      </w:r>
      <w:r w:rsidRPr="00BD5716">
        <w:rPr>
          <w:i/>
        </w:rPr>
        <w:t>Bélarus</w:t>
      </w:r>
      <w:r w:rsidRPr="00BD5716">
        <w:t>, par. 7.4. Toutefois l</w:t>
      </w:r>
      <w:r w:rsidR="00F100CC">
        <w:t>’</w:t>
      </w:r>
      <w:r w:rsidRPr="00BD5716">
        <w:t>article 14, par</w:t>
      </w:r>
      <w:r w:rsidR="006F0151">
        <w:t>.</w:t>
      </w:r>
      <w:r w:rsidRPr="00BD5716">
        <w:t> 5, garantit à toute personne déclarée coupable d</w:t>
      </w:r>
      <w:r w:rsidR="00F100CC">
        <w:t>’</w:t>
      </w:r>
      <w:r w:rsidRPr="00BD5716">
        <w:t>une infraction le droit de faire examiner une fois par une juridiction supérie</w:t>
      </w:r>
      <w:r>
        <w:t xml:space="preserve">ure la condamnation </w:t>
      </w:r>
      <w:r w:rsidR="002B5A53">
        <w:t xml:space="preserve">initiale </w:t>
      </w:r>
      <w:r>
        <w:t>(Observation générale n</w:t>
      </w:r>
      <w:r w:rsidRPr="00BD5716">
        <w:rPr>
          <w:vertAlign w:val="superscript"/>
        </w:rPr>
        <w:t>o</w:t>
      </w:r>
      <w:r>
        <w:t> </w:t>
      </w:r>
      <w:r w:rsidRPr="00BD5716">
        <w:t>32, par. 45).</w:t>
      </w:r>
    </w:p>
  </w:footnote>
  <w:footnote w:id="133">
    <w:p w:rsidR="007E36F8" w:rsidRDefault="007E36F8">
      <w:pPr>
        <w:pStyle w:val="FootnoteText"/>
      </w:pPr>
      <w:r>
        <w:tab/>
      </w:r>
      <w:r>
        <w:rPr>
          <w:rStyle w:val="FootnoteReference"/>
        </w:rPr>
        <w:footnoteRef/>
      </w:r>
      <w:r>
        <w:tab/>
        <w:t>Communication n</w:t>
      </w:r>
      <w:r w:rsidRPr="007E36F8">
        <w:rPr>
          <w:vertAlign w:val="superscript"/>
        </w:rPr>
        <w:t>o</w:t>
      </w:r>
      <w:r>
        <w:t> </w:t>
      </w:r>
      <w:r w:rsidRPr="007E36F8">
        <w:t xml:space="preserve">473/1991, </w:t>
      </w:r>
      <w:r w:rsidRPr="007E36F8">
        <w:rPr>
          <w:i/>
        </w:rPr>
        <w:t xml:space="preserve">Barroso </w:t>
      </w:r>
      <w:r w:rsidRPr="007E36F8">
        <w:t>c.</w:t>
      </w:r>
      <w:r>
        <w:rPr>
          <w:i/>
        </w:rPr>
        <w:t> </w:t>
      </w:r>
      <w:r w:rsidRPr="007E36F8">
        <w:rPr>
          <w:i/>
        </w:rPr>
        <w:t>Panama</w:t>
      </w:r>
      <w:r w:rsidRPr="007E36F8">
        <w:t xml:space="preserve">, par. 2.4 et 8.2 (recours en </w:t>
      </w:r>
      <w:r w:rsidRPr="007E36F8">
        <w:rPr>
          <w:i/>
        </w:rPr>
        <w:t>habeas corpus</w:t>
      </w:r>
      <w:r w:rsidRPr="007E36F8">
        <w:t xml:space="preserve"> pour obtenir la libération sous caution).</w:t>
      </w:r>
    </w:p>
  </w:footnote>
  <w:footnote w:id="134">
    <w:p w:rsidR="00F90995" w:rsidRDefault="00F90995">
      <w:pPr>
        <w:pStyle w:val="FootnoteText"/>
      </w:pPr>
      <w:r>
        <w:tab/>
      </w:r>
      <w:r>
        <w:rPr>
          <w:rStyle w:val="FootnoteReference"/>
        </w:rPr>
        <w:footnoteRef/>
      </w:r>
      <w:r>
        <w:tab/>
        <w:t>Communication n</w:t>
      </w:r>
      <w:r w:rsidRPr="00F90995">
        <w:rPr>
          <w:vertAlign w:val="superscript"/>
        </w:rPr>
        <w:t>o</w:t>
      </w:r>
      <w:r>
        <w:t> </w:t>
      </w:r>
      <w:r w:rsidRPr="00F90995">
        <w:t xml:space="preserve">1324/2004, </w:t>
      </w:r>
      <w:r w:rsidRPr="00F90995">
        <w:rPr>
          <w:i/>
        </w:rPr>
        <w:t xml:space="preserve">Shafiq </w:t>
      </w:r>
      <w:r w:rsidRPr="00F90995">
        <w:t>c.</w:t>
      </w:r>
      <w:r>
        <w:t> </w:t>
      </w:r>
      <w:r w:rsidRPr="00F90995">
        <w:rPr>
          <w:i/>
        </w:rPr>
        <w:t>Australie</w:t>
      </w:r>
      <w:r w:rsidRPr="00F90995">
        <w:t>, par. 7.4.</w:t>
      </w:r>
    </w:p>
  </w:footnote>
  <w:footnote w:id="135">
    <w:p w:rsidR="00F90995" w:rsidRDefault="00F90995">
      <w:pPr>
        <w:pStyle w:val="FootnoteText"/>
      </w:pPr>
      <w:r>
        <w:tab/>
      </w:r>
      <w:r>
        <w:rPr>
          <w:rStyle w:val="FootnoteReference"/>
        </w:rPr>
        <w:footnoteRef/>
      </w:r>
      <w:r>
        <w:tab/>
        <w:t>Communication n</w:t>
      </w:r>
      <w:r w:rsidRPr="00F90995">
        <w:rPr>
          <w:vertAlign w:val="superscript"/>
        </w:rPr>
        <w:t>o</w:t>
      </w:r>
      <w:r>
        <w:t> </w:t>
      </w:r>
      <w:r w:rsidRPr="00F90995">
        <w:t xml:space="preserve">856/1999, </w:t>
      </w:r>
      <w:r w:rsidRPr="00F90995">
        <w:rPr>
          <w:i/>
        </w:rPr>
        <w:t xml:space="preserve">Chambala </w:t>
      </w:r>
      <w:r w:rsidRPr="00F90995">
        <w:t>c.</w:t>
      </w:r>
      <w:r>
        <w:rPr>
          <w:i/>
        </w:rPr>
        <w:t> </w:t>
      </w:r>
      <w:r w:rsidRPr="00F90995">
        <w:rPr>
          <w:i/>
        </w:rPr>
        <w:t>Zambie</w:t>
      </w:r>
      <w:r w:rsidRPr="00F90995">
        <w:t>, par. 7.2.</w:t>
      </w:r>
    </w:p>
  </w:footnote>
  <w:footnote w:id="136">
    <w:p w:rsidR="00A452A6" w:rsidRDefault="00A452A6">
      <w:pPr>
        <w:pStyle w:val="FootnoteText"/>
      </w:pPr>
      <w:r>
        <w:tab/>
      </w:r>
      <w:r>
        <w:rPr>
          <w:rStyle w:val="FootnoteReference"/>
        </w:rPr>
        <w:footnoteRef/>
      </w:r>
      <w:r>
        <w:tab/>
        <w:t>Communication n</w:t>
      </w:r>
      <w:r w:rsidRPr="00A452A6">
        <w:rPr>
          <w:vertAlign w:val="superscript"/>
        </w:rPr>
        <w:t>o</w:t>
      </w:r>
      <w:r>
        <w:t> </w:t>
      </w:r>
      <w:r w:rsidRPr="00A452A6">
        <w:t xml:space="preserve">291/1988, </w:t>
      </w:r>
      <w:r w:rsidRPr="00A452A6">
        <w:rPr>
          <w:i/>
        </w:rPr>
        <w:t xml:space="preserve">Torres </w:t>
      </w:r>
      <w:r w:rsidRPr="00A452A6">
        <w:t>c.</w:t>
      </w:r>
      <w:r>
        <w:rPr>
          <w:i/>
        </w:rPr>
        <w:t> </w:t>
      </w:r>
      <w:r w:rsidRPr="00A452A6">
        <w:rPr>
          <w:i/>
        </w:rPr>
        <w:t>Finlande</w:t>
      </w:r>
      <w:r w:rsidRPr="00A452A6">
        <w:t>, par. 7.2 (sept jours).</w:t>
      </w:r>
    </w:p>
  </w:footnote>
  <w:footnote w:id="137">
    <w:p w:rsidR="006B3792" w:rsidRDefault="006B3792">
      <w:pPr>
        <w:pStyle w:val="FootnoteText"/>
      </w:pPr>
      <w:r>
        <w:tab/>
      </w:r>
      <w:r>
        <w:rPr>
          <w:rStyle w:val="FootnoteReference"/>
        </w:rPr>
        <w:footnoteRef/>
      </w:r>
      <w:r>
        <w:tab/>
      </w:r>
      <w:r w:rsidRPr="006B3792">
        <w:t>V</w:t>
      </w:r>
      <w:r>
        <w:t>oir Ensemble de principes (note </w:t>
      </w:r>
      <w:r w:rsidRPr="006B3792">
        <w:t>102), p</w:t>
      </w:r>
      <w:r>
        <w:t>rincipe </w:t>
      </w:r>
      <w:r w:rsidRPr="006B3792">
        <w:t>32, par.</w:t>
      </w:r>
      <w:r>
        <w:t> </w:t>
      </w:r>
      <w:r w:rsidRPr="006B3792">
        <w:t>2</w:t>
      </w:r>
      <w:r>
        <w:t xml:space="preserve">; Observation générale </w:t>
      </w:r>
      <w:r w:rsidRPr="006B3792">
        <w:t>n</w:t>
      </w:r>
      <w:r w:rsidRPr="006B3792">
        <w:rPr>
          <w:vertAlign w:val="superscript"/>
        </w:rPr>
        <w:t>o</w:t>
      </w:r>
      <w:r>
        <w:t> </w:t>
      </w:r>
      <w:r w:rsidRPr="006B3792">
        <w:t>29, par. 16.</w:t>
      </w:r>
    </w:p>
  </w:footnote>
  <w:footnote w:id="138">
    <w:p w:rsidR="00F3266A" w:rsidRDefault="00F3266A">
      <w:pPr>
        <w:pStyle w:val="FootnoteText"/>
      </w:pPr>
      <w:r>
        <w:tab/>
      </w:r>
      <w:r>
        <w:rPr>
          <w:rStyle w:val="FootnoteReference"/>
        </w:rPr>
        <w:footnoteRef/>
      </w:r>
      <w:r>
        <w:tab/>
        <w:t>Communication n</w:t>
      </w:r>
      <w:r w:rsidRPr="00F3266A">
        <w:rPr>
          <w:vertAlign w:val="superscript"/>
        </w:rPr>
        <w:t>o</w:t>
      </w:r>
      <w:r>
        <w:t> </w:t>
      </w:r>
      <w:r w:rsidRPr="00F3266A">
        <w:t xml:space="preserve">1090/2002, </w:t>
      </w:r>
      <w:r w:rsidRPr="00F3266A">
        <w:rPr>
          <w:i/>
        </w:rPr>
        <w:t xml:space="preserve">Rameka </w:t>
      </w:r>
      <w:r w:rsidRPr="00F3266A">
        <w:t>c.</w:t>
      </w:r>
      <w:r>
        <w:t> </w:t>
      </w:r>
      <w:r w:rsidRPr="00F3266A">
        <w:rPr>
          <w:i/>
        </w:rPr>
        <w:t>Nouvelle-Zélande</w:t>
      </w:r>
      <w:r w:rsidRPr="00F3266A">
        <w:t>, par. 7.3 et 7.4.</w:t>
      </w:r>
    </w:p>
  </w:footnote>
  <w:footnote w:id="139">
    <w:p w:rsidR="00F3266A" w:rsidRDefault="00F3266A">
      <w:pPr>
        <w:pStyle w:val="FootnoteText"/>
      </w:pPr>
      <w:r>
        <w:tab/>
      </w:r>
      <w:r>
        <w:rPr>
          <w:rStyle w:val="FootnoteReference"/>
        </w:rPr>
        <w:footnoteRef/>
      </w:r>
      <w:r>
        <w:tab/>
      </w:r>
      <w:r w:rsidRPr="00F3266A">
        <w:t xml:space="preserve">Ibid. (examen annuel de la </w:t>
      </w:r>
      <w:r w:rsidR="00F100CC" w:rsidRPr="00F3266A">
        <w:t>décision</w:t>
      </w:r>
      <w:r w:rsidRPr="00F3266A">
        <w:t xml:space="preserve"> de maintien en detention à des fins préventives après expiration de la peine prononcée); </w:t>
      </w:r>
      <w:r>
        <w:t>communications n</w:t>
      </w:r>
      <w:r w:rsidRPr="00F3266A">
        <w:rPr>
          <w:vertAlign w:val="superscript"/>
        </w:rPr>
        <w:t>o</w:t>
      </w:r>
      <w:r>
        <w:t> </w:t>
      </w:r>
      <w:r w:rsidRPr="00F3266A">
        <w:t xml:space="preserve">754/1997, </w:t>
      </w:r>
      <w:r w:rsidRPr="00F3266A">
        <w:rPr>
          <w:i/>
        </w:rPr>
        <w:t xml:space="preserve">A. </w:t>
      </w:r>
      <w:r w:rsidRPr="00F3266A">
        <w:t>c.</w:t>
      </w:r>
      <w:r>
        <w:rPr>
          <w:i/>
        </w:rPr>
        <w:t> </w:t>
      </w:r>
      <w:r w:rsidRPr="00F3266A">
        <w:rPr>
          <w:i/>
        </w:rPr>
        <w:t>Nouvelle-Zélande</w:t>
      </w:r>
      <w:r w:rsidRPr="00F3266A">
        <w:t>, par. 7.3 (examen périodique de la nécessité de l</w:t>
      </w:r>
      <w:r w:rsidR="00F100CC">
        <w:t>’</w:t>
      </w:r>
      <w:r w:rsidRPr="00F3266A">
        <w:t xml:space="preserve">hospitalisation); </w:t>
      </w:r>
      <w:r>
        <w:t>n</w:t>
      </w:r>
      <w:r w:rsidRPr="00F3266A">
        <w:rPr>
          <w:vertAlign w:val="superscript"/>
        </w:rPr>
        <w:t>o</w:t>
      </w:r>
      <w:r>
        <w:t> </w:t>
      </w:r>
      <w:r w:rsidRPr="00F3266A">
        <w:t xml:space="preserve">291/1988, </w:t>
      </w:r>
      <w:r w:rsidRPr="00F3266A">
        <w:rPr>
          <w:i/>
        </w:rPr>
        <w:t xml:space="preserve">Torres </w:t>
      </w:r>
      <w:r w:rsidRPr="00F3266A">
        <w:t>c.</w:t>
      </w:r>
      <w:r w:rsidRPr="00F3266A">
        <w:rPr>
          <w:i/>
        </w:rPr>
        <w:t xml:space="preserve"> Finlande</w:t>
      </w:r>
      <w:r w:rsidRPr="00F3266A">
        <w:t>, par. 7.4 (examen toutes les deux semaines de la détention extraditionnelle).</w:t>
      </w:r>
    </w:p>
  </w:footnote>
  <w:footnote w:id="140">
    <w:p w:rsidR="00EF53C4" w:rsidRDefault="00EF53C4">
      <w:pPr>
        <w:pStyle w:val="FootnoteText"/>
      </w:pPr>
      <w:r>
        <w:tab/>
      </w:r>
      <w:r>
        <w:rPr>
          <w:rStyle w:val="FootnoteReference"/>
        </w:rPr>
        <w:footnoteRef/>
      </w:r>
      <w:r>
        <w:tab/>
      </w:r>
      <w:r w:rsidRPr="00EF53C4">
        <w:t>Communications n</w:t>
      </w:r>
      <w:r w:rsidRPr="00EF53C4">
        <w:rPr>
          <w:vertAlign w:val="superscript"/>
        </w:rPr>
        <w:t>os</w:t>
      </w:r>
      <w:r>
        <w:t> </w:t>
      </w:r>
      <w:r w:rsidRPr="00EF53C4">
        <w:t>1255,</w:t>
      </w:r>
      <w:r>
        <w:t xml:space="preserve"> </w:t>
      </w:r>
      <w:r w:rsidRPr="00EF53C4">
        <w:t>1256,</w:t>
      </w:r>
      <w:r>
        <w:t xml:space="preserve"> </w:t>
      </w:r>
      <w:r w:rsidRPr="00EF53C4">
        <w:t>1259,</w:t>
      </w:r>
      <w:r>
        <w:t xml:space="preserve"> </w:t>
      </w:r>
      <w:r w:rsidRPr="00EF53C4">
        <w:t>1260,</w:t>
      </w:r>
      <w:r>
        <w:t xml:space="preserve"> </w:t>
      </w:r>
      <w:r w:rsidRPr="00EF53C4">
        <w:t>1266,</w:t>
      </w:r>
      <w:r>
        <w:t xml:space="preserve"> </w:t>
      </w:r>
      <w:r w:rsidRPr="00EF53C4">
        <w:t>1268,</w:t>
      </w:r>
      <w:r>
        <w:t xml:space="preserve"> </w:t>
      </w:r>
      <w:r w:rsidRPr="00EF53C4">
        <w:t>1270,</w:t>
      </w:r>
      <w:r>
        <w:t xml:space="preserve"> </w:t>
      </w:r>
      <w:r w:rsidRPr="00EF53C4">
        <w:t xml:space="preserve">1288/2004, </w:t>
      </w:r>
      <w:r w:rsidRPr="00EF53C4">
        <w:rPr>
          <w:i/>
        </w:rPr>
        <w:t xml:space="preserve">Shams et consorts </w:t>
      </w:r>
      <w:r w:rsidRPr="00EF53C4">
        <w:t>c.</w:t>
      </w:r>
      <w:r>
        <w:rPr>
          <w:i/>
        </w:rPr>
        <w:t> </w:t>
      </w:r>
      <w:r w:rsidRPr="00EF53C4">
        <w:rPr>
          <w:i/>
        </w:rPr>
        <w:t>Australie</w:t>
      </w:r>
      <w:r w:rsidRPr="00EF53C4">
        <w:t>, par. 7.3.</w:t>
      </w:r>
    </w:p>
  </w:footnote>
  <w:footnote w:id="141">
    <w:p w:rsidR="00047D35" w:rsidRDefault="00047D35">
      <w:pPr>
        <w:pStyle w:val="FootnoteText"/>
      </w:pPr>
      <w:r>
        <w:tab/>
      </w:r>
      <w:r>
        <w:rPr>
          <w:rStyle w:val="FootnoteReference"/>
        </w:rPr>
        <w:footnoteRef/>
      </w:r>
      <w:r>
        <w:tab/>
      </w:r>
      <w:r w:rsidRPr="00047D35">
        <w:rPr>
          <w:lang w:val="en-GB"/>
        </w:rPr>
        <w:t>Ibid.</w:t>
      </w:r>
    </w:p>
  </w:footnote>
  <w:footnote w:id="142">
    <w:p w:rsidR="00497E2D" w:rsidRDefault="00497E2D">
      <w:pPr>
        <w:pStyle w:val="FootnoteText"/>
      </w:pPr>
      <w:r>
        <w:tab/>
      </w:r>
      <w:r>
        <w:rPr>
          <w:rStyle w:val="FootnoteReference"/>
        </w:rPr>
        <w:footnoteRef/>
      </w:r>
      <w:r>
        <w:tab/>
        <w:t>Communication n</w:t>
      </w:r>
      <w:r w:rsidRPr="00497E2D">
        <w:rPr>
          <w:vertAlign w:val="superscript"/>
        </w:rPr>
        <w:t>o</w:t>
      </w:r>
      <w:r>
        <w:t> </w:t>
      </w:r>
      <w:r w:rsidRPr="00497E2D">
        <w:t xml:space="preserve">1069/2002, </w:t>
      </w:r>
      <w:r w:rsidRPr="00497E2D">
        <w:rPr>
          <w:i/>
        </w:rPr>
        <w:t xml:space="preserve">Bakhtiyari </w:t>
      </w:r>
      <w:r w:rsidRPr="00497E2D">
        <w:t>c.</w:t>
      </w:r>
      <w:r>
        <w:rPr>
          <w:i/>
        </w:rPr>
        <w:t> </w:t>
      </w:r>
      <w:r w:rsidRPr="00497E2D">
        <w:rPr>
          <w:i/>
        </w:rPr>
        <w:t>Australie</w:t>
      </w:r>
      <w:r w:rsidRPr="00497E2D">
        <w:t>, par. 9.5.</w:t>
      </w:r>
    </w:p>
  </w:footnote>
  <w:footnote w:id="143">
    <w:p w:rsidR="00517E38" w:rsidRDefault="00517E38">
      <w:pPr>
        <w:pStyle w:val="FootnoteText"/>
      </w:pPr>
      <w:r>
        <w:tab/>
      </w:r>
      <w:r>
        <w:rPr>
          <w:rStyle w:val="FootnoteReference"/>
        </w:rPr>
        <w:footnoteRef/>
      </w:r>
      <w:r>
        <w:tab/>
        <w:t>Communications n</w:t>
      </w:r>
      <w:r w:rsidRPr="00517E38">
        <w:rPr>
          <w:vertAlign w:val="superscript"/>
        </w:rPr>
        <w:t>o</w:t>
      </w:r>
      <w:r>
        <w:t> </w:t>
      </w:r>
      <w:r w:rsidRPr="00517E38">
        <w:t xml:space="preserve">1090/2002, </w:t>
      </w:r>
      <w:r w:rsidRPr="00517E38">
        <w:rPr>
          <w:i/>
        </w:rPr>
        <w:t xml:space="preserve">Rameka </w:t>
      </w:r>
      <w:r w:rsidRPr="00517E38">
        <w:t>c.</w:t>
      </w:r>
      <w:r>
        <w:rPr>
          <w:i/>
        </w:rPr>
        <w:t> </w:t>
      </w:r>
      <w:r w:rsidRPr="00517E38">
        <w:rPr>
          <w:i/>
        </w:rPr>
        <w:t>Nouvelle</w:t>
      </w:r>
      <w:r>
        <w:rPr>
          <w:i/>
        </w:rPr>
        <w:noBreakHyphen/>
      </w:r>
      <w:r w:rsidRPr="00517E38">
        <w:rPr>
          <w:i/>
        </w:rPr>
        <w:t>Zélande</w:t>
      </w:r>
      <w:r w:rsidRPr="00517E38">
        <w:t>, par. 7.4 (examen de la capacité</w:t>
      </w:r>
      <w:r>
        <w:t xml:space="preserve"> </w:t>
      </w:r>
      <w:r w:rsidRPr="00517E38">
        <w:t xml:space="preserve">de la Commission des libérations conditionnelles de remplir les fonctions </w:t>
      </w:r>
      <w:r w:rsidR="00793E5F" w:rsidRPr="00517E38">
        <w:t>judiciaires</w:t>
      </w:r>
      <w:r w:rsidRPr="00517E38">
        <w:t xml:space="preserve"> assumées par un tribunal); </w:t>
      </w:r>
      <w:r>
        <w:t>n</w:t>
      </w:r>
      <w:r w:rsidRPr="00517E38">
        <w:rPr>
          <w:vertAlign w:val="superscript"/>
        </w:rPr>
        <w:t>o</w:t>
      </w:r>
      <w:r>
        <w:t> </w:t>
      </w:r>
      <w:r w:rsidRPr="00517E38">
        <w:t xml:space="preserve">291/1988, </w:t>
      </w:r>
      <w:r w:rsidRPr="00517E38">
        <w:rPr>
          <w:i/>
        </w:rPr>
        <w:t xml:space="preserve">Torres </w:t>
      </w:r>
      <w:r w:rsidRPr="00517E38">
        <w:t>c.</w:t>
      </w:r>
      <w:r>
        <w:rPr>
          <w:i/>
        </w:rPr>
        <w:t> </w:t>
      </w:r>
      <w:r w:rsidRPr="00517E38">
        <w:rPr>
          <w:i/>
        </w:rPr>
        <w:t>Finlande</w:t>
      </w:r>
      <w:r w:rsidRPr="00517E38">
        <w:t>, par</w:t>
      </w:r>
      <w:r>
        <w:t>. </w:t>
      </w:r>
      <w:r w:rsidR="00793E5F">
        <w:t>7.2 (</w:t>
      </w:r>
      <w:r w:rsidRPr="00517E38">
        <w:t>concluant à l</w:t>
      </w:r>
      <w:r w:rsidR="00F100CC">
        <w:t>’</w:t>
      </w:r>
      <w:r w:rsidRPr="00517E38">
        <w:t>insuffisance d</w:t>
      </w:r>
      <w:r w:rsidR="00F100CC">
        <w:t>’</w:t>
      </w:r>
      <w:r w:rsidRPr="00517E38">
        <w:t>un examen p</w:t>
      </w:r>
      <w:r>
        <w:t>ar le Ministère de l</w:t>
      </w:r>
      <w:r w:rsidR="00F100CC">
        <w:t>’</w:t>
      </w:r>
      <w:r>
        <w:t>intérieur); n</w:t>
      </w:r>
      <w:r w:rsidRPr="00517E38">
        <w:rPr>
          <w:vertAlign w:val="superscript"/>
        </w:rPr>
        <w:t>o</w:t>
      </w:r>
      <w:r>
        <w:t> </w:t>
      </w:r>
      <w:r w:rsidRPr="00517E38">
        <w:t xml:space="preserve">265/1987, </w:t>
      </w:r>
      <w:r w:rsidRPr="00517E38">
        <w:rPr>
          <w:i/>
        </w:rPr>
        <w:t xml:space="preserve">Vuolanne </w:t>
      </w:r>
      <w:r w:rsidRPr="00517E38">
        <w:t>c.</w:t>
      </w:r>
      <w:r>
        <w:rPr>
          <w:i/>
        </w:rPr>
        <w:t> </w:t>
      </w:r>
      <w:r w:rsidRPr="00517E38">
        <w:rPr>
          <w:i/>
        </w:rPr>
        <w:t>Finlande</w:t>
      </w:r>
      <w:r w:rsidR="00793E5F">
        <w:t>, par. 9.6 (</w:t>
      </w:r>
      <w:r w:rsidRPr="00517E38">
        <w:t>concluant à l</w:t>
      </w:r>
      <w:r w:rsidR="00F100CC">
        <w:t>’</w:t>
      </w:r>
      <w:r w:rsidRPr="00517E38">
        <w:t>insuffisance d</w:t>
      </w:r>
      <w:r w:rsidR="00F100CC">
        <w:t>’</w:t>
      </w:r>
      <w:r w:rsidRPr="00517E38">
        <w:t>un examen par un officier supérieur de l</w:t>
      </w:r>
      <w:r w:rsidR="00F100CC">
        <w:t>’</w:t>
      </w:r>
      <w:r w:rsidRPr="00517E38">
        <w:t>armée);</w:t>
      </w:r>
      <w:r>
        <w:t xml:space="preserve"> Observation générale n</w:t>
      </w:r>
      <w:r w:rsidRPr="00517E38">
        <w:rPr>
          <w:vertAlign w:val="superscript"/>
        </w:rPr>
        <w:t>o</w:t>
      </w:r>
      <w:r>
        <w:t> </w:t>
      </w:r>
      <w:r w:rsidRPr="00517E38">
        <w:t>32, par. </w:t>
      </w:r>
      <w:r>
        <w:t>18</w:t>
      </w:r>
      <w:r w:rsidR="00FF7BDF">
        <w:t xml:space="preserve"> à </w:t>
      </w:r>
      <w:r w:rsidRPr="00517E38">
        <w:t>22</w:t>
      </w:r>
      <w:r>
        <w:t>.</w:t>
      </w:r>
    </w:p>
  </w:footnote>
  <w:footnote w:id="144">
    <w:p w:rsidR="0030586B" w:rsidRDefault="0030586B">
      <w:pPr>
        <w:pStyle w:val="FootnoteText"/>
      </w:pPr>
      <w:r>
        <w:tab/>
      </w:r>
      <w:r>
        <w:rPr>
          <w:rStyle w:val="FootnoteReference"/>
        </w:rPr>
        <w:footnoteRef/>
      </w:r>
      <w:r>
        <w:tab/>
      </w:r>
      <w:r w:rsidRPr="0030586B">
        <w:t>Commu</w:t>
      </w:r>
      <w:r>
        <w:t>nication n</w:t>
      </w:r>
      <w:r w:rsidRPr="0030586B">
        <w:rPr>
          <w:vertAlign w:val="superscript"/>
        </w:rPr>
        <w:t>o</w:t>
      </w:r>
      <w:r>
        <w:t> </w:t>
      </w:r>
      <w:r w:rsidRPr="0030586B">
        <w:t xml:space="preserve">373/1989, </w:t>
      </w:r>
      <w:r w:rsidRPr="0030586B">
        <w:rPr>
          <w:i/>
        </w:rPr>
        <w:t xml:space="preserve">Stephens </w:t>
      </w:r>
      <w:r w:rsidRPr="0030586B">
        <w:t>c.</w:t>
      </w:r>
      <w:r>
        <w:rPr>
          <w:i/>
        </w:rPr>
        <w:t> </w:t>
      </w:r>
      <w:r w:rsidRPr="0030586B">
        <w:rPr>
          <w:i/>
        </w:rPr>
        <w:t>Jamaïque</w:t>
      </w:r>
      <w:r w:rsidRPr="0030586B">
        <w:t>, par. 9.7.</w:t>
      </w:r>
    </w:p>
  </w:footnote>
  <w:footnote w:id="145">
    <w:p w:rsidR="0030586B" w:rsidRDefault="0030586B">
      <w:pPr>
        <w:pStyle w:val="FootnoteText"/>
      </w:pPr>
      <w:r>
        <w:tab/>
      </w:r>
      <w:r>
        <w:rPr>
          <w:rStyle w:val="FootnoteReference"/>
        </w:rPr>
        <w:footnoteRef/>
      </w:r>
      <w:r>
        <w:tab/>
        <w:t>Communications n</w:t>
      </w:r>
      <w:r w:rsidRPr="0030586B">
        <w:rPr>
          <w:vertAlign w:val="superscript"/>
        </w:rPr>
        <w:t>o</w:t>
      </w:r>
      <w:r>
        <w:t> </w:t>
      </w:r>
      <w:r w:rsidRPr="0030586B">
        <w:t xml:space="preserve">4/1977, </w:t>
      </w:r>
      <w:r w:rsidRPr="0030586B">
        <w:rPr>
          <w:i/>
          <w:iCs/>
        </w:rPr>
        <w:t xml:space="preserve">Torres Ramírez </w:t>
      </w:r>
      <w:r w:rsidRPr="0030586B">
        <w:t>c.</w:t>
      </w:r>
      <w:r>
        <w:rPr>
          <w:i/>
          <w:iCs/>
        </w:rPr>
        <w:t> </w:t>
      </w:r>
      <w:r w:rsidRPr="0030586B">
        <w:rPr>
          <w:i/>
          <w:iCs/>
        </w:rPr>
        <w:t>Uruguay</w:t>
      </w:r>
      <w:r w:rsidRPr="0030586B">
        <w:t xml:space="preserve">, par. 18; </w:t>
      </w:r>
      <w:r>
        <w:t>n</w:t>
      </w:r>
      <w:r w:rsidRPr="0030586B">
        <w:rPr>
          <w:vertAlign w:val="superscript"/>
        </w:rPr>
        <w:t>o</w:t>
      </w:r>
      <w:r>
        <w:t> </w:t>
      </w:r>
      <w:r w:rsidRPr="0030586B">
        <w:t xml:space="preserve">1449/2006, </w:t>
      </w:r>
      <w:r w:rsidRPr="0030586B">
        <w:rPr>
          <w:i/>
        </w:rPr>
        <w:t xml:space="preserve">Umarov </w:t>
      </w:r>
      <w:r w:rsidRPr="0030586B">
        <w:t>c.</w:t>
      </w:r>
      <w:r>
        <w:rPr>
          <w:i/>
        </w:rPr>
        <w:t> </w:t>
      </w:r>
      <w:r w:rsidR="00793E5F" w:rsidRPr="0030586B">
        <w:rPr>
          <w:i/>
        </w:rPr>
        <w:t>Ouzbékistan</w:t>
      </w:r>
      <w:r w:rsidRPr="0030586B">
        <w:t>, par. 8.6.</w:t>
      </w:r>
    </w:p>
  </w:footnote>
  <w:footnote w:id="146">
    <w:p w:rsidR="00FF7BDF" w:rsidRDefault="00FF7BDF">
      <w:pPr>
        <w:pStyle w:val="FootnoteText"/>
      </w:pPr>
      <w:r>
        <w:tab/>
      </w:r>
      <w:r>
        <w:rPr>
          <w:rStyle w:val="FootnoteReference"/>
        </w:rPr>
        <w:footnoteRef/>
      </w:r>
      <w:r>
        <w:tab/>
      </w:r>
      <w:r w:rsidRPr="00FF7BDF">
        <w:t>Communications</w:t>
      </w:r>
      <w:r>
        <w:t xml:space="preserve"> n</w:t>
      </w:r>
      <w:r w:rsidRPr="00FF7BDF">
        <w:rPr>
          <w:vertAlign w:val="superscript"/>
        </w:rPr>
        <w:t>o</w:t>
      </w:r>
      <w:r>
        <w:t> </w:t>
      </w:r>
      <w:r w:rsidRPr="00FF7BDF">
        <w:t xml:space="preserve">5/1977, </w:t>
      </w:r>
      <w:r w:rsidRPr="00FF7BDF">
        <w:rPr>
          <w:i/>
          <w:iCs/>
        </w:rPr>
        <w:t>Hernández V</w:t>
      </w:r>
      <w:r w:rsidR="00793E5F">
        <w:rPr>
          <w:i/>
          <w:iCs/>
        </w:rPr>
        <w:t>alentini de Bazzano et consorts</w:t>
      </w:r>
      <w:r w:rsidRPr="00FF7BDF">
        <w:rPr>
          <w:i/>
          <w:iCs/>
        </w:rPr>
        <w:t xml:space="preserve"> </w:t>
      </w:r>
      <w:r>
        <w:rPr>
          <w:iCs/>
        </w:rPr>
        <w:t>c. </w:t>
      </w:r>
      <w:r w:rsidRPr="00FF7BDF">
        <w:rPr>
          <w:i/>
          <w:iCs/>
        </w:rPr>
        <w:t>Uruguay</w:t>
      </w:r>
      <w:r w:rsidRPr="00FF7BDF">
        <w:t xml:space="preserve">, par. 10; </w:t>
      </w:r>
      <w:r>
        <w:t>n</w:t>
      </w:r>
      <w:r w:rsidRPr="00FF7BDF">
        <w:rPr>
          <w:vertAlign w:val="superscript"/>
        </w:rPr>
        <w:t>o</w:t>
      </w:r>
      <w:r>
        <w:t> </w:t>
      </w:r>
      <w:r w:rsidRPr="00FF7BDF">
        <w:t xml:space="preserve">1751/2008, </w:t>
      </w:r>
      <w:r w:rsidRPr="00FF7BDF">
        <w:rPr>
          <w:i/>
        </w:rPr>
        <w:t xml:space="preserve">Aboussedra </w:t>
      </w:r>
      <w:r w:rsidRPr="00FF7BDF">
        <w:t>c.</w:t>
      </w:r>
      <w:r>
        <w:t> </w:t>
      </w:r>
      <w:r w:rsidRPr="00FF7BDF">
        <w:rPr>
          <w:i/>
        </w:rPr>
        <w:t>Jamahiriya arabe libyenne</w:t>
      </w:r>
      <w:r w:rsidRPr="00FF7BDF">
        <w:t xml:space="preserve">, par. 7.6; </w:t>
      </w:r>
      <w:r>
        <w:t>n</w:t>
      </w:r>
      <w:r w:rsidRPr="00FF7BDF">
        <w:rPr>
          <w:vertAlign w:val="superscript"/>
        </w:rPr>
        <w:t>o</w:t>
      </w:r>
      <w:r>
        <w:t> </w:t>
      </w:r>
      <w:r w:rsidRPr="00FF7BDF">
        <w:t xml:space="preserve">1061/2002, </w:t>
      </w:r>
      <w:r w:rsidRPr="00FF7BDF">
        <w:rPr>
          <w:i/>
        </w:rPr>
        <w:t xml:space="preserve">Fijalkowska </w:t>
      </w:r>
      <w:r>
        <w:t>c. </w:t>
      </w:r>
      <w:r w:rsidRPr="00FF7BDF">
        <w:rPr>
          <w:i/>
        </w:rPr>
        <w:t>Pologne</w:t>
      </w:r>
      <w:r w:rsidRPr="00FF7BDF">
        <w:t>, par. 8.4 (les défaillances de l</w:t>
      </w:r>
      <w:r w:rsidR="00F100CC">
        <w:t>’</w:t>
      </w:r>
      <w:r w:rsidRPr="00FF7BDF">
        <w:t>État ont empêché une patiente de contester son internement sans consentement).</w:t>
      </w:r>
    </w:p>
  </w:footnote>
  <w:footnote w:id="147">
    <w:p w:rsidR="009E72BB" w:rsidRDefault="009E72BB">
      <w:pPr>
        <w:pStyle w:val="FootnoteText"/>
      </w:pPr>
      <w:r>
        <w:tab/>
      </w:r>
      <w:r>
        <w:rPr>
          <w:rStyle w:val="FootnoteReference"/>
        </w:rPr>
        <w:footnoteRef/>
      </w:r>
      <w:r>
        <w:tab/>
      </w:r>
      <w:r w:rsidRPr="009E72BB">
        <w:t>Voir Ensemble de principes</w:t>
      </w:r>
      <w:r>
        <w:t xml:space="preserve"> (note </w:t>
      </w:r>
      <w:r w:rsidR="00793E5F">
        <w:t>102</w:t>
      </w:r>
      <w:r w:rsidRPr="009E72BB">
        <w:t>), princip</w:t>
      </w:r>
      <w:r>
        <w:t>es </w:t>
      </w:r>
      <w:r w:rsidRPr="009E72BB">
        <w:t>13 et</w:t>
      </w:r>
      <w:r w:rsidR="0058779E">
        <w:t xml:space="preserve"> </w:t>
      </w:r>
      <w:r w:rsidRPr="009E72BB">
        <w:t>14.</w:t>
      </w:r>
    </w:p>
  </w:footnote>
  <w:footnote w:id="148">
    <w:p w:rsidR="00EC4561" w:rsidRDefault="00EC4561">
      <w:pPr>
        <w:pStyle w:val="FootnoteText"/>
      </w:pPr>
      <w:r>
        <w:tab/>
      </w:r>
      <w:r>
        <w:rPr>
          <w:rStyle w:val="FootnoteReference"/>
        </w:rPr>
        <w:footnoteRef/>
      </w:r>
      <w:r>
        <w:tab/>
        <w:t>Communication n</w:t>
      </w:r>
      <w:r w:rsidRPr="00EC4561">
        <w:rPr>
          <w:vertAlign w:val="superscript"/>
        </w:rPr>
        <w:t>o</w:t>
      </w:r>
      <w:r>
        <w:t> </w:t>
      </w:r>
      <w:r w:rsidRPr="00EC4561">
        <w:t xml:space="preserve">1128/2002, </w:t>
      </w:r>
      <w:r w:rsidRPr="00EC4561">
        <w:rPr>
          <w:i/>
        </w:rPr>
        <w:t xml:space="preserve">Marques de Morais </w:t>
      </w:r>
      <w:r w:rsidRPr="00EC4561">
        <w:t>c.</w:t>
      </w:r>
      <w:r>
        <w:rPr>
          <w:i/>
        </w:rPr>
        <w:t> </w:t>
      </w:r>
      <w:r w:rsidRPr="00EC4561">
        <w:rPr>
          <w:i/>
        </w:rPr>
        <w:t>Angola</w:t>
      </w:r>
      <w:r w:rsidRPr="00EC4561">
        <w:t>, par. 6.5.</w:t>
      </w:r>
    </w:p>
  </w:footnote>
  <w:footnote w:id="149">
    <w:p w:rsidR="00B0693F" w:rsidRDefault="00B0693F">
      <w:pPr>
        <w:pStyle w:val="FootnoteText"/>
      </w:pPr>
      <w:r>
        <w:tab/>
      </w:r>
      <w:r>
        <w:rPr>
          <w:rStyle w:val="FootnoteReference"/>
        </w:rPr>
        <w:footnoteRef/>
      </w:r>
      <w:r>
        <w:tab/>
        <w:t>Communication n</w:t>
      </w:r>
      <w:r w:rsidRPr="00B0693F">
        <w:rPr>
          <w:vertAlign w:val="superscript"/>
        </w:rPr>
        <w:t>o</w:t>
      </w:r>
      <w:r>
        <w:t> </w:t>
      </w:r>
      <w:r w:rsidRPr="00B0693F">
        <w:t xml:space="preserve">291/1988, </w:t>
      </w:r>
      <w:r w:rsidRPr="00B0693F">
        <w:rPr>
          <w:i/>
        </w:rPr>
        <w:t xml:space="preserve">Torres </w:t>
      </w:r>
      <w:r w:rsidRPr="00B0693F">
        <w:t>c.</w:t>
      </w:r>
      <w:r>
        <w:rPr>
          <w:i/>
        </w:rPr>
        <w:t> </w:t>
      </w:r>
      <w:r w:rsidRPr="00B0693F">
        <w:rPr>
          <w:i/>
        </w:rPr>
        <w:t>Finlande</w:t>
      </w:r>
      <w:r w:rsidRPr="00B0693F">
        <w:t>, par. 7.3.</w:t>
      </w:r>
    </w:p>
  </w:footnote>
  <w:footnote w:id="150">
    <w:p w:rsidR="002408D4" w:rsidRDefault="002408D4">
      <w:pPr>
        <w:pStyle w:val="FootnoteText"/>
      </w:pPr>
      <w:r>
        <w:tab/>
      </w:r>
      <w:r>
        <w:rPr>
          <w:rStyle w:val="FootnoteReference"/>
        </w:rPr>
        <w:footnoteRef/>
      </w:r>
      <w:r>
        <w:tab/>
        <w:t>Communication n</w:t>
      </w:r>
      <w:r w:rsidRPr="002408D4">
        <w:rPr>
          <w:vertAlign w:val="superscript"/>
        </w:rPr>
        <w:t>o</w:t>
      </w:r>
      <w:r>
        <w:t> </w:t>
      </w:r>
      <w:r w:rsidRPr="002408D4">
        <w:t xml:space="preserve">1051/2002, </w:t>
      </w:r>
      <w:r w:rsidRPr="002408D4">
        <w:rPr>
          <w:i/>
        </w:rPr>
        <w:t xml:space="preserve">Ahani </w:t>
      </w:r>
      <w:r w:rsidRPr="002408D4">
        <w:t>c.</w:t>
      </w:r>
      <w:r>
        <w:rPr>
          <w:i/>
        </w:rPr>
        <w:t> </w:t>
      </w:r>
      <w:r w:rsidRPr="002408D4">
        <w:rPr>
          <w:i/>
        </w:rPr>
        <w:t>Canada</w:t>
      </w:r>
      <w:r w:rsidRPr="002408D4">
        <w:t>, par. </w:t>
      </w:r>
      <w:r w:rsidRPr="002408D4">
        <w:rPr>
          <w:lang w:val="en-GB"/>
        </w:rPr>
        <w:t>10.3.</w:t>
      </w:r>
    </w:p>
  </w:footnote>
  <w:footnote w:id="151">
    <w:p w:rsidR="00DD1123" w:rsidRDefault="00DD1123">
      <w:pPr>
        <w:pStyle w:val="FootnoteText"/>
      </w:pPr>
      <w:r>
        <w:tab/>
      </w:r>
      <w:r>
        <w:rPr>
          <w:rStyle w:val="FootnoteReference"/>
        </w:rPr>
        <w:footnoteRef/>
      </w:r>
      <w:r>
        <w:tab/>
        <w:t>Communication n</w:t>
      </w:r>
      <w:r w:rsidRPr="00DD1123">
        <w:rPr>
          <w:vertAlign w:val="superscript"/>
        </w:rPr>
        <w:t>o</w:t>
      </w:r>
      <w:r>
        <w:t> </w:t>
      </w:r>
      <w:r w:rsidR="00793E5F">
        <w:t>1</w:t>
      </w:r>
      <w:r w:rsidRPr="00DD1123">
        <w:t xml:space="preserve">752/2008, </w:t>
      </w:r>
      <w:r w:rsidRPr="00DD1123">
        <w:rPr>
          <w:i/>
        </w:rPr>
        <w:t>J.</w:t>
      </w:r>
      <w:r w:rsidR="00793E5F">
        <w:rPr>
          <w:i/>
        </w:rPr>
        <w:t> </w:t>
      </w:r>
      <w:r w:rsidRPr="00DD1123">
        <w:rPr>
          <w:i/>
        </w:rPr>
        <w:t xml:space="preserve">S. </w:t>
      </w:r>
      <w:r>
        <w:t>c. </w:t>
      </w:r>
      <w:r w:rsidR="00F00471">
        <w:rPr>
          <w:i/>
        </w:rPr>
        <w:t>Nouvelle</w:t>
      </w:r>
      <w:r w:rsidR="00F00471">
        <w:rPr>
          <w:i/>
        </w:rPr>
        <w:noBreakHyphen/>
      </w:r>
      <w:r w:rsidRPr="00DD1123">
        <w:rPr>
          <w:i/>
        </w:rPr>
        <w:t>Zélande</w:t>
      </w:r>
      <w:r w:rsidRPr="00DD1123">
        <w:t xml:space="preserve">, par. 6.3 et 6.4 (concluant que des délais de huit jours en première instance, trois semaines en deuxième instance et deux mois en troisième instance pour traiter les demandes </w:t>
      </w:r>
      <w:r w:rsidR="00793E5F">
        <w:t xml:space="preserve">de </w:t>
      </w:r>
      <w:r w:rsidRPr="00DD1123">
        <w:t>contrôle juridictionnel de la détention étaient satisfaisants, compte tenu des circonstances de l</w:t>
      </w:r>
      <w:r w:rsidR="00F100CC">
        <w:t>’</w:t>
      </w:r>
      <w:r w:rsidRPr="00DD1123">
        <w:t>affaire).</w:t>
      </w:r>
    </w:p>
  </w:footnote>
  <w:footnote w:id="152">
    <w:p w:rsidR="00196AA7" w:rsidRDefault="00196AA7">
      <w:pPr>
        <w:pStyle w:val="FootnoteText"/>
      </w:pPr>
      <w:r>
        <w:tab/>
      </w:r>
      <w:r>
        <w:rPr>
          <w:rStyle w:val="FootnoteReference"/>
        </w:rPr>
        <w:footnoteRef/>
      </w:r>
      <w:r>
        <w:tab/>
        <w:t>Observation générale n</w:t>
      </w:r>
      <w:r w:rsidRPr="00196AA7">
        <w:rPr>
          <w:vertAlign w:val="superscript"/>
        </w:rPr>
        <w:t>o</w:t>
      </w:r>
      <w:r>
        <w:t> </w:t>
      </w:r>
      <w:r w:rsidRPr="00196AA7">
        <w:t xml:space="preserve">31, par. 16 et 18; </w:t>
      </w:r>
      <w:r>
        <w:t>communications n</w:t>
      </w:r>
      <w:r w:rsidRPr="00196AA7">
        <w:rPr>
          <w:vertAlign w:val="superscript"/>
        </w:rPr>
        <w:t>o</w:t>
      </w:r>
      <w:r>
        <w:t> </w:t>
      </w:r>
      <w:r w:rsidRPr="00196AA7">
        <w:t xml:space="preserve">238/1987, </w:t>
      </w:r>
      <w:r w:rsidRPr="00196AA7">
        <w:rPr>
          <w:i/>
        </w:rPr>
        <w:t xml:space="preserve">Bolaños </w:t>
      </w:r>
      <w:r w:rsidRPr="00196AA7">
        <w:t>c.</w:t>
      </w:r>
      <w:r>
        <w:rPr>
          <w:i/>
        </w:rPr>
        <w:t> </w:t>
      </w:r>
      <w:r w:rsidRPr="00196AA7">
        <w:rPr>
          <w:i/>
        </w:rPr>
        <w:t>Équateur</w:t>
      </w:r>
      <w:r w:rsidRPr="00196AA7">
        <w:t xml:space="preserve">, par. 10; </w:t>
      </w:r>
      <w:r>
        <w:t>n</w:t>
      </w:r>
      <w:r w:rsidRPr="00196AA7">
        <w:rPr>
          <w:vertAlign w:val="superscript"/>
        </w:rPr>
        <w:t>o</w:t>
      </w:r>
      <w:r>
        <w:t> </w:t>
      </w:r>
      <w:r w:rsidRPr="00196AA7">
        <w:t xml:space="preserve">962/2001, </w:t>
      </w:r>
      <w:r w:rsidRPr="00196AA7">
        <w:rPr>
          <w:i/>
        </w:rPr>
        <w:t xml:space="preserve">Mulezi </w:t>
      </w:r>
      <w:r w:rsidRPr="00196AA7">
        <w:t>c.</w:t>
      </w:r>
      <w:r w:rsidRPr="00196AA7">
        <w:rPr>
          <w:i/>
        </w:rPr>
        <w:t> République démocratique du Congo</w:t>
      </w:r>
      <w:r w:rsidRPr="00196AA7">
        <w:t>, par. 7.</w:t>
      </w:r>
    </w:p>
  </w:footnote>
  <w:footnote w:id="153">
    <w:p w:rsidR="00310B2C" w:rsidRDefault="00310B2C">
      <w:pPr>
        <w:pStyle w:val="FootnoteText"/>
      </w:pPr>
      <w:r>
        <w:tab/>
      </w:r>
      <w:r>
        <w:rPr>
          <w:rStyle w:val="FootnoteReference"/>
        </w:rPr>
        <w:footnoteRef/>
      </w:r>
      <w:r>
        <w:tab/>
      </w:r>
      <w:r w:rsidRPr="00310B2C">
        <w:t>Voir observations finales concernant les rapports du Cameroun (CCPR/C/CMR/CO/4, 2010), par</w:t>
      </w:r>
      <w:r>
        <w:t xml:space="preserve">. 19, </w:t>
      </w:r>
      <w:r w:rsidRPr="00310B2C">
        <w:t>du Guyana (CC</w:t>
      </w:r>
      <w:r>
        <w:t>PR/C/79/Add.121, 2000), par. 15,</w:t>
      </w:r>
      <w:r w:rsidRPr="00310B2C">
        <w:t xml:space="preserve"> des États-Unis d</w:t>
      </w:r>
      <w:r w:rsidR="00F100CC">
        <w:t>’</w:t>
      </w:r>
      <w:r w:rsidRPr="00310B2C">
        <w:t>Amérique (A/50/40, 1995), par. </w:t>
      </w:r>
      <w:r>
        <w:t>299 et</w:t>
      </w:r>
      <w:r w:rsidRPr="00310B2C">
        <w:t xml:space="preserve"> de l</w:t>
      </w:r>
      <w:r w:rsidR="00F100CC">
        <w:t>’</w:t>
      </w:r>
      <w:r w:rsidRPr="00310B2C">
        <w:t>Argentin</w:t>
      </w:r>
      <w:r>
        <w:t>e</w:t>
      </w:r>
      <w:r w:rsidRPr="00310B2C">
        <w:t xml:space="preserve"> (A/50/40, 1995), par. 153; </w:t>
      </w:r>
      <w:r>
        <w:t>communications n</w:t>
      </w:r>
      <w:r w:rsidRPr="00310B2C">
        <w:rPr>
          <w:vertAlign w:val="superscript"/>
        </w:rPr>
        <w:t>o</w:t>
      </w:r>
      <w:r>
        <w:t> </w:t>
      </w:r>
      <w:r w:rsidRPr="00310B2C">
        <w:t xml:space="preserve">1885/2009, </w:t>
      </w:r>
      <w:r w:rsidRPr="00310B2C">
        <w:rPr>
          <w:i/>
          <w:iCs/>
        </w:rPr>
        <w:t xml:space="preserve">Horvath </w:t>
      </w:r>
      <w:r w:rsidRPr="00310B2C">
        <w:t>c.</w:t>
      </w:r>
      <w:r>
        <w:t> </w:t>
      </w:r>
      <w:r w:rsidRPr="00310B2C">
        <w:rPr>
          <w:i/>
          <w:iCs/>
        </w:rPr>
        <w:t>Australie</w:t>
      </w:r>
      <w:r w:rsidR="00655398">
        <w:t>, par. 8.7 (</w:t>
      </w:r>
      <w:r w:rsidRPr="00310B2C">
        <w:t>examinant l</w:t>
      </w:r>
      <w:r w:rsidR="00F100CC">
        <w:t>’</w:t>
      </w:r>
      <w:r w:rsidRPr="00310B2C">
        <w:t>utilité du recours);</w:t>
      </w:r>
      <w:r>
        <w:t xml:space="preserve"> n</w:t>
      </w:r>
      <w:r w:rsidRPr="00310B2C">
        <w:rPr>
          <w:vertAlign w:val="superscript"/>
        </w:rPr>
        <w:t>o</w:t>
      </w:r>
      <w:r>
        <w:t> </w:t>
      </w:r>
      <w:r w:rsidRPr="00310B2C">
        <w:t xml:space="preserve">1432/2005, </w:t>
      </w:r>
      <w:r w:rsidRPr="00310B2C">
        <w:rPr>
          <w:i/>
        </w:rPr>
        <w:t xml:space="preserve">Gunaratna </w:t>
      </w:r>
      <w:r w:rsidRPr="00310B2C">
        <w:t>c.</w:t>
      </w:r>
      <w:r>
        <w:rPr>
          <w:i/>
        </w:rPr>
        <w:t> </w:t>
      </w:r>
      <w:r w:rsidRPr="00310B2C">
        <w:rPr>
          <w:i/>
        </w:rPr>
        <w:t>Sri Lanka</w:t>
      </w:r>
      <w:r w:rsidRPr="00310B2C">
        <w:t xml:space="preserve">, par. 7.4; </w:t>
      </w:r>
      <w:r>
        <w:t>Observation générale n</w:t>
      </w:r>
      <w:r w:rsidRPr="00310B2C">
        <w:rPr>
          <w:vertAlign w:val="superscript"/>
        </w:rPr>
        <w:t>o</w:t>
      </w:r>
      <w:r>
        <w:t> </w:t>
      </w:r>
      <w:r w:rsidRPr="00310B2C">
        <w:t>32, par. 52 (obligation d</w:t>
      </w:r>
      <w:r w:rsidR="00F100CC">
        <w:t>’</w:t>
      </w:r>
      <w:r w:rsidRPr="00310B2C">
        <w:t>off</w:t>
      </w:r>
      <w:r w:rsidR="00655398">
        <w:t>rir une indemnisation en cas de</w:t>
      </w:r>
      <w:r w:rsidRPr="00310B2C">
        <w:t xml:space="preserve"> condamnation abusive).</w:t>
      </w:r>
    </w:p>
  </w:footnote>
  <w:footnote w:id="154">
    <w:p w:rsidR="00D64899" w:rsidRDefault="00D64899">
      <w:pPr>
        <w:pStyle w:val="FootnoteText"/>
      </w:pPr>
      <w:r>
        <w:tab/>
      </w:r>
      <w:r>
        <w:rPr>
          <w:rStyle w:val="FootnoteReference"/>
        </w:rPr>
        <w:footnoteRef/>
      </w:r>
      <w:r>
        <w:tab/>
      </w:r>
      <w:r w:rsidRPr="00D64899">
        <w:t>Communications</w:t>
      </w:r>
      <w:r>
        <w:t xml:space="preserve"> n</w:t>
      </w:r>
      <w:r w:rsidRPr="00D64899">
        <w:rPr>
          <w:vertAlign w:val="superscript"/>
        </w:rPr>
        <w:t>o</w:t>
      </w:r>
      <w:r>
        <w:t> </w:t>
      </w:r>
      <w:r w:rsidRPr="00D64899">
        <w:t xml:space="preserve">414/1990, </w:t>
      </w:r>
      <w:r w:rsidRPr="00D64899">
        <w:rPr>
          <w:i/>
        </w:rPr>
        <w:t xml:space="preserve">Mika Miha </w:t>
      </w:r>
      <w:r>
        <w:t>c. </w:t>
      </w:r>
      <w:r w:rsidRPr="00D64899">
        <w:rPr>
          <w:i/>
        </w:rPr>
        <w:t>Guinée équatoriale</w:t>
      </w:r>
      <w:r w:rsidRPr="00D64899">
        <w:t xml:space="preserve">, par. 6.5; </w:t>
      </w:r>
      <w:r>
        <w:t>n</w:t>
      </w:r>
      <w:r w:rsidRPr="00D64899">
        <w:rPr>
          <w:vertAlign w:val="superscript"/>
        </w:rPr>
        <w:t>o</w:t>
      </w:r>
      <w:r>
        <w:t> </w:t>
      </w:r>
      <w:r w:rsidRPr="00D64899">
        <w:t xml:space="preserve">962/2001, </w:t>
      </w:r>
      <w:r w:rsidRPr="00D64899">
        <w:rPr>
          <w:i/>
        </w:rPr>
        <w:t xml:space="preserve">Mulezi </w:t>
      </w:r>
      <w:r>
        <w:t>c. </w:t>
      </w:r>
      <w:r w:rsidRPr="00D64899">
        <w:rPr>
          <w:i/>
        </w:rPr>
        <w:t>République</w:t>
      </w:r>
      <w:r w:rsidRPr="00D64899">
        <w:t xml:space="preserve"> </w:t>
      </w:r>
      <w:r w:rsidRPr="00655398">
        <w:rPr>
          <w:i/>
        </w:rPr>
        <w:t>dé</w:t>
      </w:r>
      <w:r w:rsidRPr="00D64899">
        <w:rPr>
          <w:i/>
        </w:rPr>
        <w:t>mocratique du Congo</w:t>
      </w:r>
      <w:r w:rsidRPr="00D64899">
        <w:t>, par. 5.2.</w:t>
      </w:r>
    </w:p>
  </w:footnote>
  <w:footnote w:id="155">
    <w:p w:rsidR="00D173F4" w:rsidRDefault="00D173F4">
      <w:pPr>
        <w:pStyle w:val="FootnoteText"/>
      </w:pPr>
      <w:r>
        <w:tab/>
      </w:r>
      <w:r>
        <w:rPr>
          <w:rStyle w:val="FootnoteReference"/>
        </w:rPr>
        <w:footnoteRef/>
      </w:r>
      <w:r>
        <w:tab/>
      </w:r>
      <w:r w:rsidRPr="00D173F4">
        <w:t>Communications</w:t>
      </w:r>
      <w:r>
        <w:t xml:space="preserve"> n</w:t>
      </w:r>
      <w:r w:rsidRPr="00D173F4">
        <w:rPr>
          <w:vertAlign w:val="superscript"/>
        </w:rPr>
        <w:t>o</w:t>
      </w:r>
      <w:r>
        <w:t> </w:t>
      </w:r>
      <w:r w:rsidRPr="00D173F4">
        <w:t xml:space="preserve">754/1997, </w:t>
      </w:r>
      <w:r>
        <w:rPr>
          <w:i/>
        </w:rPr>
        <w:t>A. </w:t>
      </w:r>
      <w:r w:rsidRPr="00D173F4">
        <w:t>c.</w:t>
      </w:r>
      <w:r>
        <w:rPr>
          <w:i/>
        </w:rPr>
        <w:t> </w:t>
      </w:r>
      <w:r w:rsidRPr="00D173F4">
        <w:rPr>
          <w:i/>
        </w:rPr>
        <w:t>Nouvelle-Zélande</w:t>
      </w:r>
      <w:r w:rsidRPr="00D173F4">
        <w:t xml:space="preserve">, par. 6.7 et 7.4; </w:t>
      </w:r>
      <w:r>
        <w:t>n</w:t>
      </w:r>
      <w:r w:rsidRPr="00D173F4">
        <w:rPr>
          <w:vertAlign w:val="superscript"/>
        </w:rPr>
        <w:t>o</w:t>
      </w:r>
      <w:r>
        <w:t> </w:t>
      </w:r>
      <w:r w:rsidRPr="00D173F4">
        <w:t xml:space="preserve">188/1984, </w:t>
      </w:r>
      <w:r w:rsidRPr="00D173F4">
        <w:rPr>
          <w:i/>
        </w:rPr>
        <w:t xml:space="preserve">Martínez Portorreal </w:t>
      </w:r>
      <w:r w:rsidRPr="00D173F4">
        <w:t>c.</w:t>
      </w:r>
      <w:r>
        <w:t> </w:t>
      </w:r>
      <w:r w:rsidRPr="00D173F4">
        <w:rPr>
          <w:i/>
        </w:rPr>
        <w:t>République dominicaine</w:t>
      </w:r>
      <w:r w:rsidRPr="00D173F4">
        <w:t xml:space="preserve">, par. 11; </w:t>
      </w:r>
      <w:r>
        <w:t>n</w:t>
      </w:r>
      <w:r w:rsidRPr="00D173F4">
        <w:rPr>
          <w:vertAlign w:val="superscript"/>
        </w:rPr>
        <w:t>o</w:t>
      </w:r>
      <w:r>
        <w:t> </w:t>
      </w:r>
      <w:r w:rsidRPr="00D173F4">
        <w:t xml:space="preserve">962/2001, </w:t>
      </w:r>
      <w:r w:rsidRPr="00D173F4">
        <w:rPr>
          <w:i/>
        </w:rPr>
        <w:t xml:space="preserve">Mulezi </w:t>
      </w:r>
      <w:r w:rsidRPr="00D173F4">
        <w:t>c.</w:t>
      </w:r>
      <w:r>
        <w:t> </w:t>
      </w:r>
      <w:r w:rsidRPr="00D173F4">
        <w:rPr>
          <w:i/>
        </w:rPr>
        <w:t>République démocratique du</w:t>
      </w:r>
      <w:r>
        <w:rPr>
          <w:i/>
        </w:rPr>
        <w:t> </w:t>
      </w:r>
      <w:r w:rsidRPr="00D173F4">
        <w:rPr>
          <w:i/>
        </w:rPr>
        <w:t>Congo</w:t>
      </w:r>
      <w:r w:rsidRPr="00D173F4">
        <w:t>, par. </w:t>
      </w:r>
      <w:r w:rsidRPr="00D173F4">
        <w:rPr>
          <w:lang w:val="en-GB"/>
        </w:rPr>
        <w:t>5.2.</w:t>
      </w:r>
    </w:p>
  </w:footnote>
  <w:footnote w:id="156">
    <w:p w:rsidR="005A7717" w:rsidRDefault="005A7717">
      <w:pPr>
        <w:pStyle w:val="FootnoteText"/>
      </w:pPr>
      <w:r>
        <w:tab/>
      </w:r>
      <w:r>
        <w:rPr>
          <w:rStyle w:val="FootnoteReference"/>
        </w:rPr>
        <w:footnoteRef/>
      </w:r>
      <w:r>
        <w:tab/>
      </w:r>
      <w:r w:rsidRPr="005A7717">
        <w:t xml:space="preserve">Communication </w:t>
      </w:r>
      <w:r>
        <w:t>n</w:t>
      </w:r>
      <w:r w:rsidRPr="005A7717">
        <w:rPr>
          <w:vertAlign w:val="superscript"/>
        </w:rPr>
        <w:t>o</w:t>
      </w:r>
      <w:r>
        <w:t> </w:t>
      </w:r>
      <w:r w:rsidRPr="005A7717">
        <w:t xml:space="preserve">1128/2002, </w:t>
      </w:r>
      <w:r w:rsidRPr="005A7717">
        <w:rPr>
          <w:i/>
        </w:rPr>
        <w:t xml:space="preserve">Marques de Morais </w:t>
      </w:r>
      <w:r w:rsidRPr="005A7717">
        <w:t>c.</w:t>
      </w:r>
      <w:r>
        <w:rPr>
          <w:i/>
        </w:rPr>
        <w:t> </w:t>
      </w:r>
      <w:r w:rsidRPr="005A7717">
        <w:rPr>
          <w:i/>
        </w:rPr>
        <w:t>Angola</w:t>
      </w:r>
      <w:r w:rsidRPr="005A7717">
        <w:t xml:space="preserve">, par. 6.6; </w:t>
      </w:r>
      <w:r>
        <w:t>voir aussi n</w:t>
      </w:r>
      <w:r w:rsidRPr="005A7717">
        <w:rPr>
          <w:vertAlign w:val="superscript"/>
        </w:rPr>
        <w:t>o</w:t>
      </w:r>
      <w:r>
        <w:t> </w:t>
      </w:r>
      <w:r w:rsidRPr="005A7717">
        <w:t xml:space="preserve">328/1988, </w:t>
      </w:r>
      <w:r w:rsidRPr="005A7717">
        <w:rPr>
          <w:i/>
        </w:rPr>
        <w:t xml:space="preserve">Zelaya Blanco </w:t>
      </w:r>
      <w:r w:rsidRPr="005A7717">
        <w:t>c.</w:t>
      </w:r>
      <w:r>
        <w:rPr>
          <w:i/>
        </w:rPr>
        <w:t> </w:t>
      </w:r>
      <w:r w:rsidRPr="005A7717">
        <w:rPr>
          <w:i/>
        </w:rPr>
        <w:t>Nicaragua</w:t>
      </w:r>
      <w:r w:rsidRPr="005A7717">
        <w:t xml:space="preserve">, par. 10.3 (détention arbitraire); </w:t>
      </w:r>
      <w:r>
        <w:t>n</w:t>
      </w:r>
      <w:r w:rsidRPr="005A7717">
        <w:rPr>
          <w:vertAlign w:val="superscript"/>
        </w:rPr>
        <w:t>o</w:t>
      </w:r>
      <w:r>
        <w:t> </w:t>
      </w:r>
      <w:r w:rsidRPr="005A7717">
        <w:t xml:space="preserve">728/1996, </w:t>
      </w:r>
      <w:r w:rsidRPr="005A7717">
        <w:rPr>
          <w:i/>
        </w:rPr>
        <w:t xml:space="preserve">Sahadeo </w:t>
      </w:r>
      <w:r w:rsidRPr="005A7717">
        <w:t>c.</w:t>
      </w:r>
      <w:r>
        <w:rPr>
          <w:i/>
        </w:rPr>
        <w:t> </w:t>
      </w:r>
      <w:r w:rsidRPr="005A7717">
        <w:rPr>
          <w:i/>
        </w:rPr>
        <w:t>Guyana</w:t>
      </w:r>
      <w:r w:rsidRPr="005A7717">
        <w:t>, par. 11 (violation de l</w:t>
      </w:r>
      <w:r w:rsidR="00F100CC">
        <w:t>’</w:t>
      </w:r>
      <w:r w:rsidRPr="005A7717">
        <w:t>article 9, par</w:t>
      </w:r>
      <w:r w:rsidR="00A03978">
        <w:t>.</w:t>
      </w:r>
      <w:r>
        <w:t> </w:t>
      </w:r>
      <w:r w:rsidRPr="005A7717">
        <w:t>3);</w:t>
      </w:r>
      <w:r>
        <w:t xml:space="preserve"> n</w:t>
      </w:r>
      <w:r w:rsidRPr="005A7717">
        <w:rPr>
          <w:vertAlign w:val="superscript"/>
        </w:rPr>
        <w:t>o</w:t>
      </w:r>
      <w:r>
        <w:t> </w:t>
      </w:r>
      <w:r w:rsidRPr="005A7717">
        <w:t xml:space="preserve">9/1977, </w:t>
      </w:r>
      <w:r w:rsidRPr="005A7717">
        <w:rPr>
          <w:i/>
        </w:rPr>
        <w:t>San</w:t>
      </w:r>
      <w:r w:rsidRPr="005A7717">
        <w:rPr>
          <w:i/>
          <w:iCs/>
        </w:rPr>
        <w:t xml:space="preserve">tullo Valcada </w:t>
      </w:r>
      <w:r w:rsidRPr="005A7717">
        <w:t>c.</w:t>
      </w:r>
      <w:r>
        <w:t> </w:t>
      </w:r>
      <w:r w:rsidRPr="005A7717">
        <w:rPr>
          <w:i/>
          <w:iCs/>
        </w:rPr>
        <w:t>Uruguay</w:t>
      </w:r>
      <w:r w:rsidRPr="005A7717">
        <w:t xml:space="preserve">, par. 12 (violation </w:t>
      </w:r>
      <w:r w:rsidR="00A03978">
        <w:t>de </w:t>
      </w:r>
      <w:r w:rsidRPr="005A7717">
        <w:t>l</w:t>
      </w:r>
      <w:r w:rsidR="00F100CC">
        <w:t>’</w:t>
      </w:r>
      <w:r w:rsidRPr="005A7717">
        <w:t>article</w:t>
      </w:r>
      <w:r>
        <w:t> </w:t>
      </w:r>
      <w:r w:rsidRPr="005A7717">
        <w:t>9, par.</w:t>
      </w:r>
      <w:r>
        <w:t> </w:t>
      </w:r>
      <w:r w:rsidRPr="005A7717">
        <w:t>4).</w:t>
      </w:r>
    </w:p>
  </w:footnote>
  <w:footnote w:id="157">
    <w:p w:rsidR="00CB5CBA" w:rsidRDefault="00CB5CBA">
      <w:pPr>
        <w:pStyle w:val="FootnoteText"/>
      </w:pPr>
      <w:r>
        <w:tab/>
      </w:r>
      <w:r>
        <w:rPr>
          <w:rStyle w:val="FootnoteReference"/>
        </w:rPr>
        <w:footnoteRef/>
      </w:r>
      <w:r>
        <w:tab/>
      </w:r>
      <w:r w:rsidRPr="00CB5CBA">
        <w:t>Communications</w:t>
      </w:r>
      <w:r>
        <w:t xml:space="preserve"> n</w:t>
      </w:r>
      <w:r w:rsidRPr="00CB5CBA">
        <w:rPr>
          <w:vertAlign w:val="superscript"/>
        </w:rPr>
        <w:t>o</w:t>
      </w:r>
      <w:r>
        <w:t> </w:t>
      </w:r>
      <w:r w:rsidRPr="00CB5CBA">
        <w:t xml:space="preserve">432/1990, </w:t>
      </w:r>
      <w:r w:rsidRPr="00CB5CBA">
        <w:rPr>
          <w:i/>
        </w:rPr>
        <w:t>W.</w:t>
      </w:r>
      <w:r w:rsidR="00655398">
        <w:rPr>
          <w:i/>
        </w:rPr>
        <w:t> </w:t>
      </w:r>
      <w:r w:rsidRPr="00CB5CBA">
        <w:rPr>
          <w:i/>
        </w:rPr>
        <w:t>B</w:t>
      </w:r>
      <w:r w:rsidR="00655398">
        <w:rPr>
          <w:i/>
        </w:rPr>
        <w:t> </w:t>
      </w:r>
      <w:r w:rsidRPr="00CB5CBA">
        <w:rPr>
          <w:i/>
        </w:rPr>
        <w:t xml:space="preserve">.E. </w:t>
      </w:r>
      <w:r w:rsidRPr="00CB5CBA">
        <w:t>c.</w:t>
      </w:r>
      <w:r>
        <w:rPr>
          <w:i/>
        </w:rPr>
        <w:t> </w:t>
      </w:r>
      <w:r w:rsidRPr="00CB5CBA">
        <w:rPr>
          <w:i/>
        </w:rPr>
        <w:t>Pays-Bas</w:t>
      </w:r>
      <w:r w:rsidRPr="00CB5CBA">
        <w:t xml:space="preserve">, par. 6.5; </w:t>
      </w:r>
      <w:r>
        <w:t>n</w:t>
      </w:r>
      <w:r w:rsidRPr="00CB5CBA">
        <w:rPr>
          <w:vertAlign w:val="superscript"/>
        </w:rPr>
        <w:t>o</w:t>
      </w:r>
      <w:r>
        <w:t> </w:t>
      </w:r>
      <w:r w:rsidRPr="00CB5CBA">
        <w:t xml:space="preserve">963/2001, </w:t>
      </w:r>
      <w:r w:rsidRPr="00CB5CBA">
        <w:rPr>
          <w:i/>
        </w:rPr>
        <w:t xml:space="preserve">Uebergang </w:t>
      </w:r>
      <w:r w:rsidRPr="00CB5CBA">
        <w:t>c.</w:t>
      </w:r>
      <w:r>
        <w:rPr>
          <w:i/>
        </w:rPr>
        <w:t> </w:t>
      </w:r>
      <w:r w:rsidRPr="00CB5CBA">
        <w:rPr>
          <w:i/>
          <w:iCs/>
        </w:rPr>
        <w:t>Australie</w:t>
      </w:r>
      <w:r w:rsidRPr="00CB5CBA">
        <w:t>, par. 4.4.</w:t>
      </w:r>
    </w:p>
  </w:footnote>
  <w:footnote w:id="158">
    <w:p w:rsidR="00CB5CBA" w:rsidRDefault="00CB5CBA">
      <w:pPr>
        <w:pStyle w:val="FootnoteText"/>
      </w:pPr>
      <w:r>
        <w:tab/>
      </w:r>
      <w:r>
        <w:rPr>
          <w:rStyle w:val="FootnoteReference"/>
        </w:rPr>
        <w:footnoteRef/>
      </w:r>
      <w:r>
        <w:tab/>
        <w:t>Communication n</w:t>
      </w:r>
      <w:r w:rsidRPr="00CB5CBA">
        <w:rPr>
          <w:vertAlign w:val="superscript"/>
        </w:rPr>
        <w:t>o</w:t>
      </w:r>
      <w:r>
        <w:t> </w:t>
      </w:r>
      <w:r w:rsidRPr="00CB5CBA">
        <w:t xml:space="preserve">1157/2003, </w:t>
      </w:r>
      <w:r w:rsidRPr="00CB5CBA">
        <w:rPr>
          <w:i/>
        </w:rPr>
        <w:t xml:space="preserve">Coleman </w:t>
      </w:r>
      <w:r w:rsidRPr="00CB5CBA">
        <w:t>c.</w:t>
      </w:r>
      <w:r>
        <w:rPr>
          <w:i/>
        </w:rPr>
        <w:t> </w:t>
      </w:r>
      <w:r w:rsidRPr="00CB5CBA">
        <w:rPr>
          <w:i/>
        </w:rPr>
        <w:t>Australie</w:t>
      </w:r>
      <w:r w:rsidRPr="00CB5CBA">
        <w:t>, par. 6.3.</w:t>
      </w:r>
    </w:p>
  </w:footnote>
  <w:footnote w:id="159">
    <w:p w:rsidR="00CB5CBA" w:rsidRDefault="00CB5CBA">
      <w:pPr>
        <w:pStyle w:val="FootnoteText"/>
      </w:pPr>
      <w:r>
        <w:tab/>
      </w:r>
      <w:r>
        <w:rPr>
          <w:rStyle w:val="FootnoteReference"/>
        </w:rPr>
        <w:footnoteRef/>
      </w:r>
      <w:r>
        <w:tab/>
      </w:r>
      <w:r w:rsidRPr="00CB5CBA">
        <w:t xml:space="preserve">Ibid., par. 9; </w:t>
      </w:r>
      <w:r>
        <w:t>communication n</w:t>
      </w:r>
      <w:r w:rsidRPr="00CB5CBA">
        <w:rPr>
          <w:vertAlign w:val="superscript"/>
        </w:rPr>
        <w:t>o</w:t>
      </w:r>
      <w:r>
        <w:t> </w:t>
      </w:r>
      <w:r w:rsidRPr="00CB5CBA">
        <w:t xml:space="preserve">1128/2002, </w:t>
      </w:r>
      <w:r w:rsidRPr="00CB5CBA">
        <w:rPr>
          <w:i/>
        </w:rPr>
        <w:t xml:space="preserve">Marques de Morais </w:t>
      </w:r>
      <w:r w:rsidRPr="00CB5CBA">
        <w:t>c.</w:t>
      </w:r>
      <w:r>
        <w:rPr>
          <w:i/>
        </w:rPr>
        <w:t> </w:t>
      </w:r>
      <w:r w:rsidRPr="00CB5CBA">
        <w:rPr>
          <w:i/>
        </w:rPr>
        <w:t>Angola</w:t>
      </w:r>
      <w:r w:rsidRPr="00CB5CBA">
        <w:t xml:space="preserve">, par. 8; </w:t>
      </w:r>
      <w:r>
        <w:t>Observation générale n</w:t>
      </w:r>
      <w:r w:rsidRPr="00CB5CBA">
        <w:rPr>
          <w:vertAlign w:val="superscript"/>
        </w:rPr>
        <w:t>o</w:t>
      </w:r>
      <w:r>
        <w:t> </w:t>
      </w:r>
      <w:r w:rsidRPr="00CB5CBA">
        <w:t>31, par. 16.</w:t>
      </w:r>
    </w:p>
  </w:footnote>
  <w:footnote w:id="160">
    <w:p w:rsidR="00AE2CF2" w:rsidRDefault="00AE2CF2">
      <w:pPr>
        <w:pStyle w:val="FootnoteText"/>
      </w:pPr>
      <w:r>
        <w:tab/>
      </w:r>
      <w:r>
        <w:rPr>
          <w:rStyle w:val="FootnoteReference"/>
        </w:rPr>
        <w:footnoteRef/>
      </w:r>
      <w:r>
        <w:tab/>
      </w:r>
      <w:r w:rsidRPr="00AE2CF2">
        <w:t>Voir aussi par</w:t>
      </w:r>
      <w:r w:rsidR="005237E5">
        <w:t>.</w:t>
      </w:r>
      <w:r>
        <w:t> </w:t>
      </w:r>
      <w:r w:rsidRPr="00AE2CF2">
        <w:t>17.</w:t>
      </w:r>
    </w:p>
  </w:footnote>
  <w:footnote w:id="161">
    <w:p w:rsidR="00531F40" w:rsidRDefault="00531F40">
      <w:pPr>
        <w:pStyle w:val="FootnoteText"/>
      </w:pPr>
      <w:r>
        <w:tab/>
      </w:r>
      <w:r>
        <w:rPr>
          <w:rStyle w:val="FootnoteReference"/>
        </w:rPr>
        <w:footnoteRef/>
      </w:r>
      <w:r>
        <w:tab/>
        <w:t>Observation générale n</w:t>
      </w:r>
      <w:r w:rsidRPr="00531F40">
        <w:rPr>
          <w:vertAlign w:val="superscript"/>
        </w:rPr>
        <w:t>o</w:t>
      </w:r>
      <w:r>
        <w:t> </w:t>
      </w:r>
      <w:r w:rsidRPr="00531F40">
        <w:t>33,</w:t>
      </w:r>
      <w:r>
        <w:t xml:space="preserve"> </w:t>
      </w:r>
      <w:r w:rsidRPr="00531F40">
        <w:t>par. 4; communications</w:t>
      </w:r>
      <w:r>
        <w:t xml:space="preserve"> n</w:t>
      </w:r>
      <w:r w:rsidRPr="00531F40">
        <w:rPr>
          <w:vertAlign w:val="superscript"/>
        </w:rPr>
        <w:t>o</w:t>
      </w:r>
      <w:r>
        <w:t> </w:t>
      </w:r>
      <w:r w:rsidRPr="00531F40">
        <w:t xml:space="preserve">241 et 242/1987, </w:t>
      </w:r>
      <w:r w:rsidRPr="00531F40">
        <w:rPr>
          <w:i/>
        </w:rPr>
        <w:t>Birindwa ci Birhashwirwa et</w:t>
      </w:r>
      <w:r w:rsidR="00736F0C">
        <w:t> </w:t>
      </w:r>
      <w:r w:rsidRPr="00531F40">
        <w:rPr>
          <w:i/>
        </w:rPr>
        <w:t xml:space="preserve">Tshisekedi wa Mulumba </w:t>
      </w:r>
      <w:r w:rsidRPr="00531F40">
        <w:t>c.</w:t>
      </w:r>
      <w:r>
        <w:rPr>
          <w:i/>
        </w:rPr>
        <w:t> </w:t>
      </w:r>
      <w:r w:rsidRPr="00531F40">
        <w:rPr>
          <w:i/>
        </w:rPr>
        <w:t>Zaïre</w:t>
      </w:r>
      <w:r w:rsidRPr="00531F40">
        <w:t>, par. 12.5; voir observations finales concernant le rapport des Maldives (CCPR/C/MDV/CO/1, 2012), par. 26.</w:t>
      </w:r>
    </w:p>
  </w:footnote>
  <w:footnote w:id="162">
    <w:p w:rsidR="00F07742" w:rsidRDefault="00F07742">
      <w:pPr>
        <w:pStyle w:val="FootnoteText"/>
      </w:pPr>
      <w:r>
        <w:tab/>
      </w:r>
      <w:r>
        <w:rPr>
          <w:rStyle w:val="FootnoteReference"/>
        </w:rPr>
        <w:footnoteRef/>
      </w:r>
      <w:r>
        <w:tab/>
        <w:t>Communication n</w:t>
      </w:r>
      <w:r w:rsidRPr="00F07742">
        <w:rPr>
          <w:vertAlign w:val="superscript"/>
        </w:rPr>
        <w:t>o</w:t>
      </w:r>
      <w:r>
        <w:t> </w:t>
      </w:r>
      <w:r w:rsidRPr="00F07742">
        <w:t xml:space="preserve">449/1991, </w:t>
      </w:r>
      <w:r w:rsidRPr="00F07742">
        <w:rPr>
          <w:i/>
        </w:rPr>
        <w:t xml:space="preserve">Mojica </w:t>
      </w:r>
      <w:r w:rsidRPr="00F07742">
        <w:t>c.</w:t>
      </w:r>
      <w:r>
        <w:rPr>
          <w:i/>
        </w:rPr>
        <w:t> </w:t>
      </w:r>
      <w:r w:rsidRPr="00F07742">
        <w:rPr>
          <w:i/>
        </w:rPr>
        <w:t>République dominicaine</w:t>
      </w:r>
      <w:r w:rsidRPr="00F07742">
        <w:t xml:space="preserve">, par. 5.4; </w:t>
      </w:r>
      <w:r>
        <w:t>n</w:t>
      </w:r>
      <w:r w:rsidRPr="00F07742">
        <w:rPr>
          <w:vertAlign w:val="superscript"/>
        </w:rPr>
        <w:t>o</w:t>
      </w:r>
      <w:r>
        <w:t> </w:t>
      </w:r>
      <w:r w:rsidRPr="00F07742">
        <w:t xml:space="preserve">1753/2008, </w:t>
      </w:r>
      <w:r w:rsidRPr="00F07742">
        <w:rPr>
          <w:i/>
        </w:rPr>
        <w:t xml:space="preserve">Guezout </w:t>
      </w:r>
      <w:r w:rsidR="005237E5">
        <w:rPr>
          <w:i/>
          <w:iCs/>
        </w:rPr>
        <w:t>et consorts</w:t>
      </w:r>
      <w:r w:rsidRPr="00F07742">
        <w:rPr>
          <w:i/>
          <w:iCs/>
        </w:rPr>
        <w:t xml:space="preserve"> </w:t>
      </w:r>
      <w:r w:rsidRPr="00F07742">
        <w:t>c.</w:t>
      </w:r>
      <w:r>
        <w:rPr>
          <w:i/>
        </w:rPr>
        <w:t> </w:t>
      </w:r>
      <w:r w:rsidRPr="00F07742">
        <w:rPr>
          <w:i/>
        </w:rPr>
        <w:t>Algérie</w:t>
      </w:r>
      <w:r w:rsidRPr="00F07742">
        <w:t>, par. 8.4 et 8.7.</w:t>
      </w:r>
    </w:p>
  </w:footnote>
  <w:footnote w:id="163">
    <w:p w:rsidR="00FA3516" w:rsidRDefault="00FA3516">
      <w:pPr>
        <w:pStyle w:val="FootnoteText"/>
      </w:pPr>
      <w:r>
        <w:tab/>
      </w:r>
      <w:r>
        <w:rPr>
          <w:rStyle w:val="FootnoteReference"/>
        </w:rPr>
        <w:footnoteRef/>
      </w:r>
      <w:r>
        <w:tab/>
      </w:r>
      <w:r w:rsidRPr="00FA3516">
        <w:t>Communications</w:t>
      </w:r>
      <w:r>
        <w:t xml:space="preserve"> n</w:t>
      </w:r>
      <w:r w:rsidRPr="00FA3516">
        <w:rPr>
          <w:vertAlign w:val="superscript"/>
        </w:rPr>
        <w:t>o</w:t>
      </w:r>
      <w:r>
        <w:t> </w:t>
      </w:r>
      <w:r w:rsidRPr="00FA3516">
        <w:t xml:space="preserve">1782/2008, </w:t>
      </w:r>
      <w:r w:rsidRPr="00FA3516">
        <w:rPr>
          <w:i/>
        </w:rPr>
        <w:t xml:space="preserve">Aboufaied </w:t>
      </w:r>
      <w:r w:rsidRPr="00FA3516">
        <w:t>c.</w:t>
      </w:r>
      <w:r>
        <w:rPr>
          <w:i/>
        </w:rPr>
        <w:t> </w:t>
      </w:r>
      <w:r w:rsidRPr="00FA3516">
        <w:rPr>
          <w:i/>
        </w:rPr>
        <w:t>Libye</w:t>
      </w:r>
      <w:r w:rsidRPr="00FA3516">
        <w:t xml:space="preserve">, par. 7.4 et 7.6; </w:t>
      </w:r>
      <w:r>
        <w:t>n</w:t>
      </w:r>
      <w:r w:rsidRPr="00FA3516">
        <w:rPr>
          <w:vertAlign w:val="superscript"/>
        </w:rPr>
        <w:t>o</w:t>
      </w:r>
      <w:r>
        <w:t> </w:t>
      </w:r>
      <w:r w:rsidRPr="00FA3516">
        <w:t xml:space="preserve">440/1990, </w:t>
      </w:r>
      <w:r w:rsidRPr="00FA3516">
        <w:rPr>
          <w:i/>
        </w:rPr>
        <w:t xml:space="preserve">El-Megreisi </w:t>
      </w:r>
      <w:r w:rsidRPr="00FA3516">
        <w:t>c.</w:t>
      </w:r>
      <w:r>
        <w:rPr>
          <w:i/>
        </w:rPr>
        <w:t> </w:t>
      </w:r>
      <w:r w:rsidRPr="00FA3516">
        <w:rPr>
          <w:i/>
        </w:rPr>
        <w:t xml:space="preserve">Jamahiriya </w:t>
      </w:r>
      <w:r w:rsidR="005646E2" w:rsidRPr="00FA3516">
        <w:rPr>
          <w:i/>
        </w:rPr>
        <w:t>arabe</w:t>
      </w:r>
      <w:r w:rsidRPr="00FA3516">
        <w:rPr>
          <w:i/>
        </w:rPr>
        <w:t xml:space="preserve"> libyenne</w:t>
      </w:r>
      <w:r w:rsidRPr="00FA3516">
        <w:t>, par. 5.4.</w:t>
      </w:r>
    </w:p>
  </w:footnote>
  <w:footnote w:id="164">
    <w:p w:rsidR="00D66D10" w:rsidRDefault="00D66D10">
      <w:pPr>
        <w:pStyle w:val="FootnoteText"/>
      </w:pPr>
      <w:r>
        <w:tab/>
      </w:r>
      <w:r>
        <w:rPr>
          <w:rStyle w:val="FootnoteReference"/>
        </w:rPr>
        <w:footnoteRef/>
      </w:r>
      <w:r>
        <w:tab/>
        <w:t>Observation générale n</w:t>
      </w:r>
      <w:r w:rsidRPr="00D66D10">
        <w:rPr>
          <w:vertAlign w:val="superscript"/>
        </w:rPr>
        <w:t>o</w:t>
      </w:r>
      <w:r>
        <w:t> </w:t>
      </w:r>
      <w:r w:rsidRPr="00D66D10">
        <w:t>20</w:t>
      </w:r>
      <w:r w:rsidRPr="00D66D10">
        <w:rPr>
          <w:lang w:val="en-GB"/>
        </w:rPr>
        <w:t>, par. 2.</w:t>
      </w:r>
    </w:p>
  </w:footnote>
  <w:footnote w:id="165">
    <w:p w:rsidR="00470106" w:rsidRDefault="00470106">
      <w:pPr>
        <w:pStyle w:val="FootnoteText"/>
      </w:pPr>
      <w:r>
        <w:tab/>
      </w:r>
      <w:r>
        <w:rPr>
          <w:rStyle w:val="FootnoteReference"/>
        </w:rPr>
        <w:footnoteRef/>
      </w:r>
      <w:r>
        <w:tab/>
      </w:r>
      <w:r w:rsidRPr="00470106">
        <w:t>Observation générale n</w:t>
      </w:r>
      <w:r w:rsidRPr="00470106">
        <w:rPr>
          <w:vertAlign w:val="superscript"/>
        </w:rPr>
        <w:t>o</w:t>
      </w:r>
      <w:r>
        <w:t> </w:t>
      </w:r>
      <w:r w:rsidRPr="00470106">
        <w:t>31, par. 12.</w:t>
      </w:r>
    </w:p>
  </w:footnote>
  <w:footnote w:id="166">
    <w:p w:rsidR="00777572" w:rsidRDefault="00777572">
      <w:pPr>
        <w:pStyle w:val="FootnoteText"/>
      </w:pPr>
      <w:r>
        <w:tab/>
      </w:r>
      <w:r>
        <w:rPr>
          <w:rStyle w:val="FootnoteReference"/>
        </w:rPr>
        <w:footnoteRef/>
      </w:r>
      <w:r>
        <w:tab/>
        <w:t>Observation générale n</w:t>
      </w:r>
      <w:r w:rsidRPr="00777572">
        <w:rPr>
          <w:vertAlign w:val="superscript"/>
        </w:rPr>
        <w:t>o</w:t>
      </w:r>
      <w:r>
        <w:t> </w:t>
      </w:r>
      <w:r w:rsidRPr="00777572">
        <w:t xml:space="preserve">20, par. 11; Comité contre la torture, </w:t>
      </w:r>
      <w:r>
        <w:t>Observation générale n</w:t>
      </w:r>
      <w:r w:rsidRPr="00777572">
        <w:rPr>
          <w:vertAlign w:val="superscript"/>
        </w:rPr>
        <w:t>o</w:t>
      </w:r>
      <w:r>
        <w:t> 2</w:t>
      </w:r>
      <w:r w:rsidRPr="00777572">
        <w:t>, par. 13.</w:t>
      </w:r>
    </w:p>
  </w:footnote>
  <w:footnote w:id="167">
    <w:p w:rsidR="00BB09B1" w:rsidRDefault="00BB09B1">
      <w:pPr>
        <w:pStyle w:val="FootnoteText"/>
      </w:pPr>
      <w:r>
        <w:tab/>
      </w:r>
      <w:r>
        <w:rPr>
          <w:rStyle w:val="FootnoteReference"/>
        </w:rPr>
        <w:footnoteRef/>
      </w:r>
      <w:r>
        <w:tab/>
      </w:r>
      <w:r w:rsidRPr="00BB09B1">
        <w:t>Voir observations finales concernant le rapport de l</w:t>
      </w:r>
      <w:r w:rsidR="00F100CC">
        <w:t>’</w:t>
      </w:r>
      <w:r w:rsidRPr="00BB09B1">
        <w:t>Algérie (CCPR/C/DZA/CO/3, 2007), par. </w:t>
      </w:r>
      <w:r w:rsidRPr="00BB09B1">
        <w:rPr>
          <w:lang w:val="en-GB"/>
        </w:rPr>
        <w:t>11.</w:t>
      </w:r>
    </w:p>
  </w:footnote>
  <w:footnote w:id="168">
    <w:p w:rsidR="00E93408" w:rsidRDefault="00E93408">
      <w:pPr>
        <w:pStyle w:val="FootnoteText"/>
      </w:pPr>
      <w:r>
        <w:tab/>
      </w:r>
      <w:r>
        <w:rPr>
          <w:rStyle w:val="FootnoteReference"/>
        </w:rPr>
        <w:footnoteRef/>
      </w:r>
      <w:r>
        <w:tab/>
      </w:r>
      <w:r w:rsidRPr="00E93408">
        <w:t>Voir l</w:t>
      </w:r>
      <w:r w:rsidR="00F100CC">
        <w:t>’</w:t>
      </w:r>
      <w:r w:rsidRPr="00E93408">
        <w:t xml:space="preserve">Ensemble de principes </w:t>
      </w:r>
      <w:r>
        <w:t>(note </w:t>
      </w:r>
      <w:r w:rsidRPr="00E93408">
        <w:t>1</w:t>
      </w:r>
      <w:r w:rsidR="005237E5">
        <w:t>02</w:t>
      </w:r>
      <w:r>
        <w:t>), principes </w:t>
      </w:r>
      <w:r w:rsidRPr="00E93408">
        <w:t>17 à 19 et 24; Comité des droits de l</w:t>
      </w:r>
      <w:r w:rsidR="00F100CC">
        <w:t>’</w:t>
      </w:r>
      <w:r w:rsidRPr="00E93408">
        <w:t xml:space="preserve">enfant, </w:t>
      </w:r>
      <w:r>
        <w:t>Observation générale n</w:t>
      </w:r>
      <w:r w:rsidRPr="00E93408">
        <w:rPr>
          <w:vertAlign w:val="superscript"/>
        </w:rPr>
        <w:t>o</w:t>
      </w:r>
      <w:r>
        <w:t> </w:t>
      </w:r>
      <w:r w:rsidRPr="00E93408">
        <w:t>10, par. 87.</w:t>
      </w:r>
    </w:p>
  </w:footnote>
  <w:footnote w:id="169">
    <w:p w:rsidR="00483D00" w:rsidRDefault="00483D00">
      <w:pPr>
        <w:pStyle w:val="FootnoteText"/>
      </w:pPr>
      <w:r>
        <w:tab/>
      </w:r>
      <w:r>
        <w:rPr>
          <w:rStyle w:val="FootnoteReference"/>
        </w:rPr>
        <w:footnoteRef/>
      </w:r>
      <w:r>
        <w:tab/>
      </w:r>
      <w:r w:rsidRPr="00483D00">
        <w:t>Voi</w:t>
      </w:r>
      <w:r>
        <w:t>r l</w:t>
      </w:r>
      <w:r w:rsidR="00F100CC">
        <w:t>’</w:t>
      </w:r>
      <w:r w:rsidR="005237E5">
        <w:t>Ensemble de principes (note 102</w:t>
      </w:r>
      <w:r>
        <w:t>), principes </w:t>
      </w:r>
      <w:r w:rsidRPr="00483D00">
        <w:t>13 et</w:t>
      </w:r>
      <w:r w:rsidR="005237E5">
        <w:t xml:space="preserve"> </w:t>
      </w:r>
      <w:r w:rsidRPr="00483D00">
        <w:t>14; Règles des Nations Unies pour la protection des mineurs privés de liberté, par.</w:t>
      </w:r>
      <w:r>
        <w:t> </w:t>
      </w:r>
      <w:r w:rsidRPr="00483D00">
        <w:t>24 et 25, adoptées par l</w:t>
      </w:r>
      <w:r w:rsidR="00F100CC">
        <w:t>’</w:t>
      </w:r>
      <w:r w:rsidRPr="00483D00">
        <w:t>Assemb</w:t>
      </w:r>
      <w:r>
        <w:t>lée générale dans sa résolution </w:t>
      </w:r>
      <w:r w:rsidRPr="00483D00">
        <w:t>45/113 (concernant l</w:t>
      </w:r>
      <w:r w:rsidR="00F100CC">
        <w:t>’</w:t>
      </w:r>
      <w:r w:rsidRPr="00483D00">
        <w:t>explication de ses droits qu</w:t>
      </w:r>
      <w:r w:rsidR="00F100CC">
        <w:t>’</w:t>
      </w:r>
      <w:r w:rsidRPr="00483D00">
        <w:t>il faut donner au mineur détenu).</w:t>
      </w:r>
    </w:p>
  </w:footnote>
  <w:footnote w:id="170">
    <w:p w:rsidR="00620ADE" w:rsidRDefault="00620ADE">
      <w:pPr>
        <w:pStyle w:val="FootnoteText"/>
      </w:pPr>
      <w:r>
        <w:tab/>
      </w:r>
      <w:r>
        <w:rPr>
          <w:rStyle w:val="FootnoteReference"/>
        </w:rPr>
        <w:footnoteRef/>
      </w:r>
      <w:r>
        <w:tab/>
      </w:r>
      <w:r w:rsidRPr="00620ADE">
        <w:t>Voi</w:t>
      </w:r>
      <w:r>
        <w:t>r l</w:t>
      </w:r>
      <w:r w:rsidR="00F100CC">
        <w:t>’Ensemble de principes (note 102</w:t>
      </w:r>
      <w:r>
        <w:t>), principe </w:t>
      </w:r>
      <w:r w:rsidRPr="00620ADE">
        <w:t>16, par. 2.</w:t>
      </w:r>
    </w:p>
  </w:footnote>
  <w:footnote w:id="171">
    <w:p w:rsidR="00915620" w:rsidRDefault="00915620">
      <w:pPr>
        <w:pStyle w:val="FootnoteText"/>
      </w:pPr>
      <w:r>
        <w:tab/>
      </w:r>
      <w:r>
        <w:rPr>
          <w:rStyle w:val="FootnoteReference"/>
        </w:rPr>
        <w:footnoteRef/>
      </w:r>
      <w:r>
        <w:tab/>
      </w:r>
      <w:r w:rsidRPr="00915620">
        <w:t xml:space="preserve">Voir </w:t>
      </w:r>
      <w:r w:rsidR="003B144D">
        <w:t xml:space="preserve">les </w:t>
      </w:r>
      <w:r w:rsidRPr="00915620">
        <w:t>paragraphes</w:t>
      </w:r>
      <w:r>
        <w:t> </w:t>
      </w:r>
      <w:r w:rsidRPr="00915620">
        <w:t>14, 18 et 21</w:t>
      </w:r>
      <w:r>
        <w:t>.</w:t>
      </w:r>
    </w:p>
  </w:footnote>
  <w:footnote w:id="172">
    <w:p w:rsidR="003B144D" w:rsidRDefault="003B144D">
      <w:pPr>
        <w:pStyle w:val="FootnoteText"/>
      </w:pPr>
      <w:r>
        <w:tab/>
      </w:r>
      <w:r>
        <w:rPr>
          <w:rStyle w:val="FootnoteReference"/>
        </w:rPr>
        <w:footnoteRef/>
      </w:r>
      <w:r>
        <w:tab/>
      </w:r>
      <w:r w:rsidRPr="003B144D">
        <w:t>Observation</w:t>
      </w:r>
      <w:r>
        <w:t xml:space="preserve"> générale n</w:t>
      </w:r>
      <w:r w:rsidRPr="003B144D">
        <w:rPr>
          <w:vertAlign w:val="superscript"/>
        </w:rPr>
        <w:t>o</w:t>
      </w:r>
      <w:r>
        <w:t> </w:t>
      </w:r>
      <w:r w:rsidRPr="003B144D">
        <w:t xml:space="preserve">27, par. 7; </w:t>
      </w:r>
      <w:r>
        <w:t>communications n</w:t>
      </w:r>
      <w:r w:rsidRPr="003B144D">
        <w:rPr>
          <w:vertAlign w:val="superscript"/>
        </w:rPr>
        <w:t>o</w:t>
      </w:r>
      <w:r>
        <w:t> </w:t>
      </w:r>
      <w:r w:rsidRPr="003B144D">
        <w:t xml:space="preserve">1134/2002, </w:t>
      </w:r>
      <w:r w:rsidRPr="003B144D">
        <w:rPr>
          <w:i/>
        </w:rPr>
        <w:t xml:space="preserve">Gorji-Dinka </w:t>
      </w:r>
      <w:r w:rsidRPr="003B144D">
        <w:t>c.</w:t>
      </w:r>
      <w:r>
        <w:rPr>
          <w:i/>
        </w:rPr>
        <w:t> </w:t>
      </w:r>
      <w:r w:rsidRPr="003B144D">
        <w:rPr>
          <w:i/>
        </w:rPr>
        <w:t>Cameroun</w:t>
      </w:r>
      <w:r w:rsidRPr="003B144D">
        <w:t>, par. 5.4 et</w:t>
      </w:r>
      <w:r>
        <w:t xml:space="preserve"> </w:t>
      </w:r>
      <w:r w:rsidRPr="003B144D">
        <w:t xml:space="preserve">5.5 (assignation à résidence); </w:t>
      </w:r>
      <w:r>
        <w:t>n</w:t>
      </w:r>
      <w:r w:rsidRPr="003B144D">
        <w:rPr>
          <w:vertAlign w:val="superscript"/>
        </w:rPr>
        <w:t>o</w:t>
      </w:r>
      <w:r>
        <w:t> </w:t>
      </w:r>
      <w:r w:rsidRPr="003B144D">
        <w:t xml:space="preserve">138/1983, </w:t>
      </w:r>
      <w:r w:rsidR="005237E5">
        <w:rPr>
          <w:i/>
        </w:rPr>
        <w:t>Mpandanjila et consorts</w:t>
      </w:r>
      <w:r w:rsidRPr="003B144D">
        <w:rPr>
          <w:i/>
        </w:rPr>
        <w:t xml:space="preserve"> </w:t>
      </w:r>
      <w:r w:rsidRPr="003B144D">
        <w:t>c.</w:t>
      </w:r>
      <w:r>
        <w:rPr>
          <w:i/>
        </w:rPr>
        <w:t> </w:t>
      </w:r>
      <w:r w:rsidRPr="003B144D">
        <w:rPr>
          <w:i/>
        </w:rPr>
        <w:t>Zaïre</w:t>
      </w:r>
      <w:r w:rsidRPr="003B144D">
        <w:t>, par. 8 et 10.</w:t>
      </w:r>
    </w:p>
  </w:footnote>
  <w:footnote w:id="173">
    <w:p w:rsidR="005341C7" w:rsidRDefault="005341C7">
      <w:pPr>
        <w:pStyle w:val="FootnoteText"/>
      </w:pPr>
      <w:r>
        <w:tab/>
      </w:r>
      <w:r>
        <w:rPr>
          <w:rStyle w:val="FootnoteReference"/>
        </w:rPr>
        <w:footnoteRef/>
      </w:r>
      <w:r>
        <w:tab/>
      </w:r>
      <w:r w:rsidRPr="005341C7">
        <w:t xml:space="preserve">Voir </w:t>
      </w:r>
      <w:r>
        <w:t xml:space="preserve">les </w:t>
      </w:r>
      <w:r w:rsidRPr="005341C7">
        <w:t>paragraph</w:t>
      </w:r>
      <w:r>
        <w:t>es </w:t>
      </w:r>
      <w:r w:rsidRPr="005341C7">
        <w:t>38 et</w:t>
      </w:r>
      <w:r>
        <w:t xml:space="preserve"> 53</w:t>
      </w:r>
      <w:r w:rsidRPr="005341C7">
        <w:t>.</w:t>
      </w:r>
    </w:p>
  </w:footnote>
  <w:footnote w:id="174">
    <w:p w:rsidR="005341C7" w:rsidRDefault="005341C7">
      <w:pPr>
        <w:pStyle w:val="FootnoteText"/>
      </w:pPr>
      <w:r>
        <w:tab/>
      </w:r>
      <w:r>
        <w:rPr>
          <w:rStyle w:val="FootnoteReference"/>
        </w:rPr>
        <w:footnoteRef/>
      </w:r>
      <w:r>
        <w:tab/>
        <w:t>Communications n</w:t>
      </w:r>
      <w:r w:rsidRPr="005341C7">
        <w:rPr>
          <w:vertAlign w:val="superscript"/>
        </w:rPr>
        <w:t>o</w:t>
      </w:r>
      <w:r>
        <w:t> </w:t>
      </w:r>
      <w:r w:rsidRPr="005341C7">
        <w:t xml:space="preserve">263/1987, </w:t>
      </w:r>
      <w:r w:rsidRPr="005341C7">
        <w:rPr>
          <w:i/>
        </w:rPr>
        <w:t xml:space="preserve">González del Río </w:t>
      </w:r>
      <w:r w:rsidRPr="005341C7">
        <w:t>c.</w:t>
      </w:r>
      <w:r>
        <w:t> </w:t>
      </w:r>
      <w:r w:rsidRPr="005341C7">
        <w:rPr>
          <w:i/>
        </w:rPr>
        <w:t>Pérou</w:t>
      </w:r>
      <w:r w:rsidRPr="005341C7">
        <w:t xml:space="preserve">, par. 5.1; </w:t>
      </w:r>
      <w:r>
        <w:t>n</w:t>
      </w:r>
      <w:r w:rsidRPr="005341C7">
        <w:rPr>
          <w:vertAlign w:val="superscript"/>
        </w:rPr>
        <w:t>o</w:t>
      </w:r>
      <w:r>
        <w:t> </w:t>
      </w:r>
      <w:r w:rsidRPr="005341C7">
        <w:t xml:space="preserve">1758/2008, </w:t>
      </w:r>
      <w:r w:rsidR="005237E5">
        <w:rPr>
          <w:i/>
        </w:rPr>
        <w:t>Jessop </w:t>
      </w:r>
      <w:r w:rsidRPr="005341C7">
        <w:t>c.</w:t>
      </w:r>
      <w:r>
        <w:t> </w:t>
      </w:r>
      <w:r w:rsidRPr="005341C7">
        <w:rPr>
          <w:i/>
        </w:rPr>
        <w:t>Nouvelle</w:t>
      </w:r>
      <w:r>
        <w:rPr>
          <w:i/>
        </w:rPr>
        <w:noBreakHyphen/>
      </w:r>
      <w:r w:rsidRPr="005341C7">
        <w:rPr>
          <w:i/>
        </w:rPr>
        <w:t>Zélande</w:t>
      </w:r>
      <w:r w:rsidRPr="005341C7">
        <w:t>, par. 7.9 et 7.10.</w:t>
      </w:r>
    </w:p>
  </w:footnote>
  <w:footnote w:id="175">
    <w:p w:rsidR="003579B5" w:rsidRDefault="003579B5">
      <w:pPr>
        <w:pStyle w:val="FootnoteText"/>
      </w:pPr>
      <w:r>
        <w:tab/>
      </w:r>
      <w:r>
        <w:rPr>
          <w:rStyle w:val="FootnoteReference"/>
        </w:rPr>
        <w:footnoteRef/>
      </w:r>
      <w:r>
        <w:tab/>
        <w:t>Voir Observations générales n</w:t>
      </w:r>
      <w:r w:rsidRPr="003579B5">
        <w:rPr>
          <w:vertAlign w:val="superscript"/>
        </w:rPr>
        <w:t>o</w:t>
      </w:r>
      <w:r>
        <w:t> </w:t>
      </w:r>
      <w:r w:rsidRPr="003579B5">
        <w:t>17, par.</w:t>
      </w:r>
      <w:r>
        <w:t> </w:t>
      </w:r>
      <w:r w:rsidRPr="003579B5">
        <w:t xml:space="preserve">1, et </w:t>
      </w:r>
      <w:r>
        <w:t>n</w:t>
      </w:r>
      <w:r w:rsidRPr="003579B5">
        <w:rPr>
          <w:vertAlign w:val="superscript"/>
        </w:rPr>
        <w:t>o</w:t>
      </w:r>
      <w:r>
        <w:t> </w:t>
      </w:r>
      <w:r w:rsidRPr="003579B5">
        <w:t>32, par. 42 à 44.</w:t>
      </w:r>
    </w:p>
  </w:footnote>
  <w:footnote w:id="176">
    <w:p w:rsidR="00741961" w:rsidRDefault="00741961">
      <w:pPr>
        <w:pStyle w:val="FootnoteText"/>
      </w:pPr>
      <w:r>
        <w:tab/>
      </w:r>
      <w:r>
        <w:rPr>
          <w:rStyle w:val="FootnoteReference"/>
        </w:rPr>
        <w:footnoteRef/>
      </w:r>
      <w:r>
        <w:tab/>
      </w:r>
      <w:r w:rsidRPr="00741961">
        <w:t xml:space="preserve">Voir observations finales concernant le rapport de la République tchèque (CCPR/C/CZE/CO/3, 2013), par. 17; Convention relative </w:t>
      </w:r>
      <w:r w:rsidR="00F100CC">
        <w:t>aux droits de l’enfant, art. 37 </w:t>
      </w:r>
      <w:r w:rsidRPr="00741961">
        <w:t>b).</w:t>
      </w:r>
    </w:p>
  </w:footnote>
  <w:footnote w:id="177">
    <w:p w:rsidR="008F21B0" w:rsidRDefault="008F21B0">
      <w:pPr>
        <w:pStyle w:val="FootnoteText"/>
      </w:pPr>
      <w:r>
        <w:tab/>
      </w:r>
      <w:r>
        <w:rPr>
          <w:rStyle w:val="FootnoteReference"/>
        </w:rPr>
        <w:footnoteRef/>
      </w:r>
      <w:r>
        <w:tab/>
        <w:t>Communication n</w:t>
      </w:r>
      <w:r w:rsidRPr="008F21B0">
        <w:rPr>
          <w:vertAlign w:val="superscript"/>
        </w:rPr>
        <w:t>o</w:t>
      </w:r>
      <w:r>
        <w:t> </w:t>
      </w:r>
      <w:r w:rsidRPr="008F21B0">
        <w:t xml:space="preserve">1069/2002, </w:t>
      </w:r>
      <w:r w:rsidRPr="008F21B0">
        <w:rPr>
          <w:i/>
        </w:rPr>
        <w:t xml:space="preserve">Bakhtiyari </w:t>
      </w:r>
      <w:r w:rsidRPr="008F21B0">
        <w:t>c.</w:t>
      </w:r>
      <w:r>
        <w:rPr>
          <w:i/>
        </w:rPr>
        <w:t> </w:t>
      </w:r>
      <w:r w:rsidR="00F2303F" w:rsidRPr="008F21B0">
        <w:rPr>
          <w:i/>
        </w:rPr>
        <w:t>Australie</w:t>
      </w:r>
      <w:r w:rsidRPr="008F21B0">
        <w:t>, par. 9.7; voir Convention relative aux droits de l</w:t>
      </w:r>
      <w:r w:rsidR="00F100CC">
        <w:t>’</w:t>
      </w:r>
      <w:r w:rsidRPr="008F21B0">
        <w:t>enfant</w:t>
      </w:r>
      <w:r>
        <w:t>, art. 3, par</w:t>
      </w:r>
      <w:r w:rsidRPr="008F21B0">
        <w:t>.</w:t>
      </w:r>
      <w:r>
        <w:t> </w:t>
      </w:r>
      <w:r w:rsidRPr="008F21B0">
        <w:t>1.</w:t>
      </w:r>
    </w:p>
  </w:footnote>
  <w:footnote w:id="178">
    <w:p w:rsidR="00090B36" w:rsidRDefault="00090B36">
      <w:pPr>
        <w:pStyle w:val="FootnoteText"/>
      </w:pPr>
      <w:r>
        <w:tab/>
      </w:r>
      <w:r>
        <w:rPr>
          <w:rStyle w:val="FootnoteReference"/>
        </w:rPr>
        <w:footnoteRef/>
      </w:r>
      <w:r>
        <w:tab/>
      </w:r>
      <w:r w:rsidRPr="00090B36">
        <w:t>Voir Comité des droits de l</w:t>
      </w:r>
      <w:r w:rsidR="00F100CC">
        <w:t>’</w:t>
      </w:r>
      <w:r w:rsidRPr="00090B36">
        <w:t>enfant, Observation général</w:t>
      </w:r>
      <w:r>
        <w:t>e n</w:t>
      </w:r>
      <w:r w:rsidRPr="00090B36">
        <w:rPr>
          <w:vertAlign w:val="superscript"/>
        </w:rPr>
        <w:t>o</w:t>
      </w:r>
      <w:r>
        <w:t> </w:t>
      </w:r>
      <w:r w:rsidRPr="00090B36">
        <w:t>10, par. 11; Règles des Nations Unies pour la protection des mine</w:t>
      </w:r>
      <w:r w:rsidR="00F100CC">
        <w:t>urs privés de liberté, par. 11 </w:t>
      </w:r>
      <w:r w:rsidRPr="00090B36">
        <w:t>b). En revanche la surveillance normale des enfants par leurs parents peut comporter un certain contrôle de leurs déplacements, en particulier s</w:t>
      </w:r>
      <w:r w:rsidR="00F100CC">
        <w:t>’</w:t>
      </w:r>
      <w:r w:rsidRPr="00090B36">
        <w:t xml:space="preserve">agissant de jeunes enfants, contrôle qui serait inapproprié pour des adultes mais </w:t>
      </w:r>
      <w:r w:rsidR="00D26AD5">
        <w:t>qui</w:t>
      </w:r>
      <w:r w:rsidRPr="00090B36">
        <w:t xml:space="preserve"> ne constitue pas une privation de liberté, pas plus que ne constitue une privation de liberté l</w:t>
      </w:r>
      <w:r w:rsidR="00F100CC">
        <w:t>’</w:t>
      </w:r>
      <w:r w:rsidRPr="00090B36">
        <w:t>obligation ordinaire d</w:t>
      </w:r>
      <w:r w:rsidR="00F100CC">
        <w:t>’</w:t>
      </w:r>
      <w:r w:rsidRPr="00090B36">
        <w:t>aller quotidiennement à l</w:t>
      </w:r>
      <w:r w:rsidR="00F100CC">
        <w:t>’</w:t>
      </w:r>
      <w:r w:rsidRPr="00090B36">
        <w:t>école.</w:t>
      </w:r>
    </w:p>
  </w:footnote>
  <w:footnote w:id="179">
    <w:p w:rsidR="00DD327E" w:rsidRDefault="00DD327E">
      <w:pPr>
        <w:pStyle w:val="FootnoteText"/>
      </w:pPr>
      <w:r>
        <w:tab/>
      </w:r>
      <w:r>
        <w:rPr>
          <w:rStyle w:val="FootnoteReference"/>
        </w:rPr>
        <w:footnoteRef/>
      </w:r>
      <w:r>
        <w:tab/>
      </w:r>
      <w:r w:rsidRPr="00DD327E">
        <w:t xml:space="preserve">Voir </w:t>
      </w:r>
      <w:r>
        <w:t xml:space="preserve">le </w:t>
      </w:r>
      <w:r w:rsidRPr="00DD327E">
        <w:t>paragraphe</w:t>
      </w:r>
      <w:r>
        <w:t> 12</w:t>
      </w:r>
      <w:r w:rsidRPr="00DD327E">
        <w:t>; Convention relative a</w:t>
      </w:r>
      <w:r w:rsidR="00F100CC">
        <w:t>ux droits de l’enfant, art. 37 </w:t>
      </w:r>
      <w:r w:rsidRPr="00DD327E">
        <w:t>d) et 25.</w:t>
      </w:r>
    </w:p>
  </w:footnote>
  <w:footnote w:id="180">
    <w:p w:rsidR="00EB638A" w:rsidRDefault="00EB638A">
      <w:pPr>
        <w:pStyle w:val="FootnoteText"/>
      </w:pPr>
      <w:r>
        <w:tab/>
      </w:r>
      <w:r>
        <w:rPr>
          <w:rStyle w:val="FootnoteReference"/>
        </w:rPr>
        <w:footnoteRef/>
      </w:r>
      <w:r>
        <w:tab/>
        <w:t>Observation générale n</w:t>
      </w:r>
      <w:r w:rsidRPr="00EB638A">
        <w:rPr>
          <w:vertAlign w:val="superscript"/>
        </w:rPr>
        <w:t>o</w:t>
      </w:r>
      <w:r>
        <w:t> </w:t>
      </w:r>
      <w:r w:rsidRPr="00EB638A">
        <w:t>32, par. 42 à 44; Comité des droits de l</w:t>
      </w:r>
      <w:r w:rsidR="00F100CC">
        <w:t>’</w:t>
      </w:r>
      <w:r>
        <w:t>enfant, Observation générale n</w:t>
      </w:r>
      <w:r w:rsidRPr="00EB638A">
        <w:rPr>
          <w:vertAlign w:val="superscript"/>
        </w:rPr>
        <w:t>o</w:t>
      </w:r>
      <w:r>
        <w:t> </w:t>
      </w:r>
      <w:r w:rsidRPr="00EB638A">
        <w:t>12, par. 32 à 37.</w:t>
      </w:r>
    </w:p>
  </w:footnote>
  <w:footnote w:id="181">
    <w:p w:rsidR="00EB638A" w:rsidRDefault="00EB638A">
      <w:pPr>
        <w:pStyle w:val="FootnoteText"/>
      </w:pPr>
      <w:r>
        <w:tab/>
      </w:r>
      <w:r>
        <w:rPr>
          <w:rStyle w:val="FootnoteReference"/>
        </w:rPr>
        <w:footnoteRef/>
      </w:r>
      <w:r>
        <w:tab/>
      </w:r>
      <w:r w:rsidRPr="00EB638A">
        <w:t>HCR, Principes directeurs relatifs à la dé</w:t>
      </w:r>
      <w:r>
        <w:t>tention (note 45</w:t>
      </w:r>
      <w:r w:rsidRPr="00EB638A">
        <w:t>), par.</w:t>
      </w:r>
      <w:r>
        <w:t> </w:t>
      </w:r>
      <w:r w:rsidRPr="00EB638A">
        <w:t>54</w:t>
      </w:r>
      <w:r>
        <w:t xml:space="preserve"> («[</w:t>
      </w:r>
      <w:r w:rsidRPr="00EB638A">
        <w:t>les mineurs non accompagnés ou séparés] doivent si possible être libérés et confiés aux soins de membres de la famille ayant déjà une résidence dans le pays d</w:t>
      </w:r>
      <w:r w:rsidR="00F100CC">
        <w:t>’</w:t>
      </w:r>
      <w:r w:rsidRPr="00EB638A">
        <w:t>asile. Lorsque cela n</w:t>
      </w:r>
      <w:r w:rsidR="00F100CC">
        <w:t>’</w:t>
      </w:r>
      <w:r w:rsidRPr="00EB638A">
        <w:t>est pas possible, d</w:t>
      </w:r>
      <w:r w:rsidR="00F100CC">
        <w:t>’</w:t>
      </w:r>
      <w:r w:rsidRPr="00EB638A">
        <w:t>autres dispositifs de prise en charge, comme le placement dans une famille d</w:t>
      </w:r>
      <w:r w:rsidR="00F100CC">
        <w:t>’</w:t>
      </w:r>
      <w:r w:rsidRPr="00EB638A">
        <w:t>accueil ou un foyer, doivent être mis en place par les autorités compétentes chargées des enfants, en veillant à ce que l</w:t>
      </w:r>
      <w:r w:rsidR="00F100CC">
        <w:t>’</w:t>
      </w:r>
      <w:r w:rsidRPr="00EB638A">
        <w:t>enfant</w:t>
      </w:r>
      <w:r>
        <w:t xml:space="preserve"> bénéficie d</w:t>
      </w:r>
      <w:r w:rsidR="00F100CC">
        <w:t>’</w:t>
      </w:r>
      <w:r>
        <w:t>un suivi approprié»</w:t>
      </w:r>
      <w:r w:rsidRPr="00EB638A">
        <w:t>)</w:t>
      </w:r>
      <w:r w:rsidR="00F100CC">
        <w:t>.</w:t>
      </w:r>
    </w:p>
  </w:footnote>
  <w:footnote w:id="182">
    <w:p w:rsidR="00CA3398" w:rsidRDefault="00CA3398">
      <w:pPr>
        <w:pStyle w:val="FootnoteText"/>
      </w:pPr>
      <w:r>
        <w:tab/>
      </w:r>
      <w:r>
        <w:rPr>
          <w:rStyle w:val="FootnoteReference"/>
        </w:rPr>
        <w:footnoteRef/>
      </w:r>
      <w:r>
        <w:tab/>
        <w:t>Observation générale n</w:t>
      </w:r>
      <w:r w:rsidRPr="00CA3398">
        <w:rPr>
          <w:vertAlign w:val="superscript"/>
        </w:rPr>
        <w:t>o</w:t>
      </w:r>
      <w:r>
        <w:t> </w:t>
      </w:r>
      <w:r w:rsidRPr="00CA3398">
        <w:t>31, par. 10.</w:t>
      </w:r>
    </w:p>
  </w:footnote>
  <w:footnote w:id="183">
    <w:p w:rsidR="00EF0FCF" w:rsidRDefault="00EF0FCF">
      <w:pPr>
        <w:pStyle w:val="FootnoteText"/>
      </w:pPr>
      <w:r>
        <w:tab/>
      </w:r>
      <w:r>
        <w:rPr>
          <w:rStyle w:val="FootnoteReference"/>
        </w:rPr>
        <w:footnoteRef/>
      </w:r>
      <w:r>
        <w:tab/>
      </w:r>
      <w:r w:rsidRPr="00EF0FCF">
        <w:t>Voir ibid</w:t>
      </w:r>
      <w:r w:rsidR="00F100CC">
        <w:t>.</w:t>
      </w:r>
      <w:r w:rsidRPr="00EF0FCF">
        <w:t>; communications</w:t>
      </w:r>
      <w:r>
        <w:t xml:space="preserve"> n</w:t>
      </w:r>
      <w:r w:rsidRPr="00EF0FCF">
        <w:rPr>
          <w:vertAlign w:val="superscript"/>
        </w:rPr>
        <w:t>o</w:t>
      </w:r>
      <w:r>
        <w:t> </w:t>
      </w:r>
      <w:r w:rsidRPr="00EF0FCF">
        <w:t xml:space="preserve">52/1979, </w:t>
      </w:r>
      <w:r w:rsidRPr="00EF0FCF">
        <w:rPr>
          <w:i/>
        </w:rPr>
        <w:t xml:space="preserve">Saldías de López </w:t>
      </w:r>
      <w:r w:rsidRPr="00EF0FCF">
        <w:rPr>
          <w:iCs/>
        </w:rPr>
        <w:t>c.</w:t>
      </w:r>
      <w:r>
        <w:rPr>
          <w:i/>
        </w:rPr>
        <w:t> </w:t>
      </w:r>
      <w:r w:rsidRPr="00EF0FCF">
        <w:rPr>
          <w:i/>
        </w:rPr>
        <w:t>Uruguay</w:t>
      </w:r>
      <w:r w:rsidRPr="00EF0FCF">
        <w:t xml:space="preserve">, par. 12.1 à 13; </w:t>
      </w:r>
      <w:r>
        <w:t>n</w:t>
      </w:r>
      <w:r w:rsidRPr="00EF0FCF">
        <w:rPr>
          <w:vertAlign w:val="superscript"/>
        </w:rPr>
        <w:t>o</w:t>
      </w:r>
      <w:r>
        <w:t> </w:t>
      </w:r>
      <w:r w:rsidRPr="00EF0FCF">
        <w:t xml:space="preserve">56/1979, </w:t>
      </w:r>
      <w:r w:rsidRPr="00EF0FCF">
        <w:rPr>
          <w:i/>
          <w:iCs/>
        </w:rPr>
        <w:t xml:space="preserve">Celiberti de Casariego </w:t>
      </w:r>
      <w:r w:rsidRPr="00EF0FCF">
        <w:t>c.</w:t>
      </w:r>
      <w:r w:rsidRPr="00EF0FCF">
        <w:rPr>
          <w:i/>
          <w:iCs/>
        </w:rPr>
        <w:t> Uruguay</w:t>
      </w:r>
      <w:r w:rsidRPr="00EF0FCF">
        <w:t xml:space="preserve">, par. 10.1 à 11; </w:t>
      </w:r>
      <w:r>
        <w:t>n</w:t>
      </w:r>
      <w:r w:rsidRPr="00EF0FCF">
        <w:rPr>
          <w:vertAlign w:val="superscript"/>
        </w:rPr>
        <w:t>o</w:t>
      </w:r>
      <w:r>
        <w:rPr>
          <w:vertAlign w:val="superscript"/>
        </w:rPr>
        <w:t>s</w:t>
      </w:r>
      <w:r>
        <w:t> </w:t>
      </w:r>
      <w:r w:rsidRPr="00EF0FCF">
        <w:t>623,</w:t>
      </w:r>
      <w:r>
        <w:t xml:space="preserve"> </w:t>
      </w:r>
      <w:r w:rsidRPr="00EF0FCF">
        <w:t>624,</w:t>
      </w:r>
      <w:r>
        <w:t xml:space="preserve"> </w:t>
      </w:r>
      <w:r w:rsidRPr="00EF0FCF">
        <w:t>626,</w:t>
      </w:r>
      <w:r>
        <w:t xml:space="preserve"> </w:t>
      </w:r>
      <w:r w:rsidRPr="00EF0FCF">
        <w:t xml:space="preserve">627/1995, </w:t>
      </w:r>
      <w:r w:rsidRPr="00EF0FCF">
        <w:rPr>
          <w:i/>
        </w:rPr>
        <w:t xml:space="preserve">Domukovsky et consorts </w:t>
      </w:r>
      <w:r w:rsidRPr="00EF0FCF">
        <w:t>c.</w:t>
      </w:r>
      <w:r>
        <w:rPr>
          <w:i/>
        </w:rPr>
        <w:t> </w:t>
      </w:r>
      <w:r w:rsidRPr="00EF0FCF">
        <w:rPr>
          <w:i/>
        </w:rPr>
        <w:t>Géorgie</w:t>
      </w:r>
      <w:r w:rsidRPr="00EF0FCF">
        <w:t>, par. 18.2</w:t>
      </w:r>
      <w:r>
        <w:t>.</w:t>
      </w:r>
    </w:p>
  </w:footnote>
  <w:footnote w:id="184">
    <w:p w:rsidR="002C1AAC" w:rsidRDefault="002C1AAC">
      <w:pPr>
        <w:pStyle w:val="FootnoteText"/>
      </w:pPr>
      <w:r>
        <w:tab/>
      </w:r>
      <w:r>
        <w:rPr>
          <w:rStyle w:val="FootnoteReference"/>
        </w:rPr>
        <w:footnoteRef/>
      </w:r>
      <w:r>
        <w:tab/>
      </w:r>
      <w:r w:rsidRPr="002C1AAC">
        <w:t>Voir observations finales concernant le rapport des États</w:t>
      </w:r>
      <w:r>
        <w:noBreakHyphen/>
      </w:r>
      <w:r w:rsidRPr="002C1AAC">
        <w:t>Unis d</w:t>
      </w:r>
      <w:r w:rsidR="00F100CC">
        <w:t>’</w:t>
      </w:r>
      <w:r w:rsidRPr="002C1AAC">
        <w:t>Amérique (CCPR/C/USA/CO/3, 2006), par. 12 et 18.</w:t>
      </w:r>
    </w:p>
  </w:footnote>
  <w:footnote w:id="185">
    <w:p w:rsidR="000E5F3E" w:rsidRDefault="000E5F3E">
      <w:pPr>
        <w:pStyle w:val="FootnoteText"/>
      </w:pPr>
      <w:r>
        <w:tab/>
      </w:r>
      <w:r>
        <w:rPr>
          <w:rStyle w:val="FootnoteReference"/>
        </w:rPr>
        <w:footnoteRef/>
      </w:r>
      <w:r>
        <w:tab/>
      </w:r>
      <w:r w:rsidRPr="000E5F3E">
        <w:t>Observation</w:t>
      </w:r>
      <w:r w:rsidR="00F100CC">
        <w:t>s</w:t>
      </w:r>
      <w:r w:rsidRPr="000E5F3E">
        <w:t xml:space="preserve"> géné</w:t>
      </w:r>
      <w:r>
        <w:t>rale</w:t>
      </w:r>
      <w:r w:rsidR="00F100CC">
        <w:t>s</w:t>
      </w:r>
      <w:r>
        <w:t xml:space="preserve"> n</w:t>
      </w:r>
      <w:r w:rsidRPr="000E5F3E">
        <w:rPr>
          <w:vertAlign w:val="superscript"/>
        </w:rPr>
        <w:t>o</w:t>
      </w:r>
      <w:r>
        <w:t> </w:t>
      </w:r>
      <w:r w:rsidRPr="000E5F3E">
        <w:t xml:space="preserve">31, par. 11, et </w:t>
      </w:r>
      <w:r>
        <w:t>n</w:t>
      </w:r>
      <w:r w:rsidRPr="000E5F3E">
        <w:rPr>
          <w:vertAlign w:val="superscript"/>
        </w:rPr>
        <w:t>o</w:t>
      </w:r>
      <w:r>
        <w:t> </w:t>
      </w:r>
      <w:r w:rsidRPr="000E5F3E">
        <w:t>29, par.</w:t>
      </w:r>
      <w:r>
        <w:t> </w:t>
      </w:r>
      <w:r w:rsidRPr="000E5F3E">
        <w:t>3.</w:t>
      </w:r>
    </w:p>
  </w:footnote>
  <w:footnote w:id="186">
    <w:p w:rsidR="001F137D" w:rsidRDefault="001F137D">
      <w:pPr>
        <w:pStyle w:val="FootnoteText"/>
      </w:pPr>
      <w:r>
        <w:tab/>
      </w:r>
      <w:r>
        <w:rPr>
          <w:rStyle w:val="FootnoteReference"/>
        </w:rPr>
        <w:footnoteRef/>
      </w:r>
      <w:r>
        <w:tab/>
      </w:r>
      <w:r w:rsidRPr="001F137D">
        <w:t>Observation</w:t>
      </w:r>
      <w:r>
        <w:t>s</w:t>
      </w:r>
      <w:r w:rsidRPr="001F137D">
        <w:t xml:space="preserve"> géné</w:t>
      </w:r>
      <w:r>
        <w:t>rales n</w:t>
      </w:r>
      <w:r w:rsidRPr="001F137D">
        <w:rPr>
          <w:vertAlign w:val="superscript"/>
        </w:rPr>
        <w:t>o</w:t>
      </w:r>
      <w:r>
        <w:t> </w:t>
      </w:r>
      <w:r w:rsidRPr="001F137D">
        <w:t xml:space="preserve">31, par. 11, et </w:t>
      </w:r>
      <w:r>
        <w:t>n</w:t>
      </w:r>
      <w:r w:rsidRPr="001F137D">
        <w:rPr>
          <w:vertAlign w:val="superscript"/>
        </w:rPr>
        <w:t>o</w:t>
      </w:r>
      <w:r>
        <w:t> </w:t>
      </w:r>
      <w:r w:rsidRPr="001F137D">
        <w:t>29, par. 3, 12 et 16.</w:t>
      </w:r>
    </w:p>
  </w:footnote>
  <w:footnote w:id="187">
    <w:p w:rsidR="00E624FA" w:rsidRDefault="00E624FA" w:rsidP="00F100CC">
      <w:pPr>
        <w:pStyle w:val="FootnoteText"/>
      </w:pPr>
      <w:r>
        <w:tab/>
      </w:r>
      <w:r>
        <w:rPr>
          <w:rStyle w:val="FootnoteReference"/>
        </w:rPr>
        <w:footnoteRef/>
      </w:r>
      <w:r>
        <w:tab/>
      </w:r>
      <w:r w:rsidRPr="00E624FA">
        <w:t>Observation géné</w:t>
      </w:r>
      <w:r w:rsidR="00F100CC">
        <w:t>rale</w:t>
      </w:r>
      <w:r>
        <w:t xml:space="preserve"> n</w:t>
      </w:r>
      <w:r w:rsidRPr="00E624FA">
        <w:rPr>
          <w:vertAlign w:val="superscript"/>
        </w:rPr>
        <w:t>o</w:t>
      </w:r>
      <w:r>
        <w:t> </w:t>
      </w:r>
      <w:r w:rsidRPr="00E624FA">
        <w:t>29, par. 4 et 5. Quand la situation d</w:t>
      </w:r>
      <w:r w:rsidR="00F100CC">
        <w:t>’</w:t>
      </w:r>
      <w:r w:rsidRPr="00E624FA">
        <w:t>urgence qui justifie les mesures dérogatoires résulte de la participation des forces armées de l</w:t>
      </w:r>
      <w:r w:rsidR="00F100CC">
        <w:t>’</w:t>
      </w:r>
      <w:r w:rsidRPr="00E624FA">
        <w:t>État partie à une mission de maintien de la paix à l</w:t>
      </w:r>
      <w:r w:rsidR="00F100CC">
        <w:t>’</w:t>
      </w:r>
      <w:r w:rsidRPr="00E624FA">
        <w:t>étranger, l</w:t>
      </w:r>
      <w:r w:rsidR="00F100CC">
        <w:t>’</w:t>
      </w:r>
      <w:r w:rsidRPr="00E624FA">
        <w:t>étendue géographique et la portée matérielle desdites mesures doivent être limitées aux exigences de la mission de maintien de la paix.</w:t>
      </w:r>
    </w:p>
  </w:footnote>
  <w:footnote w:id="188">
    <w:p w:rsidR="00E624FA" w:rsidRDefault="00E624FA">
      <w:pPr>
        <w:pStyle w:val="FootnoteText"/>
      </w:pPr>
      <w:r>
        <w:tab/>
      </w:r>
      <w:r>
        <w:rPr>
          <w:rStyle w:val="FootnoteReference"/>
        </w:rPr>
        <w:footnoteRef/>
      </w:r>
      <w:r>
        <w:tab/>
        <w:t>Observation générale n</w:t>
      </w:r>
      <w:r w:rsidRPr="00E624FA">
        <w:rPr>
          <w:vertAlign w:val="superscript"/>
        </w:rPr>
        <w:t>o</w:t>
      </w:r>
      <w:r>
        <w:t> </w:t>
      </w:r>
      <w:r w:rsidRPr="00E624FA">
        <w:t>29, par. 8 et 9.</w:t>
      </w:r>
    </w:p>
  </w:footnote>
  <w:footnote w:id="189">
    <w:p w:rsidR="00DE3074" w:rsidRDefault="00DE3074">
      <w:pPr>
        <w:pStyle w:val="FootnoteText"/>
      </w:pPr>
      <w:r>
        <w:tab/>
      </w:r>
      <w:r>
        <w:rPr>
          <w:rStyle w:val="FootnoteReference"/>
        </w:rPr>
        <w:footnoteRef/>
      </w:r>
      <w:r>
        <w:tab/>
      </w:r>
      <w:r w:rsidR="00F100CC">
        <w:rPr>
          <w:lang w:val="en-GB"/>
        </w:rPr>
        <w:t>Ibid., par. 13 </w:t>
      </w:r>
      <w:r w:rsidRPr="00DE3074">
        <w:rPr>
          <w:lang w:val="en-GB"/>
        </w:rPr>
        <w:t>b).</w:t>
      </w:r>
    </w:p>
  </w:footnote>
  <w:footnote w:id="190">
    <w:p w:rsidR="00F96FD0" w:rsidRDefault="00F96FD0">
      <w:pPr>
        <w:pStyle w:val="FootnoteText"/>
      </w:pPr>
      <w:r>
        <w:tab/>
      </w:r>
      <w:r>
        <w:rPr>
          <w:rStyle w:val="FootnoteReference"/>
        </w:rPr>
        <w:footnoteRef/>
      </w:r>
      <w:r>
        <w:tab/>
      </w:r>
      <w:r w:rsidRPr="00F96FD0">
        <w:t>Ibid., par. 4 et 11.</w:t>
      </w:r>
    </w:p>
  </w:footnote>
  <w:footnote w:id="191">
    <w:p w:rsidR="00315D1E" w:rsidRDefault="00315D1E">
      <w:pPr>
        <w:pStyle w:val="FootnoteText"/>
      </w:pPr>
      <w:r>
        <w:tab/>
      </w:r>
      <w:r>
        <w:rPr>
          <w:rStyle w:val="FootnoteReference"/>
        </w:rPr>
        <w:footnoteRef/>
      </w:r>
      <w:r>
        <w:tab/>
      </w:r>
      <w:r w:rsidRPr="00315D1E">
        <w:rPr>
          <w:lang w:val="en-GB"/>
        </w:rPr>
        <w:t>Ibid., par. 3.</w:t>
      </w:r>
    </w:p>
  </w:footnote>
  <w:footnote w:id="192">
    <w:p w:rsidR="00315D1E" w:rsidRDefault="00315D1E">
      <w:pPr>
        <w:pStyle w:val="FootnoteText"/>
      </w:pPr>
      <w:r>
        <w:tab/>
      </w:r>
      <w:r>
        <w:rPr>
          <w:rStyle w:val="FootnoteReference"/>
        </w:rPr>
        <w:footnoteRef/>
      </w:r>
      <w:r>
        <w:tab/>
      </w:r>
      <w:r w:rsidRPr="00315D1E">
        <w:t>Ibid., par. 4, 11 et 15.</w:t>
      </w:r>
    </w:p>
  </w:footnote>
  <w:footnote w:id="193">
    <w:p w:rsidR="00C56C16" w:rsidRDefault="00C56C16">
      <w:pPr>
        <w:pStyle w:val="FootnoteText"/>
      </w:pPr>
      <w:r>
        <w:tab/>
      </w:r>
      <w:r>
        <w:rPr>
          <w:rStyle w:val="FootnoteReference"/>
        </w:rPr>
        <w:footnoteRef/>
      </w:r>
      <w:r>
        <w:tab/>
      </w:r>
      <w:r w:rsidRPr="00C56C16">
        <w:rPr>
          <w:lang w:val="en-GB"/>
        </w:rPr>
        <w:t xml:space="preserve">Ibid., par. 16; </w:t>
      </w:r>
      <w:r>
        <w:rPr>
          <w:lang w:val="en-GB"/>
        </w:rPr>
        <w:t xml:space="preserve">voir le </w:t>
      </w:r>
      <w:r w:rsidRPr="00C56C16">
        <w:rPr>
          <w:lang w:val="en-GB"/>
        </w:rPr>
        <w:t>paragraphe</w:t>
      </w:r>
      <w:r>
        <w:rPr>
          <w:lang w:val="en-GB"/>
        </w:rPr>
        <w:t> 67.</w:t>
      </w:r>
    </w:p>
  </w:footnote>
  <w:footnote w:id="194">
    <w:p w:rsidR="002F5FD4" w:rsidRDefault="002F5FD4">
      <w:pPr>
        <w:pStyle w:val="FootnoteText"/>
      </w:pPr>
      <w:r>
        <w:tab/>
      </w:r>
      <w:r>
        <w:rPr>
          <w:rStyle w:val="FootnoteReference"/>
        </w:rPr>
        <w:footnoteRef/>
      </w:r>
      <w:r>
        <w:tab/>
      </w:r>
      <w:r w:rsidRPr="002F5FD4">
        <w:t xml:space="preserve">Observation générale </w:t>
      </w:r>
      <w:r>
        <w:t>n</w:t>
      </w:r>
      <w:r w:rsidRPr="002F5FD4">
        <w:rPr>
          <w:vertAlign w:val="superscript"/>
        </w:rPr>
        <w:t>o</w:t>
      </w:r>
      <w:r>
        <w:t> </w:t>
      </w:r>
      <w:r w:rsidR="00F100CC">
        <w:t>3</w:t>
      </w:r>
      <w:r w:rsidRPr="002F5FD4">
        <w:t>2, par</w:t>
      </w:r>
      <w:r>
        <w:t>.</w:t>
      </w:r>
      <w:r>
        <w:rPr>
          <w:sz w:val="20"/>
        </w:rPr>
        <w:t> </w:t>
      </w:r>
      <w:r w:rsidRPr="002F5FD4">
        <w:t>6.</w:t>
      </w:r>
    </w:p>
  </w:footnote>
  <w:footnote w:id="195">
    <w:p w:rsidR="002F5FD4" w:rsidRDefault="002F5FD4">
      <w:pPr>
        <w:pStyle w:val="FootnoteText"/>
      </w:pPr>
      <w:r>
        <w:tab/>
      </w:r>
      <w:r>
        <w:rPr>
          <w:rStyle w:val="FootnoteReference"/>
        </w:rPr>
        <w:footnoteRef/>
      </w:r>
      <w:r>
        <w:tab/>
      </w:r>
      <w:r w:rsidRPr="002F5FD4">
        <w:t>Observation géné</w:t>
      </w:r>
      <w:r>
        <w:t>rale n</w:t>
      </w:r>
      <w:r w:rsidRPr="002F5FD4">
        <w:rPr>
          <w:vertAlign w:val="superscript"/>
        </w:rPr>
        <w:t>o</w:t>
      </w:r>
      <w:r>
        <w:t> </w:t>
      </w:r>
      <w:r w:rsidRPr="002F5FD4">
        <w:t>29, par. 16.</w:t>
      </w:r>
    </w:p>
  </w:footnote>
  <w:footnote w:id="196">
    <w:p w:rsidR="002F5FD4" w:rsidRDefault="002F5FD4">
      <w:pPr>
        <w:pStyle w:val="FootnoteText"/>
      </w:pPr>
      <w:r>
        <w:tab/>
      </w:r>
      <w:r>
        <w:rPr>
          <w:rStyle w:val="FootnoteReference"/>
        </w:rPr>
        <w:footnoteRef/>
      </w:r>
      <w:r>
        <w:tab/>
      </w:r>
      <w:r w:rsidRPr="002F5FD4">
        <w:t>Observation géné</w:t>
      </w:r>
      <w:r>
        <w:t>rale n</w:t>
      </w:r>
      <w:r w:rsidRPr="002F5FD4">
        <w:rPr>
          <w:vertAlign w:val="superscript"/>
        </w:rPr>
        <w:t>o</w:t>
      </w:r>
      <w:r>
        <w:t> </w:t>
      </w:r>
      <w:r w:rsidRPr="002F5FD4">
        <w:t>24, par. 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4D2" w:rsidRPr="004419DB" w:rsidRDefault="00D304D2">
    <w:pPr>
      <w:pStyle w:val="Header"/>
    </w:pPr>
    <w:r>
      <w:t>CCPR/C/GC/35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4D2" w:rsidRPr="004419DB" w:rsidRDefault="00D304D2" w:rsidP="004419DB">
    <w:pPr>
      <w:pStyle w:val="Header"/>
      <w:jc w:val="right"/>
    </w:pPr>
    <w:r>
      <w:t>CCPR/C/GC/35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0279"/>
    <w:rsid w:val="00007EFC"/>
    <w:rsid w:val="00010D38"/>
    <w:rsid w:val="00013C7D"/>
    <w:rsid w:val="0001662D"/>
    <w:rsid w:val="00017F94"/>
    <w:rsid w:val="00023842"/>
    <w:rsid w:val="000334F9"/>
    <w:rsid w:val="00047D35"/>
    <w:rsid w:val="000505A1"/>
    <w:rsid w:val="000522BD"/>
    <w:rsid w:val="0007796D"/>
    <w:rsid w:val="000822DF"/>
    <w:rsid w:val="00090B36"/>
    <w:rsid w:val="00094AE3"/>
    <w:rsid w:val="000A0CB2"/>
    <w:rsid w:val="000A3B73"/>
    <w:rsid w:val="000A664A"/>
    <w:rsid w:val="000B7790"/>
    <w:rsid w:val="000C2225"/>
    <w:rsid w:val="000C4428"/>
    <w:rsid w:val="000C4F13"/>
    <w:rsid w:val="000C541A"/>
    <w:rsid w:val="000E518F"/>
    <w:rsid w:val="000E5F3E"/>
    <w:rsid w:val="001036A4"/>
    <w:rsid w:val="0010382A"/>
    <w:rsid w:val="0010548F"/>
    <w:rsid w:val="00111F2F"/>
    <w:rsid w:val="0014365E"/>
    <w:rsid w:val="001467CA"/>
    <w:rsid w:val="00156CD9"/>
    <w:rsid w:val="00156F1E"/>
    <w:rsid w:val="001575BD"/>
    <w:rsid w:val="00172B3B"/>
    <w:rsid w:val="00176178"/>
    <w:rsid w:val="00183E4C"/>
    <w:rsid w:val="00196AA7"/>
    <w:rsid w:val="001B379B"/>
    <w:rsid w:val="001B4F31"/>
    <w:rsid w:val="001C234A"/>
    <w:rsid w:val="001C29AA"/>
    <w:rsid w:val="001C69E1"/>
    <w:rsid w:val="001D1A42"/>
    <w:rsid w:val="001D230B"/>
    <w:rsid w:val="001D5740"/>
    <w:rsid w:val="001E67A8"/>
    <w:rsid w:val="001F137D"/>
    <w:rsid w:val="001F525A"/>
    <w:rsid w:val="0020342E"/>
    <w:rsid w:val="00215E47"/>
    <w:rsid w:val="00223272"/>
    <w:rsid w:val="00223CD3"/>
    <w:rsid w:val="002348E2"/>
    <w:rsid w:val="00240236"/>
    <w:rsid w:val="002408D4"/>
    <w:rsid w:val="00244E20"/>
    <w:rsid w:val="002476AA"/>
    <w:rsid w:val="0024779E"/>
    <w:rsid w:val="00251E67"/>
    <w:rsid w:val="002970F4"/>
    <w:rsid w:val="002B5A53"/>
    <w:rsid w:val="002C1AAC"/>
    <w:rsid w:val="002D064F"/>
    <w:rsid w:val="002E22B0"/>
    <w:rsid w:val="002E245A"/>
    <w:rsid w:val="002F2C39"/>
    <w:rsid w:val="002F2D17"/>
    <w:rsid w:val="002F5FD4"/>
    <w:rsid w:val="0030586B"/>
    <w:rsid w:val="00310404"/>
    <w:rsid w:val="00310B2C"/>
    <w:rsid w:val="00314A4B"/>
    <w:rsid w:val="00315D1E"/>
    <w:rsid w:val="0032225A"/>
    <w:rsid w:val="003402F1"/>
    <w:rsid w:val="00344769"/>
    <w:rsid w:val="00350A3A"/>
    <w:rsid w:val="00351332"/>
    <w:rsid w:val="003579B5"/>
    <w:rsid w:val="0037697D"/>
    <w:rsid w:val="0038278E"/>
    <w:rsid w:val="00384BB3"/>
    <w:rsid w:val="003A6F54"/>
    <w:rsid w:val="003B144D"/>
    <w:rsid w:val="003B3CA7"/>
    <w:rsid w:val="003D1E00"/>
    <w:rsid w:val="003F5A85"/>
    <w:rsid w:val="00422B19"/>
    <w:rsid w:val="00426153"/>
    <w:rsid w:val="00433F62"/>
    <w:rsid w:val="004419DB"/>
    <w:rsid w:val="00446FE5"/>
    <w:rsid w:val="004521E4"/>
    <w:rsid w:val="00452396"/>
    <w:rsid w:val="0046657E"/>
    <w:rsid w:val="00470106"/>
    <w:rsid w:val="00483D00"/>
    <w:rsid w:val="00490457"/>
    <w:rsid w:val="004973A0"/>
    <w:rsid w:val="00497E2D"/>
    <w:rsid w:val="004A6035"/>
    <w:rsid w:val="004B1520"/>
    <w:rsid w:val="004C13A0"/>
    <w:rsid w:val="004C266E"/>
    <w:rsid w:val="004D4748"/>
    <w:rsid w:val="004D7FA2"/>
    <w:rsid w:val="004E0619"/>
    <w:rsid w:val="004E7948"/>
    <w:rsid w:val="004F0D61"/>
    <w:rsid w:val="004F4CE0"/>
    <w:rsid w:val="004F5B99"/>
    <w:rsid w:val="00511C64"/>
    <w:rsid w:val="00517E38"/>
    <w:rsid w:val="005203BC"/>
    <w:rsid w:val="005237E5"/>
    <w:rsid w:val="005265B6"/>
    <w:rsid w:val="00531F40"/>
    <w:rsid w:val="005341C7"/>
    <w:rsid w:val="0053522B"/>
    <w:rsid w:val="00537E94"/>
    <w:rsid w:val="00540221"/>
    <w:rsid w:val="005505B7"/>
    <w:rsid w:val="00555E76"/>
    <w:rsid w:val="005646E2"/>
    <w:rsid w:val="00573BE5"/>
    <w:rsid w:val="00586ED3"/>
    <w:rsid w:val="0058779E"/>
    <w:rsid w:val="00596AA9"/>
    <w:rsid w:val="005A7717"/>
    <w:rsid w:val="005C0966"/>
    <w:rsid w:val="005D7480"/>
    <w:rsid w:val="00610275"/>
    <w:rsid w:val="00620ADE"/>
    <w:rsid w:val="00624115"/>
    <w:rsid w:val="006305F8"/>
    <w:rsid w:val="00647E53"/>
    <w:rsid w:val="00651C51"/>
    <w:rsid w:val="00655398"/>
    <w:rsid w:val="006579E8"/>
    <w:rsid w:val="00660136"/>
    <w:rsid w:val="006636EF"/>
    <w:rsid w:val="00681AB4"/>
    <w:rsid w:val="006A468C"/>
    <w:rsid w:val="006B0C4F"/>
    <w:rsid w:val="006B1E89"/>
    <w:rsid w:val="006B3792"/>
    <w:rsid w:val="006E42DD"/>
    <w:rsid w:val="006F0151"/>
    <w:rsid w:val="006F71EA"/>
    <w:rsid w:val="00700B68"/>
    <w:rsid w:val="00706BEC"/>
    <w:rsid w:val="007103CB"/>
    <w:rsid w:val="0071601D"/>
    <w:rsid w:val="00720A06"/>
    <w:rsid w:val="00725FA0"/>
    <w:rsid w:val="007269A1"/>
    <w:rsid w:val="007320D5"/>
    <w:rsid w:val="007344AA"/>
    <w:rsid w:val="00735668"/>
    <w:rsid w:val="00736F0C"/>
    <w:rsid w:val="00741961"/>
    <w:rsid w:val="007525D8"/>
    <w:rsid w:val="00777572"/>
    <w:rsid w:val="00792F8E"/>
    <w:rsid w:val="00793E5F"/>
    <w:rsid w:val="00794FAA"/>
    <w:rsid w:val="007A611C"/>
    <w:rsid w:val="007A62E6"/>
    <w:rsid w:val="007A6339"/>
    <w:rsid w:val="007B0F0E"/>
    <w:rsid w:val="007B5226"/>
    <w:rsid w:val="007B5EA1"/>
    <w:rsid w:val="007C1720"/>
    <w:rsid w:val="007D0AA1"/>
    <w:rsid w:val="007D45FD"/>
    <w:rsid w:val="007D5B6F"/>
    <w:rsid w:val="007E0663"/>
    <w:rsid w:val="007E2032"/>
    <w:rsid w:val="007E2EC0"/>
    <w:rsid w:val="007E36F8"/>
    <w:rsid w:val="007F5A41"/>
    <w:rsid w:val="007F6428"/>
    <w:rsid w:val="0080684C"/>
    <w:rsid w:val="0081068B"/>
    <w:rsid w:val="008113BC"/>
    <w:rsid w:val="00815E14"/>
    <w:rsid w:val="008368A4"/>
    <w:rsid w:val="008560DB"/>
    <w:rsid w:val="008575B5"/>
    <w:rsid w:val="00871538"/>
    <w:rsid w:val="00871C75"/>
    <w:rsid w:val="008776DC"/>
    <w:rsid w:val="008858AF"/>
    <w:rsid w:val="00886992"/>
    <w:rsid w:val="008A07AD"/>
    <w:rsid w:val="008D75AB"/>
    <w:rsid w:val="008E1F7B"/>
    <w:rsid w:val="008E3CDC"/>
    <w:rsid w:val="008E7E48"/>
    <w:rsid w:val="008F21B0"/>
    <w:rsid w:val="008F5F3F"/>
    <w:rsid w:val="0090367A"/>
    <w:rsid w:val="00914BF1"/>
    <w:rsid w:val="00915620"/>
    <w:rsid w:val="00926F09"/>
    <w:rsid w:val="00965252"/>
    <w:rsid w:val="009705C8"/>
    <w:rsid w:val="00971B20"/>
    <w:rsid w:val="009765A8"/>
    <w:rsid w:val="00981DD3"/>
    <w:rsid w:val="009B02E0"/>
    <w:rsid w:val="009B1E6C"/>
    <w:rsid w:val="009C31A5"/>
    <w:rsid w:val="009C3B5E"/>
    <w:rsid w:val="009C4A52"/>
    <w:rsid w:val="009E2C6A"/>
    <w:rsid w:val="009E72BB"/>
    <w:rsid w:val="009F074A"/>
    <w:rsid w:val="00A03978"/>
    <w:rsid w:val="00A1040C"/>
    <w:rsid w:val="00A1742B"/>
    <w:rsid w:val="00A25A05"/>
    <w:rsid w:val="00A27C12"/>
    <w:rsid w:val="00A30013"/>
    <w:rsid w:val="00A336F4"/>
    <w:rsid w:val="00A452A6"/>
    <w:rsid w:val="00A45F55"/>
    <w:rsid w:val="00A50279"/>
    <w:rsid w:val="00A54609"/>
    <w:rsid w:val="00A709E0"/>
    <w:rsid w:val="00A769E4"/>
    <w:rsid w:val="00A865A0"/>
    <w:rsid w:val="00AA5A30"/>
    <w:rsid w:val="00AA6465"/>
    <w:rsid w:val="00AB0B00"/>
    <w:rsid w:val="00AB4FF9"/>
    <w:rsid w:val="00AC3327"/>
    <w:rsid w:val="00AC3823"/>
    <w:rsid w:val="00AC493D"/>
    <w:rsid w:val="00AE2CF2"/>
    <w:rsid w:val="00AE323C"/>
    <w:rsid w:val="00AE32F9"/>
    <w:rsid w:val="00AE62EB"/>
    <w:rsid w:val="00AF1F5F"/>
    <w:rsid w:val="00B00181"/>
    <w:rsid w:val="00B0693F"/>
    <w:rsid w:val="00B22BFB"/>
    <w:rsid w:val="00B2594F"/>
    <w:rsid w:val="00B378AB"/>
    <w:rsid w:val="00B572A3"/>
    <w:rsid w:val="00B62D9F"/>
    <w:rsid w:val="00B765F7"/>
    <w:rsid w:val="00B90EAF"/>
    <w:rsid w:val="00B93DCF"/>
    <w:rsid w:val="00BA0CA9"/>
    <w:rsid w:val="00BB09B1"/>
    <w:rsid w:val="00BC0576"/>
    <w:rsid w:val="00BC1A29"/>
    <w:rsid w:val="00BC1AB3"/>
    <w:rsid w:val="00BC211D"/>
    <w:rsid w:val="00BD5716"/>
    <w:rsid w:val="00BD7520"/>
    <w:rsid w:val="00BE06C5"/>
    <w:rsid w:val="00BE29D4"/>
    <w:rsid w:val="00BE531F"/>
    <w:rsid w:val="00C01ACF"/>
    <w:rsid w:val="00C02897"/>
    <w:rsid w:val="00C35DCD"/>
    <w:rsid w:val="00C42614"/>
    <w:rsid w:val="00C42A26"/>
    <w:rsid w:val="00C56C16"/>
    <w:rsid w:val="00C64ACF"/>
    <w:rsid w:val="00C73507"/>
    <w:rsid w:val="00C751CC"/>
    <w:rsid w:val="00C95F7A"/>
    <w:rsid w:val="00CA3398"/>
    <w:rsid w:val="00CA72D6"/>
    <w:rsid w:val="00CA7BC4"/>
    <w:rsid w:val="00CB5CBA"/>
    <w:rsid w:val="00CD271A"/>
    <w:rsid w:val="00CD7F02"/>
    <w:rsid w:val="00CE7595"/>
    <w:rsid w:val="00CF068B"/>
    <w:rsid w:val="00D05667"/>
    <w:rsid w:val="00D06746"/>
    <w:rsid w:val="00D173F4"/>
    <w:rsid w:val="00D2007A"/>
    <w:rsid w:val="00D2352B"/>
    <w:rsid w:val="00D26AD5"/>
    <w:rsid w:val="00D304D2"/>
    <w:rsid w:val="00D3439C"/>
    <w:rsid w:val="00D375E1"/>
    <w:rsid w:val="00D468B5"/>
    <w:rsid w:val="00D64899"/>
    <w:rsid w:val="00D66D10"/>
    <w:rsid w:val="00D7538A"/>
    <w:rsid w:val="00D83177"/>
    <w:rsid w:val="00D8352F"/>
    <w:rsid w:val="00D860DA"/>
    <w:rsid w:val="00DA0547"/>
    <w:rsid w:val="00DA6865"/>
    <w:rsid w:val="00DB07AC"/>
    <w:rsid w:val="00DB1831"/>
    <w:rsid w:val="00DB5910"/>
    <w:rsid w:val="00DB70D7"/>
    <w:rsid w:val="00DB717D"/>
    <w:rsid w:val="00DD1123"/>
    <w:rsid w:val="00DD327E"/>
    <w:rsid w:val="00DD3BFD"/>
    <w:rsid w:val="00DE3074"/>
    <w:rsid w:val="00DF6678"/>
    <w:rsid w:val="00E14357"/>
    <w:rsid w:val="00E15129"/>
    <w:rsid w:val="00E169D3"/>
    <w:rsid w:val="00E47D55"/>
    <w:rsid w:val="00E53F64"/>
    <w:rsid w:val="00E624FA"/>
    <w:rsid w:val="00E62850"/>
    <w:rsid w:val="00E67CAD"/>
    <w:rsid w:val="00E8235E"/>
    <w:rsid w:val="00E93408"/>
    <w:rsid w:val="00E953A8"/>
    <w:rsid w:val="00EB5E51"/>
    <w:rsid w:val="00EB638A"/>
    <w:rsid w:val="00EC2707"/>
    <w:rsid w:val="00EC30D5"/>
    <w:rsid w:val="00EC4561"/>
    <w:rsid w:val="00ED46BC"/>
    <w:rsid w:val="00EE1BD4"/>
    <w:rsid w:val="00EF0FCF"/>
    <w:rsid w:val="00EF53C4"/>
    <w:rsid w:val="00F00471"/>
    <w:rsid w:val="00F07742"/>
    <w:rsid w:val="00F100CC"/>
    <w:rsid w:val="00F12152"/>
    <w:rsid w:val="00F2303F"/>
    <w:rsid w:val="00F30CEE"/>
    <w:rsid w:val="00F3266A"/>
    <w:rsid w:val="00F3400B"/>
    <w:rsid w:val="00F5556B"/>
    <w:rsid w:val="00F660DF"/>
    <w:rsid w:val="00F7448E"/>
    <w:rsid w:val="00F757C1"/>
    <w:rsid w:val="00F80D1E"/>
    <w:rsid w:val="00F87D75"/>
    <w:rsid w:val="00F90995"/>
    <w:rsid w:val="00F9365A"/>
    <w:rsid w:val="00F94B00"/>
    <w:rsid w:val="00F95C08"/>
    <w:rsid w:val="00F96FD0"/>
    <w:rsid w:val="00FA192D"/>
    <w:rsid w:val="00FA3516"/>
    <w:rsid w:val="00FA378C"/>
    <w:rsid w:val="00FC4424"/>
    <w:rsid w:val="00FD57A3"/>
    <w:rsid w:val="00FE1B8A"/>
    <w:rsid w:val="00FF7BD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rPr>
      <w:lang/>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3402F1"/>
    <w:rPr>
      <w:color w:val="0000FF"/>
      <w:u w:val="none"/>
    </w:rPr>
  </w:style>
  <w:style w:type="character" w:styleId="FollowedHyperlink">
    <w:name w:val="FollowedHyperlink"/>
    <w:unhideWhenUsed/>
    <w:rsid w:val="003402F1"/>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6F71EA"/>
    <w:pPr>
      <w:spacing w:line="240" w:lineRule="auto"/>
    </w:pPr>
    <w:rPr>
      <w:rFonts w:ascii="Tahoma" w:hAnsi="Tahoma"/>
      <w:sz w:val="16"/>
      <w:szCs w:val="16"/>
      <w:lang/>
    </w:rPr>
  </w:style>
  <w:style w:type="character" w:customStyle="1" w:styleId="BalloonTextChar">
    <w:name w:val="Balloon Text Char"/>
    <w:link w:val="BalloonText"/>
    <w:uiPriority w:val="99"/>
    <w:semiHidden/>
    <w:rsid w:val="006F71EA"/>
    <w:rPr>
      <w:rFonts w:ascii="Tahoma" w:hAnsi="Tahoma" w:cs="Tahoma"/>
      <w:sz w:val="16"/>
      <w:szCs w:val="16"/>
      <w:lang w:eastAsia="en-US"/>
    </w:rPr>
  </w:style>
  <w:style w:type="character" w:customStyle="1" w:styleId="Astrisque10pt">
    <w:name w:val="Astérisque 10 pt"/>
    <w:uiPriority w:val="1"/>
    <w:qFormat/>
    <w:rsid w:val="00C01ACF"/>
    <w:rPr>
      <w:rFonts w:ascii="Times New Roman" w:hAnsi="Times New Roman"/>
      <w:sz w:val="20"/>
      <w:vertAlign w:val="baseline"/>
    </w:rPr>
  </w:style>
  <w:style w:type="character" w:customStyle="1" w:styleId="SingleTxtGChar">
    <w:name w:val="_ Single Txt_G Char"/>
    <w:link w:val="SingleTxtG"/>
    <w:rsid w:val="004419DB"/>
    <w:rPr>
      <w:rFonts w:ascii="Times New Roman" w:hAnsi="Times New Roman" w:cs="Times New Roman"/>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22</Pages>
  <Words>8608</Words>
  <Characters>49069</Characters>
  <Application>Microsoft Office Outlook</Application>
  <DocSecurity>4</DocSecurity>
  <Lines>408</Lines>
  <Paragraphs>115</Paragraphs>
  <ScaleCrop>false</ScaleCrop>
  <HeadingPairs>
    <vt:vector size="2" baseType="variant">
      <vt:variant>
        <vt:lpstr>Titre</vt:lpstr>
      </vt:variant>
      <vt:variant>
        <vt:i4>1</vt:i4>
      </vt:variant>
    </vt:vector>
  </HeadingPairs>
  <TitlesOfParts>
    <vt:vector size="1" baseType="lpstr">
      <vt:lpstr>CCPR/C/GC/35</vt:lpstr>
    </vt:vector>
  </TitlesOfParts>
  <Company>DCM</Company>
  <LinksUpToDate>false</LinksUpToDate>
  <CharactersWithSpaces>57562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CCPR/C/GC/35</dc:title>
  <dc:subject>Final</dc:subject>
  <dc:creator>Granet C.</dc:creator>
  <cp:keywords/>
  <dc:description/>
  <cp:lastModifiedBy>Temporaire</cp:lastModifiedBy>
  <cp:revision>2</cp:revision>
  <cp:lastPrinted>2014-05-14T09:59:00Z</cp:lastPrinted>
  <dcterms:created xsi:type="dcterms:W3CDTF">2015-01-06T10:49:00Z</dcterms:created>
  <dcterms:modified xsi:type="dcterms:W3CDTF">2015-01-06T10:49:00Z</dcterms:modified>
</cp:coreProperties>
</file>