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4594" w14:paraId="361BEB8F" w14:textId="77777777" w:rsidTr="001E45CF">
        <w:trPr>
          <w:trHeight w:hRule="exact" w:val="851"/>
        </w:trPr>
        <w:tc>
          <w:tcPr>
            <w:tcW w:w="1274" w:type="dxa"/>
            <w:tcBorders>
              <w:bottom w:val="single" w:sz="4" w:space="0" w:color="auto"/>
            </w:tcBorders>
          </w:tcPr>
          <w:p w14:paraId="39808244" w14:textId="77777777" w:rsidR="00B116DD" w:rsidRPr="00E64594" w:rsidRDefault="00B116DD" w:rsidP="00586788">
            <w:pPr>
              <w:kinsoku w:val="0"/>
              <w:overflowPunct w:val="0"/>
              <w:autoSpaceDE w:val="0"/>
              <w:autoSpaceDN w:val="0"/>
              <w:adjustRightInd w:val="0"/>
              <w:snapToGrid w:val="0"/>
              <w:spacing w:after="80" w:line="480" w:lineRule="exact"/>
              <w:jc w:val="left"/>
              <w:rPr>
                <w:szCs w:val="40"/>
              </w:rPr>
            </w:pPr>
          </w:p>
        </w:tc>
        <w:tc>
          <w:tcPr>
            <w:tcW w:w="5104" w:type="dxa"/>
            <w:tcBorders>
              <w:bottom w:val="single" w:sz="4" w:space="0" w:color="auto"/>
            </w:tcBorders>
            <w:vAlign w:val="bottom"/>
          </w:tcPr>
          <w:p w14:paraId="1212442C" w14:textId="77777777" w:rsidR="006B3E27" w:rsidRPr="00E64594" w:rsidRDefault="006B3E27" w:rsidP="005540EB">
            <w:pPr>
              <w:spacing w:after="80" w:line="480" w:lineRule="exact"/>
              <w:ind w:left="57"/>
              <w:jc w:val="left"/>
              <w:rPr>
                <w:sz w:val="30"/>
                <w:szCs w:val="30"/>
                <w:rtl/>
              </w:rPr>
            </w:pPr>
            <w:r w:rsidRPr="00E64594">
              <w:rPr>
                <w:rFonts w:hint="cs"/>
                <w:sz w:val="30"/>
                <w:szCs w:val="30"/>
                <w:rtl/>
              </w:rPr>
              <w:t>الأمم المتحدة</w:t>
            </w:r>
          </w:p>
        </w:tc>
        <w:tc>
          <w:tcPr>
            <w:tcW w:w="3261" w:type="dxa"/>
            <w:tcBorders>
              <w:bottom w:val="single" w:sz="4" w:space="0" w:color="auto"/>
            </w:tcBorders>
            <w:vAlign w:val="bottom"/>
          </w:tcPr>
          <w:p w14:paraId="61CDFAD0" w14:textId="7D37B20E" w:rsidR="006B3E27" w:rsidRPr="00E64594" w:rsidRDefault="001C5477" w:rsidP="001C5477">
            <w:pPr>
              <w:bidi w:val="0"/>
              <w:jc w:val="left"/>
            </w:pPr>
            <w:r w:rsidRPr="00E64594">
              <w:rPr>
                <w:sz w:val="40"/>
              </w:rPr>
              <w:t>CMW</w:t>
            </w:r>
            <w:r w:rsidRPr="00E64594">
              <w:t>/C/39/2/Add.1</w:t>
            </w:r>
          </w:p>
        </w:tc>
      </w:tr>
      <w:tr w:rsidR="006B3E27" w:rsidRPr="00E64594" w14:paraId="401BE91F" w14:textId="77777777" w:rsidTr="001E45CF">
        <w:trPr>
          <w:trHeight w:hRule="exact" w:val="2554"/>
        </w:trPr>
        <w:tc>
          <w:tcPr>
            <w:tcW w:w="1274" w:type="dxa"/>
            <w:tcBorders>
              <w:top w:val="single" w:sz="4" w:space="0" w:color="auto"/>
              <w:bottom w:val="single" w:sz="12" w:space="0" w:color="auto"/>
            </w:tcBorders>
          </w:tcPr>
          <w:p w14:paraId="6828994D" w14:textId="77777777" w:rsidR="006B3E27" w:rsidRPr="00E64594" w:rsidRDefault="0059622A" w:rsidP="001E45CF">
            <w:pPr>
              <w:jc w:val="center"/>
              <w:rPr>
                <w:rtl/>
              </w:rPr>
            </w:pPr>
            <w:r w:rsidRPr="00E64594">
              <w:rPr>
                <w:noProof/>
              </w:rPr>
              <w:drawing>
                <wp:inline distT="0" distB="0" distL="0" distR="0" wp14:anchorId="10F3C6C7" wp14:editId="70B8404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88DFC55" w14:textId="77777777" w:rsidR="006B3E27" w:rsidRPr="00E64594" w:rsidRDefault="001E1CAD" w:rsidP="005540EB">
            <w:pPr>
              <w:spacing w:before="120" w:after="40" w:line="560" w:lineRule="exact"/>
              <w:ind w:left="57"/>
              <w:jc w:val="left"/>
              <w:rPr>
                <w:b/>
                <w:bCs/>
                <w:sz w:val="42"/>
                <w:szCs w:val="42"/>
                <w:rtl/>
              </w:rPr>
            </w:pPr>
            <w:r w:rsidRPr="00E64594">
              <w:rPr>
                <w:rFonts w:hint="cs"/>
                <w:b/>
                <w:bCs/>
                <w:sz w:val="42"/>
                <w:szCs w:val="42"/>
                <w:rtl/>
              </w:rPr>
              <w:t>ا</w:t>
            </w:r>
            <w:r w:rsidR="00523BAE" w:rsidRPr="00E64594">
              <w:rPr>
                <w:rFonts w:hint="cs"/>
                <w:b/>
                <w:bCs/>
                <w:sz w:val="42"/>
                <w:szCs w:val="42"/>
                <w:rtl/>
              </w:rPr>
              <w:t>لا</w:t>
            </w:r>
            <w:r w:rsidR="004A14A6" w:rsidRPr="00E64594">
              <w:rPr>
                <w:rFonts w:hint="cs"/>
                <w:b/>
                <w:bCs/>
                <w:sz w:val="42"/>
                <w:szCs w:val="42"/>
                <w:rtl/>
              </w:rPr>
              <w:t>تفاقي</w:t>
            </w:r>
            <w:r w:rsidR="00523BAE" w:rsidRPr="00E64594">
              <w:rPr>
                <w:rFonts w:hint="cs"/>
                <w:b/>
                <w:bCs/>
                <w:sz w:val="42"/>
                <w:szCs w:val="42"/>
                <w:rtl/>
              </w:rPr>
              <w:t>ـ</w:t>
            </w:r>
            <w:r w:rsidR="004A14A6" w:rsidRPr="00E64594">
              <w:rPr>
                <w:rFonts w:hint="cs"/>
                <w:b/>
                <w:bCs/>
                <w:sz w:val="42"/>
                <w:szCs w:val="42"/>
                <w:rtl/>
              </w:rPr>
              <w:t xml:space="preserve">ة </w:t>
            </w:r>
            <w:r w:rsidR="00523BAE" w:rsidRPr="00E64594">
              <w:rPr>
                <w:rFonts w:hint="cs"/>
                <w:b/>
                <w:bCs/>
                <w:sz w:val="42"/>
                <w:szCs w:val="42"/>
                <w:rtl/>
              </w:rPr>
              <w:t xml:space="preserve">الدوليـة </w:t>
            </w:r>
            <w:r w:rsidR="0045649E" w:rsidRPr="00E64594">
              <w:rPr>
                <w:rFonts w:hint="cs"/>
                <w:b/>
                <w:bCs/>
                <w:sz w:val="42"/>
                <w:szCs w:val="42"/>
                <w:rtl/>
              </w:rPr>
              <w:t>لحماية حقوق جميع العمال المهاجرين وأفراد أسره</w:t>
            </w:r>
            <w:r w:rsidR="0086216C" w:rsidRPr="00E64594">
              <w:rPr>
                <w:rFonts w:hint="cs"/>
                <w:b/>
                <w:bCs/>
                <w:sz w:val="42"/>
                <w:szCs w:val="42"/>
                <w:rtl/>
              </w:rPr>
              <w:t>م</w:t>
            </w:r>
          </w:p>
        </w:tc>
        <w:tc>
          <w:tcPr>
            <w:tcW w:w="3261" w:type="dxa"/>
            <w:tcBorders>
              <w:top w:val="single" w:sz="4" w:space="0" w:color="auto"/>
              <w:bottom w:val="single" w:sz="12" w:space="0" w:color="auto"/>
            </w:tcBorders>
          </w:tcPr>
          <w:p w14:paraId="2B46F4E9" w14:textId="77777777" w:rsidR="00803A0A" w:rsidRPr="00803A0A" w:rsidRDefault="00803A0A" w:rsidP="00803A0A">
            <w:pPr>
              <w:suppressAutoHyphens/>
              <w:bidi w:val="0"/>
              <w:spacing w:before="240" w:line="240" w:lineRule="exact"/>
              <w:jc w:val="left"/>
              <w:rPr>
                <w:rFonts w:eastAsia="Times New Roman"/>
              </w:rPr>
            </w:pPr>
            <w:r w:rsidRPr="00803A0A">
              <w:rPr>
                <w:rFonts w:eastAsia="Times New Roman"/>
              </w:rPr>
              <w:t>Distr.: General</w:t>
            </w:r>
          </w:p>
          <w:p w14:paraId="5C2E481D" w14:textId="77777777" w:rsidR="00803A0A" w:rsidRPr="00803A0A" w:rsidRDefault="00803A0A" w:rsidP="00803A0A">
            <w:pPr>
              <w:suppressAutoHyphens/>
              <w:bidi w:val="0"/>
              <w:spacing w:line="240" w:lineRule="exact"/>
              <w:jc w:val="left"/>
              <w:rPr>
                <w:rFonts w:eastAsia="Times New Roman"/>
              </w:rPr>
            </w:pPr>
            <w:r w:rsidRPr="00803A0A">
              <w:rPr>
                <w:rFonts w:eastAsia="Times New Roman"/>
              </w:rPr>
              <w:t>2 March 2026</w:t>
            </w:r>
          </w:p>
          <w:p w14:paraId="76916696" w14:textId="56013F25" w:rsidR="00803A0A" w:rsidRPr="00803A0A" w:rsidRDefault="00803A0A" w:rsidP="00803A0A">
            <w:pPr>
              <w:suppressAutoHyphens/>
              <w:bidi w:val="0"/>
              <w:spacing w:line="240" w:lineRule="exact"/>
              <w:jc w:val="left"/>
              <w:rPr>
                <w:rFonts w:eastAsia="Times New Roman"/>
              </w:rPr>
            </w:pPr>
            <w:r w:rsidRPr="00E64594">
              <w:rPr>
                <w:rFonts w:eastAsia="Times New Roman"/>
              </w:rPr>
              <w:t>Arabic</w:t>
            </w:r>
          </w:p>
          <w:p w14:paraId="7A162F27" w14:textId="43197178" w:rsidR="006B3E27" w:rsidRPr="00E64594" w:rsidRDefault="00803A0A" w:rsidP="00803A0A">
            <w:pPr>
              <w:bidi w:val="0"/>
              <w:jc w:val="left"/>
            </w:pPr>
            <w:r w:rsidRPr="00E64594">
              <w:rPr>
                <w:rFonts w:eastAsia="Times New Roman"/>
                <w:lang w:eastAsia="en-US"/>
              </w:rPr>
              <w:t>Original: English</w:t>
            </w:r>
          </w:p>
        </w:tc>
      </w:tr>
    </w:tbl>
    <w:p w14:paraId="5CEF5A07" w14:textId="77777777" w:rsidR="00803A0A" w:rsidRPr="00E64594" w:rsidRDefault="00803A0A" w:rsidP="00803A0A">
      <w:pPr>
        <w:pStyle w:val="SingleTxtGA"/>
        <w:spacing w:before="120" w:after="0"/>
        <w:ind w:left="0"/>
        <w:rPr>
          <w:b/>
          <w:bCs/>
          <w:sz w:val="26"/>
          <w:szCs w:val="26"/>
          <w:rtl/>
        </w:rPr>
      </w:pPr>
      <w:r w:rsidRPr="00E64594">
        <w:rPr>
          <w:b/>
          <w:bCs/>
          <w:sz w:val="26"/>
          <w:szCs w:val="26"/>
          <w:rtl/>
        </w:rPr>
        <w:t>اللجنة المعنية بحماية حقوق جميع العمال المهاجرين وأفراد أسرهم</w:t>
      </w:r>
    </w:p>
    <w:p w14:paraId="655D9F93" w14:textId="1ED1A8E0" w:rsidR="00803A0A" w:rsidRPr="00E64594" w:rsidRDefault="00803A0A" w:rsidP="00803A0A">
      <w:pPr>
        <w:pStyle w:val="HChGA"/>
        <w:rPr>
          <w:rtl/>
          <w:lang w:val="en-US"/>
        </w:rPr>
      </w:pPr>
      <w:r w:rsidRPr="00E64594">
        <w:rPr>
          <w:rtl/>
          <w:lang w:val="en-US"/>
        </w:rPr>
        <w:tab/>
      </w:r>
      <w:r w:rsidRPr="00E64594">
        <w:rPr>
          <w:rtl/>
          <w:lang w:val="en-US"/>
        </w:rPr>
        <w:tab/>
        <w:t>تقرير عن متابعة الملاحظات الختامية للجنة المعنية بحماية حقوق جميع العمال المهاجرين وأفراد أسرهم</w:t>
      </w:r>
      <w:r w:rsidRPr="00E64594">
        <w:rPr>
          <w:rStyle w:val="FootnoteReference"/>
          <w:vertAlign w:val="baseline"/>
          <w:rtl/>
          <w:lang w:val="en-US"/>
        </w:rPr>
        <w:footnoteReference w:customMarkFollows="1" w:id="1"/>
        <w:t>*</w:t>
      </w:r>
    </w:p>
    <w:p w14:paraId="53BFACDB" w14:textId="77777777" w:rsidR="00803A0A" w:rsidRPr="00E64594" w:rsidRDefault="00803A0A" w:rsidP="00803A0A">
      <w:pPr>
        <w:pStyle w:val="H23GA"/>
        <w:rPr>
          <w:rtl/>
          <w:lang w:val="en-US"/>
        </w:rPr>
      </w:pPr>
      <w:r w:rsidRPr="00E64594">
        <w:rPr>
          <w:rtl/>
          <w:lang w:val="en-US"/>
        </w:rPr>
        <w:tab/>
      </w:r>
      <w:r w:rsidRPr="00E64594">
        <w:rPr>
          <w:rtl/>
          <w:lang w:val="en-US"/>
        </w:rPr>
        <w:tab/>
        <w:t>إضافة</w:t>
      </w:r>
    </w:p>
    <w:p w14:paraId="7B574152" w14:textId="77777777" w:rsidR="00803A0A" w:rsidRPr="00E64594" w:rsidRDefault="00803A0A" w:rsidP="00803A0A">
      <w:pPr>
        <w:pStyle w:val="H1GA"/>
        <w:rPr>
          <w:rtl/>
          <w:lang w:val="en-US"/>
        </w:rPr>
      </w:pPr>
      <w:r w:rsidRPr="00E64594">
        <w:rPr>
          <w:rtl/>
          <w:lang w:val="en-US"/>
        </w:rPr>
        <w:tab/>
      </w:r>
      <w:r w:rsidRPr="00E64594">
        <w:rPr>
          <w:rtl/>
          <w:lang w:val="en-US"/>
        </w:rPr>
        <w:tab/>
        <w:t>تقييم المعلومات المتعلقة بمتابعة الملاحظات الختامية بشأن أذربيجان</w:t>
      </w:r>
    </w:p>
    <w:tbl>
      <w:tblPr>
        <w:tblStyle w:val="TableGrid"/>
        <w:bidiVisual/>
        <w:tblW w:w="0" w:type="auto"/>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0"/>
        <w:gridCol w:w="5672"/>
      </w:tblGrid>
      <w:tr w:rsidR="001377EA" w:rsidRPr="00E64594" w14:paraId="7E63A558" w14:textId="77777777" w:rsidTr="001377EA">
        <w:tc>
          <w:tcPr>
            <w:tcW w:w="2720" w:type="dxa"/>
          </w:tcPr>
          <w:p w14:paraId="69A72561" w14:textId="789B90AB" w:rsidR="001377EA" w:rsidRPr="00E64594" w:rsidRDefault="001377EA" w:rsidP="001377EA">
            <w:pPr>
              <w:pStyle w:val="SingleTxtGA"/>
              <w:ind w:left="0" w:right="284"/>
              <w:rPr>
                <w:rFonts w:ascii="Times New Roman Italic" w:hAnsi="Times New Roman Italic"/>
                <w:spacing w:val="-4"/>
                <w:rtl/>
              </w:rPr>
            </w:pPr>
            <w:r w:rsidRPr="00E64594">
              <w:rPr>
                <w:rFonts w:ascii="Times New Roman Italic" w:hAnsi="Times New Roman Italic"/>
                <w:i/>
                <w:iCs/>
                <w:spacing w:val="-4"/>
                <w:rtl/>
              </w:rPr>
              <w:t>الملاحظات الختامية (الدورة 33):</w:t>
            </w:r>
          </w:p>
        </w:tc>
        <w:tc>
          <w:tcPr>
            <w:tcW w:w="5672" w:type="dxa"/>
          </w:tcPr>
          <w:p w14:paraId="4C51EFA7" w14:textId="19232133" w:rsidR="001377EA" w:rsidRPr="00E64594" w:rsidRDefault="001377EA" w:rsidP="001377EA">
            <w:pPr>
              <w:pStyle w:val="SingleTxtGA"/>
              <w:ind w:left="0"/>
              <w:rPr>
                <w:rtl/>
              </w:rPr>
            </w:pPr>
            <w:hyperlink r:id="rId9" w:history="1">
              <w:r w:rsidRPr="00E64594">
                <w:rPr>
                  <w:rStyle w:val="Hyperlink"/>
                  <w:spacing w:val="-6"/>
                </w:rPr>
                <w:t>CMW/C/AZE/CO/3</w:t>
              </w:r>
            </w:hyperlink>
            <w:r w:rsidRPr="00E64594">
              <w:rPr>
                <w:spacing w:val="-6"/>
                <w:rtl/>
              </w:rPr>
              <w:t>، 8 تشرين الأول/أكتوبر 2021</w:t>
            </w:r>
          </w:p>
        </w:tc>
      </w:tr>
      <w:tr w:rsidR="001377EA" w:rsidRPr="00E64594" w14:paraId="4F2EF6B0" w14:textId="77777777" w:rsidTr="001377EA">
        <w:tc>
          <w:tcPr>
            <w:tcW w:w="2720" w:type="dxa"/>
          </w:tcPr>
          <w:p w14:paraId="4FCB0C57" w14:textId="1916D304" w:rsidR="001377EA" w:rsidRPr="00E64594" w:rsidRDefault="001377EA" w:rsidP="001377EA">
            <w:pPr>
              <w:pStyle w:val="SingleTxtGA"/>
              <w:ind w:left="0" w:right="284"/>
              <w:rPr>
                <w:rFonts w:ascii="Times New Roman Italic" w:hAnsi="Times New Roman Italic"/>
                <w:spacing w:val="-4"/>
                <w:rtl/>
              </w:rPr>
            </w:pPr>
            <w:r w:rsidRPr="00E64594">
              <w:rPr>
                <w:rFonts w:ascii="Times New Roman Italic" w:hAnsi="Times New Roman Italic"/>
                <w:i/>
                <w:iCs/>
                <w:spacing w:val="-4"/>
                <w:rtl/>
              </w:rPr>
              <w:t>الفقرات المشمولة بالمتابعة:</w:t>
            </w:r>
          </w:p>
        </w:tc>
        <w:tc>
          <w:tcPr>
            <w:tcW w:w="5672" w:type="dxa"/>
          </w:tcPr>
          <w:p w14:paraId="3BA54AAF" w14:textId="5C2CAC1C" w:rsidR="001377EA" w:rsidRPr="00E64594" w:rsidRDefault="001377EA" w:rsidP="001377EA">
            <w:pPr>
              <w:pStyle w:val="SingleTxtGA"/>
              <w:ind w:left="0"/>
              <w:rPr>
                <w:rtl/>
              </w:rPr>
            </w:pPr>
            <w:r w:rsidRPr="00E64594">
              <w:rPr>
                <w:rtl/>
              </w:rPr>
              <w:t>16 و36 و60 و62</w:t>
            </w:r>
          </w:p>
        </w:tc>
      </w:tr>
      <w:tr w:rsidR="001377EA" w:rsidRPr="00E64594" w14:paraId="08422A1F" w14:textId="77777777" w:rsidTr="001377EA">
        <w:tc>
          <w:tcPr>
            <w:tcW w:w="2720" w:type="dxa"/>
          </w:tcPr>
          <w:p w14:paraId="57BA92FB" w14:textId="19EE39DF" w:rsidR="001377EA" w:rsidRPr="00E64594" w:rsidRDefault="001377EA" w:rsidP="001377EA">
            <w:pPr>
              <w:pStyle w:val="SingleTxtGA"/>
              <w:ind w:left="0" w:right="284"/>
              <w:rPr>
                <w:rFonts w:ascii="Times New Roman Italic" w:hAnsi="Times New Roman Italic"/>
                <w:spacing w:val="-4"/>
                <w:rtl/>
              </w:rPr>
            </w:pPr>
            <w:r w:rsidRPr="00E64594">
              <w:rPr>
                <w:rFonts w:ascii="Times New Roman Italic" w:hAnsi="Times New Roman Italic"/>
                <w:i/>
                <w:iCs/>
                <w:spacing w:val="-4"/>
                <w:rtl/>
              </w:rPr>
              <w:t>المعلومات الواردة من الدولة الطرف:</w:t>
            </w:r>
          </w:p>
        </w:tc>
        <w:tc>
          <w:tcPr>
            <w:tcW w:w="5672" w:type="dxa"/>
          </w:tcPr>
          <w:p w14:paraId="2BA5873E" w14:textId="22F77A02" w:rsidR="001377EA" w:rsidRPr="00E64594" w:rsidRDefault="001377EA" w:rsidP="001377EA">
            <w:pPr>
              <w:pStyle w:val="SingleTxtGA"/>
              <w:ind w:left="0"/>
              <w:rPr>
                <w:rtl/>
              </w:rPr>
            </w:pPr>
            <w:hyperlink r:id="rId10" w:history="1">
              <w:r w:rsidRPr="00E64594">
                <w:rPr>
                  <w:rStyle w:val="Hyperlink"/>
                  <w:spacing w:val="-6"/>
                </w:rPr>
                <w:t>CMW/C/AZE/FCO/3</w:t>
              </w:r>
            </w:hyperlink>
            <w:r w:rsidRPr="00E64594">
              <w:rPr>
                <w:spacing w:val="-6"/>
                <w:rtl/>
              </w:rPr>
              <w:t>، 17 كانون الثاني/يناير 2024</w:t>
            </w:r>
          </w:p>
        </w:tc>
      </w:tr>
      <w:tr w:rsidR="001377EA" w:rsidRPr="00E64594" w14:paraId="3341E24D" w14:textId="77777777" w:rsidTr="001377EA">
        <w:tc>
          <w:tcPr>
            <w:tcW w:w="2720" w:type="dxa"/>
          </w:tcPr>
          <w:p w14:paraId="6D569D82" w14:textId="0CB035A2" w:rsidR="001377EA" w:rsidRPr="00E64594" w:rsidRDefault="001377EA" w:rsidP="001377EA">
            <w:pPr>
              <w:pStyle w:val="SingleTxtGA"/>
              <w:ind w:left="0" w:right="284"/>
              <w:rPr>
                <w:rFonts w:ascii="Times New Roman Italic" w:hAnsi="Times New Roman Italic"/>
                <w:spacing w:val="-4"/>
                <w:rtl/>
              </w:rPr>
            </w:pPr>
            <w:r w:rsidRPr="00E64594">
              <w:rPr>
                <w:rFonts w:ascii="Times New Roman Italic" w:hAnsi="Times New Roman Italic"/>
                <w:i/>
                <w:iCs/>
                <w:spacing w:val="-4"/>
                <w:rtl/>
              </w:rPr>
              <w:t>المعلومات الواردة من الجهة صاحبة المصلحة:</w:t>
            </w:r>
          </w:p>
        </w:tc>
        <w:tc>
          <w:tcPr>
            <w:tcW w:w="5672" w:type="dxa"/>
          </w:tcPr>
          <w:p w14:paraId="2EE5718C" w14:textId="4E229185" w:rsidR="001377EA" w:rsidRPr="00E64594" w:rsidRDefault="001377EA" w:rsidP="001377EA">
            <w:pPr>
              <w:pStyle w:val="SingleTxtGA"/>
              <w:ind w:left="0"/>
              <w:rPr>
                <w:rtl/>
              </w:rPr>
            </w:pPr>
            <w:r w:rsidRPr="00E64594">
              <w:rPr>
                <w:rtl/>
              </w:rPr>
              <w:t>مؤسسة ماعت للسلام والتنمية وحقوق الإنسان، 10 أيار/مايو 2024</w:t>
            </w:r>
          </w:p>
        </w:tc>
      </w:tr>
      <w:tr w:rsidR="001377EA" w:rsidRPr="00E64594" w14:paraId="53B5FDB8" w14:textId="77777777" w:rsidTr="001377EA">
        <w:tc>
          <w:tcPr>
            <w:tcW w:w="2720" w:type="dxa"/>
          </w:tcPr>
          <w:p w14:paraId="019360AB" w14:textId="6AE3C380" w:rsidR="001377EA" w:rsidRPr="00E64594" w:rsidRDefault="001377EA" w:rsidP="001377EA">
            <w:pPr>
              <w:pStyle w:val="SingleTxtGA"/>
              <w:ind w:left="0" w:right="284"/>
              <w:rPr>
                <w:rFonts w:ascii="Times New Roman Italic" w:hAnsi="Times New Roman Italic"/>
                <w:spacing w:val="-4"/>
                <w:rtl/>
              </w:rPr>
            </w:pPr>
            <w:r w:rsidRPr="00E64594">
              <w:rPr>
                <w:rFonts w:ascii="Times New Roman Italic" w:hAnsi="Times New Roman Italic"/>
                <w:i/>
                <w:iCs/>
                <w:spacing w:val="-4"/>
                <w:rtl/>
              </w:rPr>
              <w:t>تقييم اللجنة:</w:t>
            </w:r>
          </w:p>
        </w:tc>
        <w:tc>
          <w:tcPr>
            <w:tcW w:w="5672" w:type="dxa"/>
          </w:tcPr>
          <w:p w14:paraId="0DF0388C" w14:textId="339AFC0C" w:rsidR="001377EA" w:rsidRPr="00E64594" w:rsidRDefault="001377EA" w:rsidP="001377EA">
            <w:pPr>
              <w:pStyle w:val="SingleTxtGA"/>
              <w:ind w:left="0"/>
              <w:rPr>
                <w:rtl/>
              </w:rPr>
            </w:pPr>
            <w:r w:rsidRPr="00E64594">
              <w:rPr>
                <w:rtl/>
              </w:rPr>
              <w:t>16 [جيم] [باء]، و36 [جيم] [جيم]، و60 [باء] [جيم] [واو]، و62</w:t>
            </w:r>
            <w:r w:rsidR="008B1709" w:rsidRPr="00E64594">
              <w:rPr>
                <w:rFonts w:hint="cs"/>
                <w:rtl/>
              </w:rPr>
              <w:t> </w:t>
            </w:r>
            <w:r w:rsidRPr="00E64594">
              <w:rPr>
                <w:rtl/>
              </w:rPr>
              <w:t>[باء] [واو</w:t>
            </w:r>
          </w:p>
        </w:tc>
      </w:tr>
    </w:tbl>
    <w:p w14:paraId="7DEF4A6D" w14:textId="77777777" w:rsidR="00803A0A" w:rsidRPr="00E64594" w:rsidRDefault="00803A0A" w:rsidP="00803A0A">
      <w:pPr>
        <w:pStyle w:val="H1GA"/>
        <w:rPr>
          <w:rtl/>
          <w:lang w:val="en-US"/>
        </w:rPr>
      </w:pPr>
      <w:r w:rsidRPr="00E64594">
        <w:rPr>
          <w:rtl/>
          <w:lang w:val="en-US"/>
        </w:rPr>
        <w:tab/>
      </w:r>
      <w:r w:rsidRPr="00E64594">
        <w:rPr>
          <w:rtl/>
          <w:lang w:val="en-US"/>
        </w:rPr>
        <w:tab/>
        <w:t>الفقرة 16: السياسة والاستراتيجية الشاملتان</w:t>
      </w:r>
    </w:p>
    <w:p w14:paraId="60073A92" w14:textId="0D58AE0C" w:rsidR="00803A0A" w:rsidRPr="00E64594" w:rsidRDefault="00C7414E" w:rsidP="00803A0A">
      <w:pPr>
        <w:pStyle w:val="SingleTxtGA"/>
        <w:rPr>
          <w:b/>
          <w:bCs/>
          <w:rtl/>
        </w:rPr>
      </w:pPr>
      <w:r w:rsidRPr="00E64594">
        <w:rPr>
          <w:b/>
          <w:bCs/>
          <w:rtl/>
        </w:rPr>
        <w:tab/>
      </w:r>
      <w:r w:rsidR="00803A0A" w:rsidRPr="00E64594">
        <w:rPr>
          <w:b/>
          <w:bCs/>
          <w:rtl/>
        </w:rPr>
        <w:t>توصي اللجنة بأن تعتمد الدولة الطرف الاستراتيجية الوطنية للهجرة دون مزيد من التأخير، وتوصي أيضاً بأن تقوم الدولة الطرف بما يلي:</w:t>
      </w:r>
    </w:p>
    <w:p w14:paraId="105EE05D" w14:textId="6FA401F2" w:rsidR="00803A0A" w:rsidRPr="00E64594" w:rsidRDefault="00803A0A" w:rsidP="00803A0A">
      <w:pPr>
        <w:pStyle w:val="SingleTxtGA"/>
        <w:rPr>
          <w:b/>
          <w:bCs/>
          <w:rtl/>
        </w:rPr>
      </w:pPr>
      <w:r w:rsidRPr="00E64594">
        <w:rPr>
          <w:rtl/>
        </w:rPr>
        <w:tab/>
      </w:r>
      <w:r w:rsidRPr="00E64594">
        <w:rPr>
          <w:rtl/>
        </w:rPr>
        <w:t>(أ)</w:t>
      </w:r>
      <w:r w:rsidRPr="00E64594">
        <w:rPr>
          <w:rtl/>
        </w:rPr>
        <w:tab/>
      </w:r>
      <w:r w:rsidRPr="00E64594">
        <w:rPr>
          <w:b/>
          <w:bCs/>
          <w:rtl/>
        </w:rPr>
        <w:t xml:space="preserve">ضمان أن تؤكد الاستراتيجية على تنفيذ الاتفاقية وأن تنص على سياسة شاملة للهجرة </w:t>
      </w:r>
      <w:r w:rsidRPr="00E64594">
        <w:rPr>
          <w:b/>
          <w:bCs/>
          <w:spacing w:val="-4"/>
          <w:rtl/>
        </w:rPr>
        <w:t>قائمة على حقوق الإنسان تراعي المنظور الجنساني واحتياجات الطفل، وتتناول أيضاً حقوق العمال المهاجرين</w:t>
      </w:r>
      <w:r w:rsidRPr="00E64594">
        <w:rPr>
          <w:b/>
          <w:bCs/>
          <w:rtl/>
        </w:rPr>
        <w:t xml:space="preserve"> الأجانب وأفراد أسرهم؛</w:t>
      </w:r>
    </w:p>
    <w:p w14:paraId="22D203CA" w14:textId="462050C8" w:rsidR="00803A0A" w:rsidRPr="00E64594" w:rsidRDefault="00803A0A" w:rsidP="00803A0A">
      <w:pPr>
        <w:pStyle w:val="SingleTxtGA"/>
        <w:rPr>
          <w:b/>
          <w:bCs/>
          <w:spacing w:val="4"/>
          <w:rtl/>
        </w:rPr>
      </w:pPr>
      <w:r w:rsidRPr="00E64594">
        <w:rPr>
          <w:spacing w:val="4"/>
          <w:rtl/>
        </w:rPr>
        <w:tab/>
      </w:r>
      <w:r w:rsidRPr="00E64594">
        <w:rPr>
          <w:spacing w:val="4"/>
          <w:rtl/>
        </w:rPr>
        <w:t>(ب)</w:t>
      </w:r>
      <w:r w:rsidRPr="00E64594">
        <w:rPr>
          <w:spacing w:val="4"/>
          <w:rtl/>
        </w:rPr>
        <w:tab/>
      </w:r>
      <w:r w:rsidRPr="00E64594">
        <w:rPr>
          <w:b/>
          <w:bCs/>
          <w:spacing w:val="4"/>
          <w:rtl/>
        </w:rPr>
        <w:t>اتخاذ تدابير فعالة، لها أطر زمنية ومؤشرات ومعايير رصد وتقييم واضحة، لتنفيذ</w:t>
      </w:r>
      <w:r w:rsidR="008B1709" w:rsidRPr="00E64594">
        <w:rPr>
          <w:rFonts w:hint="cs"/>
          <w:b/>
          <w:bCs/>
          <w:spacing w:val="4"/>
          <w:rtl/>
        </w:rPr>
        <w:t> </w:t>
      </w:r>
      <w:r w:rsidRPr="00E64594">
        <w:rPr>
          <w:b/>
          <w:bCs/>
          <w:spacing w:val="4"/>
          <w:rtl/>
        </w:rPr>
        <w:t>الاستراتيجية وتوفير الموارد البشرية والتقنية والمالية الكافية من أجل تنفيذها، وتضمين تقريرها</w:t>
      </w:r>
      <w:r w:rsidR="008B1709" w:rsidRPr="00E64594">
        <w:rPr>
          <w:rFonts w:hint="cs"/>
          <w:b/>
          <w:bCs/>
          <w:spacing w:val="4"/>
          <w:rtl/>
        </w:rPr>
        <w:t> </w:t>
      </w:r>
      <w:r w:rsidRPr="00E64594">
        <w:rPr>
          <w:b/>
          <w:bCs/>
          <w:spacing w:val="4"/>
          <w:rtl/>
        </w:rPr>
        <w:t>الدوري المقبل المعلومات ذات الصلة بشأن النتائج التي حققتها والصعوبات التي واجهتها، مدعومة</w:t>
      </w:r>
      <w:r w:rsidR="008B1709" w:rsidRPr="00E64594">
        <w:rPr>
          <w:rFonts w:hint="cs"/>
          <w:b/>
          <w:bCs/>
          <w:spacing w:val="4"/>
          <w:rtl/>
        </w:rPr>
        <w:t> </w:t>
      </w:r>
      <w:r w:rsidRPr="00E64594">
        <w:rPr>
          <w:b/>
          <w:bCs/>
          <w:spacing w:val="4"/>
          <w:rtl/>
        </w:rPr>
        <w:t>بالإحصاءات؛</w:t>
      </w:r>
    </w:p>
    <w:p w14:paraId="6DE8121B" w14:textId="60C7DE4C" w:rsidR="00803A0A" w:rsidRPr="00E64594" w:rsidRDefault="00803A0A" w:rsidP="00803A0A">
      <w:pPr>
        <w:pStyle w:val="SingleTxtGA"/>
        <w:rPr>
          <w:b/>
          <w:bCs/>
          <w:rtl/>
        </w:rPr>
      </w:pPr>
      <w:r w:rsidRPr="00E64594">
        <w:rPr>
          <w:rtl/>
        </w:rPr>
        <w:lastRenderedPageBreak/>
        <w:tab/>
      </w:r>
      <w:r w:rsidRPr="00E64594">
        <w:rPr>
          <w:rtl/>
        </w:rPr>
        <w:t>(ج)</w:t>
      </w:r>
      <w:r w:rsidRPr="00E64594">
        <w:rPr>
          <w:rtl/>
        </w:rPr>
        <w:tab/>
      </w:r>
      <w:r w:rsidRPr="00E64594">
        <w:rPr>
          <w:b/>
          <w:bCs/>
          <w:rtl/>
        </w:rPr>
        <w:t>الإسراع في اعتماد مشروع قانون المواطنين المقيمين في الخارج ومنظمات الشتات، في إطار عملية تشاورية بمشاركة</w:t>
      </w:r>
      <w:r w:rsidR="008B1709" w:rsidRPr="00E64594">
        <w:rPr>
          <w:rFonts w:hint="cs"/>
          <w:b/>
          <w:bCs/>
          <w:rtl/>
        </w:rPr>
        <w:t xml:space="preserve"> </w:t>
      </w:r>
      <w:r w:rsidRPr="00E64594">
        <w:rPr>
          <w:b/>
          <w:bCs/>
          <w:rtl/>
        </w:rPr>
        <w:t>العمال المهاجرين الأذربيجانيين وأفراد أسرهم ومنظمات المهاجرين، وضمان حماية حقوقهم في الخارج بموجب هذا القانون.</w:t>
      </w:r>
    </w:p>
    <w:p w14:paraId="7B0B78B6" w14:textId="77777777" w:rsidR="00803A0A" w:rsidRPr="00E64594" w:rsidRDefault="00803A0A" w:rsidP="00803A0A">
      <w:pPr>
        <w:pStyle w:val="H23GA"/>
        <w:rPr>
          <w:rtl/>
          <w:lang w:val="en-US"/>
        </w:rPr>
      </w:pPr>
      <w:r w:rsidRPr="00E64594">
        <w:rPr>
          <w:rtl/>
          <w:lang w:val="en-US"/>
        </w:rPr>
        <w:tab/>
      </w:r>
      <w:r w:rsidRPr="00E64594">
        <w:rPr>
          <w:rtl/>
          <w:lang w:val="en-US"/>
        </w:rPr>
        <w:tab/>
        <w:t>ردّ الدولة الطرف</w:t>
      </w:r>
    </w:p>
    <w:p w14:paraId="0222D555" w14:textId="1E19CC3E" w:rsidR="00803A0A" w:rsidRPr="00E64594" w:rsidRDefault="00C7414E" w:rsidP="00803A0A">
      <w:pPr>
        <w:pStyle w:val="SingleTxtGA"/>
        <w:rPr>
          <w:rtl/>
        </w:rPr>
      </w:pPr>
      <w:r w:rsidRPr="00E64594">
        <w:rPr>
          <w:rtl/>
        </w:rPr>
        <w:tab/>
      </w:r>
      <w:r w:rsidR="00803A0A" w:rsidRPr="00E64594">
        <w:rPr>
          <w:rtl/>
        </w:rPr>
        <w:t xml:space="preserve">يَردُ رد الدولة الطرف في الوثيقة </w:t>
      </w:r>
      <w:hyperlink r:id="rId11" w:history="1">
        <w:r w:rsidR="00803A0A" w:rsidRPr="00E64594">
          <w:rPr>
            <w:rStyle w:val="Hyperlink"/>
          </w:rPr>
          <w:t>CMW/C/AZE/FCO/3</w:t>
        </w:r>
      </w:hyperlink>
      <w:r w:rsidR="00803A0A" w:rsidRPr="00E64594">
        <w:rPr>
          <w:rtl/>
        </w:rPr>
        <w:t>، في الفقرات من 1 إلى 12.</w:t>
      </w:r>
    </w:p>
    <w:p w14:paraId="0D5ED10F" w14:textId="77777777" w:rsidR="00803A0A" w:rsidRPr="00E64594" w:rsidRDefault="00803A0A" w:rsidP="00803A0A">
      <w:pPr>
        <w:pStyle w:val="H23GA"/>
        <w:rPr>
          <w:rtl/>
          <w:lang w:val="en-US"/>
        </w:rPr>
      </w:pPr>
      <w:r w:rsidRPr="00E64594">
        <w:rPr>
          <w:rtl/>
          <w:lang w:val="en-US"/>
        </w:rPr>
        <w:tab/>
      </w:r>
      <w:r w:rsidRPr="00E64594">
        <w:rPr>
          <w:rtl/>
          <w:lang w:val="en-US"/>
        </w:rPr>
        <w:tab/>
        <w:t>تقييم اللجنة</w:t>
      </w:r>
    </w:p>
    <w:p w14:paraId="0986E241" w14:textId="77777777" w:rsidR="00803A0A" w:rsidRPr="00E64594" w:rsidRDefault="00803A0A" w:rsidP="00803A0A">
      <w:pPr>
        <w:pStyle w:val="SingleTxtGA"/>
        <w:rPr>
          <w:rtl/>
        </w:rPr>
      </w:pPr>
      <w:r w:rsidRPr="00E64594">
        <w:rPr>
          <w:b/>
          <w:bCs/>
          <w:rtl/>
        </w:rPr>
        <w:t>[جيم]</w:t>
      </w:r>
      <w:r w:rsidRPr="00E64594">
        <w:rPr>
          <w:rtl/>
        </w:rPr>
        <w:t>: الفقرة 16(أ) و(ب)</w:t>
      </w:r>
    </w:p>
    <w:p w14:paraId="16A28BC4" w14:textId="5EBD1DBE" w:rsidR="00803A0A" w:rsidRPr="00E64594" w:rsidRDefault="00C7414E" w:rsidP="008B1709">
      <w:pPr>
        <w:pStyle w:val="SingleTxtGA"/>
        <w:spacing w:line="346" w:lineRule="exact"/>
        <w:rPr>
          <w:rtl/>
        </w:rPr>
      </w:pPr>
      <w:r w:rsidRPr="00E64594">
        <w:rPr>
          <w:rtl/>
        </w:rPr>
        <w:tab/>
      </w:r>
      <w:r w:rsidR="00803A0A" w:rsidRPr="00E64594">
        <w:rPr>
          <w:rtl/>
        </w:rPr>
        <w:t xml:space="preserve">تأسف اللجنة لعدم تقديم معلومات عن حالة الاستراتيجية الوطنية للهجرة في أذربيجان. وتطلب </w:t>
      </w:r>
      <w:r w:rsidR="00803A0A" w:rsidRPr="00E64594">
        <w:rPr>
          <w:spacing w:val="-2"/>
          <w:rtl/>
        </w:rPr>
        <w:t>مزيداً من المعلومات عن العملية التشاورية التي أُجريت مع الجهات المعنية صاحبة المصلحة، ومن ضمنها</w:t>
      </w:r>
      <w:r w:rsidR="00803A0A" w:rsidRPr="00E64594">
        <w:rPr>
          <w:rtl/>
        </w:rPr>
        <w:t xml:space="preserve"> المجتمع المدني والمؤسسة الوطنية لحقوق الإنسان والعمال المهاجرون وأفراد أسرهم، في إطار وضع الاستراتيجية. وتشجع اللجنة الدولةَ الطرف على اتخاذ تدابير لتنفيذ توصيتها التي تدعو إلى اعتماد الاستراتيجية الوطنية للهجرة، بما يتماشى مع أحكام الاتفاقية، دون مزيد من التأخير، وتخصيص الموارد البشرية والتقنية والمالية الكافية لتنفيذها. وترى اللجنة أن التوصية لم تُنفَّذ.</w:t>
      </w:r>
    </w:p>
    <w:p w14:paraId="74D8A1DC" w14:textId="77777777" w:rsidR="00803A0A" w:rsidRPr="00E64594" w:rsidRDefault="00803A0A" w:rsidP="00803A0A">
      <w:pPr>
        <w:pStyle w:val="SingleTxtGA"/>
        <w:rPr>
          <w:rtl/>
        </w:rPr>
      </w:pPr>
      <w:r w:rsidRPr="00E64594">
        <w:rPr>
          <w:b/>
          <w:bCs/>
          <w:rtl/>
        </w:rPr>
        <w:t>[باء]</w:t>
      </w:r>
      <w:r w:rsidRPr="00E64594">
        <w:rPr>
          <w:rtl/>
        </w:rPr>
        <w:t>: الفقرة 16(ج)</w:t>
      </w:r>
    </w:p>
    <w:p w14:paraId="35C675F3" w14:textId="182AFD35" w:rsidR="00803A0A" w:rsidRPr="00E64594" w:rsidRDefault="00C7414E" w:rsidP="008B1709">
      <w:pPr>
        <w:pStyle w:val="SingleTxtGA"/>
        <w:spacing w:line="346" w:lineRule="exact"/>
        <w:rPr>
          <w:rtl/>
        </w:rPr>
      </w:pPr>
      <w:r w:rsidRPr="00E64594">
        <w:rPr>
          <w:rtl/>
        </w:rPr>
        <w:tab/>
      </w:r>
      <w:r w:rsidR="00803A0A" w:rsidRPr="00E64594">
        <w:rPr>
          <w:rtl/>
        </w:rPr>
        <w:t xml:space="preserve">ترحب اللجنة بالمعلومات المقدمة بشأن مشروع القانون المتعلق بالمواطنين المقيمين في الخارج ومنظمات الشتات، الذي يمنح المواطنين المقيمين في الخارج الحق في مزاولة عمل مدفوع الأجر في إقليم أذربيجان دون الحصول على تصريح عمل، بما يتوافق مع مقتضيات قوانين الهجرة والعمل، وبشأن </w:t>
      </w:r>
      <w:r w:rsidR="00803A0A" w:rsidRPr="00E64594">
        <w:rPr>
          <w:spacing w:val="-3"/>
          <w:rtl/>
        </w:rPr>
        <w:t>المشاورات التي أُجريت مع الجهات المعنية صاحبة المصلحة. وتطلب اللجنة مزيداً من المعلومات عن الكيفية</w:t>
      </w:r>
      <w:r w:rsidR="00803A0A" w:rsidRPr="00E64594">
        <w:rPr>
          <w:rtl/>
        </w:rPr>
        <w:t xml:space="preserve"> </w:t>
      </w:r>
      <w:r w:rsidR="00803A0A" w:rsidRPr="00E64594">
        <w:rPr>
          <w:spacing w:val="-3"/>
          <w:rtl/>
        </w:rPr>
        <w:t>التي يضمن بها القانون حماية حقوق هؤلاء الأشخاص في الخارج، وتؤكد من جديد توصيتها باعتماد مشروع</w:t>
      </w:r>
      <w:r w:rsidR="00803A0A" w:rsidRPr="00E64594">
        <w:rPr>
          <w:rtl/>
        </w:rPr>
        <w:t xml:space="preserve"> القانون دون مزيد من التأخير. وترى اللجنة أن التوصية نُفِّذت جزئياً.</w:t>
      </w:r>
    </w:p>
    <w:p w14:paraId="19A7BD07" w14:textId="77777777" w:rsidR="00803A0A" w:rsidRPr="00E64594" w:rsidRDefault="00803A0A" w:rsidP="00803A0A">
      <w:pPr>
        <w:pStyle w:val="H1GA"/>
        <w:rPr>
          <w:rtl/>
          <w:lang w:val="en-US"/>
        </w:rPr>
      </w:pPr>
      <w:r w:rsidRPr="00E64594">
        <w:rPr>
          <w:rtl/>
          <w:lang w:val="en-US"/>
        </w:rPr>
        <w:tab/>
      </w:r>
      <w:r w:rsidRPr="00E64594">
        <w:rPr>
          <w:rtl/>
          <w:lang w:val="en-US"/>
        </w:rPr>
        <w:tab/>
        <w:t>الفقرة 36: الإجراءات القانونية الواجبة والاحتجاز والمساواة أمام المحاكم</w:t>
      </w:r>
    </w:p>
    <w:p w14:paraId="530B6F89" w14:textId="4440A568" w:rsidR="00803A0A" w:rsidRPr="00E64594" w:rsidRDefault="00C7414E" w:rsidP="008B1709">
      <w:pPr>
        <w:pStyle w:val="SingleTxtGA"/>
        <w:spacing w:line="346" w:lineRule="exact"/>
        <w:rPr>
          <w:b/>
          <w:bCs/>
          <w:rtl/>
        </w:rPr>
      </w:pPr>
      <w:r w:rsidRPr="00E64594">
        <w:rPr>
          <w:b/>
          <w:bCs/>
          <w:rtl/>
        </w:rPr>
        <w:tab/>
      </w:r>
      <w:r w:rsidR="00803A0A" w:rsidRPr="00E64594">
        <w:rPr>
          <w:b/>
          <w:bCs/>
          <w:rtl/>
        </w:rPr>
        <w:t>توصي اللجنة، وفقاً لتعليقها العام رقم 5(2021)، بأن تقوم الدولة الطرف بما يلي:</w:t>
      </w:r>
    </w:p>
    <w:p w14:paraId="78C2CB3C" w14:textId="4E79F2BC" w:rsidR="00803A0A" w:rsidRPr="00E64594" w:rsidRDefault="00803A0A" w:rsidP="008B1709">
      <w:pPr>
        <w:pStyle w:val="SingleTxtGA"/>
        <w:spacing w:line="346" w:lineRule="exact"/>
        <w:rPr>
          <w:b/>
          <w:bCs/>
          <w:rtl/>
        </w:rPr>
      </w:pPr>
      <w:r w:rsidRPr="00E64594">
        <w:rPr>
          <w:spacing w:val="-2"/>
          <w:rtl/>
        </w:rPr>
        <w:tab/>
      </w:r>
      <w:r w:rsidRPr="00E64594">
        <w:rPr>
          <w:spacing w:val="-2"/>
          <w:rtl/>
        </w:rPr>
        <w:t>(أ)</w:t>
      </w:r>
      <w:r w:rsidRPr="00E64594">
        <w:rPr>
          <w:spacing w:val="-2"/>
          <w:rtl/>
        </w:rPr>
        <w:tab/>
      </w:r>
      <w:r w:rsidRPr="00E64594">
        <w:rPr>
          <w:b/>
          <w:bCs/>
          <w:spacing w:val="-2"/>
          <w:rtl/>
        </w:rPr>
        <w:t>اعتماد تدابير للإنهاء التدريجي لاحتجاز المهاجرين ووضع حد له في نهاية المطاف،</w:t>
      </w:r>
      <w:r w:rsidRPr="00E64594">
        <w:rPr>
          <w:b/>
          <w:bCs/>
          <w:rtl/>
        </w:rPr>
        <w:t xml:space="preserve"> وسن قرينة قانونية ضد الاحتجاز، وبالتالي، لصالح الحرية؛</w:t>
      </w:r>
    </w:p>
    <w:p w14:paraId="63FBAF49" w14:textId="776CBE67" w:rsidR="00803A0A" w:rsidRPr="00E64594" w:rsidRDefault="00803A0A" w:rsidP="008B1709">
      <w:pPr>
        <w:pStyle w:val="SingleTxtGA"/>
        <w:spacing w:line="346" w:lineRule="exact"/>
        <w:rPr>
          <w:b/>
          <w:bCs/>
          <w:rtl/>
        </w:rPr>
      </w:pPr>
      <w:r w:rsidRPr="00E64594">
        <w:rPr>
          <w:spacing w:val="-4"/>
          <w:rtl/>
        </w:rPr>
        <w:tab/>
      </w:r>
      <w:r w:rsidRPr="00E64594">
        <w:rPr>
          <w:spacing w:val="-4"/>
          <w:rtl/>
        </w:rPr>
        <w:t>(ب)</w:t>
      </w:r>
      <w:r w:rsidRPr="00E64594">
        <w:rPr>
          <w:spacing w:val="-4"/>
          <w:rtl/>
        </w:rPr>
        <w:tab/>
      </w:r>
      <w:r w:rsidRPr="00E64594">
        <w:rPr>
          <w:b/>
          <w:bCs/>
          <w:spacing w:val="-4"/>
          <w:rtl/>
        </w:rPr>
        <w:t>التوقّف فوراً عن احتجاز الأطفال المهاجرين، سواء كانوا غير مصحوبين أو منفصلين</w:t>
      </w:r>
      <w:r w:rsidRPr="00E64594">
        <w:rPr>
          <w:b/>
          <w:bCs/>
          <w:rtl/>
        </w:rPr>
        <w:t xml:space="preserve"> عن والديهم أو بمعيّة أسرهم، هم وغيرهم من الفئات الضعيفة من العمال المهاجرين وأفراد أسرهم، فضلاً</w:t>
      </w:r>
      <w:r w:rsidRPr="00E64594">
        <w:rPr>
          <w:rFonts w:hint="cs"/>
          <w:b/>
          <w:bCs/>
          <w:rtl/>
        </w:rPr>
        <w:t> </w:t>
      </w:r>
      <w:r w:rsidRPr="00E64594">
        <w:rPr>
          <w:b/>
          <w:bCs/>
          <w:rtl/>
        </w:rPr>
        <w:t>عن ملتمسي</w:t>
      </w:r>
      <w:r w:rsidRPr="00E64594">
        <w:rPr>
          <w:b/>
          <w:bCs/>
          <w:rtl/>
        </w:rPr>
        <w:t xml:space="preserve"> </w:t>
      </w:r>
      <w:r w:rsidRPr="00E64594">
        <w:rPr>
          <w:b/>
          <w:bCs/>
          <w:rtl/>
        </w:rPr>
        <w:t>اللجوء واللاجئين؛</w:t>
      </w:r>
    </w:p>
    <w:p w14:paraId="49807257" w14:textId="464B7D99" w:rsidR="00803A0A" w:rsidRPr="00E64594" w:rsidRDefault="00803A0A" w:rsidP="008B1709">
      <w:pPr>
        <w:pStyle w:val="SingleTxtGA"/>
        <w:spacing w:line="346" w:lineRule="exact"/>
        <w:rPr>
          <w:b/>
          <w:bCs/>
          <w:rtl/>
        </w:rPr>
      </w:pPr>
      <w:r w:rsidRPr="00E64594">
        <w:rPr>
          <w:rtl/>
        </w:rPr>
        <w:tab/>
      </w:r>
      <w:r w:rsidRPr="00E64594">
        <w:rPr>
          <w:rtl/>
        </w:rPr>
        <w:t>(ج)</w:t>
      </w:r>
      <w:r w:rsidRPr="00E64594">
        <w:rPr>
          <w:rtl/>
        </w:rPr>
        <w:tab/>
      </w:r>
      <w:r w:rsidRPr="00E64594">
        <w:rPr>
          <w:b/>
          <w:bCs/>
          <w:rtl/>
        </w:rPr>
        <w:t>كفالة ما يلي:</w:t>
      </w:r>
    </w:p>
    <w:p w14:paraId="5FAF3FE2" w14:textId="77777777" w:rsidR="00803A0A" w:rsidRPr="00E64594" w:rsidRDefault="00803A0A" w:rsidP="008B1709">
      <w:pPr>
        <w:pStyle w:val="SingleTxtGA"/>
        <w:spacing w:line="346" w:lineRule="exact"/>
        <w:ind w:left="2608" w:hanging="680"/>
        <w:rPr>
          <w:rFonts w:hint="cs"/>
          <w:b/>
          <w:bCs/>
          <w:rtl/>
        </w:rPr>
      </w:pPr>
      <w:r w:rsidRPr="00E64594">
        <w:rPr>
          <w:rtl/>
        </w:rPr>
        <w:t>’1‘</w:t>
      </w:r>
      <w:r w:rsidRPr="00E64594">
        <w:rPr>
          <w:rtl/>
        </w:rPr>
        <w:tab/>
      </w:r>
      <w:r w:rsidRPr="00E64594">
        <w:rPr>
          <w:b/>
          <w:bCs/>
          <w:rtl/>
        </w:rPr>
        <w:t>أن يكون احتجاز المهاجرين، تدبيراً استثنائياً من تدابير الملاذ الأخير مستهدفاً تحقيق غاية مشروعة، وضرورياً ومتناسباً، ويُطبَّق لأقصر فترة ممكنة في جميع الحالات الأخرى؛</w:t>
      </w:r>
    </w:p>
    <w:p w14:paraId="6132977E" w14:textId="77777777" w:rsidR="00803A0A" w:rsidRPr="00E64594" w:rsidRDefault="00803A0A" w:rsidP="008B1709">
      <w:pPr>
        <w:pStyle w:val="SingleTxtGA"/>
        <w:spacing w:line="346" w:lineRule="exact"/>
        <w:ind w:left="2608" w:hanging="680"/>
        <w:rPr>
          <w:b/>
          <w:bCs/>
          <w:rtl/>
        </w:rPr>
      </w:pPr>
      <w:r w:rsidRPr="00E64594">
        <w:rPr>
          <w:rtl/>
        </w:rPr>
        <w:t>’2‘</w:t>
      </w:r>
      <w:r w:rsidRPr="00E64594">
        <w:rPr>
          <w:rtl/>
        </w:rPr>
        <w:tab/>
      </w:r>
      <w:r w:rsidRPr="00E64594">
        <w:rPr>
          <w:b/>
          <w:bCs/>
          <w:rtl/>
        </w:rPr>
        <w:t>أن تُحدَّد أسس الاحتجاز في كل حالة مع إيراد أسباب محددة لعدم القدرة على تنفيذ تدابير بديلة؛</w:t>
      </w:r>
    </w:p>
    <w:p w14:paraId="6CEAA72B" w14:textId="77777777" w:rsidR="00803A0A" w:rsidRPr="00E64594" w:rsidRDefault="00803A0A" w:rsidP="008B1709">
      <w:pPr>
        <w:pStyle w:val="SingleTxtGA"/>
        <w:spacing w:line="346" w:lineRule="exact"/>
        <w:ind w:left="2608" w:hanging="680"/>
        <w:rPr>
          <w:b/>
          <w:bCs/>
          <w:rtl/>
        </w:rPr>
      </w:pPr>
      <w:r w:rsidRPr="00E64594">
        <w:rPr>
          <w:rtl/>
        </w:rPr>
        <w:t>’3‘</w:t>
      </w:r>
      <w:r w:rsidRPr="00E64594">
        <w:rPr>
          <w:rtl/>
        </w:rPr>
        <w:tab/>
      </w:r>
      <w:r w:rsidRPr="00E64594">
        <w:rPr>
          <w:b/>
          <w:bCs/>
          <w:rtl/>
        </w:rPr>
        <w:t>أن تراجع سلطة قضائية مستقلة ومحايدة هذا الإجراء في غضون 24 ساعة؛</w:t>
      </w:r>
    </w:p>
    <w:p w14:paraId="011C1A21" w14:textId="6580BE7A" w:rsidR="00803A0A" w:rsidRPr="00E64594" w:rsidRDefault="00803A0A" w:rsidP="008B1709">
      <w:pPr>
        <w:pStyle w:val="SingleTxtGA"/>
        <w:spacing w:line="350" w:lineRule="exact"/>
        <w:ind w:left="2608" w:hanging="680"/>
        <w:rPr>
          <w:b/>
          <w:bCs/>
          <w:rtl/>
        </w:rPr>
      </w:pPr>
      <w:r w:rsidRPr="00E64594">
        <w:rPr>
          <w:rtl/>
        </w:rPr>
        <w:lastRenderedPageBreak/>
        <w:t>’4‘</w:t>
      </w:r>
      <w:r w:rsidRPr="00E64594">
        <w:rPr>
          <w:rtl/>
        </w:rPr>
        <w:tab/>
      </w:r>
      <w:r w:rsidRPr="00E64594">
        <w:rPr>
          <w:b/>
          <w:bCs/>
          <w:rtl/>
        </w:rPr>
        <w:t xml:space="preserve">أن يُنظر، وفقاً لالتزامات الدولة الطرف في مجال حقوق الإنسان، في اتخاذ تدابير </w:t>
      </w:r>
      <w:r w:rsidRPr="00E64594">
        <w:rPr>
          <w:rFonts w:ascii="Times New Roman Bold" w:hAnsi="Times New Roman Bold"/>
          <w:b/>
          <w:bCs/>
          <w:spacing w:val="-4"/>
          <w:rtl/>
        </w:rPr>
        <w:t>بديلة للاحتجاز واستخدامها</w:t>
      </w:r>
      <w:r w:rsidRPr="00E64594">
        <w:rPr>
          <w:rFonts w:ascii="Times New Roman Bold" w:hAnsi="Times New Roman Bold" w:hint="cs"/>
          <w:b/>
          <w:bCs/>
          <w:spacing w:val="-4"/>
          <w:rtl/>
        </w:rPr>
        <w:t xml:space="preserve"> </w:t>
      </w:r>
      <w:r w:rsidRPr="00E64594">
        <w:rPr>
          <w:rFonts w:ascii="Times New Roman Bold" w:hAnsi="Times New Roman Bold"/>
          <w:b/>
          <w:bCs/>
          <w:spacing w:val="-4"/>
          <w:rtl/>
        </w:rPr>
        <w:t>قبل فرض تدابير الاحتجاز، وتُسلّم اللجنة بأن جميع تدابير</w:t>
      </w:r>
      <w:r w:rsidRPr="00E64594">
        <w:rPr>
          <w:b/>
          <w:bCs/>
          <w:rtl/>
        </w:rPr>
        <w:t xml:space="preserve"> الرعاية المجتمعية أو حلول الإقامة غير الاحتجازية - في القانون أو السياسة أو</w:t>
      </w:r>
      <w:r w:rsidR="00E64594" w:rsidRPr="00E64594">
        <w:rPr>
          <w:rFonts w:hint="cs"/>
          <w:b/>
          <w:bCs/>
          <w:rtl/>
        </w:rPr>
        <w:t> </w:t>
      </w:r>
      <w:r w:rsidRPr="00E64594">
        <w:rPr>
          <w:b/>
          <w:bCs/>
          <w:rtl/>
        </w:rPr>
        <w:t>الممارسة - هي بدائل احتجاز أقل تقييداً من الاحتجاز، ويجب أن تُؤخذ في الاعتبار في سياق إجراءات قرار الاحتجاز القانونية لضمان أن يكون الاحتجاز ضرورياً ومتناسباً في جميع الحالات، بهدف احترام حقوق الإنسان وتجنب الاحتجاز التعسفي للمهاجرين، وملتمسي اللجوء واللاجئين وعديمي الجنسية؛</w:t>
      </w:r>
    </w:p>
    <w:p w14:paraId="2E23210E" w14:textId="591E33F1" w:rsidR="00803A0A" w:rsidRPr="00E64594" w:rsidRDefault="00803A0A" w:rsidP="008B1709">
      <w:pPr>
        <w:pStyle w:val="SingleTxtGA"/>
        <w:spacing w:line="350" w:lineRule="exact"/>
        <w:rPr>
          <w:b/>
          <w:bCs/>
          <w:rtl/>
        </w:rPr>
      </w:pPr>
      <w:r w:rsidRPr="00E64594">
        <w:rPr>
          <w:spacing w:val="-4"/>
          <w:rtl/>
        </w:rPr>
        <w:tab/>
      </w:r>
      <w:r w:rsidRPr="00E64594">
        <w:rPr>
          <w:spacing w:val="-4"/>
          <w:rtl/>
        </w:rPr>
        <w:t>(د)</w:t>
      </w:r>
      <w:r w:rsidRPr="00E64594">
        <w:rPr>
          <w:spacing w:val="-4"/>
          <w:rtl/>
        </w:rPr>
        <w:tab/>
      </w:r>
      <w:r w:rsidRPr="00E64594">
        <w:rPr>
          <w:b/>
          <w:bCs/>
          <w:spacing w:val="-4"/>
          <w:rtl/>
        </w:rPr>
        <w:t>ضمان تطبيق تدابير بديلة للاحتجاز على ملتمسي اللجوء واللاجئين وفي جميع حالات</w:t>
      </w:r>
      <w:r w:rsidRPr="00E64594">
        <w:rPr>
          <w:b/>
          <w:bCs/>
          <w:rtl/>
        </w:rPr>
        <w:t xml:space="preserve"> العودة الطوعية؛</w:t>
      </w:r>
    </w:p>
    <w:p w14:paraId="14B7F15A" w14:textId="6993B6EF" w:rsidR="00803A0A" w:rsidRPr="00E64594" w:rsidRDefault="00803A0A" w:rsidP="008B1709">
      <w:pPr>
        <w:pStyle w:val="SingleTxtGA"/>
        <w:spacing w:line="350" w:lineRule="exact"/>
        <w:rPr>
          <w:b/>
          <w:bCs/>
          <w:rtl/>
        </w:rPr>
      </w:pPr>
      <w:r w:rsidRPr="00E64594">
        <w:rPr>
          <w:rtl/>
        </w:rPr>
        <w:tab/>
      </w:r>
      <w:r w:rsidRPr="00E64594">
        <w:rPr>
          <w:rtl/>
        </w:rPr>
        <w:t>(هـ)</w:t>
      </w:r>
      <w:r w:rsidRPr="00E64594">
        <w:rPr>
          <w:rtl/>
        </w:rPr>
        <w:tab/>
      </w:r>
      <w:r w:rsidRPr="00E64594">
        <w:rPr>
          <w:b/>
          <w:bCs/>
          <w:rtl/>
        </w:rPr>
        <w:t xml:space="preserve">فصل نظم الاحتجاز فصلاً صارماً عن الإيداع </w:t>
      </w:r>
      <w:r w:rsidRPr="00E64594">
        <w:rPr>
          <w:rFonts w:hint="cs"/>
          <w:b/>
          <w:bCs/>
          <w:rtl/>
        </w:rPr>
        <w:t>"</w:t>
      </w:r>
      <w:r w:rsidRPr="00E64594">
        <w:rPr>
          <w:b/>
          <w:bCs/>
          <w:rtl/>
        </w:rPr>
        <w:t>الطوعي</w:t>
      </w:r>
      <w:r w:rsidRPr="00E64594">
        <w:rPr>
          <w:rFonts w:hint="cs"/>
          <w:b/>
          <w:bCs/>
          <w:rtl/>
        </w:rPr>
        <w:t>"</w:t>
      </w:r>
      <w:r w:rsidRPr="00E64594">
        <w:rPr>
          <w:b/>
          <w:bCs/>
          <w:rtl/>
        </w:rPr>
        <w:t xml:space="preserve"> في الملاجئ، بما في ذلك في القانون الأساسي، وتوفير ملاجئ تديرها الدولة أو تديرها المجتمعات المحلية منفصلة مادياً عن مراكز احتجاز المهاجرين على ألا توجد هذه الملاجئ في المبنى نفسه؛</w:t>
      </w:r>
    </w:p>
    <w:p w14:paraId="6FB2D1D0" w14:textId="77777777" w:rsidR="00803A0A" w:rsidRPr="00E64594" w:rsidRDefault="00803A0A" w:rsidP="00803A0A">
      <w:pPr>
        <w:pStyle w:val="H23GA"/>
        <w:rPr>
          <w:rtl/>
          <w:lang w:val="en-US"/>
        </w:rPr>
      </w:pPr>
      <w:r w:rsidRPr="00E64594">
        <w:rPr>
          <w:rtl/>
          <w:lang w:val="en-US"/>
        </w:rPr>
        <w:tab/>
      </w:r>
      <w:r w:rsidRPr="00E64594">
        <w:rPr>
          <w:rtl/>
          <w:lang w:val="en-US"/>
        </w:rPr>
        <w:tab/>
        <w:t>ردّ الدولة الطرف</w:t>
      </w:r>
    </w:p>
    <w:p w14:paraId="3A27FF07" w14:textId="7F1667BC" w:rsidR="00803A0A" w:rsidRPr="00E64594" w:rsidRDefault="00C7414E" w:rsidP="008B1709">
      <w:pPr>
        <w:pStyle w:val="SingleTxtGA"/>
        <w:spacing w:line="350" w:lineRule="exact"/>
        <w:rPr>
          <w:rtl/>
        </w:rPr>
      </w:pPr>
      <w:r w:rsidRPr="00E64594">
        <w:rPr>
          <w:rtl/>
        </w:rPr>
        <w:tab/>
      </w:r>
      <w:r w:rsidR="00803A0A" w:rsidRPr="00E64594">
        <w:rPr>
          <w:rtl/>
        </w:rPr>
        <w:t xml:space="preserve">يَردُ رد الدولة الطرف في الوثيقة </w:t>
      </w:r>
      <w:hyperlink r:id="rId12" w:history="1">
        <w:r w:rsidR="00803A0A" w:rsidRPr="00E64594">
          <w:rPr>
            <w:rStyle w:val="Hyperlink"/>
          </w:rPr>
          <w:t>CMW/C/AZE/FCO/3</w:t>
        </w:r>
      </w:hyperlink>
      <w:r w:rsidR="00803A0A" w:rsidRPr="00E64594">
        <w:rPr>
          <w:rtl/>
        </w:rPr>
        <w:t>، في الفقرات من 13 إلى 39.</w:t>
      </w:r>
    </w:p>
    <w:p w14:paraId="2B6F8556" w14:textId="77777777" w:rsidR="00803A0A" w:rsidRPr="00E64594" w:rsidRDefault="00803A0A" w:rsidP="00803A0A">
      <w:pPr>
        <w:pStyle w:val="H23GA"/>
        <w:rPr>
          <w:rtl/>
          <w:lang w:val="en-US"/>
        </w:rPr>
      </w:pPr>
      <w:r w:rsidRPr="00E64594">
        <w:rPr>
          <w:rtl/>
          <w:lang w:val="en-US"/>
        </w:rPr>
        <w:tab/>
      </w:r>
      <w:r w:rsidRPr="00E64594">
        <w:rPr>
          <w:rtl/>
          <w:lang w:val="en-US"/>
        </w:rPr>
        <w:tab/>
        <w:t>تقييم اللجنة</w:t>
      </w:r>
    </w:p>
    <w:p w14:paraId="705B0D41" w14:textId="77777777" w:rsidR="00803A0A" w:rsidRPr="00E64594" w:rsidRDefault="00803A0A" w:rsidP="00803A0A">
      <w:pPr>
        <w:pStyle w:val="SingleTxtGA"/>
        <w:rPr>
          <w:rtl/>
        </w:rPr>
      </w:pPr>
      <w:r w:rsidRPr="00E64594">
        <w:rPr>
          <w:b/>
          <w:bCs/>
          <w:rtl/>
        </w:rPr>
        <w:t>[جيم]</w:t>
      </w:r>
      <w:r w:rsidRPr="00E64594">
        <w:rPr>
          <w:rtl/>
        </w:rPr>
        <w:t>: الفقرة 36(أ)</w:t>
      </w:r>
    </w:p>
    <w:p w14:paraId="70186EB9" w14:textId="5B48AE81" w:rsidR="00803A0A" w:rsidRPr="00E64594" w:rsidRDefault="00C7414E" w:rsidP="008B1709">
      <w:pPr>
        <w:pStyle w:val="SingleTxtGA"/>
        <w:spacing w:line="350" w:lineRule="exact"/>
        <w:rPr>
          <w:spacing w:val="-4"/>
          <w:rtl/>
        </w:rPr>
      </w:pPr>
      <w:r w:rsidRPr="00E64594">
        <w:rPr>
          <w:spacing w:val="-4"/>
          <w:rtl/>
        </w:rPr>
        <w:tab/>
      </w:r>
      <w:r w:rsidR="00803A0A" w:rsidRPr="00E64594">
        <w:rPr>
          <w:spacing w:val="-4"/>
          <w:rtl/>
        </w:rPr>
        <w:t xml:space="preserve">تعرب اللجنة عن قلقها إزاء التقارير التي تفيد باحتجاز أكثر من 300 6 مهاجر في عام 2023 في </w:t>
      </w:r>
      <w:r w:rsidR="00803A0A" w:rsidRPr="00E64594">
        <w:rPr>
          <w:spacing w:val="-5"/>
          <w:rtl/>
        </w:rPr>
        <w:t>الدولة الطرف. وتطلب اللجنة، منذ عام 2021، تقديم معلومات إحصائية إضافية عن عدد المهاجرين المحتجزين</w:t>
      </w:r>
      <w:r w:rsidR="00803A0A" w:rsidRPr="00E64594">
        <w:rPr>
          <w:spacing w:val="-4"/>
          <w:rtl/>
        </w:rPr>
        <w:t xml:space="preserve"> سنوياً في الدولة الطرف، وعن أسباب احتجازهم ومدته. وتشجع الدولةَ الطرف على اتخاذ تدابير من أجل التنفيذ</w:t>
      </w:r>
      <w:r w:rsidR="00E2649E" w:rsidRPr="00E64594">
        <w:rPr>
          <w:rFonts w:hint="cs"/>
          <w:spacing w:val="-4"/>
          <w:rtl/>
        </w:rPr>
        <w:t> </w:t>
      </w:r>
      <w:r w:rsidR="00803A0A" w:rsidRPr="00E64594">
        <w:rPr>
          <w:spacing w:val="-4"/>
          <w:rtl/>
        </w:rPr>
        <w:t>الكامل لتوصيتها التي تدعو إلى الإنهاء التدريجي</w:t>
      </w:r>
      <w:r w:rsidR="00803A0A" w:rsidRPr="00E64594">
        <w:rPr>
          <w:spacing w:val="-4"/>
          <w:rtl/>
        </w:rPr>
        <w:t xml:space="preserve"> </w:t>
      </w:r>
      <w:r w:rsidR="00803A0A" w:rsidRPr="00E64594">
        <w:rPr>
          <w:spacing w:val="-4"/>
          <w:rtl/>
        </w:rPr>
        <w:t>لاحتجاز المهاجرين</w:t>
      </w:r>
      <w:r w:rsidR="00803A0A" w:rsidRPr="00E64594">
        <w:rPr>
          <w:spacing w:val="-4"/>
          <w:rtl/>
        </w:rPr>
        <w:t>،</w:t>
      </w:r>
      <w:r w:rsidR="00803A0A" w:rsidRPr="00E64594">
        <w:rPr>
          <w:spacing w:val="-4"/>
          <w:rtl/>
        </w:rPr>
        <w:t xml:space="preserve"> ووضع حد له في نهاية المطاف، واستخدامه، في جميع الحالات الأخرى، كتدبير استثنائي من تدابير الملاذ الأخير باعتباره ضرورياً ومتناسباً ويهدف إلى تحقيق غاية مشروعة، وضمان تطبيقه لأقصر فترة ممكنة. وترى اللجنة أن التوصية لم تُنفَّذ.</w:t>
      </w:r>
    </w:p>
    <w:p w14:paraId="745C8FA3" w14:textId="77777777" w:rsidR="00803A0A" w:rsidRPr="00E64594" w:rsidRDefault="00803A0A" w:rsidP="008B1709">
      <w:pPr>
        <w:pStyle w:val="SingleTxtGA"/>
        <w:spacing w:line="350" w:lineRule="exact"/>
        <w:rPr>
          <w:rtl/>
        </w:rPr>
      </w:pPr>
      <w:r w:rsidRPr="00E64594">
        <w:rPr>
          <w:b/>
          <w:bCs/>
          <w:rtl/>
        </w:rPr>
        <w:t>[جيم]</w:t>
      </w:r>
      <w:r w:rsidRPr="00E64594">
        <w:rPr>
          <w:rtl/>
        </w:rPr>
        <w:t>: الفقرة 36(ب)-(ه)</w:t>
      </w:r>
    </w:p>
    <w:p w14:paraId="1DFF57BA" w14:textId="417E1867" w:rsidR="00803A0A" w:rsidRPr="00E64594" w:rsidRDefault="00C7414E" w:rsidP="008B1709">
      <w:pPr>
        <w:pStyle w:val="SingleTxtGA"/>
        <w:spacing w:line="350" w:lineRule="exact"/>
        <w:rPr>
          <w:rtl/>
        </w:rPr>
      </w:pPr>
      <w:r w:rsidRPr="00E64594">
        <w:rPr>
          <w:rtl/>
        </w:rPr>
        <w:tab/>
      </w:r>
      <w:r w:rsidR="00803A0A" w:rsidRPr="00E64594">
        <w:rPr>
          <w:rtl/>
        </w:rPr>
        <w:t xml:space="preserve">تحيط اللجنة علماً بتأكيد الدولة الطرف أن الأطفال غير المصحوبين يُعاملون على قدم المساواة مع الأطفال المواطنين المحرومين من رعاية الوالدين في إطار نظام الدولة للحماية الاجتماعية، وبإنشاء فريق عامل لضمان حصول الأطفال غير المصحوبين على خدمات فعالة في مجال الحماية الاجتماعية. ولكنها تعرب عن قلقها إزاء التقارير التي تفيد بأن أطفالاً مهاجرين وملتمسي لجوء ولاجئين وغيرهم من المهاجرين الذين يعيشون في أوضاع هشة في الدولة الطرف يُحتجَزون لأسباب تتعلق بالهجرة، وإزاء عدم إتاحة آليات للطعن في أوامر الاحتجاز هذه. </w:t>
      </w:r>
    </w:p>
    <w:p w14:paraId="67D5499E" w14:textId="11131FD9" w:rsidR="00803A0A" w:rsidRPr="00E64594" w:rsidRDefault="00C7414E" w:rsidP="008B1709">
      <w:pPr>
        <w:pStyle w:val="SingleTxtGA"/>
        <w:spacing w:line="350" w:lineRule="exact"/>
        <w:rPr>
          <w:rtl/>
        </w:rPr>
      </w:pPr>
      <w:r w:rsidRPr="00E64594">
        <w:rPr>
          <w:rtl/>
        </w:rPr>
        <w:tab/>
      </w:r>
      <w:r w:rsidR="00803A0A" w:rsidRPr="00E64594">
        <w:rPr>
          <w:rtl/>
        </w:rPr>
        <w:t xml:space="preserve">وتطلب اللجنة، منذ عام 2021، تقديم معلومات إحصائية إضافية عن عدد الأطفال وملتمسي اللجوء واللاجئين المحتجزين سنوياً في مراكز المهاجرين في الدولة الطرف، وعن أسباب احتجازهم ومدته، وتطلب أيضاً معلومات إضافية من الدولة الطرف بشأن الخطط الرامية إلى وضع آليات تتيح للأطفال وغيرهم من العمال المهاجرين الذين يعيشون في أوضاع هشة الطعن في أوامر الاحتجاز. وتؤكد اللجنة من جديد </w:t>
      </w:r>
      <w:r w:rsidR="00803A0A" w:rsidRPr="00E64594">
        <w:rPr>
          <w:spacing w:val="-4"/>
          <w:rtl/>
        </w:rPr>
        <w:t>توصيتها التي تدعو إلى التوقّف فوراً عن احتجاز الأطفال المهاجرين، سواء كانوا غير مصحوبين أو</w:t>
      </w:r>
      <w:r w:rsidR="00E2649E" w:rsidRPr="00E64594">
        <w:rPr>
          <w:rFonts w:hint="cs"/>
          <w:spacing w:val="-4"/>
          <w:rtl/>
        </w:rPr>
        <w:t> </w:t>
      </w:r>
      <w:r w:rsidR="00803A0A" w:rsidRPr="00E64594">
        <w:rPr>
          <w:spacing w:val="-4"/>
          <w:rtl/>
        </w:rPr>
        <w:t>منفصلين عن والديهم أو بمعيّة أسرهم، وغيرهم من العمال المهاجرين وأفراد أسرهم الذين يعيشون في أوضاع</w:t>
      </w:r>
      <w:r w:rsidR="00E2649E" w:rsidRPr="00E64594">
        <w:rPr>
          <w:rFonts w:hint="cs"/>
          <w:spacing w:val="-4"/>
          <w:rtl/>
        </w:rPr>
        <w:t> </w:t>
      </w:r>
      <w:r w:rsidR="00803A0A" w:rsidRPr="00E64594">
        <w:rPr>
          <w:spacing w:val="-4"/>
          <w:rtl/>
        </w:rPr>
        <w:t>هشة، بمن</w:t>
      </w:r>
      <w:r w:rsidR="00803A0A" w:rsidRPr="00E64594">
        <w:rPr>
          <w:rFonts w:hint="cs"/>
          <w:spacing w:val="-4"/>
          <w:rtl/>
        </w:rPr>
        <w:t> </w:t>
      </w:r>
      <w:r w:rsidR="00803A0A" w:rsidRPr="00E64594">
        <w:rPr>
          <w:spacing w:val="-4"/>
          <w:rtl/>
        </w:rPr>
        <w:t>فيهم طالبو اللجوء واللاجئون. وترى اللجنة أن التوصية لم تُنفَّذ.</w:t>
      </w:r>
    </w:p>
    <w:p w14:paraId="7C762470" w14:textId="11CF7F74" w:rsidR="00803A0A" w:rsidRPr="00E64594" w:rsidRDefault="00C7414E" w:rsidP="00803A0A">
      <w:pPr>
        <w:pStyle w:val="SingleTxtGA"/>
        <w:rPr>
          <w:rtl/>
        </w:rPr>
      </w:pPr>
      <w:r w:rsidRPr="00E64594">
        <w:rPr>
          <w:rtl/>
        </w:rPr>
        <w:lastRenderedPageBreak/>
        <w:tab/>
      </w:r>
      <w:r w:rsidR="00803A0A" w:rsidRPr="00E64594">
        <w:rPr>
          <w:rtl/>
        </w:rPr>
        <w:t>وفي حين ترحب اللجنة بخطط الدولة الطرف الرامية إلى إنشاء مركز لاستقبال ملتمسي اللجوء ومركز لإدماج اللاجئين في مقر الدائرة الحكومية للهجرة في أذربيجان، فإنها تؤكد من جديد توصيتها التي تدعو إلى فصل مراكز الإقامة غير الاحتجازية فصلاً مادياً عن مراكز احتجاز المهاجرين، وإنشائها في مبانٍ أخرى. وتطلب أيضاً معلومات عن الخطط الرامية إلى تعديل القانون التشريعي من أجل فصل نظم الاحتجاز عن الإيداع «الطوعي» في الملاجئ</w:t>
      </w:r>
      <w:r w:rsidR="00803A0A" w:rsidRPr="00E64594">
        <w:rPr>
          <w:rtl/>
        </w:rPr>
        <w:t>.</w:t>
      </w:r>
      <w:r w:rsidR="00803A0A" w:rsidRPr="00E64594">
        <w:rPr>
          <w:rtl/>
        </w:rPr>
        <w:t xml:space="preserve"> وترى اللجنة أن التوصية نُفِّذت جزئياً.</w:t>
      </w:r>
    </w:p>
    <w:p w14:paraId="5B60C80F" w14:textId="77777777" w:rsidR="00803A0A" w:rsidRPr="00E64594" w:rsidRDefault="00803A0A" w:rsidP="00803A0A">
      <w:pPr>
        <w:pStyle w:val="H1GA"/>
        <w:rPr>
          <w:rtl/>
          <w:lang w:val="en-US"/>
        </w:rPr>
      </w:pPr>
      <w:r w:rsidRPr="00E64594">
        <w:rPr>
          <w:rtl/>
          <w:lang w:val="en-US"/>
        </w:rPr>
        <w:tab/>
      </w:r>
      <w:r w:rsidRPr="00E64594">
        <w:rPr>
          <w:rtl/>
          <w:lang w:val="en-US"/>
        </w:rPr>
        <w:tab/>
        <w:t>الفقرة 60: الاتجار بالأشخاص</w:t>
      </w:r>
    </w:p>
    <w:p w14:paraId="2AE7CC87" w14:textId="60595084" w:rsidR="00803A0A" w:rsidRPr="00E64594" w:rsidRDefault="00C7414E" w:rsidP="00803A0A">
      <w:pPr>
        <w:pStyle w:val="SingleTxtGA"/>
        <w:rPr>
          <w:b/>
          <w:bCs/>
          <w:rtl/>
        </w:rPr>
      </w:pPr>
      <w:r w:rsidRPr="00E64594">
        <w:rPr>
          <w:b/>
          <w:bCs/>
          <w:rtl/>
        </w:rPr>
        <w:tab/>
      </w:r>
      <w:r w:rsidR="00803A0A" w:rsidRPr="00E64594">
        <w:rPr>
          <w:b/>
          <w:bCs/>
          <w:rtl/>
        </w:rPr>
        <w:t>إن اللجنة، إذ تذكّر بتوصياتها السابقة</w:t>
      </w:r>
      <w:r w:rsidR="00803A0A" w:rsidRPr="00E64594">
        <w:rPr>
          <w:b/>
          <w:bCs/>
          <w:vertAlign w:val="superscript"/>
          <w:rtl/>
        </w:rPr>
        <w:t>(</w:t>
      </w:r>
      <w:r w:rsidR="00803A0A" w:rsidRPr="00E64594">
        <w:rPr>
          <w:b/>
          <w:bCs/>
          <w:vertAlign w:val="superscript"/>
          <w:rtl/>
        </w:rPr>
        <w:footnoteReference w:id="2"/>
      </w:r>
      <w:r w:rsidR="00803A0A" w:rsidRPr="00E64594">
        <w:rPr>
          <w:b/>
          <w:bCs/>
          <w:vertAlign w:val="superscript"/>
          <w:rtl/>
        </w:rPr>
        <w:t>)</w:t>
      </w:r>
      <w:r w:rsidR="00803A0A" w:rsidRPr="00E64594">
        <w:rPr>
          <w:b/>
          <w:bCs/>
          <w:rtl/>
        </w:rPr>
        <w:t>، ووفقاً للمبادئ والمبادئ التوجيهية الموصى بها فيما يتعلق بحقوق الإنسان والاتجار بالأشخاص التي وضعتها مفوضية الأمم المتحدة السامية لحقوق الإنسان، فإنها، تماشياً مع الغاية 5-2 من أهداف التنمية المستدامة، توصي بأن تقوم الدولة الطرف بما يلي:</w:t>
      </w:r>
    </w:p>
    <w:p w14:paraId="199E3229" w14:textId="33D91786" w:rsidR="00803A0A" w:rsidRPr="00E64594" w:rsidRDefault="00803A0A" w:rsidP="00803A0A">
      <w:pPr>
        <w:pStyle w:val="SingleTxtGA"/>
        <w:rPr>
          <w:b/>
          <w:bCs/>
          <w:rtl/>
        </w:rPr>
      </w:pPr>
      <w:r w:rsidRPr="00E64594">
        <w:rPr>
          <w:rtl/>
        </w:rPr>
        <w:tab/>
      </w:r>
      <w:r w:rsidRPr="00E64594">
        <w:rPr>
          <w:rtl/>
        </w:rPr>
        <w:t>(أ)</w:t>
      </w:r>
      <w:r w:rsidRPr="00E64594">
        <w:rPr>
          <w:rtl/>
        </w:rPr>
        <w:tab/>
      </w:r>
      <w:r w:rsidRPr="00E64594">
        <w:rPr>
          <w:rFonts w:ascii="Times New Roman Bold" w:hAnsi="Times New Roman Bold"/>
          <w:b/>
          <w:bCs/>
          <w:spacing w:val="-2"/>
          <w:rtl/>
        </w:rPr>
        <w:t>مراجعة تشريعاتها وتعديلها لضمان التعرف على</w:t>
      </w:r>
      <w:r w:rsidRPr="00E64594">
        <w:rPr>
          <w:rFonts w:ascii="Times New Roman Bold" w:hAnsi="Times New Roman Bold"/>
          <w:b/>
          <w:bCs/>
          <w:spacing w:val="-2"/>
          <w:rtl/>
        </w:rPr>
        <w:t xml:space="preserve"> </w:t>
      </w:r>
      <w:r w:rsidRPr="00E64594">
        <w:rPr>
          <w:rFonts w:ascii="Times New Roman Bold" w:hAnsi="Times New Roman Bold"/>
          <w:b/>
          <w:bCs/>
          <w:spacing w:val="-2"/>
          <w:rtl/>
        </w:rPr>
        <w:t>ضحايا الاتجار</w:t>
      </w:r>
      <w:r w:rsidRPr="00E64594">
        <w:rPr>
          <w:rFonts w:ascii="Times New Roman Bold" w:hAnsi="Times New Roman Bold"/>
          <w:b/>
          <w:bCs/>
          <w:spacing w:val="-2"/>
          <w:rtl/>
        </w:rPr>
        <w:t>،</w:t>
      </w:r>
      <w:r w:rsidRPr="00E64594">
        <w:rPr>
          <w:rFonts w:ascii="Times New Roman Bold" w:hAnsi="Times New Roman Bold"/>
          <w:b/>
          <w:bCs/>
          <w:spacing w:val="-2"/>
          <w:rtl/>
        </w:rPr>
        <w:t xml:space="preserve"> على النحو السليم، </w:t>
      </w:r>
      <w:r w:rsidRPr="00E64594">
        <w:rPr>
          <w:b/>
          <w:bCs/>
          <w:rtl/>
        </w:rPr>
        <w:t>وعدم احتجازهم أو اتهامهم أو مقاضاتهم بسبب دخولهم إلى البلد أو إقامتهم فيه بطريقة</w:t>
      </w:r>
      <w:r w:rsidRPr="00E64594">
        <w:rPr>
          <w:b/>
          <w:bCs/>
          <w:rtl/>
        </w:rPr>
        <w:t xml:space="preserve"> </w:t>
      </w:r>
      <w:r w:rsidRPr="00E64594">
        <w:rPr>
          <w:b/>
          <w:bCs/>
          <w:rtl/>
        </w:rPr>
        <w:t>غير نظامية، بما في ذلك في بلدان العبور والمقصد، أو بسبب تورطهم في أنشطة غير مشروعة بقدر ما</w:t>
      </w:r>
      <w:r w:rsidRPr="00E64594">
        <w:rPr>
          <w:rFonts w:hint="eastAsia"/>
          <w:b/>
          <w:bCs/>
          <w:rtl/>
        </w:rPr>
        <w:t> </w:t>
      </w:r>
      <w:r w:rsidRPr="00E64594">
        <w:rPr>
          <w:b/>
          <w:bCs/>
          <w:rtl/>
        </w:rPr>
        <w:t>يكون ذلك قد حدث كنتيجة مباشرة لوضعهم باعتبارهم</w:t>
      </w:r>
      <w:r w:rsidRPr="00E64594">
        <w:rPr>
          <w:b/>
          <w:bCs/>
          <w:rtl/>
        </w:rPr>
        <w:t xml:space="preserve"> </w:t>
      </w:r>
      <w:r w:rsidRPr="00E64594">
        <w:rPr>
          <w:b/>
          <w:bCs/>
          <w:rtl/>
        </w:rPr>
        <w:t>ضحايا للاتجار</w:t>
      </w:r>
      <w:r w:rsidRPr="00E64594">
        <w:rPr>
          <w:b/>
          <w:bCs/>
          <w:rtl/>
        </w:rPr>
        <w:t>،</w:t>
      </w:r>
      <w:r w:rsidRPr="00E64594">
        <w:rPr>
          <w:b/>
          <w:bCs/>
          <w:rtl/>
        </w:rPr>
        <w:t xml:space="preserve"> والتأكيد على وضعهم كضحايا بدلاً من التركيز على تجريمهم؛</w:t>
      </w:r>
    </w:p>
    <w:p w14:paraId="64F6FD93" w14:textId="56F45FBE" w:rsidR="00803A0A" w:rsidRPr="00E64594" w:rsidRDefault="00803A0A" w:rsidP="00803A0A">
      <w:pPr>
        <w:pStyle w:val="SingleTxtGA"/>
        <w:rPr>
          <w:b/>
          <w:bCs/>
          <w:rtl/>
        </w:rPr>
      </w:pPr>
      <w:r w:rsidRPr="00E64594">
        <w:rPr>
          <w:rtl/>
        </w:rPr>
        <w:tab/>
      </w:r>
      <w:r w:rsidRPr="00E64594">
        <w:rPr>
          <w:rtl/>
        </w:rPr>
        <w:t>(ب)</w:t>
      </w:r>
      <w:r w:rsidRPr="00E64594">
        <w:rPr>
          <w:rtl/>
        </w:rPr>
        <w:tab/>
      </w:r>
      <w:r w:rsidRPr="00E64594">
        <w:rPr>
          <w:b/>
          <w:bCs/>
          <w:rtl/>
        </w:rPr>
        <w:t>التحقيق على نحو فعال في قضايا الاتجار بالأشخاص ومقاضاة مرتكبيه</w:t>
      </w:r>
      <w:r w:rsidRPr="00E64594">
        <w:rPr>
          <w:b/>
          <w:bCs/>
          <w:rtl/>
        </w:rPr>
        <w:t xml:space="preserve"> </w:t>
      </w:r>
      <w:r w:rsidRPr="00E64594">
        <w:rPr>
          <w:b/>
          <w:bCs/>
          <w:rtl/>
        </w:rPr>
        <w:t>وفرض عقوبات عليهم تتناسب مع خطورة الجريمة؛</w:t>
      </w:r>
    </w:p>
    <w:p w14:paraId="726AD075" w14:textId="64D4FB36" w:rsidR="00803A0A" w:rsidRPr="00E64594" w:rsidRDefault="00803A0A" w:rsidP="00803A0A">
      <w:pPr>
        <w:pStyle w:val="SingleTxtGA"/>
        <w:rPr>
          <w:b/>
          <w:bCs/>
          <w:rtl/>
        </w:rPr>
      </w:pPr>
      <w:r w:rsidRPr="00E64594">
        <w:rPr>
          <w:rtl/>
        </w:rPr>
        <w:tab/>
      </w:r>
      <w:r w:rsidRPr="00E64594">
        <w:rPr>
          <w:rtl/>
        </w:rPr>
        <w:t>(ج)</w:t>
      </w:r>
      <w:r w:rsidRPr="00E64594">
        <w:rPr>
          <w:rtl/>
        </w:rPr>
        <w:tab/>
      </w:r>
      <w:r w:rsidRPr="00E64594">
        <w:rPr>
          <w:b/>
          <w:bCs/>
          <w:rtl/>
        </w:rPr>
        <w:t>تعزيز التعاون الدولي والإقليمي والثنائي عن طريق إبرام اتفاقات مع بلدان المنشأ والعبور والمقصد بشأن منع ومكافحة الاتجار بالأشخاص؛</w:t>
      </w:r>
    </w:p>
    <w:p w14:paraId="06CC1377" w14:textId="746C1036" w:rsidR="00803A0A" w:rsidRPr="00E64594" w:rsidRDefault="00803A0A" w:rsidP="00803A0A">
      <w:pPr>
        <w:pStyle w:val="SingleTxtGA"/>
        <w:rPr>
          <w:b/>
          <w:bCs/>
          <w:rtl/>
        </w:rPr>
      </w:pPr>
      <w:r w:rsidRPr="00E64594">
        <w:rPr>
          <w:rtl/>
        </w:rPr>
        <w:tab/>
      </w:r>
      <w:r w:rsidRPr="00E64594">
        <w:rPr>
          <w:rtl/>
        </w:rPr>
        <w:t>(د)</w:t>
      </w:r>
      <w:r w:rsidRPr="00E64594">
        <w:rPr>
          <w:rtl/>
        </w:rPr>
        <w:tab/>
      </w:r>
      <w:r w:rsidRPr="00E64594">
        <w:rPr>
          <w:rFonts w:ascii="Times New Roman Bold" w:hAnsi="Times New Roman Bold"/>
          <w:b/>
          <w:bCs/>
          <w:spacing w:val="-4"/>
          <w:rtl/>
        </w:rPr>
        <w:t>جمع بيانات مصنفة عن حجم ظاهرة الاتجار بالأشخاص ونشر هذه البيانات</w:t>
      </w:r>
      <w:r w:rsidRPr="00E64594">
        <w:rPr>
          <w:rFonts w:ascii="Times New Roman Bold" w:hAnsi="Times New Roman Bold"/>
          <w:b/>
          <w:bCs/>
          <w:spacing w:val="-4"/>
          <w:rtl/>
        </w:rPr>
        <w:t xml:space="preserve"> </w:t>
      </w:r>
      <w:r w:rsidRPr="00E64594">
        <w:rPr>
          <w:rFonts w:ascii="Times New Roman Bold" w:hAnsi="Times New Roman Bold"/>
          <w:b/>
          <w:bCs/>
          <w:spacing w:val="-4"/>
          <w:rtl/>
        </w:rPr>
        <w:t xml:space="preserve">بانتظام، </w:t>
      </w:r>
      <w:r w:rsidRPr="00E64594">
        <w:rPr>
          <w:b/>
          <w:bCs/>
          <w:rtl/>
        </w:rPr>
        <w:t>بما في ذلك بشأن عدد ضحايا كل من الاتجار بالأشخاص وتهريب المهاجرين</w:t>
      </w:r>
      <w:r w:rsidRPr="00E64594">
        <w:rPr>
          <w:b/>
          <w:bCs/>
          <w:rtl/>
        </w:rPr>
        <w:t xml:space="preserve"> </w:t>
      </w:r>
      <w:r w:rsidRPr="00E64594">
        <w:rPr>
          <w:b/>
          <w:bCs/>
          <w:rtl/>
        </w:rPr>
        <w:t xml:space="preserve">الذين قدموا طلبات </w:t>
      </w:r>
      <w:r w:rsidRPr="00E64594">
        <w:rPr>
          <w:rFonts w:ascii="Times New Roman Bold" w:hAnsi="Times New Roman Bold"/>
          <w:b/>
          <w:bCs/>
          <w:spacing w:val="-4"/>
          <w:rtl/>
        </w:rPr>
        <w:t>للحصول على إقامة مؤقتة أو دائمة، وعدد التراخيص الممنوحة، وتقديم معلومات في هذا الصدد في تقريرها</w:t>
      </w:r>
      <w:r w:rsidRPr="00E64594">
        <w:rPr>
          <w:b/>
          <w:bCs/>
          <w:rtl/>
        </w:rPr>
        <w:t xml:space="preserve"> الدوري المقبل.</w:t>
      </w:r>
    </w:p>
    <w:p w14:paraId="5E13728D" w14:textId="77777777" w:rsidR="00803A0A" w:rsidRPr="00E64594" w:rsidRDefault="00803A0A" w:rsidP="00803A0A">
      <w:pPr>
        <w:pStyle w:val="H23GA"/>
        <w:rPr>
          <w:rtl/>
          <w:lang w:val="en-US"/>
        </w:rPr>
      </w:pPr>
      <w:r w:rsidRPr="00E64594">
        <w:rPr>
          <w:rtl/>
          <w:lang w:val="en-US"/>
        </w:rPr>
        <w:tab/>
      </w:r>
      <w:r w:rsidRPr="00E64594">
        <w:rPr>
          <w:rtl/>
          <w:lang w:val="en-US"/>
        </w:rPr>
        <w:tab/>
        <w:t>ردّ الدولة الطرف</w:t>
      </w:r>
    </w:p>
    <w:p w14:paraId="2B1E7F83" w14:textId="5D72CDD0" w:rsidR="00803A0A" w:rsidRPr="00E64594" w:rsidRDefault="00C7414E" w:rsidP="00803A0A">
      <w:pPr>
        <w:pStyle w:val="SingleTxtGA"/>
        <w:rPr>
          <w:rtl/>
        </w:rPr>
      </w:pPr>
      <w:r w:rsidRPr="00E64594">
        <w:rPr>
          <w:rtl/>
        </w:rPr>
        <w:tab/>
      </w:r>
      <w:r w:rsidR="00803A0A" w:rsidRPr="00E64594">
        <w:rPr>
          <w:rtl/>
        </w:rPr>
        <w:t xml:space="preserve">يَردُ رد الدولة الطرف في الوثيقة </w:t>
      </w:r>
      <w:hyperlink r:id="rId13" w:history="1">
        <w:r w:rsidR="00803A0A" w:rsidRPr="00E64594">
          <w:rPr>
            <w:rStyle w:val="Hyperlink"/>
          </w:rPr>
          <w:t>CMW/C/AZE/FCO/3</w:t>
        </w:r>
      </w:hyperlink>
      <w:r w:rsidR="00803A0A" w:rsidRPr="00E64594">
        <w:rPr>
          <w:rtl/>
        </w:rPr>
        <w:t>، في الفقرات من 40 إلى 56.</w:t>
      </w:r>
    </w:p>
    <w:p w14:paraId="4C0E9AD5" w14:textId="77777777" w:rsidR="00803A0A" w:rsidRPr="00E64594" w:rsidRDefault="00803A0A" w:rsidP="00803A0A">
      <w:pPr>
        <w:pStyle w:val="H23GA"/>
        <w:rPr>
          <w:rtl/>
          <w:lang w:val="en-US"/>
        </w:rPr>
      </w:pPr>
      <w:r w:rsidRPr="00E64594">
        <w:rPr>
          <w:rtl/>
          <w:lang w:val="en-US"/>
        </w:rPr>
        <w:tab/>
      </w:r>
      <w:r w:rsidRPr="00E64594">
        <w:rPr>
          <w:rtl/>
          <w:lang w:val="en-US"/>
        </w:rPr>
        <w:tab/>
        <w:t>تقييم اللجنة</w:t>
      </w:r>
    </w:p>
    <w:p w14:paraId="6756B9D7" w14:textId="77777777" w:rsidR="00803A0A" w:rsidRPr="00E64594" w:rsidRDefault="00803A0A" w:rsidP="00803A0A">
      <w:pPr>
        <w:pStyle w:val="SingleTxtGA"/>
        <w:rPr>
          <w:rtl/>
        </w:rPr>
      </w:pPr>
      <w:r w:rsidRPr="00E64594">
        <w:rPr>
          <w:b/>
          <w:bCs/>
          <w:rtl/>
        </w:rPr>
        <w:t>[باء]</w:t>
      </w:r>
      <w:r w:rsidRPr="00E64594">
        <w:rPr>
          <w:rtl/>
        </w:rPr>
        <w:t>: الفقرة 60(أ)</w:t>
      </w:r>
    </w:p>
    <w:p w14:paraId="05244C7E" w14:textId="5333A721" w:rsidR="00803A0A" w:rsidRPr="00E64594" w:rsidRDefault="00C7414E" w:rsidP="00C7414E">
      <w:pPr>
        <w:pStyle w:val="SingleTxtGA"/>
        <w:spacing w:line="340" w:lineRule="exact"/>
        <w:rPr>
          <w:rtl/>
        </w:rPr>
      </w:pPr>
      <w:r w:rsidRPr="00E64594">
        <w:rPr>
          <w:rtl/>
        </w:rPr>
        <w:tab/>
      </w:r>
      <w:r w:rsidR="00803A0A" w:rsidRPr="00E64594">
        <w:rPr>
          <w:spacing w:val="-4"/>
          <w:rtl/>
        </w:rPr>
        <w:t>ترحب اللجنة بالقرار رقم 378 الصادر عن مجلس الوزراء الأذربيجاني بشأن «تعديلات قواعد إعادة ضحايا الاتجار بالبشر إلى أوطانهم»، الذي يُدرج هيئات الهجرة الحكومية ضمن قائمة السلطات المكلَّفة بإبلاغ وحدة الشرطة الخاصة استباقياً بأي معلومات تتعلق بضحايا الاتجار بالأشخاص أو</w:t>
      </w:r>
      <w:r w:rsidRPr="00E64594">
        <w:rPr>
          <w:rFonts w:hint="cs"/>
          <w:spacing w:val="-4"/>
          <w:rtl/>
        </w:rPr>
        <w:t> </w:t>
      </w:r>
      <w:r w:rsidR="00803A0A" w:rsidRPr="00E64594">
        <w:rPr>
          <w:spacing w:val="-4"/>
          <w:rtl/>
        </w:rPr>
        <w:t xml:space="preserve">ضحاياه المحتملين. ولكن اللجنة تعرب عن قلقها إزاء تمديد فترة تعليق عمليات التفتيش حتى كانون الثاني/يناير 2025، بموجب القانون </w:t>
      </w:r>
      <w:r w:rsidR="00803A0A" w:rsidRPr="00E64594">
        <w:rPr>
          <w:spacing w:val="-6"/>
          <w:rtl/>
        </w:rPr>
        <w:t>المتعلق ب</w:t>
      </w:r>
      <w:r w:rsidR="00803A0A" w:rsidRPr="00E64594">
        <w:rPr>
          <w:rFonts w:hint="cs"/>
          <w:spacing w:val="-6"/>
          <w:rtl/>
        </w:rPr>
        <w:t>‍</w:t>
      </w:r>
      <w:r w:rsidR="00803A0A" w:rsidRPr="00E64594">
        <w:rPr>
          <w:spacing w:val="-6"/>
          <w:rtl/>
        </w:rPr>
        <w:t xml:space="preserve"> </w:t>
      </w:r>
      <w:r w:rsidRPr="00E64594">
        <w:rPr>
          <w:rFonts w:hint="cs"/>
          <w:spacing w:val="-6"/>
          <w:rtl/>
        </w:rPr>
        <w:t>"</w:t>
      </w:r>
      <w:r w:rsidR="00803A0A" w:rsidRPr="00E64594">
        <w:rPr>
          <w:spacing w:val="-6"/>
          <w:rtl/>
        </w:rPr>
        <w:t>تعليق عمليات التفتيش في مجال ريادة الأعمال</w:t>
      </w:r>
      <w:r w:rsidRPr="00E64594">
        <w:rPr>
          <w:rFonts w:hint="cs"/>
          <w:spacing w:val="-6"/>
          <w:rtl/>
        </w:rPr>
        <w:t>"</w:t>
      </w:r>
      <w:r w:rsidR="00803A0A" w:rsidRPr="00E64594">
        <w:rPr>
          <w:spacing w:val="-6"/>
          <w:rtl/>
        </w:rPr>
        <w:t>، وهو ما يعوق، حسبما يُدّعى، كشف الضحايا استباقياً.</w:t>
      </w:r>
      <w:r w:rsidR="00803A0A" w:rsidRPr="00E64594">
        <w:rPr>
          <w:rtl/>
        </w:rPr>
        <w:t xml:space="preserve"> </w:t>
      </w:r>
      <w:r w:rsidR="00803A0A" w:rsidRPr="00E64594">
        <w:rPr>
          <w:rtl/>
        </w:rPr>
        <w:lastRenderedPageBreak/>
        <w:t xml:space="preserve">وتطلب اللجنة تزويدها بمعلومات إضافية بشأن التدريب المقدَّم إلى موظفي إنفاذ القانون والقضاة والمدعين </w:t>
      </w:r>
      <w:r w:rsidR="00803A0A" w:rsidRPr="00E64594">
        <w:rPr>
          <w:spacing w:val="-2"/>
          <w:rtl/>
        </w:rPr>
        <w:t>العامين ومفتشي العمل ومقدمي الخدمات فيما يتعلق بكشف ضحايا الاتجار بالأشخاص وإحالتهم وحمايتهم</w:t>
      </w:r>
      <w:r w:rsidR="00803A0A" w:rsidRPr="00E64594">
        <w:rPr>
          <w:rtl/>
        </w:rPr>
        <w:t xml:space="preserve"> وتقديم المساعدة إليهم في الوقت المناسب. وتشجع اللجنة الدولةَ الطرف على اتخاذ تدابير من أجل التنفيذ الكامل لتوصيتها التي تدعو إلى ضمان التعرف على ضحايا الاتجار بالأشخاص على النحو السليم</w:t>
      </w:r>
      <w:r w:rsidR="00803A0A" w:rsidRPr="00E64594">
        <w:rPr>
          <w:rtl/>
        </w:rPr>
        <w:t>.</w:t>
      </w:r>
      <w:r w:rsidR="00803A0A" w:rsidRPr="00E64594">
        <w:rPr>
          <w:rtl/>
        </w:rPr>
        <w:t xml:space="preserve"> وترى اللجنة أن التوصية نُفِّذت جزئياً.</w:t>
      </w:r>
    </w:p>
    <w:p w14:paraId="5C973A04" w14:textId="77777777" w:rsidR="00803A0A" w:rsidRPr="00E64594" w:rsidRDefault="00803A0A" w:rsidP="00C7414E">
      <w:pPr>
        <w:pStyle w:val="SingleTxtGA"/>
        <w:spacing w:line="340" w:lineRule="exact"/>
        <w:rPr>
          <w:rtl/>
        </w:rPr>
      </w:pPr>
      <w:r w:rsidRPr="00E64594">
        <w:rPr>
          <w:b/>
          <w:bCs/>
          <w:rtl/>
        </w:rPr>
        <w:t>[جيم]</w:t>
      </w:r>
      <w:r w:rsidRPr="00E64594">
        <w:rPr>
          <w:rtl/>
        </w:rPr>
        <w:t>: الفقرة 60(ب) و(ج)</w:t>
      </w:r>
    </w:p>
    <w:p w14:paraId="309986CB" w14:textId="0BD8B5A3" w:rsidR="00803A0A" w:rsidRPr="00E64594" w:rsidRDefault="00C7414E" w:rsidP="00C7414E">
      <w:pPr>
        <w:pStyle w:val="SingleTxtGA"/>
        <w:spacing w:line="340" w:lineRule="exact"/>
        <w:rPr>
          <w:rtl/>
        </w:rPr>
      </w:pPr>
      <w:r w:rsidRPr="00E64594">
        <w:rPr>
          <w:rtl/>
        </w:rPr>
        <w:tab/>
      </w:r>
      <w:r w:rsidR="00803A0A" w:rsidRPr="00E64594">
        <w:rPr>
          <w:rtl/>
        </w:rPr>
        <w:t>في حين تحيط اللجنة علماً بالجهود التي تبذلها الدولة الطرف لمقاضاة مرتكبي جرائم الاتجار بالأشخاص، فإنها تعرب عن قلقها إزاء اشتراط تقديم الضحية شكوى كي تباشر سلطات إنفاذ القانون</w:t>
      </w:r>
      <w:r w:rsidRPr="00E64594">
        <w:rPr>
          <w:rFonts w:hint="cs"/>
          <w:rtl/>
        </w:rPr>
        <w:t> </w:t>
      </w:r>
      <w:r w:rsidR="00803A0A" w:rsidRPr="00E64594">
        <w:rPr>
          <w:rtl/>
        </w:rPr>
        <w:t xml:space="preserve">إجراء التحقيق، مما يعوق القدرة على التحقيق استباقياً. وتشجع اللجنة الدولةَ الطرف على اتخاذ تدابير من أجل </w:t>
      </w:r>
      <w:r w:rsidR="00803A0A" w:rsidRPr="00E64594">
        <w:rPr>
          <w:spacing w:val="-2"/>
          <w:rtl/>
        </w:rPr>
        <w:t>التنفيذ الكامل لتوصيتها التي تدعو إلى إجراء تحقيقات فعالة في قضايا الاتجار بالأشخاص ومقاضاة الجناة</w:t>
      </w:r>
      <w:r w:rsidR="00803A0A" w:rsidRPr="00E64594">
        <w:rPr>
          <w:rtl/>
        </w:rPr>
        <w:t xml:space="preserve"> وفرض عقوبات عليهم تتناسب مع خطورة الجريمة. وتطلب أيضاً تقديم معلومات إضافية عن الاتفاقات </w:t>
      </w:r>
      <w:r w:rsidR="00803A0A" w:rsidRPr="00E64594">
        <w:rPr>
          <w:spacing w:val="-2"/>
          <w:rtl/>
        </w:rPr>
        <w:t>الدولية والإقليمية والثنائية المبرمة مع بلدان المنشأ والعبور والمقصد بشأن منع الاتجار بالأشخاص ومكافحته</w:t>
      </w:r>
      <w:r w:rsidR="00803A0A" w:rsidRPr="00E64594">
        <w:rPr>
          <w:rtl/>
        </w:rPr>
        <w:t>. وترى اللجنة أن التوصية نُفِّذت جزئياً.</w:t>
      </w:r>
    </w:p>
    <w:p w14:paraId="0CD4DD56" w14:textId="77777777" w:rsidR="00803A0A" w:rsidRPr="00E64594" w:rsidRDefault="00803A0A" w:rsidP="00C7414E">
      <w:pPr>
        <w:pStyle w:val="SingleTxtGA"/>
        <w:spacing w:line="340" w:lineRule="exact"/>
        <w:rPr>
          <w:rtl/>
        </w:rPr>
      </w:pPr>
      <w:r w:rsidRPr="00E64594">
        <w:rPr>
          <w:b/>
          <w:bCs/>
          <w:rtl/>
        </w:rPr>
        <w:t>[واو]</w:t>
      </w:r>
      <w:r w:rsidRPr="00E64594">
        <w:rPr>
          <w:rtl/>
        </w:rPr>
        <w:t>: الفقرة 60(د)</w:t>
      </w:r>
    </w:p>
    <w:p w14:paraId="5D3BD993" w14:textId="241F7867" w:rsidR="00803A0A" w:rsidRPr="00E64594" w:rsidRDefault="00C7414E" w:rsidP="00C7414E">
      <w:pPr>
        <w:pStyle w:val="SingleTxtGA"/>
        <w:spacing w:line="340" w:lineRule="exact"/>
        <w:rPr>
          <w:rtl/>
        </w:rPr>
      </w:pPr>
      <w:r w:rsidRPr="00E64594">
        <w:rPr>
          <w:rtl/>
        </w:rPr>
        <w:tab/>
      </w:r>
      <w:r w:rsidR="00803A0A" w:rsidRPr="00E64594">
        <w:rPr>
          <w:rtl/>
        </w:rPr>
        <w:t>تشجع اللجنة الدولةَ الطرف على أن تقدّم، في تقريرها الدوري المقبل، بيانات مصنفة عن حجم ظاهرة الاتجار بالأشخاص، بما في ذلك عدد ضحايا الاتجار بالأشخاص وتهريب المهاجرين</w:t>
      </w:r>
      <w:r w:rsidR="00803A0A" w:rsidRPr="00E64594">
        <w:rPr>
          <w:rtl/>
        </w:rPr>
        <w:t xml:space="preserve"> </w:t>
      </w:r>
      <w:r w:rsidR="00803A0A" w:rsidRPr="00E64594">
        <w:rPr>
          <w:rtl/>
        </w:rPr>
        <w:t>الذين قدّموا طلبات للحصول على إقامة مؤقتة أو دائمة، وعدد التراخيص الممنوحة.</w:t>
      </w:r>
    </w:p>
    <w:p w14:paraId="5C16B21E" w14:textId="4E004DEF" w:rsidR="00803A0A" w:rsidRPr="00E64594" w:rsidRDefault="00803A0A" w:rsidP="00803A0A">
      <w:pPr>
        <w:pStyle w:val="H1GA"/>
        <w:rPr>
          <w:rtl/>
          <w:lang w:val="en-US"/>
        </w:rPr>
      </w:pPr>
      <w:r w:rsidRPr="00E64594">
        <w:rPr>
          <w:rtl/>
          <w:lang w:val="en-US"/>
        </w:rPr>
        <w:tab/>
      </w:r>
      <w:r w:rsidRPr="00E64594">
        <w:rPr>
          <w:rtl/>
          <w:lang w:val="en-US"/>
        </w:rPr>
        <w:tab/>
        <w:t>الفقرة 62: التدابير المتخذة لمعالجة مسألة العمال المهاجرين الذين هم في وضع غير</w:t>
      </w:r>
      <w:r w:rsidR="00C7414E" w:rsidRPr="00E64594">
        <w:rPr>
          <w:rFonts w:hint="cs"/>
          <w:rtl/>
          <w:lang w:val="en-US"/>
        </w:rPr>
        <w:t> </w:t>
      </w:r>
      <w:r w:rsidRPr="00E64594">
        <w:rPr>
          <w:rtl/>
          <w:lang w:val="en-US"/>
        </w:rPr>
        <w:t>نظامي</w:t>
      </w:r>
    </w:p>
    <w:p w14:paraId="6DBC214E" w14:textId="2D07834E" w:rsidR="00803A0A" w:rsidRPr="00E64594" w:rsidRDefault="00C7414E" w:rsidP="00C7414E">
      <w:pPr>
        <w:pStyle w:val="SingleTxtGA"/>
        <w:spacing w:line="340" w:lineRule="exact"/>
        <w:rPr>
          <w:b/>
          <w:bCs/>
          <w:rtl/>
        </w:rPr>
      </w:pPr>
      <w:r w:rsidRPr="00E64594">
        <w:rPr>
          <w:rFonts w:ascii="Times New Roman Bold" w:hAnsi="Times New Roman Bold"/>
          <w:b/>
          <w:bCs/>
          <w:spacing w:val="-2"/>
          <w:rtl/>
        </w:rPr>
        <w:tab/>
      </w:r>
      <w:r w:rsidR="00803A0A" w:rsidRPr="00E64594">
        <w:rPr>
          <w:rFonts w:ascii="Times New Roman Bold" w:hAnsi="Times New Roman Bold"/>
          <w:b/>
          <w:bCs/>
          <w:spacing w:val="-2"/>
          <w:rtl/>
        </w:rPr>
        <w:t>توصي اللجنة، تمشياً مع المبادئ والخطوط التوجيهية الموصى بها من مفوضية الأمم المتحدة</w:t>
      </w:r>
      <w:r w:rsidR="00803A0A" w:rsidRPr="00E64594">
        <w:rPr>
          <w:b/>
          <w:bCs/>
          <w:rtl/>
        </w:rPr>
        <w:t xml:space="preserve"> السامية لحقوق الإنسان فيما يتعلق</w:t>
      </w:r>
      <w:r w:rsidR="00803A0A" w:rsidRPr="00E64594">
        <w:rPr>
          <w:b/>
          <w:bCs/>
          <w:rtl/>
        </w:rPr>
        <w:t xml:space="preserve"> </w:t>
      </w:r>
      <w:r w:rsidR="00803A0A" w:rsidRPr="00E64594">
        <w:rPr>
          <w:b/>
          <w:bCs/>
          <w:rtl/>
        </w:rPr>
        <w:t>بحقوق الإنسان على الحدود الدولية، بأن تقوم الدولة الطرف بما</w:t>
      </w:r>
      <w:r w:rsidR="003B407D" w:rsidRPr="00E64594">
        <w:rPr>
          <w:rFonts w:hint="cs"/>
          <w:b/>
          <w:bCs/>
          <w:rtl/>
        </w:rPr>
        <w:t> </w:t>
      </w:r>
      <w:r w:rsidR="00803A0A" w:rsidRPr="00E64594">
        <w:rPr>
          <w:b/>
          <w:bCs/>
          <w:rtl/>
        </w:rPr>
        <w:t>يلي:</w:t>
      </w:r>
    </w:p>
    <w:p w14:paraId="6556A991" w14:textId="737A8AAF" w:rsidR="00803A0A" w:rsidRPr="00E64594" w:rsidRDefault="00803A0A" w:rsidP="00C7414E">
      <w:pPr>
        <w:pStyle w:val="SingleTxtGA"/>
        <w:spacing w:line="340" w:lineRule="exact"/>
        <w:rPr>
          <w:b/>
          <w:bCs/>
          <w:rtl/>
        </w:rPr>
      </w:pPr>
      <w:r w:rsidRPr="00E64594">
        <w:rPr>
          <w:spacing w:val="-2"/>
          <w:rtl/>
        </w:rPr>
        <w:tab/>
      </w:r>
      <w:r w:rsidRPr="00E64594">
        <w:rPr>
          <w:spacing w:val="-2"/>
          <w:rtl/>
        </w:rPr>
        <w:t>(أ)</w:t>
      </w:r>
      <w:r w:rsidRPr="00E64594">
        <w:rPr>
          <w:spacing w:val="-2"/>
          <w:rtl/>
        </w:rPr>
        <w:tab/>
      </w:r>
      <w:r w:rsidRPr="00E64594">
        <w:rPr>
          <w:b/>
          <w:bCs/>
          <w:spacing w:val="-2"/>
          <w:rtl/>
        </w:rPr>
        <w:t>اتخاذ تدابير مناسبة بخلاف مجرد تدابير حماية الحدود وإنفاذ القانون، من أجل وضع</w:t>
      </w:r>
      <w:r w:rsidRPr="00E64594">
        <w:rPr>
          <w:b/>
          <w:bCs/>
          <w:rtl/>
        </w:rPr>
        <w:t xml:space="preserve"> إجراءات مكرسة لإضفاء الطابع النظامي على</w:t>
      </w:r>
      <w:r w:rsidRPr="00E64594">
        <w:rPr>
          <w:b/>
          <w:bCs/>
          <w:rtl/>
        </w:rPr>
        <w:t xml:space="preserve"> </w:t>
      </w:r>
      <w:r w:rsidRPr="00E64594">
        <w:rPr>
          <w:b/>
          <w:bCs/>
          <w:rtl/>
        </w:rPr>
        <w:t>وضع العمال المهاجرين الذين هم في وضع غير نظامي وأفراد أسرهم</w:t>
      </w:r>
      <w:r w:rsidRPr="00E64594">
        <w:rPr>
          <w:b/>
          <w:bCs/>
          <w:rtl/>
        </w:rPr>
        <w:t xml:space="preserve"> </w:t>
      </w:r>
      <w:r w:rsidRPr="00E64594">
        <w:rPr>
          <w:b/>
          <w:bCs/>
          <w:rtl/>
        </w:rPr>
        <w:t>لضمان عدم استمرار هذا الوضع؛</w:t>
      </w:r>
    </w:p>
    <w:p w14:paraId="48B3FFCF" w14:textId="4C437E78" w:rsidR="00803A0A" w:rsidRPr="00E64594" w:rsidRDefault="00803A0A" w:rsidP="00C7414E">
      <w:pPr>
        <w:pStyle w:val="SingleTxtGA"/>
        <w:spacing w:line="340" w:lineRule="exact"/>
        <w:rPr>
          <w:b/>
          <w:bCs/>
          <w:spacing w:val="-6"/>
          <w:rtl/>
        </w:rPr>
      </w:pPr>
      <w:r w:rsidRPr="00E64594">
        <w:rPr>
          <w:spacing w:val="-6"/>
          <w:rtl/>
        </w:rPr>
        <w:tab/>
      </w:r>
      <w:r w:rsidRPr="00E64594">
        <w:rPr>
          <w:spacing w:val="-6"/>
          <w:rtl/>
        </w:rPr>
        <w:t>(ب)</w:t>
      </w:r>
      <w:r w:rsidRPr="00E64594">
        <w:rPr>
          <w:spacing w:val="-6"/>
          <w:rtl/>
        </w:rPr>
        <w:tab/>
      </w:r>
      <w:r w:rsidRPr="00E64594">
        <w:rPr>
          <w:b/>
          <w:bCs/>
          <w:spacing w:val="-6"/>
          <w:rtl/>
        </w:rPr>
        <w:t>زيادة الوعي بشأن هذه الإجراءات لدى العمال المهاجرين الذين هم في وضع غير نظامي؛</w:t>
      </w:r>
    </w:p>
    <w:p w14:paraId="3C6983C3" w14:textId="7B2EC4DE" w:rsidR="00803A0A" w:rsidRPr="00E64594" w:rsidRDefault="00803A0A" w:rsidP="00C7414E">
      <w:pPr>
        <w:pStyle w:val="SingleTxtGA"/>
        <w:spacing w:line="340" w:lineRule="exact"/>
        <w:rPr>
          <w:b/>
          <w:bCs/>
          <w:rtl/>
        </w:rPr>
      </w:pPr>
      <w:r w:rsidRPr="00E64594">
        <w:rPr>
          <w:rtl/>
        </w:rPr>
        <w:tab/>
      </w:r>
      <w:r w:rsidRPr="00E64594">
        <w:rPr>
          <w:rtl/>
        </w:rPr>
        <w:t>(ج)</w:t>
      </w:r>
      <w:r w:rsidRPr="00E64594">
        <w:rPr>
          <w:rtl/>
        </w:rPr>
        <w:tab/>
      </w:r>
      <w:r w:rsidRPr="00E64594">
        <w:rPr>
          <w:b/>
          <w:bCs/>
          <w:rtl/>
        </w:rPr>
        <w:t>تقديم معلومات عن هؤلاء العمال في تقريرها الدوري المقبل.</w:t>
      </w:r>
    </w:p>
    <w:p w14:paraId="36F0A855" w14:textId="77777777" w:rsidR="00803A0A" w:rsidRPr="00E64594" w:rsidRDefault="00803A0A" w:rsidP="00803A0A">
      <w:pPr>
        <w:pStyle w:val="H23GA"/>
        <w:rPr>
          <w:rtl/>
          <w:lang w:val="en-US"/>
        </w:rPr>
      </w:pPr>
      <w:r w:rsidRPr="00E64594">
        <w:rPr>
          <w:rtl/>
          <w:lang w:val="en-US"/>
        </w:rPr>
        <w:tab/>
      </w:r>
      <w:r w:rsidRPr="00E64594">
        <w:rPr>
          <w:rtl/>
          <w:lang w:val="en-US"/>
        </w:rPr>
        <w:tab/>
        <w:t>ردّ الدولة الطرف</w:t>
      </w:r>
    </w:p>
    <w:p w14:paraId="49768C36" w14:textId="437B60F2" w:rsidR="00803A0A" w:rsidRPr="00E64594" w:rsidRDefault="00C7414E" w:rsidP="00C7414E">
      <w:pPr>
        <w:pStyle w:val="SingleTxtGA"/>
        <w:spacing w:line="340" w:lineRule="exact"/>
        <w:rPr>
          <w:rtl/>
        </w:rPr>
      </w:pPr>
      <w:r w:rsidRPr="00E64594">
        <w:rPr>
          <w:rtl/>
        </w:rPr>
        <w:tab/>
      </w:r>
      <w:r w:rsidR="00803A0A" w:rsidRPr="00E64594">
        <w:rPr>
          <w:rtl/>
        </w:rPr>
        <w:t xml:space="preserve">يَردُ رد الدولة الطرف في الوثيقة </w:t>
      </w:r>
      <w:hyperlink r:id="rId14" w:history="1">
        <w:r w:rsidR="00803A0A" w:rsidRPr="00E64594">
          <w:rPr>
            <w:rStyle w:val="Hyperlink"/>
          </w:rPr>
          <w:t>CMW/C/AZE/FCO/3</w:t>
        </w:r>
      </w:hyperlink>
      <w:r w:rsidR="00803A0A" w:rsidRPr="00E64594">
        <w:rPr>
          <w:rtl/>
        </w:rPr>
        <w:t>، في الفقرات من 57 إلى 60.</w:t>
      </w:r>
    </w:p>
    <w:p w14:paraId="63EDCA75" w14:textId="77777777" w:rsidR="00803A0A" w:rsidRPr="00E64594" w:rsidRDefault="00803A0A" w:rsidP="00803A0A">
      <w:pPr>
        <w:pStyle w:val="H23GA"/>
        <w:rPr>
          <w:rtl/>
          <w:lang w:val="en-US"/>
        </w:rPr>
      </w:pPr>
      <w:r w:rsidRPr="00E64594">
        <w:rPr>
          <w:rtl/>
          <w:lang w:val="en-US"/>
        </w:rPr>
        <w:tab/>
      </w:r>
      <w:r w:rsidRPr="00E64594">
        <w:rPr>
          <w:rtl/>
          <w:lang w:val="en-US"/>
        </w:rPr>
        <w:tab/>
        <w:t>تقييم اللجنة</w:t>
      </w:r>
    </w:p>
    <w:p w14:paraId="347CD85A" w14:textId="77777777" w:rsidR="00803A0A" w:rsidRPr="00E64594" w:rsidRDefault="00803A0A" w:rsidP="00C7414E">
      <w:pPr>
        <w:pStyle w:val="SingleTxtGA"/>
        <w:spacing w:line="340" w:lineRule="exact"/>
        <w:rPr>
          <w:rtl/>
        </w:rPr>
      </w:pPr>
      <w:r w:rsidRPr="00E64594">
        <w:rPr>
          <w:b/>
          <w:bCs/>
          <w:rtl/>
        </w:rPr>
        <w:t>[باء]</w:t>
      </w:r>
      <w:r w:rsidRPr="00E64594">
        <w:rPr>
          <w:rtl/>
        </w:rPr>
        <w:t>: الفقرة 62(أ) و(ب)</w:t>
      </w:r>
    </w:p>
    <w:p w14:paraId="3484B31D" w14:textId="6F430ED6" w:rsidR="00803A0A" w:rsidRPr="00E64594" w:rsidRDefault="00C7414E" w:rsidP="00C7414E">
      <w:pPr>
        <w:pStyle w:val="SingleTxtGA"/>
        <w:spacing w:line="340" w:lineRule="exact"/>
        <w:rPr>
          <w:rFonts w:hint="cs"/>
          <w:rtl/>
        </w:rPr>
      </w:pPr>
      <w:r w:rsidRPr="00E64594">
        <w:rPr>
          <w:rtl/>
        </w:rPr>
        <w:tab/>
      </w:r>
      <w:r w:rsidR="00803A0A" w:rsidRPr="00E64594">
        <w:rPr>
          <w:rtl/>
        </w:rPr>
        <w:t xml:space="preserve">ترحب اللجنة بالمعلومات التي قدمتها الدولة الطرف بشأن الأنشطة المضطلَع بها لإذكاء الوعي بإجراءات </w:t>
      </w:r>
      <w:r w:rsidR="00803A0A" w:rsidRPr="00E64594">
        <w:rPr>
          <w:spacing w:val="-4"/>
          <w:rtl/>
        </w:rPr>
        <w:t xml:space="preserve">تسوية أوضاع العمال المهاجرين الذين هم في وضع غير نظامي وأفراد أسرهم. ولكنها تعرب عن قلقها </w:t>
      </w:r>
      <w:r w:rsidR="00803A0A" w:rsidRPr="00E64594">
        <w:rPr>
          <w:spacing w:val="-6"/>
          <w:rtl/>
        </w:rPr>
        <w:t>إزاء التقارير التي تفيد بوجود أعداد كبيرة من العمال المهاجرين الذين هم في وضع غير نظامي وأفراد أسرهم</w:t>
      </w:r>
      <w:r w:rsidR="00803A0A" w:rsidRPr="00E64594">
        <w:rPr>
          <w:spacing w:val="-4"/>
          <w:rtl/>
        </w:rPr>
        <w:t xml:space="preserve"> في الدولة الطرف، ويُدّعى أن ذلك يُعزى إلى وعود قدّمتها شركات سياحية في الخارج بتوفير فرص عمل لهم.</w:t>
      </w:r>
      <w:r w:rsidR="00803A0A" w:rsidRPr="00E64594">
        <w:rPr>
          <w:rtl/>
        </w:rPr>
        <w:t xml:space="preserve"> </w:t>
      </w:r>
      <w:r w:rsidR="00803A0A" w:rsidRPr="00E64594">
        <w:rPr>
          <w:rtl/>
        </w:rPr>
        <w:lastRenderedPageBreak/>
        <w:t>وتشجع اللجنة الدولةَ الطرف على اتخاذ تدابير من أجل التنفيذ الكامل لتوصيتها التي تدعو إلى اتخاذ تدابير مناسبة بخلاف مجرد تدابير حماية الحدود وإنفاذ القانون، من أجل</w:t>
      </w:r>
      <w:r w:rsidR="00803A0A" w:rsidRPr="00E64594">
        <w:rPr>
          <w:rtl/>
        </w:rPr>
        <w:t xml:space="preserve"> </w:t>
      </w:r>
      <w:r w:rsidR="00803A0A" w:rsidRPr="00E64594">
        <w:rPr>
          <w:rtl/>
        </w:rPr>
        <w:t>وضع إجراءات مكرسة لإضفاء الطابع النظامي على وضع العمال المهاجرين الذين هم في وضع غير نظامي وأفراد أسرهم. وترى اللجنة أن التوصية نُفِّذت جزئياً.</w:t>
      </w:r>
    </w:p>
    <w:p w14:paraId="61D81EC6" w14:textId="77777777" w:rsidR="00803A0A" w:rsidRPr="00E64594" w:rsidRDefault="00803A0A" w:rsidP="00803A0A">
      <w:pPr>
        <w:pStyle w:val="SingleTxtGA"/>
        <w:rPr>
          <w:rtl/>
        </w:rPr>
      </w:pPr>
      <w:r w:rsidRPr="00E64594">
        <w:rPr>
          <w:b/>
          <w:bCs/>
          <w:rtl/>
        </w:rPr>
        <w:t>[واو]</w:t>
      </w:r>
      <w:r w:rsidRPr="00E64594">
        <w:rPr>
          <w:rtl/>
        </w:rPr>
        <w:t>: الفقرة 62(ج)</w:t>
      </w:r>
    </w:p>
    <w:p w14:paraId="09CB3124" w14:textId="7A9D094C" w:rsidR="00586788" w:rsidRPr="00E64594" w:rsidRDefault="00C7414E" w:rsidP="00803A0A">
      <w:pPr>
        <w:pStyle w:val="SingleTxtGA"/>
        <w:rPr>
          <w:spacing w:val="-2"/>
          <w:rtl/>
        </w:rPr>
      </w:pPr>
      <w:r w:rsidRPr="00E64594">
        <w:rPr>
          <w:spacing w:val="-2"/>
          <w:rtl/>
        </w:rPr>
        <w:tab/>
      </w:r>
      <w:r w:rsidR="00803A0A" w:rsidRPr="00E64594">
        <w:rPr>
          <w:spacing w:val="-2"/>
          <w:rtl/>
        </w:rPr>
        <w:t>تشجع اللجنة الدولةَ الطرف على أن تقدم، في تقريرها الدوري المقبل، معلومات عن الإجراءات المتبعة لإضفاء الطابع النظامي على وضع العمال المهاجرين الذين هم في وضع غير نظامي وأفراد أسرهم.</w:t>
      </w:r>
    </w:p>
    <w:p w14:paraId="38930430" w14:textId="7B14869E" w:rsidR="00803A0A" w:rsidRPr="00E64594" w:rsidRDefault="00803A0A" w:rsidP="00803A0A">
      <w:pPr>
        <w:pStyle w:val="SingleTxtGA"/>
        <w:jc w:val="center"/>
        <w:rPr>
          <w:rFonts w:hint="cs"/>
          <w:u w:val="single"/>
          <w:rtl/>
        </w:rPr>
      </w:pPr>
      <w:r w:rsidRPr="00E64594">
        <w:rPr>
          <w:u w:val="single"/>
          <w:rtl/>
        </w:rPr>
        <w:tab/>
      </w:r>
      <w:r w:rsidRPr="00E64594">
        <w:rPr>
          <w:u w:val="single"/>
          <w:rtl/>
        </w:rPr>
        <w:tab/>
      </w:r>
      <w:r w:rsidRPr="00E64594">
        <w:rPr>
          <w:u w:val="single"/>
          <w:rtl/>
        </w:rPr>
        <w:tab/>
      </w:r>
    </w:p>
    <w:sectPr w:rsidR="00803A0A" w:rsidRPr="00E64594" w:rsidSect="001C5477">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68092" w14:textId="77777777" w:rsidR="00104DE7" w:rsidRPr="002901D9" w:rsidRDefault="00104DE7" w:rsidP="008809C0">
      <w:pPr>
        <w:spacing w:after="120" w:line="240" w:lineRule="auto"/>
        <w:ind w:left="57"/>
        <w:rPr>
          <w:i/>
          <w:iCs/>
        </w:rPr>
      </w:pPr>
      <w:r>
        <w:rPr>
          <w:rFonts w:hint="cs"/>
          <w:i/>
          <w:iCs/>
          <w:rtl/>
        </w:rPr>
        <w:t>الحواشي</w:t>
      </w:r>
    </w:p>
  </w:endnote>
  <w:endnote w:type="continuationSeparator" w:id="0">
    <w:p w14:paraId="3A262D93" w14:textId="77777777" w:rsidR="00104DE7" w:rsidRDefault="00104DE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New Roman 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DA26C" w14:textId="504F3046" w:rsidR="00586788" w:rsidRPr="00586788" w:rsidRDefault="00586788" w:rsidP="00586788">
    <w:pPr>
      <w:pStyle w:val="Footer"/>
      <w:tabs>
        <w:tab w:val="right" w:pos="9638"/>
      </w:tabs>
      <w:rPr>
        <w:b/>
        <w:sz w:val="18"/>
        <w:lang w:val="en-US"/>
      </w:rPr>
    </w:pPr>
    <w:r>
      <w:rPr>
        <w:lang w:val="en-US"/>
      </w:rPr>
      <w:t>GE.26-02153</w:t>
    </w:r>
    <w:r>
      <w:rPr>
        <w:lang w:val="en-US"/>
      </w:rPr>
      <w:tab/>
    </w:r>
    <w:r w:rsidRPr="00586788">
      <w:rPr>
        <w:b/>
        <w:sz w:val="18"/>
        <w:lang w:val="en-US"/>
      </w:rPr>
      <w:fldChar w:fldCharType="begin"/>
    </w:r>
    <w:r w:rsidRPr="00586788">
      <w:rPr>
        <w:b/>
        <w:sz w:val="18"/>
        <w:lang w:val="en-US"/>
      </w:rPr>
      <w:instrText xml:space="preserve"> PAGE  \* MERGEFORMAT </w:instrText>
    </w:r>
    <w:r w:rsidRPr="00586788">
      <w:rPr>
        <w:b/>
        <w:sz w:val="18"/>
        <w:lang w:val="en-US"/>
      </w:rPr>
      <w:fldChar w:fldCharType="separate"/>
    </w:r>
    <w:r w:rsidRPr="00586788">
      <w:rPr>
        <w:b/>
        <w:noProof/>
        <w:sz w:val="18"/>
        <w:lang w:val="en-US"/>
      </w:rPr>
      <w:t>2</w:t>
    </w:r>
    <w:r w:rsidRPr="0058678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6A07B" w14:textId="727EB0AE" w:rsidR="006959B0" w:rsidRPr="00586788" w:rsidRDefault="00586788" w:rsidP="0058678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GE.26-02153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86D01" w14:textId="759FCCF2" w:rsidR="007D04A0" w:rsidRPr="00586788" w:rsidRDefault="00586788" w:rsidP="00586788">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549304D1" wp14:editId="177A777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26-02153 </w:t>
    </w:r>
    <w:r w:rsidR="00B0596D">
      <w:rPr>
        <w:sz w:val="20"/>
        <w:lang w:val="en-US"/>
      </w:rPr>
      <w:t>(A)    310326    010426</w:t>
    </w:r>
    <w:r>
      <w:rPr>
        <w:noProof/>
        <w:sz w:val="20"/>
        <w:lang w:val="en-US"/>
      </w:rPr>
      <w:drawing>
        <wp:anchor distT="0" distB="0" distL="114300" distR="114300" simplePos="0" relativeHeight="251660288" behindDoc="0" locked="0" layoutInCell="1" allowOverlap="1" wp14:anchorId="30AB744A" wp14:editId="7FF0A55F">
          <wp:simplePos x="0" y="0"/>
          <wp:positionH relativeFrom="margin">
            <wp:posOffset>0</wp:posOffset>
          </wp:positionH>
          <wp:positionV relativeFrom="margin">
            <wp:posOffset>8891905</wp:posOffset>
          </wp:positionV>
          <wp:extent cx="628650" cy="628650"/>
          <wp:effectExtent l="0" t="0" r="0" b="0"/>
          <wp:wrapNone/>
          <wp:docPr id="152971139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71139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3FEFC" w14:textId="77777777" w:rsidR="00104DE7" w:rsidRPr="00E849B7" w:rsidRDefault="00104DE7"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82B0E23" w14:textId="77777777" w:rsidR="00104DE7" w:rsidRDefault="00104DE7" w:rsidP="00656392">
      <w:pPr>
        <w:spacing w:line="240" w:lineRule="auto"/>
      </w:pPr>
      <w:r>
        <w:continuationSeparator/>
      </w:r>
    </w:p>
  </w:footnote>
  <w:footnote w:id="1">
    <w:p w14:paraId="6C4853AB" w14:textId="457425EF" w:rsidR="00803A0A" w:rsidRPr="00803A0A" w:rsidRDefault="00803A0A" w:rsidP="004C142C">
      <w:pPr>
        <w:pStyle w:val="FootnoteText1"/>
      </w:pPr>
      <w:r w:rsidRPr="00803A0A">
        <w:rPr>
          <w:rtl/>
        </w:rPr>
        <w:t>*</w:t>
      </w:r>
      <w:r w:rsidRPr="00803A0A">
        <w:rPr>
          <w:rtl/>
        </w:rPr>
        <w:tab/>
      </w:r>
      <w:r w:rsidRPr="00803A0A">
        <w:rPr>
          <w:rtl/>
        </w:rPr>
        <w:t>اعتمدته اللجنة في دورتها التاسعة والثلاثين (2-13 كانون الأول/ديسمبر 2024).</w:t>
      </w:r>
    </w:p>
  </w:footnote>
  <w:footnote w:id="2">
    <w:p w14:paraId="1F6DF659" w14:textId="1AB1F032" w:rsidR="00803A0A" w:rsidRPr="00803A0A" w:rsidRDefault="00803A0A" w:rsidP="006E567F">
      <w:pPr>
        <w:pStyle w:val="FootnoteText1"/>
      </w:pPr>
      <w:r w:rsidRPr="00803A0A">
        <w:rPr>
          <w:rtl/>
        </w:rPr>
        <w:t>(</w:t>
      </w:r>
      <w:r w:rsidRPr="00803A0A">
        <w:footnoteRef/>
      </w:r>
      <w:r w:rsidRPr="00803A0A">
        <w:rPr>
          <w:rtl/>
        </w:rPr>
        <w:t>)</w:t>
      </w:r>
      <w:r w:rsidRPr="00803A0A">
        <w:rPr>
          <w:rtl/>
        </w:rPr>
        <w:tab/>
      </w:r>
      <w:hyperlink r:id="rId1" w:history="1">
        <w:r w:rsidRPr="00803A0A">
          <w:rPr>
            <w:rStyle w:val="Hyperlink"/>
          </w:rPr>
          <w:t>CMW/C/AZE/CO/2</w:t>
        </w:r>
      </w:hyperlink>
      <w:r w:rsidRPr="00803A0A">
        <w:rPr>
          <w:rtl/>
        </w:rPr>
        <w:t>، الفقرة 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86560" w14:textId="41C0626B" w:rsidR="00586788" w:rsidRPr="00586788" w:rsidRDefault="00586788" w:rsidP="0058678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CMW/C/39/2/Add.1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82D4C" w14:textId="249D5599" w:rsidR="00586788" w:rsidRPr="00586788" w:rsidRDefault="00586788" w:rsidP="0058678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CMW/C/39/2/Add.1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EF9B2" w14:textId="77777777" w:rsidR="00B0596D" w:rsidRDefault="00B059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78198474">
    <w:abstractNumId w:val="15"/>
  </w:num>
  <w:num w:numId="2" w16cid:durableId="40983665">
    <w:abstractNumId w:val="12"/>
  </w:num>
  <w:num w:numId="3" w16cid:durableId="1530754613">
    <w:abstractNumId w:val="2"/>
  </w:num>
  <w:num w:numId="4" w16cid:durableId="1130561599">
    <w:abstractNumId w:val="11"/>
  </w:num>
  <w:num w:numId="5" w16cid:durableId="816729343">
    <w:abstractNumId w:val="8"/>
  </w:num>
  <w:num w:numId="6" w16cid:durableId="1604410783">
    <w:abstractNumId w:val="5"/>
  </w:num>
  <w:num w:numId="7" w16cid:durableId="1628782553">
    <w:abstractNumId w:val="17"/>
  </w:num>
  <w:num w:numId="8" w16cid:durableId="870142240">
    <w:abstractNumId w:val="2"/>
  </w:num>
  <w:num w:numId="9" w16cid:durableId="1737975363">
    <w:abstractNumId w:val="11"/>
  </w:num>
  <w:num w:numId="10" w16cid:durableId="415246353">
    <w:abstractNumId w:val="5"/>
  </w:num>
  <w:num w:numId="11" w16cid:durableId="1187911770">
    <w:abstractNumId w:val="17"/>
  </w:num>
  <w:num w:numId="12" w16cid:durableId="562330734">
    <w:abstractNumId w:val="4"/>
  </w:num>
  <w:num w:numId="13" w16cid:durableId="295185615">
    <w:abstractNumId w:val="3"/>
  </w:num>
  <w:num w:numId="14" w16cid:durableId="1621569700">
    <w:abstractNumId w:val="16"/>
  </w:num>
  <w:num w:numId="15" w16cid:durableId="1055785572">
    <w:abstractNumId w:val="13"/>
  </w:num>
  <w:num w:numId="16" w16cid:durableId="445778296">
    <w:abstractNumId w:val="1"/>
  </w:num>
  <w:num w:numId="17" w16cid:durableId="522136085">
    <w:abstractNumId w:val="14"/>
  </w:num>
  <w:num w:numId="18" w16cid:durableId="437481848">
    <w:abstractNumId w:val="0"/>
  </w:num>
  <w:num w:numId="19" w16cid:durableId="1361130208">
    <w:abstractNumId w:val="9"/>
  </w:num>
  <w:num w:numId="20" w16cid:durableId="144573249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661567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79113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99125208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10253226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075933746">
    <w:abstractNumId w:val="7"/>
  </w:num>
  <w:num w:numId="26" w16cid:durableId="42338040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14845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4EC"/>
    <w:rsid w:val="00004B17"/>
    <w:rsid w:val="000076D5"/>
    <w:rsid w:val="0003439F"/>
    <w:rsid w:val="00043663"/>
    <w:rsid w:val="00044934"/>
    <w:rsid w:val="000505CF"/>
    <w:rsid w:val="000D701C"/>
    <w:rsid w:val="000E2A71"/>
    <w:rsid w:val="000E7731"/>
    <w:rsid w:val="00104DE7"/>
    <w:rsid w:val="001377EA"/>
    <w:rsid w:val="00160263"/>
    <w:rsid w:val="00181F96"/>
    <w:rsid w:val="001A1371"/>
    <w:rsid w:val="001A72EE"/>
    <w:rsid w:val="001B346A"/>
    <w:rsid w:val="001C5477"/>
    <w:rsid w:val="001D181F"/>
    <w:rsid w:val="001E1CAD"/>
    <w:rsid w:val="001E290D"/>
    <w:rsid w:val="001E45CF"/>
    <w:rsid w:val="002144FA"/>
    <w:rsid w:val="002236F3"/>
    <w:rsid w:val="00233629"/>
    <w:rsid w:val="0023469A"/>
    <w:rsid w:val="00243C8A"/>
    <w:rsid w:val="00266906"/>
    <w:rsid w:val="00267A0E"/>
    <w:rsid w:val="002901D9"/>
    <w:rsid w:val="002976C2"/>
    <w:rsid w:val="002B726E"/>
    <w:rsid w:val="002C05F6"/>
    <w:rsid w:val="002C52C5"/>
    <w:rsid w:val="002D2D42"/>
    <w:rsid w:val="003260FF"/>
    <w:rsid w:val="00336B60"/>
    <w:rsid w:val="00343D95"/>
    <w:rsid w:val="0035017B"/>
    <w:rsid w:val="003622B5"/>
    <w:rsid w:val="00374341"/>
    <w:rsid w:val="00384225"/>
    <w:rsid w:val="003B407D"/>
    <w:rsid w:val="003B7FA5"/>
    <w:rsid w:val="003C0D31"/>
    <w:rsid w:val="003D1062"/>
    <w:rsid w:val="00420D7B"/>
    <w:rsid w:val="00450B21"/>
    <w:rsid w:val="00453B63"/>
    <w:rsid w:val="00455780"/>
    <w:rsid w:val="0045649E"/>
    <w:rsid w:val="00465585"/>
    <w:rsid w:val="004A14A6"/>
    <w:rsid w:val="004B0A1C"/>
    <w:rsid w:val="004D2536"/>
    <w:rsid w:val="004D298E"/>
    <w:rsid w:val="004E1753"/>
    <w:rsid w:val="00523BAE"/>
    <w:rsid w:val="0054472E"/>
    <w:rsid w:val="00552CF4"/>
    <w:rsid w:val="005540EB"/>
    <w:rsid w:val="005662A9"/>
    <w:rsid w:val="005827D4"/>
    <w:rsid w:val="00586788"/>
    <w:rsid w:val="00587F77"/>
    <w:rsid w:val="0059622A"/>
    <w:rsid w:val="00596A9A"/>
    <w:rsid w:val="005C5878"/>
    <w:rsid w:val="005C7CEA"/>
    <w:rsid w:val="005D23D2"/>
    <w:rsid w:val="005D3C0B"/>
    <w:rsid w:val="005D5FAB"/>
    <w:rsid w:val="005E5217"/>
    <w:rsid w:val="005F016A"/>
    <w:rsid w:val="005F0FA4"/>
    <w:rsid w:val="005F30EE"/>
    <w:rsid w:val="0060473A"/>
    <w:rsid w:val="00656392"/>
    <w:rsid w:val="0068781D"/>
    <w:rsid w:val="006959B0"/>
    <w:rsid w:val="006B3E27"/>
    <w:rsid w:val="006B6507"/>
    <w:rsid w:val="006C104C"/>
    <w:rsid w:val="00710F28"/>
    <w:rsid w:val="00733704"/>
    <w:rsid w:val="0078071A"/>
    <w:rsid w:val="007D04A0"/>
    <w:rsid w:val="007F3270"/>
    <w:rsid w:val="00803A0A"/>
    <w:rsid w:val="00805C01"/>
    <w:rsid w:val="00852A9A"/>
    <w:rsid w:val="0086216C"/>
    <w:rsid w:val="00874948"/>
    <w:rsid w:val="008809C0"/>
    <w:rsid w:val="008B1709"/>
    <w:rsid w:val="008F49E1"/>
    <w:rsid w:val="0090370F"/>
    <w:rsid w:val="009269D2"/>
    <w:rsid w:val="00926A99"/>
    <w:rsid w:val="00942135"/>
    <w:rsid w:val="009521B0"/>
    <w:rsid w:val="00982D83"/>
    <w:rsid w:val="00994130"/>
    <w:rsid w:val="009951EE"/>
    <w:rsid w:val="009A7E9F"/>
    <w:rsid w:val="009E5018"/>
    <w:rsid w:val="00A12B37"/>
    <w:rsid w:val="00A47A52"/>
    <w:rsid w:val="00AB6758"/>
    <w:rsid w:val="00AD39DF"/>
    <w:rsid w:val="00AF68B6"/>
    <w:rsid w:val="00B01B73"/>
    <w:rsid w:val="00B0596D"/>
    <w:rsid w:val="00B116DD"/>
    <w:rsid w:val="00B13763"/>
    <w:rsid w:val="00B3422A"/>
    <w:rsid w:val="00B477A4"/>
    <w:rsid w:val="00B54045"/>
    <w:rsid w:val="00B742C7"/>
    <w:rsid w:val="00B755AA"/>
    <w:rsid w:val="00C438D7"/>
    <w:rsid w:val="00C7414E"/>
    <w:rsid w:val="00C81B50"/>
    <w:rsid w:val="00C91CE0"/>
    <w:rsid w:val="00CB28F9"/>
    <w:rsid w:val="00CD1801"/>
    <w:rsid w:val="00CE510B"/>
    <w:rsid w:val="00CF43E6"/>
    <w:rsid w:val="00CF7EDE"/>
    <w:rsid w:val="00D10EF1"/>
    <w:rsid w:val="00D13E6D"/>
    <w:rsid w:val="00D330A2"/>
    <w:rsid w:val="00D42810"/>
    <w:rsid w:val="00D42EEC"/>
    <w:rsid w:val="00D914A7"/>
    <w:rsid w:val="00DC4EE6"/>
    <w:rsid w:val="00DD13C3"/>
    <w:rsid w:val="00DD596E"/>
    <w:rsid w:val="00DD621E"/>
    <w:rsid w:val="00DE2E00"/>
    <w:rsid w:val="00DE59CB"/>
    <w:rsid w:val="00DF0575"/>
    <w:rsid w:val="00E2649E"/>
    <w:rsid w:val="00E64594"/>
    <w:rsid w:val="00E654FB"/>
    <w:rsid w:val="00E70E04"/>
    <w:rsid w:val="00E71448"/>
    <w:rsid w:val="00E76499"/>
    <w:rsid w:val="00E849B7"/>
    <w:rsid w:val="00EC05A7"/>
    <w:rsid w:val="00EC4B6B"/>
    <w:rsid w:val="00EF1EE5"/>
    <w:rsid w:val="00F74327"/>
    <w:rsid w:val="00F763B4"/>
    <w:rsid w:val="00F900C3"/>
    <w:rsid w:val="00FB24EC"/>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12303C"/>
  <w15:docId w15:val="{A4D86AC5-F013-4B20-B1BB-30DA31A33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3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D2536"/>
    <w:pPr>
      <w:bidi w:val="0"/>
      <w:outlineLvl w:val="0"/>
    </w:pPr>
  </w:style>
  <w:style w:type="paragraph" w:styleId="Heading2">
    <w:name w:val="heading 2"/>
    <w:basedOn w:val="Normal"/>
    <w:next w:val="Normal"/>
    <w:link w:val="Heading2Char"/>
    <w:uiPriority w:val="9"/>
    <w:unhideWhenUsed/>
    <w:rsid w:val="004D253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D2536"/>
    <w:pPr>
      <w:keepNext/>
      <w:keepLines/>
      <w:spacing w:before="200"/>
      <w:outlineLvl w:val="2"/>
    </w:pPr>
    <w:rPr>
      <w:b/>
      <w:bCs/>
      <w:color w:val="4F81BD"/>
    </w:rPr>
  </w:style>
  <w:style w:type="paragraph" w:styleId="Heading4">
    <w:name w:val="heading 4"/>
    <w:basedOn w:val="Normal"/>
    <w:next w:val="Normal"/>
    <w:link w:val="Heading4Char"/>
    <w:uiPriority w:val="9"/>
    <w:unhideWhenUsed/>
    <w:rsid w:val="004D253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D2536"/>
    <w:pPr>
      <w:keepNext/>
      <w:keepLines/>
      <w:spacing w:before="200"/>
      <w:outlineLvl w:val="4"/>
    </w:pPr>
    <w:rPr>
      <w:color w:val="243F60"/>
    </w:rPr>
  </w:style>
  <w:style w:type="paragraph" w:styleId="Heading6">
    <w:name w:val="heading 6"/>
    <w:basedOn w:val="Normal"/>
    <w:next w:val="Normal"/>
    <w:link w:val="Heading6Char"/>
    <w:uiPriority w:val="9"/>
    <w:unhideWhenUsed/>
    <w:rsid w:val="004D2536"/>
    <w:pPr>
      <w:keepNext/>
      <w:keepLines/>
      <w:spacing w:before="200"/>
      <w:outlineLvl w:val="5"/>
    </w:pPr>
    <w:rPr>
      <w:i/>
      <w:iCs/>
      <w:color w:val="243F60"/>
    </w:rPr>
  </w:style>
  <w:style w:type="paragraph" w:styleId="Heading7">
    <w:name w:val="heading 7"/>
    <w:basedOn w:val="Normal"/>
    <w:next w:val="Normal"/>
    <w:link w:val="Heading7Char"/>
    <w:uiPriority w:val="9"/>
    <w:unhideWhenUsed/>
    <w:rsid w:val="004D2536"/>
    <w:pPr>
      <w:keepNext/>
      <w:keepLines/>
      <w:spacing w:before="200"/>
      <w:outlineLvl w:val="6"/>
    </w:pPr>
    <w:rPr>
      <w:i/>
      <w:iCs/>
      <w:color w:val="404040"/>
    </w:rPr>
  </w:style>
  <w:style w:type="paragraph" w:styleId="Heading8">
    <w:name w:val="heading 8"/>
    <w:basedOn w:val="Normal"/>
    <w:next w:val="Normal"/>
    <w:link w:val="Heading8Char"/>
    <w:uiPriority w:val="9"/>
    <w:unhideWhenUsed/>
    <w:rsid w:val="004D253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D2536"/>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D253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D253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D253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D253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D253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D253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D2536"/>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4D253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D253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D253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D253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D253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D253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D2536"/>
    <w:pPr>
      <w:numPr>
        <w:numId w:val="5"/>
      </w:numPr>
      <w:bidi w:val="0"/>
    </w:pPr>
  </w:style>
  <w:style w:type="paragraph" w:customStyle="1" w:styleId="Roman1GA">
    <w:name w:val="_Roman 1_GA"/>
    <w:basedOn w:val="Bullet1GA"/>
    <w:qFormat/>
    <w:rsid w:val="004D2536"/>
    <w:pPr>
      <w:numPr>
        <w:numId w:val="6"/>
      </w:numPr>
      <w:tabs>
        <w:tab w:val="clear" w:pos="2310"/>
        <w:tab w:val="left" w:pos="2486"/>
      </w:tabs>
      <w:ind w:left="2486" w:hanging="378"/>
    </w:pPr>
  </w:style>
  <w:style w:type="paragraph" w:customStyle="1" w:styleId="Roman2GA">
    <w:name w:val="_Roman 2_GA"/>
    <w:basedOn w:val="Bullet2GA"/>
    <w:qFormat/>
    <w:rsid w:val="004D253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D253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D2536"/>
    <w:rPr>
      <w:rFonts w:ascii="Times New Roman" w:eastAsia="PMingLiU" w:hAnsi="Times New Roman" w:cs="Simplified Arabic"/>
      <w:sz w:val="18"/>
      <w:szCs w:val="20"/>
      <w:lang w:val="en-GB"/>
    </w:rPr>
  </w:style>
  <w:style w:type="character" w:customStyle="1" w:styleId="EndtnoteReference">
    <w:name w:val="Endtnote Reference"/>
    <w:aliases w:val="1_GA"/>
    <w:qFormat/>
    <w:rsid w:val="004D253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D2536"/>
    <w:pPr>
      <w:suppressAutoHyphens/>
      <w:bidi w:val="0"/>
      <w:spacing w:line="240" w:lineRule="auto"/>
    </w:pPr>
    <w:rPr>
      <w:sz w:val="16"/>
      <w:lang w:val="en-GB"/>
    </w:rPr>
  </w:style>
  <w:style w:type="character" w:customStyle="1" w:styleId="FooterChar">
    <w:name w:val="Footer Char"/>
    <w:aliases w:val="3_GA Char,3_G Char"/>
    <w:link w:val="Footer"/>
    <w:rsid w:val="004D2536"/>
    <w:rPr>
      <w:rFonts w:ascii="Times New Roman" w:eastAsia="PMingLiU" w:hAnsi="Times New Roman" w:cs="Simplified Arabic"/>
      <w:sz w:val="16"/>
      <w:lang w:val="en-GB"/>
    </w:rPr>
  </w:style>
  <w:style w:type="paragraph" w:customStyle="1" w:styleId="FootnoteText1">
    <w:name w:val="Footnote Text1"/>
    <w:aliases w:val="5_GA"/>
    <w:basedOn w:val="Normal"/>
    <w:qFormat/>
    <w:rsid w:val="004D253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D253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D253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D2536"/>
    <w:rPr>
      <w:rFonts w:ascii="Times New Roman" w:eastAsia="PMingLiU" w:hAnsi="Times New Roman" w:cs="Simplified Arabic"/>
    </w:rPr>
  </w:style>
  <w:style w:type="character" w:styleId="PageNumber">
    <w:name w:val="page number"/>
    <w:aliases w:val="7_GA,7_G"/>
    <w:qFormat/>
    <w:rsid w:val="004D2536"/>
    <w:rPr>
      <w:rFonts w:ascii="Times New Roman Bold" w:hAnsi="Times New Roman Bold"/>
      <w:b/>
      <w:i w:val="0"/>
      <w:sz w:val="18"/>
      <w:szCs w:val="18"/>
    </w:rPr>
  </w:style>
  <w:style w:type="paragraph" w:customStyle="1" w:styleId="XXLargeGA">
    <w:name w:val="XXLarge_GA"/>
    <w:basedOn w:val="Normal"/>
    <w:next w:val="SingleTxtGA"/>
    <w:qFormat/>
    <w:rsid w:val="004D2536"/>
    <w:pPr>
      <w:suppressAutoHyphens/>
      <w:spacing w:line="820" w:lineRule="exact"/>
    </w:pPr>
    <w:rPr>
      <w:spacing w:val="-8"/>
      <w:w w:val="96"/>
      <w:sz w:val="57"/>
      <w:szCs w:val="86"/>
      <w:lang w:val="en-GB"/>
    </w:rPr>
  </w:style>
  <w:style w:type="character" w:customStyle="1" w:styleId="Heading2Char">
    <w:name w:val="Heading 2 Char"/>
    <w:link w:val="Heading2"/>
    <w:uiPriority w:val="9"/>
    <w:rsid w:val="004D2536"/>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D2536"/>
    <w:rPr>
      <w:rFonts w:ascii="Times New Roman" w:eastAsia="PMingLiU" w:hAnsi="Times New Roman" w:cs="Simplified Arabic"/>
      <w:b/>
      <w:bCs/>
      <w:color w:val="4F81BD"/>
      <w:sz w:val="20"/>
    </w:rPr>
  </w:style>
  <w:style w:type="character" w:customStyle="1" w:styleId="Heading4Char">
    <w:name w:val="Heading 4 Char"/>
    <w:link w:val="Heading4"/>
    <w:uiPriority w:val="9"/>
    <w:rsid w:val="004D253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D2536"/>
    <w:rPr>
      <w:rFonts w:ascii="Times New Roman" w:eastAsia="PMingLiU" w:hAnsi="Times New Roman" w:cs="Simplified Arabic"/>
      <w:color w:val="243F60"/>
      <w:sz w:val="20"/>
    </w:rPr>
  </w:style>
  <w:style w:type="character" w:customStyle="1" w:styleId="Heading6Char">
    <w:name w:val="Heading 6 Char"/>
    <w:link w:val="Heading6"/>
    <w:uiPriority w:val="9"/>
    <w:rsid w:val="004D2536"/>
    <w:rPr>
      <w:rFonts w:ascii="Times New Roman" w:eastAsia="PMingLiU" w:hAnsi="Times New Roman" w:cs="Simplified Arabic"/>
      <w:i/>
      <w:iCs/>
      <w:color w:val="243F60"/>
      <w:sz w:val="20"/>
    </w:rPr>
  </w:style>
  <w:style w:type="character" w:customStyle="1" w:styleId="Heading7Char">
    <w:name w:val="Heading 7 Char"/>
    <w:link w:val="Heading7"/>
    <w:uiPriority w:val="9"/>
    <w:rsid w:val="004D2536"/>
    <w:rPr>
      <w:rFonts w:ascii="Times New Roman" w:eastAsia="PMingLiU" w:hAnsi="Times New Roman" w:cs="Simplified Arabic"/>
      <w:i/>
      <w:iCs/>
      <w:color w:val="404040"/>
      <w:sz w:val="20"/>
    </w:rPr>
  </w:style>
  <w:style w:type="character" w:customStyle="1" w:styleId="Heading8Char">
    <w:name w:val="Heading 8 Char"/>
    <w:link w:val="Heading8"/>
    <w:uiPriority w:val="9"/>
    <w:rsid w:val="004D253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D253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D253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D253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D2536"/>
    <w:pPr>
      <w:numPr>
        <w:ilvl w:val="1"/>
      </w:numPr>
    </w:pPr>
    <w:rPr>
      <w:i/>
      <w:iCs/>
      <w:color w:val="4F81BD"/>
      <w:spacing w:val="15"/>
      <w:sz w:val="24"/>
      <w:szCs w:val="24"/>
    </w:rPr>
  </w:style>
  <w:style w:type="character" w:customStyle="1" w:styleId="SubtitleChar">
    <w:name w:val="Subtitle Char"/>
    <w:link w:val="Subtitle"/>
    <w:uiPriority w:val="11"/>
    <w:rsid w:val="004D2536"/>
    <w:rPr>
      <w:rFonts w:ascii="Times New Roman" w:eastAsia="PMingLiU" w:hAnsi="Times New Roman" w:cs="Simplified Arabic"/>
      <w:i/>
      <w:iCs/>
      <w:color w:val="4F81BD"/>
      <w:spacing w:val="15"/>
      <w:sz w:val="24"/>
      <w:szCs w:val="24"/>
    </w:rPr>
  </w:style>
  <w:style w:type="character" w:styleId="Strong">
    <w:name w:val="Strong"/>
    <w:uiPriority w:val="22"/>
    <w:rsid w:val="004D2536"/>
    <w:rPr>
      <w:b/>
      <w:bCs/>
    </w:rPr>
  </w:style>
  <w:style w:type="table" w:styleId="TableGrid">
    <w:name w:val="Table Grid"/>
    <w:basedOn w:val="TableNormal"/>
    <w:rsid w:val="004D253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D2536"/>
    <w:rPr>
      <w:color w:val="0000FF"/>
      <w:u w:val="none"/>
    </w:rPr>
  </w:style>
  <w:style w:type="paragraph" w:styleId="TOC1">
    <w:name w:val="toc 1"/>
    <w:basedOn w:val="Normal"/>
    <w:link w:val="TOC1Char"/>
    <w:autoRedefine/>
    <w:uiPriority w:val="39"/>
    <w:unhideWhenUsed/>
    <w:rsid w:val="004D253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D253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D253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D2536"/>
    <w:rPr>
      <w:rFonts w:eastAsia="DengXian"/>
      <w:color w:val="auto"/>
      <w:sz w:val="20"/>
      <w:szCs w:val="20"/>
      <w:u w:val="none"/>
      <w:lang w:eastAsia="zh-CN" w:bidi="ar-EG"/>
    </w:rPr>
  </w:style>
  <w:style w:type="paragraph" w:styleId="TOC4">
    <w:name w:val="toc 4"/>
    <w:basedOn w:val="Normal"/>
    <w:link w:val="TOC4Char"/>
    <w:autoRedefine/>
    <w:uiPriority w:val="39"/>
    <w:unhideWhenUsed/>
    <w:rsid w:val="004D253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D253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D253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D2536"/>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D2536"/>
    <w:rPr>
      <w:rFonts w:ascii="Times New Roman" w:eastAsia="PMingLiU" w:hAnsi="Times New Roman" w:cs="Simplified Arabic"/>
    </w:rPr>
  </w:style>
  <w:style w:type="character" w:customStyle="1" w:styleId="TOC1Char">
    <w:name w:val="TOC 1 Char"/>
    <w:basedOn w:val="DefaultParagraphFont"/>
    <w:link w:val="TOC1"/>
    <w:uiPriority w:val="39"/>
    <w:rsid w:val="004D253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D253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D253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D253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D253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D2536"/>
    <w:rPr>
      <w:rFonts w:ascii="Times New Roman" w:eastAsia="PMingLiU" w:hAnsi="Times New Roman" w:cs="Simplified Arabic"/>
      <w:sz w:val="20"/>
      <w:szCs w:val="20"/>
      <w:lang w:val="en-GB"/>
    </w:rPr>
  </w:style>
  <w:style w:type="paragraph" w:customStyle="1" w:styleId="NormalA">
    <w:name w:val="Normal_A"/>
    <w:basedOn w:val="Normal"/>
    <w:qFormat/>
    <w:rsid w:val="004D2536"/>
  </w:style>
  <w:style w:type="paragraph" w:customStyle="1" w:styleId="FootnoteGA">
    <w:name w:val="_Footnote_GA"/>
    <w:basedOn w:val="Normal"/>
    <w:qFormat/>
    <w:rsid w:val="004D253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D2536"/>
    <w:rPr>
      <w:sz w:val="44"/>
      <w:szCs w:val="44"/>
      <w:lang w:val="en-US" w:bidi="ar-DZ"/>
    </w:rPr>
  </w:style>
  <w:style w:type="paragraph" w:customStyle="1" w:styleId="FootnoteGA0">
    <w:name w:val="Footnote_GA"/>
    <w:basedOn w:val="Normal"/>
    <w:qFormat/>
    <w:rsid w:val="004D253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D253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D2536"/>
    <w:pPr>
      <w:spacing w:line="240" w:lineRule="exact"/>
    </w:pPr>
    <w:rPr>
      <w:spacing w:val="6"/>
      <w:w w:val="106"/>
      <w:sz w:val="14"/>
      <w:szCs w:val="21"/>
    </w:rPr>
  </w:style>
  <w:style w:type="paragraph" w:customStyle="1" w:styleId="Original">
    <w:name w:val="Original"/>
    <w:basedOn w:val="Normal"/>
    <w:next w:val="Normal"/>
    <w:qFormat/>
    <w:rsid w:val="004D253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D253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D2536"/>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D2536"/>
    <w:rPr>
      <w:lang w:val="en-US" w:eastAsia="zh-TW"/>
    </w:rPr>
  </w:style>
  <w:style w:type="paragraph" w:customStyle="1" w:styleId="STitleMGA">
    <w:name w:val="S_Title_M_GA"/>
    <w:basedOn w:val="SMGA"/>
    <w:qFormat/>
    <w:rsid w:val="004D2536"/>
    <w:rPr>
      <w:lang w:eastAsia="zh-TW"/>
    </w:rPr>
  </w:style>
  <w:style w:type="paragraph" w:customStyle="1" w:styleId="STitleSGA">
    <w:name w:val="S_Title_S_GA"/>
    <w:basedOn w:val="SSGA"/>
    <w:qFormat/>
    <w:rsid w:val="004D2536"/>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803A0A"/>
    <w:rPr>
      <w:rFonts w:ascii="Times New Roman" w:hAnsi="Times New Roman"/>
      <w:sz w:val="18"/>
      <w:vertAlign w:val="superscript"/>
    </w:rPr>
  </w:style>
  <w:style w:type="character" w:styleId="UnresolvedMention">
    <w:name w:val="Unresolved Mention"/>
    <w:basedOn w:val="DefaultParagraphFont"/>
    <w:uiPriority w:val="99"/>
    <w:semiHidden/>
    <w:unhideWhenUsed/>
    <w:rsid w:val="00803A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CMW/C/AZE/FCO/3"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un.org/ar/CMW/C/AZE/FCO/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CMW/C/AZE/FCO/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cs.un.org/ar/CMW/C/AZE/FCO/3"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ocs.un.org/ar/CMW/C/AZE/CO/3" TargetMode="External"/><Relationship Id="rId14" Type="http://schemas.openxmlformats.org/officeDocument/2006/relationships/hyperlink" Target="https://docs.un.org/ar/CMW/C/AZE/FCO/3"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CMW/C/AZ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5</TotalTime>
  <Pages>6</Pages>
  <Words>1473</Words>
  <Characters>10551</Characters>
  <Application>Microsoft Office Word</Application>
  <DocSecurity>0</DocSecurity>
  <Lines>879</Lines>
  <Paragraphs>414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CMW/C/39/2/Add.1</dc:title>
  <dc:subject>GE.2602153(A)</dc:subject>
  <dc:creator>Gamal MAHMOUD</dc:creator>
  <cp:keywords/>
  <dc:description>_x000d_
_x000d_
Arabic_x000d_
</dc:description>
  <cp:lastModifiedBy>Gamal Mohamed Abdelhamid Mahmoud</cp:lastModifiedBy>
  <cp:revision>2</cp:revision>
  <dcterms:created xsi:type="dcterms:W3CDTF">2026-04-01T09:01:00Z</dcterms:created>
  <dcterms:modified xsi:type="dcterms:W3CDTF">2026-04-01T09:01:00Z</dcterms:modified>
</cp:coreProperties>
</file>