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DB559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60DA6" w:rsidP="00A60DA6">
            <w:pPr>
              <w:jc w:val="right"/>
            </w:pPr>
            <w:r w:rsidRPr="00A60DA6">
              <w:rPr>
                <w:sz w:val="40"/>
              </w:rPr>
              <w:t>CERD</w:t>
            </w:r>
            <w:r>
              <w:t>/C/JPN/Q/7-9</w:t>
            </w:r>
          </w:p>
        </w:tc>
      </w:tr>
      <w:tr w:rsidR="002D5AAC" w:rsidTr="00DB559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60DA6" w:rsidRDefault="00A60DA6" w:rsidP="00B778C8">
            <w:pPr>
              <w:spacing w:before="240"/>
            </w:pPr>
            <w:r>
              <w:t>Distr. general</w:t>
            </w:r>
          </w:p>
          <w:p w:rsidR="00A60DA6" w:rsidRDefault="00A60DA6" w:rsidP="00A60DA6">
            <w:pPr>
              <w:spacing w:line="240" w:lineRule="exact"/>
            </w:pPr>
            <w:r>
              <w:t>5 de junio de 2014</w:t>
            </w:r>
          </w:p>
          <w:p w:rsidR="00A60DA6" w:rsidRDefault="00A60DA6" w:rsidP="00A60DA6">
            <w:pPr>
              <w:spacing w:line="240" w:lineRule="exact"/>
            </w:pPr>
            <w:r>
              <w:t>Español</w:t>
            </w:r>
          </w:p>
          <w:p w:rsidR="002D5AAC" w:rsidRDefault="00A60DA6" w:rsidP="00A60DA6">
            <w:pPr>
              <w:spacing w:line="240" w:lineRule="exact"/>
            </w:pPr>
            <w:r>
              <w:t>Original: inglés</w:t>
            </w:r>
          </w:p>
        </w:tc>
      </w:tr>
    </w:tbl>
    <w:p w:rsidR="00DB5594" w:rsidRPr="00B2587F" w:rsidRDefault="00DB5594" w:rsidP="00DB5594">
      <w:pPr>
        <w:spacing w:before="120"/>
        <w:rPr>
          <w:b/>
          <w:sz w:val="24"/>
          <w:szCs w:val="24"/>
        </w:rPr>
      </w:pPr>
      <w:r w:rsidRPr="00B2587F">
        <w:rPr>
          <w:b/>
          <w:sz w:val="24"/>
          <w:szCs w:val="24"/>
        </w:rPr>
        <w:t xml:space="preserve">Comité para la Eliminación de la Discriminación Racial </w:t>
      </w:r>
    </w:p>
    <w:p w:rsidR="00DB5594" w:rsidRPr="00B2587F" w:rsidRDefault="00DB5594" w:rsidP="00DB5594">
      <w:pPr>
        <w:rPr>
          <w:b/>
        </w:rPr>
      </w:pPr>
      <w:r w:rsidRPr="00B2587F">
        <w:rPr>
          <w:b/>
        </w:rPr>
        <w:t>85º período de sesiones</w:t>
      </w:r>
      <w:r w:rsidRPr="00B2587F">
        <w:rPr>
          <w:b/>
        </w:rPr>
        <w:tab/>
      </w:r>
    </w:p>
    <w:p w:rsidR="00DB5594" w:rsidRPr="00B2587F" w:rsidRDefault="00DB5594" w:rsidP="00DB5594">
      <w:r w:rsidRPr="00B2587F">
        <w:t>11 a 29 de agosto de 2014</w:t>
      </w:r>
    </w:p>
    <w:p w:rsidR="00DB5594" w:rsidRPr="00B2587F" w:rsidRDefault="00DB5594" w:rsidP="00DB5594">
      <w:r w:rsidRPr="00B2587F">
        <w:t xml:space="preserve">Tema </w:t>
      </w:r>
      <w:r>
        <w:t>4</w:t>
      </w:r>
      <w:r w:rsidRPr="00B2587F">
        <w:t xml:space="preserve"> del programa provisional</w:t>
      </w:r>
    </w:p>
    <w:p w:rsidR="00DB5594" w:rsidRPr="00B2587F" w:rsidRDefault="00DB5594" w:rsidP="00DB5594">
      <w:pPr>
        <w:rPr>
          <w:b/>
        </w:rPr>
      </w:pPr>
      <w:r w:rsidRPr="00B2587F">
        <w:rPr>
          <w:b/>
        </w:rPr>
        <w:t>Examen de los informes, las observaciones y la</w:t>
      </w:r>
      <w:r>
        <w:rPr>
          <w:b/>
        </w:rPr>
        <w:br/>
      </w:r>
      <w:r w:rsidRPr="00B2587F">
        <w:rPr>
          <w:b/>
        </w:rPr>
        <w:t>información presentados por los Estados partes</w:t>
      </w:r>
      <w:r>
        <w:rPr>
          <w:b/>
        </w:rPr>
        <w:br/>
      </w:r>
      <w:r w:rsidRPr="00B2587F">
        <w:rPr>
          <w:b/>
        </w:rPr>
        <w:t>en virtud del artículo 9 de la Convención</w:t>
      </w:r>
    </w:p>
    <w:p w:rsidR="00DB5594" w:rsidRPr="00B2587F" w:rsidRDefault="00DB5594" w:rsidP="00DB5594">
      <w:pPr>
        <w:pStyle w:val="HChG"/>
      </w:pPr>
      <w:r w:rsidRPr="00B2587F">
        <w:tab/>
      </w:r>
      <w:r w:rsidRPr="00B2587F">
        <w:tab/>
        <w:t>Lista de temas relativa a los informes periódicos séptimo a</w:t>
      </w:r>
      <w:r>
        <w:t> </w:t>
      </w:r>
      <w:r w:rsidRPr="00B2587F">
        <w:t>noveno combinados de</w:t>
      </w:r>
      <w:r>
        <w:t>l</w:t>
      </w:r>
      <w:r w:rsidRPr="00B2587F">
        <w:t xml:space="preserve"> Japón (CERD/C/JPN/7-9)</w:t>
      </w:r>
    </w:p>
    <w:p w:rsidR="00DB5594" w:rsidRDefault="00DB5594" w:rsidP="00DB5594">
      <w:pPr>
        <w:pStyle w:val="H1G"/>
      </w:pPr>
      <w:r w:rsidRPr="00B2587F">
        <w:tab/>
      </w:r>
      <w:r w:rsidRPr="00B2587F">
        <w:tab/>
        <w:t xml:space="preserve">Nota del Relator para el país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DB5594" w:rsidTr="00640ED3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DB5594" w:rsidRDefault="00DB5594" w:rsidP="00640ED3">
            <w:pPr>
              <w:spacing w:line="240" w:lineRule="auto"/>
            </w:pPr>
          </w:p>
        </w:tc>
      </w:tr>
      <w:tr w:rsidR="00DB5594" w:rsidTr="00640ED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B5594" w:rsidRDefault="00DB5594" w:rsidP="00640ED3">
            <w:pPr>
              <w:spacing w:after="120"/>
              <w:jc w:val="both"/>
            </w:pPr>
            <w:r>
              <w:tab/>
            </w:r>
            <w:r w:rsidRPr="00B2587F">
              <w:t xml:space="preserve"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 </w:t>
            </w:r>
          </w:p>
        </w:tc>
      </w:tr>
      <w:tr w:rsidR="00DB5594" w:rsidTr="00640ED3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DB5594" w:rsidRDefault="00DB5594" w:rsidP="00640ED3">
            <w:pPr>
              <w:spacing w:line="240" w:lineRule="auto"/>
            </w:pPr>
          </w:p>
        </w:tc>
      </w:tr>
    </w:tbl>
    <w:p w:rsidR="00DB5594" w:rsidRPr="00B2587F" w:rsidRDefault="00DB5594" w:rsidP="00DB5594">
      <w:pPr>
        <w:pStyle w:val="H23G"/>
      </w:pPr>
      <w:r w:rsidRPr="00B2587F">
        <w:tab/>
        <w:t>1.</w:t>
      </w:r>
      <w:r w:rsidRPr="00B2587F">
        <w:tab/>
        <w:t>La Convención en el derecho interno, marco institucional y normativo para su</w:t>
      </w:r>
      <w:r>
        <w:t> </w:t>
      </w:r>
      <w:r w:rsidRPr="00B2587F">
        <w:t>aplicación (arts. 2, 4, 6 y 7)</w:t>
      </w:r>
    </w:p>
    <w:p w:rsidR="00DB5594" w:rsidRPr="00B2587F" w:rsidRDefault="00DB5594" w:rsidP="00DB5594">
      <w:pPr>
        <w:pStyle w:val="SingleTxtG"/>
      </w:pPr>
      <w:r>
        <w:tab/>
      </w:r>
      <w:r w:rsidRPr="00B2587F">
        <w:t>a)</w:t>
      </w:r>
      <w:r w:rsidRPr="00B2587F">
        <w:tab/>
        <w:t>Progresos realizados para aprobar una ley específica contra la discriminación (CERD/C/JPN/CO/3-6, párr.</w:t>
      </w:r>
      <w:r>
        <w:t xml:space="preserve"> </w:t>
      </w:r>
      <w:r w:rsidRPr="00B2587F">
        <w:t>9) que incluya una definición de discriminación racial que se ajuste a todos los motivos dispuestos en el artículo 1 de la Convención (CERD/C/JPN/CO/3-6, párr. 8); y los progresos realizados para establecer una institución nacional de derechos humanos de acuerdo con los Principios relativos al estatuto de las instituciones nacionales de promoción y protección de los derechos humanos (Principios de París) (CERD/C/JPN/7-9, párr.</w:t>
      </w:r>
      <w:r>
        <w:t xml:space="preserve"> </w:t>
      </w:r>
      <w:r w:rsidRPr="00B2587F">
        <w:t>67 y CERD/C/JPN/CO/3-6, párr.</w:t>
      </w:r>
      <w:r>
        <w:t xml:space="preserve"> </w:t>
      </w:r>
      <w:r w:rsidRPr="00B2587F">
        <w:t>12);</w:t>
      </w:r>
    </w:p>
    <w:p w:rsidR="00DB5594" w:rsidRPr="00B2587F" w:rsidRDefault="00DB5594" w:rsidP="00DB5594">
      <w:pPr>
        <w:pStyle w:val="SingleTxtG"/>
      </w:pPr>
      <w:r>
        <w:tab/>
      </w:r>
      <w:r w:rsidRPr="00B2587F">
        <w:t>b)</w:t>
      </w:r>
      <w:r w:rsidRPr="00B2587F">
        <w:tab/>
        <w:t>Progresos realizados para promulgar una ley que prohíba de manera explícita y específica las actitudes racistas y xenófobas (CERD/C/JPN/CO/3-6, párr.</w:t>
      </w:r>
      <w:r>
        <w:t xml:space="preserve"> </w:t>
      </w:r>
      <w:r w:rsidRPr="00B2587F">
        <w:t xml:space="preserve">14); e información sobre la aplicación de la Ley de </w:t>
      </w:r>
      <w:r w:rsidR="005034A9" w:rsidRPr="00B2587F">
        <w:t xml:space="preserve">Radiodifusión </w:t>
      </w:r>
      <w:r w:rsidRPr="00B2587F">
        <w:t xml:space="preserve">y la Ley de </w:t>
      </w:r>
      <w:r w:rsidR="005034A9" w:rsidRPr="00B2587F">
        <w:t xml:space="preserve">Limitación </w:t>
      </w:r>
      <w:r w:rsidRPr="00B2587F">
        <w:t xml:space="preserve">de la </w:t>
      </w:r>
      <w:r w:rsidR="005034A9" w:rsidRPr="00B2587F">
        <w:t xml:space="preserve">Responsabilidad </w:t>
      </w:r>
      <w:r w:rsidRPr="00B2587F">
        <w:t xml:space="preserve">de los </w:t>
      </w:r>
      <w:r w:rsidR="005034A9" w:rsidRPr="00B2587F">
        <w:t xml:space="preserve">Proveedores </w:t>
      </w:r>
      <w:r w:rsidRPr="00B2587F">
        <w:t>en los casos relativos a actos de xenofobia y discriminación racial, en particular en Internet (CERD/C/JPN/7-9, párrs.</w:t>
      </w:r>
      <w:r w:rsidR="007405FD">
        <w:t xml:space="preserve"> </w:t>
      </w:r>
      <w:r w:rsidRPr="00B2587F">
        <w:t>87 a 90);</w:t>
      </w:r>
    </w:p>
    <w:p w:rsidR="00DB5594" w:rsidRPr="00B2587F" w:rsidRDefault="00DB5594" w:rsidP="00DB5594">
      <w:pPr>
        <w:pStyle w:val="SingleTxtG"/>
      </w:pPr>
      <w:r>
        <w:tab/>
      </w:r>
      <w:r w:rsidRPr="00B2587F">
        <w:t>c)</w:t>
      </w:r>
      <w:r w:rsidRPr="00B2587F">
        <w:tab/>
        <w:t xml:space="preserve">Información adicional sobre las denuncias, los enjuiciamientos y las sentencias de los tribunales nacionales sobre actos de discriminación racial, en particular actos de difusión y propaganda de ideas racistas y discursos de odio racista, y sobre las reparaciones proporcionadas a las víctimas (CERD/C/JPN/CO/3-6, párr. 13 y CERD/C/JPN/7-9, párr. 140); y la eficacia de las garantías de acceso a mecanismos judiciales y no judiciales para combatir los actos de discriminación racial (CERD/C/JPN/CO/3-6, párrs. 13 y 14 y CERD/C/JPN/7-9, párrs. 141 a 155); </w:t>
      </w:r>
    </w:p>
    <w:p w:rsidR="00DB5594" w:rsidRPr="00B2587F" w:rsidRDefault="00DB5594" w:rsidP="00DB5594">
      <w:pPr>
        <w:pStyle w:val="SingleTxtG"/>
      </w:pPr>
      <w:r>
        <w:tab/>
      </w:r>
      <w:r w:rsidRPr="00B2587F">
        <w:t>d)</w:t>
      </w:r>
      <w:r w:rsidRPr="00B2587F">
        <w:tab/>
        <w:t>Información sobre los efectos de los programas de capacitación y concienciación para combatir la discriminación racial que el Estado parte ha puesto a disposición de los funcionarios públicos, el personal de policía, los fiscales, los funcionarios penitenciarios, los jueces, otros funcionarios públicos y el personal docente (CERD/C/JPN/7-9, párrs.</w:t>
      </w:r>
      <w:r w:rsidR="007405FD">
        <w:t xml:space="preserve"> </w:t>
      </w:r>
      <w:r w:rsidRPr="00B2587F">
        <w:t xml:space="preserve">68 a 80 y HRI/CORE/JPN/2012, párrs. 174 a 187); información actualizada sobre el </w:t>
      </w:r>
      <w:r w:rsidR="005034A9">
        <w:t>p</w:t>
      </w:r>
      <w:r w:rsidRPr="00B2587F">
        <w:t xml:space="preserve">royecto para promover la investigación sobre la enseñanza de los derechos humanos realizado por el Estado parte y sus efectos en la lucha contra la discriminación racial (CERD/C/JPN/7-9, párrs. 169 a 171); e información sobre la educación en materia de derechos humanos, la función de los medios de difusión y los esfuerzos para evitar comentarios sesgados y racistas en los medios de difusión (CERD/C/JPN/CO/3-6, párr. 26). </w:t>
      </w:r>
    </w:p>
    <w:p w:rsidR="00DB5594" w:rsidRPr="00B2587F" w:rsidRDefault="00DB5594" w:rsidP="00DB5594">
      <w:pPr>
        <w:pStyle w:val="H23G"/>
      </w:pPr>
      <w:r w:rsidRPr="00B2587F">
        <w:tab/>
        <w:t>2.</w:t>
      </w:r>
      <w:r w:rsidRPr="00B2587F">
        <w:tab/>
        <w:t xml:space="preserve">Situación de las minorías y los pueblos indígenas (arts. 2 a 7) </w:t>
      </w:r>
    </w:p>
    <w:p w:rsidR="00DB5594" w:rsidRPr="00B2587F" w:rsidRDefault="00DB5594" w:rsidP="00DB5594">
      <w:pPr>
        <w:pStyle w:val="SingleTxtG"/>
      </w:pPr>
      <w:r>
        <w:tab/>
      </w:r>
      <w:r w:rsidRPr="00B2587F">
        <w:t>a)</w:t>
      </w:r>
      <w:r w:rsidRPr="00B2587F">
        <w:tab/>
        <w:t>Pueblos burakumines: progresos realizados para luchar con eficacia contra la discriminación en el acceso al empleo, la vivienda, la tierra y la educación; e información actualizada sobre la promulgación de una ley de protección de los derechos humanos, según lo acordado con las organizaciones burakumines, y la creación de una autoridad pública que se encargue de las cuestiones relacionadas con este grupo (CERD/C/JPN/CO/3-6, párr.</w:t>
      </w:r>
      <w:r w:rsidR="007405FD">
        <w:t xml:space="preserve"> </w:t>
      </w:r>
      <w:r w:rsidRPr="00B2587F">
        <w:t xml:space="preserve">19); </w:t>
      </w:r>
    </w:p>
    <w:p w:rsidR="00DB5594" w:rsidRPr="00B2587F" w:rsidRDefault="00DB5594" w:rsidP="00DB5594">
      <w:pPr>
        <w:pStyle w:val="SingleTxtG"/>
      </w:pPr>
      <w:r>
        <w:tab/>
      </w:r>
      <w:r w:rsidRPr="00B2587F">
        <w:t>b)</w:t>
      </w:r>
      <w:r w:rsidRPr="00B2587F">
        <w:tab/>
        <w:t>Pueblos de Ruykyu y Okinawa: medidas específicas adoptadas para fomentar los derechos económicos, sociales y culturales de los pueblos de Ruykyu y Okinawa (CERD/C/JPN/CO/3-6, párr.</w:t>
      </w:r>
      <w:r w:rsidR="007405FD">
        <w:t xml:space="preserve"> </w:t>
      </w:r>
      <w:r w:rsidRPr="00B2587F">
        <w:t xml:space="preserve">21); e información sobre los efectos de la aplicación del Plan para la promoción de Okinawa sobre la situación de los pueblos de Okinawa (CERD/C/JPN/CO/3-6/Add.1, párrs. 11 a 13); </w:t>
      </w:r>
    </w:p>
    <w:p w:rsidR="00DB5594" w:rsidRPr="00B2587F" w:rsidRDefault="00DB5594" w:rsidP="00DB5594">
      <w:pPr>
        <w:pStyle w:val="SingleTxtG"/>
      </w:pPr>
      <w:r>
        <w:tab/>
      </w:r>
      <w:r w:rsidRPr="00B2587F">
        <w:t>c)</w:t>
      </w:r>
      <w:r w:rsidRPr="00B2587F">
        <w:tab/>
        <w:t xml:space="preserve">El pueblo Ainu: planes y acciones específicos para combatir la discriminación racial y mejorar las condiciones de vida del pueblo </w:t>
      </w:r>
      <w:r w:rsidR="00E9236C">
        <w:t>a</w:t>
      </w:r>
      <w:r w:rsidR="005034A9" w:rsidRPr="00B2587F">
        <w:t>inu</w:t>
      </w:r>
      <w:r w:rsidRPr="00B2587F">
        <w:t xml:space="preserve">, en particular el acceso a la educación de los niños, y para promover el conocimiento público de la historia y cultura del pueblo </w:t>
      </w:r>
      <w:r w:rsidR="00E9236C">
        <w:t>a</w:t>
      </w:r>
      <w:r w:rsidR="005034A9" w:rsidRPr="00B2587F">
        <w:t xml:space="preserve">inu </w:t>
      </w:r>
      <w:r w:rsidRPr="00B2587F">
        <w:t>(CERD/C/JPN/CO/3-6, párrs. 20 y 22 y CERD/C/JPN/7-9, párrs.</w:t>
      </w:r>
      <w:r>
        <w:t xml:space="preserve"> </w:t>
      </w:r>
      <w:r w:rsidRPr="00B2587F">
        <w:t xml:space="preserve">15 a 22). </w:t>
      </w:r>
    </w:p>
    <w:p w:rsidR="00DB5594" w:rsidRPr="00B2587F" w:rsidRDefault="00DB5594" w:rsidP="00DB5594">
      <w:pPr>
        <w:pStyle w:val="H23G"/>
      </w:pPr>
      <w:r w:rsidRPr="00B2587F">
        <w:tab/>
        <w:t>3.</w:t>
      </w:r>
      <w:r w:rsidRPr="00B2587F">
        <w:tab/>
        <w:t>Discriminación contra los no ciudadanos, en particular los migrantes, los refugiados</w:t>
      </w:r>
      <w:r>
        <w:t> </w:t>
      </w:r>
      <w:r w:rsidRPr="00B2587F">
        <w:t>y</w:t>
      </w:r>
      <w:r>
        <w:t> </w:t>
      </w:r>
      <w:r w:rsidRPr="00B2587F">
        <w:t>los solicitantes de asilo (arts. 5 y 7)</w:t>
      </w:r>
    </w:p>
    <w:p w:rsidR="00DB5594" w:rsidRPr="00B2587F" w:rsidRDefault="00DB5594" w:rsidP="00DB5594">
      <w:pPr>
        <w:pStyle w:val="SingleTxtG"/>
      </w:pPr>
      <w:r>
        <w:tab/>
      </w:r>
      <w:r w:rsidRPr="00B2587F">
        <w:t>a)</w:t>
      </w:r>
      <w:r w:rsidRPr="00B2587F">
        <w:tab/>
        <w:t xml:space="preserve">Migrantes: progresos realizados para adoptar una política de inmigración de amplio espectro; medidas para combatir los actos de discriminación y los discursos xenófobos contra los migrantes, en particular contra los migrantes coreanos y chinos; medidas para luchar contra la discriminación en el acceso a la vivienda y al empleo, en particular de las </w:t>
      </w:r>
      <w:r>
        <w:t xml:space="preserve">mujeres </w:t>
      </w:r>
      <w:r w:rsidRPr="00B2587F">
        <w:t xml:space="preserve">migrantes; información sobre la aplicación efectiva de una legislación relativa al empleo y la vivienda (CERD/C/JPN/7-9, párr. 118); progresos realizados para facilitar el acceso de los niños migrantes a la educación japonesa; información actualizada sobre las condiciones para la acreditación de escuelas extranjeras, en particular escuelas coreanas y chinas (CERD/C/JPN/CO/3-6, párr. 22); medidas para combatir la discriminación contra los migrantes y los pueblos indígenas en el acceso a lugares y servicios, como restaurantes, baños públicos familiares, tiendas y hoteles (CERD/C/JPN/CO/3-6, párr. 24); y medidas para prevenir la trata de personas, proteger los derechos de las víctimas de </w:t>
      </w:r>
      <w:r>
        <w:t>la</w:t>
      </w:r>
      <w:r w:rsidRPr="00B2587F">
        <w:t xml:space="preserve"> trata y proporcionarles la asistencia adecuada (A/HRC/WG.6/14/JPN/3, párr. 35); </w:t>
      </w:r>
    </w:p>
    <w:p w:rsidR="00DB5594" w:rsidRDefault="00DB5594" w:rsidP="00DB5594">
      <w:pPr>
        <w:pStyle w:val="SingleTxtG"/>
      </w:pPr>
      <w:r>
        <w:tab/>
      </w:r>
      <w:r w:rsidRPr="00B2587F">
        <w:t>b)</w:t>
      </w:r>
      <w:r w:rsidRPr="00B2587F">
        <w:tab/>
        <w:t xml:space="preserve">Refugiados y solicitantes de asilo: medidas para resolver la cuestión de la privación de libertad sistemática y prolongada de migrantes y solicitantes de asilo; medidas para prevenir la discriminación respecto de los criterios aplicados en los procedimientos de asilo (CERD/C/JPN/CO/3-6, párr. 23 y CERD/C/JPN/7-9, párr. 55); medidas para </w:t>
      </w:r>
      <w:r>
        <w:t xml:space="preserve">subsanar las condiciones de detención inadecuadas de los </w:t>
      </w:r>
      <w:r w:rsidRPr="00B2587F">
        <w:t>solicitantes de asilo priva</w:t>
      </w:r>
      <w:r>
        <w:t>dos</w:t>
      </w:r>
      <w:r w:rsidRPr="00B2587F">
        <w:t xml:space="preserve"> de libertad; y medidas para prevenir el uso excesivo de la fuerza en las deportaciones.</w:t>
      </w:r>
    </w:p>
    <w:p w:rsidR="00DB5594" w:rsidRPr="00B2587F" w:rsidRDefault="00DB5594" w:rsidP="00DB5594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A60DA6">
      <w:pPr>
        <w:spacing w:before="120"/>
      </w:pPr>
    </w:p>
    <w:sectPr w:rsidR="00381C24" w:rsidRPr="001075E9" w:rsidSect="00A60DA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391" w:rsidRPr="00D43FF0" w:rsidRDefault="005E3391" w:rsidP="00D43FF0">
      <w:pPr>
        <w:pStyle w:val="Footer"/>
      </w:pPr>
    </w:p>
  </w:endnote>
  <w:endnote w:type="continuationSeparator" w:id="0">
    <w:p w:rsidR="005E3391" w:rsidRPr="00D43FF0" w:rsidRDefault="005E3391" w:rsidP="00D43FF0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DA6" w:rsidRPr="00A60DA6" w:rsidRDefault="00A60DA6" w:rsidP="00A60DA6">
    <w:pPr>
      <w:pStyle w:val="Footer"/>
      <w:tabs>
        <w:tab w:val="right" w:pos="9638"/>
      </w:tabs>
    </w:pPr>
    <w:r w:rsidRPr="00A60DA6">
      <w:rPr>
        <w:b/>
        <w:sz w:val="18"/>
      </w:rPr>
      <w:fldChar w:fldCharType="begin"/>
    </w:r>
    <w:r w:rsidRPr="00A60DA6">
      <w:rPr>
        <w:b/>
        <w:sz w:val="18"/>
      </w:rPr>
      <w:instrText xml:space="preserve"> PAGE  \* MERGEFORMAT </w:instrText>
    </w:r>
    <w:r w:rsidRPr="00A60DA6">
      <w:rPr>
        <w:b/>
        <w:sz w:val="18"/>
      </w:rPr>
      <w:fldChar w:fldCharType="separate"/>
    </w:r>
    <w:r w:rsidR="000E5C05">
      <w:rPr>
        <w:b/>
        <w:noProof/>
        <w:sz w:val="18"/>
      </w:rPr>
      <w:t>2</w:t>
    </w:r>
    <w:r w:rsidRPr="00A60DA6">
      <w:rPr>
        <w:b/>
        <w:sz w:val="18"/>
      </w:rPr>
      <w:fldChar w:fldCharType="end"/>
    </w:r>
    <w:r>
      <w:rPr>
        <w:b/>
        <w:sz w:val="18"/>
      </w:rPr>
      <w:tab/>
    </w:r>
    <w:r>
      <w:t>GE.14-04364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DA6" w:rsidRPr="00A60DA6" w:rsidRDefault="00A60DA6" w:rsidP="00A60DA6">
    <w:pPr>
      <w:pStyle w:val="Footer"/>
      <w:tabs>
        <w:tab w:val="right" w:pos="9638"/>
      </w:tabs>
      <w:rPr>
        <w:b/>
        <w:sz w:val="18"/>
      </w:rPr>
    </w:pPr>
    <w:r>
      <w:t>GE.14-04364</w:t>
    </w:r>
    <w:r>
      <w:tab/>
    </w:r>
    <w:r w:rsidRPr="00A60DA6">
      <w:rPr>
        <w:b/>
        <w:sz w:val="18"/>
      </w:rPr>
      <w:fldChar w:fldCharType="begin"/>
    </w:r>
    <w:r w:rsidRPr="00A60DA6">
      <w:rPr>
        <w:b/>
        <w:sz w:val="18"/>
      </w:rPr>
      <w:instrText xml:space="preserve"> PAGE  \* MERGEFORMAT </w:instrText>
    </w:r>
    <w:r w:rsidRPr="00A60DA6">
      <w:rPr>
        <w:b/>
        <w:sz w:val="18"/>
      </w:rPr>
      <w:fldChar w:fldCharType="separate"/>
    </w:r>
    <w:r w:rsidR="000E5C05">
      <w:rPr>
        <w:b/>
        <w:noProof/>
        <w:sz w:val="18"/>
      </w:rPr>
      <w:t>3</w:t>
    </w:r>
    <w:r w:rsidRPr="00A60DA6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DA6" w:rsidRDefault="00A60DA6" w:rsidP="00A60DA6">
    <w:pPr>
      <w:pStyle w:val="Footer"/>
      <w:spacing w:before="240"/>
      <w:rPr>
        <w:sz w:val="20"/>
      </w:rPr>
    </w:pPr>
    <w:r>
      <w:rPr>
        <w:sz w:val="20"/>
      </w:rPr>
      <w:t>GE.</w:t>
    </w:r>
    <w:r w:rsidR="00E50A5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14-04364  (S)    230614    240614</w:t>
    </w:r>
  </w:p>
  <w:p w:rsidR="00E50A52" w:rsidRPr="00A60DA6" w:rsidRDefault="00A60DA6" w:rsidP="00A60DA6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7-9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391" w:rsidRPr="001075E9" w:rsidRDefault="005E339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E3391" w:rsidRDefault="005E3391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DA6" w:rsidRPr="00A60DA6" w:rsidRDefault="00A60DA6">
    <w:pPr>
      <w:pStyle w:val="Header"/>
    </w:pPr>
    <w:r>
      <w:t>CERD/C/JPN/Q/7-9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DA6" w:rsidRPr="00A60DA6" w:rsidRDefault="00A60DA6" w:rsidP="00A60DA6">
    <w:pPr>
      <w:pStyle w:val="Header"/>
      <w:jc w:val="right"/>
    </w:pPr>
    <w:r>
      <w:t>CERD/C/JPN/Q/7-9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0A52"/>
    <w:rsid w:val="00006BB9"/>
    <w:rsid w:val="000107A1"/>
    <w:rsid w:val="0002339D"/>
    <w:rsid w:val="00036733"/>
    <w:rsid w:val="000B57E7"/>
    <w:rsid w:val="000C6317"/>
    <w:rsid w:val="000E5C05"/>
    <w:rsid w:val="000F09DF"/>
    <w:rsid w:val="000F61B2"/>
    <w:rsid w:val="00103A93"/>
    <w:rsid w:val="001075E9"/>
    <w:rsid w:val="00133DFF"/>
    <w:rsid w:val="00145F2F"/>
    <w:rsid w:val="00160FF7"/>
    <w:rsid w:val="00180183"/>
    <w:rsid w:val="00196389"/>
    <w:rsid w:val="001A3F49"/>
    <w:rsid w:val="001C7A89"/>
    <w:rsid w:val="00201F1A"/>
    <w:rsid w:val="002433EC"/>
    <w:rsid w:val="0025226E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034A9"/>
    <w:rsid w:val="0051740C"/>
    <w:rsid w:val="00572E19"/>
    <w:rsid w:val="005E3391"/>
    <w:rsid w:val="005F0B42"/>
    <w:rsid w:val="00634841"/>
    <w:rsid w:val="00640ED3"/>
    <w:rsid w:val="00655A21"/>
    <w:rsid w:val="006725B3"/>
    <w:rsid w:val="006808A9"/>
    <w:rsid w:val="006D631C"/>
    <w:rsid w:val="006F35EE"/>
    <w:rsid w:val="007021FF"/>
    <w:rsid w:val="007076CB"/>
    <w:rsid w:val="007405FD"/>
    <w:rsid w:val="007967DF"/>
    <w:rsid w:val="00834B71"/>
    <w:rsid w:val="0086445C"/>
    <w:rsid w:val="00865FAC"/>
    <w:rsid w:val="008728CD"/>
    <w:rsid w:val="008A08D7"/>
    <w:rsid w:val="008A13F9"/>
    <w:rsid w:val="008C0F65"/>
    <w:rsid w:val="00906890"/>
    <w:rsid w:val="00951972"/>
    <w:rsid w:val="00954E65"/>
    <w:rsid w:val="00A17DFD"/>
    <w:rsid w:val="00A4674B"/>
    <w:rsid w:val="00A60DA6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56662"/>
    <w:rsid w:val="00C60F0C"/>
    <w:rsid w:val="00C63C2A"/>
    <w:rsid w:val="00C805C9"/>
    <w:rsid w:val="00CA1679"/>
    <w:rsid w:val="00D05347"/>
    <w:rsid w:val="00D43FF0"/>
    <w:rsid w:val="00D90138"/>
    <w:rsid w:val="00DA26B8"/>
    <w:rsid w:val="00DB5594"/>
    <w:rsid w:val="00DD4E25"/>
    <w:rsid w:val="00E50A52"/>
    <w:rsid w:val="00E73F76"/>
    <w:rsid w:val="00E9236C"/>
    <w:rsid w:val="00EA31D8"/>
    <w:rsid w:val="00EA5579"/>
    <w:rsid w:val="00EF1360"/>
    <w:rsid w:val="00EF3220"/>
    <w:rsid w:val="00EF7198"/>
    <w:rsid w:val="00F41883"/>
    <w:rsid w:val="00F94155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semiHidden/>
    <w:rsid w:val="00EA31D8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3</Pages>
  <Words>1031</Words>
  <Characters>5672</Characters>
  <Application>Microsoft Office Outlook</Application>
  <DocSecurity>4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CERD/C/JPN/Q/7-9   -14-04364</vt:lpstr>
    </vt:vector>
  </TitlesOfParts>
  <Company/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CERD/C/JPN/Q/7-9   -14-04364</dc:title>
  <dc:subject>Final</dc:subject>
  <dc:creator>Romina Meriño MacKay</dc:creator>
  <cp:keywords/>
  <dc:description/>
  <cp:lastModifiedBy>Maruchi Zeballos</cp:lastModifiedBy>
  <cp:revision>2</cp:revision>
  <cp:lastPrinted>2014-06-24T06:21:00Z</cp:lastPrinted>
  <dcterms:created xsi:type="dcterms:W3CDTF">2014-06-24T07:12:00Z</dcterms:created>
  <dcterms:modified xsi:type="dcterms:W3CDTF">2014-06-24T07:12:00Z</dcterms:modified>
</cp:coreProperties>
</file>