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664-м заседании,</w:t>
      </w:r>
    </w:p>
    <w:p w:rsidR="00000000" w:rsidRDefault="00000000">
      <w:r>
        <w:t>состоявшемся в Центральных учреждениях, Нью-Йорк, в среду, 21 июля 2004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  <w:rPr>
          <w:i/>
        </w:rPr>
      </w:pPr>
      <w:r>
        <w:t xml:space="preserve">Осуществление статьи 21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jc w:val="left"/>
        <w:rPr>
          <w:i/>
        </w:rPr>
      </w:pPr>
    </w:p>
    <w:p w:rsidR="00000000" w:rsidRDefault="00000000">
      <w:pPr>
        <w:pStyle w:val="Dual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uppressAutoHyphens/>
        <w:jc w:val="left"/>
      </w:pPr>
      <w:r>
        <w:rPr>
          <w:b/>
        </w:rPr>
        <w:t>Осуществление статьи 21 Конвенции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Председатель</w:t>
      </w:r>
      <w:r>
        <w:t xml:space="preserve"> говорит, что на своей тридцатой сессии Комитет достиг договоренности о том, что его следующая рекомендация общего характера б</w:t>
      </w:r>
      <w:r>
        <w:t>у</w:t>
      </w:r>
      <w:r>
        <w:t>дет посвящена статье 2 Конвенции и что работа над выработкой этой общей рекомендации будет начата на нынешней сессии. На неофициальном заседании в Утрехте, Нидерланды, в мае 2004 года члены К</w:t>
      </w:r>
      <w:r>
        <w:t>о</w:t>
      </w:r>
      <w:r>
        <w:t>митета в полной мере осознали масштабы этой з</w:t>
      </w:r>
      <w:r>
        <w:t>а</w:t>
      </w:r>
      <w:r>
        <w:t>дачи и ее сложность. Статья 2 является наиболее далеко идущей статьей Конвенции, поскольку она охватывает толкование всех других статей. Безу</w:t>
      </w:r>
      <w:r>
        <w:t>с</w:t>
      </w:r>
      <w:r>
        <w:t>ловно, используя и толкуя эту статью в своих з</w:t>
      </w:r>
      <w:r>
        <w:t>а</w:t>
      </w:r>
      <w:r>
        <w:t>ключительных замечаниях и общих рекомендациях, Комитет приобрел существенный опыт. Работа над общей рекомендацией конкретно по статье 2 позв</w:t>
      </w:r>
      <w:r>
        <w:t>о</w:t>
      </w:r>
      <w:r>
        <w:t>лит Комитету упрочить этот опыт, а также испол</w:t>
      </w:r>
      <w:r>
        <w:t>ь</w:t>
      </w:r>
      <w:r>
        <w:t>зовать опыт других организаций и результаты раб</w:t>
      </w:r>
      <w:r>
        <w:t>о</w:t>
      </w:r>
      <w:r>
        <w:t>ты других договорных органов по правам человека. Осуществление этой задачи внесет существенный вклад в прояснение обязательств государств-участников по Конвенции.</w:t>
      </w:r>
    </w:p>
    <w:p w:rsidR="00000000" w:rsidRDefault="00000000">
      <w:pPr>
        <w:pStyle w:val="DualTxt"/>
      </w:pPr>
      <w:r>
        <w:t>2.</w:t>
      </w:r>
      <w:r>
        <w:tab/>
        <w:t>Нынешнее обсуждение является первым эт</w:t>
      </w:r>
      <w:r>
        <w:t>а</w:t>
      </w:r>
      <w:r>
        <w:t>пом трехэтапного процесса подготовки рекоменд</w:t>
      </w:r>
      <w:r>
        <w:t>а</w:t>
      </w:r>
      <w:r>
        <w:t>ций общего характера. Этот этап включает пров</w:t>
      </w:r>
      <w:r>
        <w:t>е</w:t>
      </w:r>
      <w:r>
        <w:t>дение общей дискуссии и обмен мнениями по теме предложенной общей рекомендации в ходе откр</w:t>
      </w:r>
      <w:r>
        <w:t>ы</w:t>
      </w:r>
      <w:r>
        <w:t>того заседания Комитета. Специализированные у</w:t>
      </w:r>
      <w:r>
        <w:t>ч</w:t>
      </w:r>
      <w:r>
        <w:t>реждения и другие органы Организации Объед</w:t>
      </w:r>
      <w:r>
        <w:t>и</w:t>
      </w:r>
      <w:r>
        <w:t>ненных Наций, а также неправительственные орг</w:t>
      </w:r>
      <w:r>
        <w:t>а</w:t>
      </w:r>
      <w:r>
        <w:t>низации (НПО) были приглашены принять участие в этой работе и подготовить, в случае необходим</w:t>
      </w:r>
      <w:r>
        <w:t>о</w:t>
      </w:r>
      <w:r>
        <w:t>сти, неофициальные справочные документы. П</w:t>
      </w:r>
      <w:r>
        <w:t>о</w:t>
      </w:r>
      <w:r>
        <w:t>следующие этапы включают определение условий для подготовки первоначального проекта, его обс</w:t>
      </w:r>
      <w:r>
        <w:t>у</w:t>
      </w:r>
      <w:r>
        <w:t>ждение и редакцию Комитетом и его итоговое пр</w:t>
      </w:r>
      <w:r>
        <w:t>и</w:t>
      </w:r>
      <w:r>
        <w:t>нятие.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Уолдорф</w:t>
      </w:r>
      <w:r>
        <w:t xml:space="preserve"> (Фонд Организации Объед</w:t>
      </w:r>
      <w:r>
        <w:t>и</w:t>
      </w:r>
      <w:r>
        <w:t>ненных Наций для развития в интересах женщин (ЮНИФЕМ), выступая также от имени Детского фонда Организации Объединенных Наций (ЮНИСЕФ), Фонда Организации Объединенных Наций в области народонаселения (ЮНФПА) и Всемирной организации здравоохранения (ВОЗ), говорит, что самым важным вопросом, который должен быть включен в общую рекомендацию по статье 2, является тот факт, что Конвенция накл</w:t>
      </w:r>
      <w:r>
        <w:t>а</w:t>
      </w:r>
      <w:r>
        <w:t>дывает обязательства, которые действуют на всей территории государства в целом и носят в одинак</w:t>
      </w:r>
      <w:r>
        <w:t>о</w:t>
      </w:r>
      <w:r>
        <w:t>вой степени обязательный характер для всех отра</w:t>
      </w:r>
      <w:r>
        <w:t>с</w:t>
      </w:r>
      <w:r>
        <w:t>лей, уровней и органов государства. В этой общей рекомендации следует ясно заявить о том, что зад</w:t>
      </w:r>
      <w:r>
        <w:t>а</w:t>
      </w:r>
      <w:r>
        <w:t>ча представления докладов о выполнении полож</w:t>
      </w:r>
      <w:r>
        <w:t>е</w:t>
      </w:r>
      <w:r>
        <w:t>ний Конвенции не является в первую очередь об</w:t>
      </w:r>
      <w:r>
        <w:t>я</w:t>
      </w:r>
      <w:r>
        <w:t>занностью национальных механизмов по делам женщин того или иного государства, признав при этом ту существенную роль, которую национальные механизмы по делам женщин играют в разработке широкой и продуманной политики, направленной на ликвидацию дискриминации в отношении же</w:t>
      </w:r>
      <w:r>
        <w:t>н</w:t>
      </w:r>
      <w:r>
        <w:t>щин. Также представляется полезным подчеркнуть ранее сделанные Комитетом замечания относител</w:t>
      </w:r>
      <w:r>
        <w:t>ь</w:t>
      </w:r>
      <w:r>
        <w:t>но важности укрепления национальных механизмов по делам женщин и их адекватного финансиров</w:t>
      </w:r>
      <w:r>
        <w:t>а</w:t>
      </w:r>
      <w:r>
        <w:t>ния.</w:t>
      </w:r>
    </w:p>
    <w:p w:rsidR="00000000" w:rsidRDefault="00000000">
      <w:pPr>
        <w:pStyle w:val="DualTxt"/>
      </w:pPr>
      <w:r>
        <w:t>4.</w:t>
      </w:r>
      <w:r>
        <w:tab/>
        <w:t>В общей рекомендации следует подчеркнуть, что термин «все соответствующие меры» и другие аналогичные фразы в статье 2 должны истолков</w:t>
      </w:r>
      <w:r>
        <w:t>ы</w:t>
      </w:r>
      <w:r>
        <w:t>ваться как включающие законодательство, но не о</w:t>
      </w:r>
      <w:r>
        <w:t>г</w:t>
      </w:r>
      <w:r>
        <w:t>раничивающиеся им, и было бы полезно, чтобы в эту общую рекомендацию было включено конкре</w:t>
      </w:r>
      <w:r>
        <w:t>т</w:t>
      </w:r>
      <w:r>
        <w:t>ное руководство для государств относительно тех возможных мер незаконодательного характера, к</w:t>
      </w:r>
      <w:r>
        <w:t>о</w:t>
      </w:r>
      <w:r>
        <w:t>торые могут оказаться необходимыми. В этой связи можно было бы сделать ссылку на ранее принятые рекомендации общего характера относительно н</w:t>
      </w:r>
      <w:r>
        <w:t>а</w:t>
      </w:r>
      <w:r>
        <w:t>силия в отношении женщин и здравоохранения. Также было бы полезно очень конкретно рассмо</w:t>
      </w:r>
      <w:r>
        <w:t>т</w:t>
      </w:r>
      <w:r>
        <w:t>реть вопрос о предоставлении государствами р</w:t>
      </w:r>
      <w:r>
        <w:t>е</w:t>
      </w:r>
      <w:r>
        <w:t>сурсов.</w:t>
      </w:r>
    </w:p>
    <w:p w:rsidR="00000000" w:rsidRDefault="00000000">
      <w:pPr>
        <w:pStyle w:val="DualTxt"/>
      </w:pPr>
      <w:r>
        <w:t>5.</w:t>
      </w:r>
      <w:r>
        <w:tab/>
        <w:t>В этой рекомендации следует указать, что ст</w:t>
      </w:r>
      <w:r>
        <w:t>а</w:t>
      </w:r>
      <w:r>
        <w:t>тья 2 предусматривает принятие мер, направленных на ликвидацию всех форм дискриминации, а также следует разъяснить, что применительно к наклад</w:t>
      </w:r>
      <w:r>
        <w:t>ы</w:t>
      </w:r>
      <w:r>
        <w:t>ваемым Конвенцией обязательствам статьи 5–16 я</w:t>
      </w:r>
      <w:r>
        <w:t>в</w:t>
      </w:r>
      <w:r>
        <w:t>ляются ориентировочными, а не всеохватывающ</w:t>
      </w:r>
      <w:r>
        <w:t>и</w:t>
      </w:r>
      <w:r>
        <w:t>ми. Поскольку формы дискриминации и общес</w:t>
      </w:r>
      <w:r>
        <w:t>т</w:t>
      </w:r>
      <w:r>
        <w:t>венные отношения продолжают видоизменяться, представляется важным, чтобы государства поняли, что их обязательства по Конвенции являются чре</w:t>
      </w:r>
      <w:r>
        <w:t>з</w:t>
      </w:r>
      <w:r>
        <w:t>вычайно широкими.</w:t>
      </w:r>
    </w:p>
    <w:p w:rsidR="00000000" w:rsidRDefault="00000000">
      <w:pPr>
        <w:pStyle w:val="DualTxt"/>
      </w:pPr>
      <w:r>
        <w:t>6.</w:t>
      </w:r>
      <w:r>
        <w:tab/>
        <w:t>Другим вопросом, который следует рассмо</w:t>
      </w:r>
      <w:r>
        <w:t>т</w:t>
      </w:r>
      <w:r>
        <w:t>реть в этой общей рекомендации, является тот факт, что обязательства государств распространяются как на граждан, так и на неграждан. Статья 2 не пров</w:t>
      </w:r>
      <w:r>
        <w:t>о</w:t>
      </w:r>
      <w:r>
        <w:t>дит различия между этими двумя группами лиц. В своем недавно принятом Общем замечании Комитет по правам человека четко разъяснил, что лица, ищущие убежища, беженцы, рабочие-мигранты и другие лица, в том числе лица, находящиеся во вл</w:t>
      </w:r>
      <w:r>
        <w:t>а</w:t>
      </w:r>
      <w:r>
        <w:t>сти или под э</w:t>
      </w:r>
      <w:r>
        <w:t>ф</w:t>
      </w:r>
      <w:r>
        <w:t>фективным контролем сил какого-либо государства-участника в контексте междун</w:t>
      </w:r>
      <w:r>
        <w:t>а</w:t>
      </w:r>
      <w:r>
        <w:t>родных миротворческих или других операций, по</w:t>
      </w:r>
      <w:r>
        <w:t>д</w:t>
      </w:r>
      <w:r>
        <w:t>падают под сферу действия Международного пакта о гражданских и политических правах.</w:t>
      </w:r>
    </w:p>
    <w:p w:rsidR="00000000" w:rsidRDefault="00000000">
      <w:pPr>
        <w:pStyle w:val="DualTxt"/>
      </w:pPr>
      <w:r>
        <w:t>7.</w:t>
      </w:r>
      <w:r>
        <w:tab/>
        <w:t>Еще один вопрос, который следует рассмо</w:t>
      </w:r>
      <w:r>
        <w:t>т</w:t>
      </w:r>
      <w:r>
        <w:t>реть в этой общей рекомендации, связан с необх</w:t>
      </w:r>
      <w:r>
        <w:t>о</w:t>
      </w:r>
      <w:r>
        <w:t>димостью принятия мер к тому, чтобы проблема дискриминации рассматривалась на протяжении всего жизненного цикла. Необходимо помочь гос</w:t>
      </w:r>
      <w:r>
        <w:t>у</w:t>
      </w:r>
      <w:r>
        <w:t>дарствам понять взаимодополняющий характер правовых норм в области прав человека, применя</w:t>
      </w:r>
      <w:r>
        <w:t>е</w:t>
      </w:r>
      <w:r>
        <w:t>мых к маленьким девочкам, и любое утверждение о том, что эта Конвенция применяется только ко взрослым женщинам, в то время как Конвенция о правах ребенка является тем договорным докуме</w:t>
      </w:r>
      <w:r>
        <w:t>н</w:t>
      </w:r>
      <w:r>
        <w:t>том, который применяется к девочкам, должно быть опровергнуто. Аналогичным образом, хотя многие из конкретных форм дискриминации в отношении женщин, охарактеризованных в статьях 5–16 Ко</w:t>
      </w:r>
      <w:r>
        <w:t>н</w:t>
      </w:r>
      <w:r>
        <w:t>венции, применяются главным образом к молодым женщинам, важно подчеркнуть необходимость пр</w:t>
      </w:r>
      <w:r>
        <w:t>и</w:t>
      </w:r>
      <w:r>
        <w:t>нятия мер к рассмотрению конкретных форм ге</w:t>
      </w:r>
      <w:r>
        <w:t>н</w:t>
      </w:r>
      <w:r>
        <w:t>дерной дискриминации, затрагивающей пожилых же</w:t>
      </w:r>
      <w:r>
        <w:t>н</w:t>
      </w:r>
      <w:r>
        <w:t>щин, вдов и незамужних женщин.</w:t>
      </w:r>
    </w:p>
    <w:p w:rsidR="00000000" w:rsidRDefault="00000000">
      <w:pPr>
        <w:pStyle w:val="DualTxt"/>
      </w:pPr>
      <w:r>
        <w:t>8.</w:t>
      </w:r>
      <w:r>
        <w:tab/>
        <w:t>Представляется чрезвычайно полезным ра</w:t>
      </w:r>
      <w:r>
        <w:t>с</w:t>
      </w:r>
      <w:r>
        <w:t>смотреть в рамках этой общей рекомендации ситу</w:t>
      </w:r>
      <w:r>
        <w:t>а</w:t>
      </w:r>
      <w:r>
        <w:t>ции, в которых государства усматривают конфликт между культурными и религиозными требованиями и своими обязательствами по Конвенции. Хотя г</w:t>
      </w:r>
      <w:r>
        <w:t>о</w:t>
      </w:r>
      <w:r>
        <w:t>сударства и создали отдельные правовые режимы для различных религиозных или культурных групп, не всегда можно четко проследить, что женщины из каждой из этих групп в полной мере используют средства защиты, предусмотренные Конвенцией. Поэтому в этой связи представляется важным по</w:t>
      </w:r>
      <w:r>
        <w:t>д</w:t>
      </w:r>
      <w:r>
        <w:t>черкнуть в общей рекомендации тот факт, что п</w:t>
      </w:r>
      <w:r>
        <w:t>о</w:t>
      </w:r>
      <w:r>
        <w:t>добные культурные или религиозные различия не являются оправданием для неспособности осущ</w:t>
      </w:r>
      <w:r>
        <w:t>е</w:t>
      </w:r>
      <w:r>
        <w:t>ствить положения Конвенции, а также что опред</w:t>
      </w:r>
      <w:r>
        <w:t>е</w:t>
      </w:r>
      <w:r>
        <w:t>ленные в Конвенции гарантии должны быть реал</w:t>
      </w:r>
      <w:r>
        <w:t>и</w:t>
      </w:r>
      <w:r>
        <w:t>зованы в рамках каждого культурного и религио</w:t>
      </w:r>
      <w:r>
        <w:t>з</w:t>
      </w:r>
      <w:r>
        <w:t>ного конте</w:t>
      </w:r>
      <w:r>
        <w:t>к</w:t>
      </w:r>
      <w:r>
        <w:t>ста.</w:t>
      </w:r>
    </w:p>
    <w:p w:rsidR="00000000" w:rsidRDefault="00000000">
      <w:pPr>
        <w:pStyle w:val="DualTxt"/>
      </w:pPr>
      <w:r>
        <w:t>9.</w:t>
      </w:r>
      <w:r>
        <w:tab/>
        <w:t>В этой общей рекомендации также следует рассмотреть вопрос о той все возрастающей роли, которую макроэкономическая политика играет в д</w:t>
      </w:r>
      <w:r>
        <w:t>е</w:t>
      </w:r>
      <w:r>
        <w:t>ле определения того, существуют ли на национал</w:t>
      </w:r>
      <w:r>
        <w:t>ь</w:t>
      </w:r>
      <w:r>
        <w:t>ном уровне условия, позволяющие осуществлять Конвенцию. Признание того факта, что отдельные государства обязаны выполнять обязательства в о</w:t>
      </w:r>
      <w:r>
        <w:t>б</w:t>
      </w:r>
      <w:r>
        <w:t>ласти прав человека, которые они приняли в ко</w:t>
      </w:r>
      <w:r>
        <w:t>н</w:t>
      </w:r>
      <w:r>
        <w:t>тексте своих действий, затрагивающих осуществл</w:t>
      </w:r>
      <w:r>
        <w:t>е</w:t>
      </w:r>
      <w:r>
        <w:t>ние макроэкономической политики, является ос</w:t>
      </w:r>
      <w:r>
        <w:t>о</w:t>
      </w:r>
      <w:r>
        <w:t>бенно уместным применительно к статье 2. Комитет по экономическим, социальным и культурным пр</w:t>
      </w:r>
      <w:r>
        <w:t>а</w:t>
      </w:r>
      <w:r>
        <w:t>вам признал в своей рекомендации общего характ</w:t>
      </w:r>
      <w:r>
        <w:t>е</w:t>
      </w:r>
      <w:r>
        <w:t>ра, что государства-участники обязаны вести свои дела в международных макроэкономических фор</w:t>
      </w:r>
      <w:r>
        <w:t>у</w:t>
      </w:r>
      <w:r>
        <w:t>мах таким образом, чтобы обеспечить реализацию прав человека. Пункт (е) статьи 2 Конвенции о ли</w:t>
      </w:r>
      <w:r>
        <w:t>к</w:t>
      </w:r>
      <w:r>
        <w:t>видации всех форм дискриминации в отношении женщин дает Комитету серьезные основания для того, чтобы занять аналогичную позицию. Было бы полезно, чтобы в общей рекомендации было указ</w:t>
      </w:r>
      <w:r>
        <w:t>а</w:t>
      </w:r>
      <w:r>
        <w:t>но не только на то, что государства-участники об</w:t>
      </w:r>
      <w:r>
        <w:t>я</w:t>
      </w:r>
      <w:r>
        <w:t>заны обеспечить, чтобы их собственные действия, предпринимаемые в рамках международных, ф</w:t>
      </w:r>
      <w:r>
        <w:t>и</w:t>
      </w:r>
      <w:r>
        <w:t>нансовых и торговых учреждений, соответствовали положениям Конвенции, но и на то, что все учас</w:t>
      </w:r>
      <w:r>
        <w:t>т</w:t>
      </w:r>
      <w:r>
        <w:t>ники Конвенции должны занимать активную поз</w:t>
      </w:r>
      <w:r>
        <w:t>и</w:t>
      </w:r>
      <w:r>
        <w:t>цию, с тем чтобы обеспечить, чтобы политика этих организаций не носила дискриминационный хара</w:t>
      </w:r>
      <w:r>
        <w:t>к</w:t>
      </w:r>
      <w:r>
        <w:t>тер по отношению к женщинам.</w:t>
      </w:r>
    </w:p>
    <w:p w:rsidR="00000000" w:rsidRDefault="00000000">
      <w:pPr>
        <w:pStyle w:val="DualTxt"/>
      </w:pPr>
      <w:r>
        <w:t>10.</w:t>
      </w:r>
      <w:r>
        <w:tab/>
        <w:t>Также было бы полезно, чтобы в этой общей рекомендации была подтверждена недопустимость оговорок в ее отношении, а также содержался пр</w:t>
      </w:r>
      <w:r>
        <w:t>и</w:t>
      </w:r>
      <w:r>
        <w:t>зыв к государствам, которые сделали подобные ог</w:t>
      </w:r>
      <w:r>
        <w:t>о</w:t>
      </w:r>
      <w:r>
        <w:t>ворки, приступить к конструктивному диалогу с Комитетом с целью снятия этих оговорок.</w:t>
      </w:r>
    </w:p>
    <w:p w:rsidR="00000000" w:rsidRDefault="00000000">
      <w:pPr>
        <w:pStyle w:val="DualTxt"/>
      </w:pPr>
      <w:r>
        <w:t>11.</w:t>
      </w:r>
      <w:r>
        <w:tab/>
        <w:t>Эта рекомендация общего характера может также предоставить Комитету возможность напо</w:t>
      </w:r>
      <w:r>
        <w:t>м</w:t>
      </w:r>
      <w:r>
        <w:t>нить государствам-участникам о характере и цели его заключительных замечаний, а также о важности того, чтобы государства-участники следовали этим руководящим принципам при определении тех мер, которые представляются наиболее подходящими для принятия в национальном контексте.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Радж</w:t>
      </w:r>
      <w:r>
        <w:t xml:space="preserve"> (Международный комитет дейс</w:t>
      </w:r>
      <w:r>
        <w:t>т</w:t>
      </w:r>
      <w:r>
        <w:t>вий в защиту прав женщин — Азиатско-Тихоокеанский регион) говорит, что в этой общей рекомендации необходимо подчеркнуть, что Ко</w:t>
      </w:r>
      <w:r>
        <w:t>н</w:t>
      </w:r>
      <w:r>
        <w:t>венция накладывает на государства-участники т</w:t>
      </w:r>
      <w:r>
        <w:t>а</w:t>
      </w:r>
      <w:r>
        <w:t>кие обязательства, которые имеют обязательную силу и не признают довод о том, что национальное законодательство может являться оправданием для несоблюдения ее положений. Что касается вопроса отчетности, то только государство-участник несет ответственность за действие или бездействие люб</w:t>
      </w:r>
      <w:r>
        <w:t>о</w:t>
      </w:r>
      <w:r>
        <w:t>го государственного органа даже в тех случаях, к</w:t>
      </w:r>
      <w:r>
        <w:t>о</w:t>
      </w:r>
      <w:r>
        <w:t>гда речь идет о федерализме, разделении власти, децентрализации или наличии автономных реги</w:t>
      </w:r>
      <w:r>
        <w:t>о</w:t>
      </w:r>
      <w:r>
        <w:t>нов.</w:t>
      </w:r>
    </w:p>
    <w:p w:rsidR="00000000" w:rsidRDefault="00000000">
      <w:pPr>
        <w:pStyle w:val="DualTxt"/>
      </w:pPr>
      <w:r>
        <w:t>13.</w:t>
      </w:r>
      <w:r>
        <w:tab/>
        <w:t>Существует необходимость концептуально прояснить те элементы, которые составляют обяз</w:t>
      </w:r>
      <w:r>
        <w:t>а</w:t>
      </w:r>
      <w:r>
        <w:t>тельство государства. Требуя практического осущ</w:t>
      </w:r>
      <w:r>
        <w:t>е</w:t>
      </w:r>
      <w:r>
        <w:t>ствления прав, Конвенция поощряет субстанти</w:t>
      </w:r>
      <w:r>
        <w:t>в</w:t>
      </w:r>
      <w:r>
        <w:t>ную, а не просто формальную модель равноправия, которая включает равенство возможностей, раве</w:t>
      </w:r>
      <w:r>
        <w:t>н</w:t>
      </w:r>
      <w:r>
        <w:t>ство доступа к возможностям и равенство результ</w:t>
      </w:r>
      <w:r>
        <w:t>а</w:t>
      </w:r>
      <w:r>
        <w:t>тов или последствий. Важно подчеркнуть, что пр</w:t>
      </w:r>
      <w:r>
        <w:t>о</w:t>
      </w:r>
      <w:r>
        <w:t>текционизм не ведет к равноправию и практически воспроизводит дискриминацию под предлогом з</w:t>
      </w:r>
      <w:r>
        <w:t>а</w:t>
      </w:r>
      <w:r>
        <w:t>щиты женщин. В общей рекомендации следует за</w:t>
      </w:r>
      <w:r>
        <w:t>я</w:t>
      </w:r>
      <w:r>
        <w:t>вить, что равноправие является универсальным и что все женщины должны быть способны осущес</w:t>
      </w:r>
      <w:r>
        <w:t>т</w:t>
      </w:r>
      <w:r>
        <w:t>влять право быть равноправными в рамках одной и той же страны. В этой рекомендации следует четко указать, что государства-участники обязаны зан</w:t>
      </w:r>
      <w:r>
        <w:t>и</w:t>
      </w:r>
      <w:r>
        <w:t>маться вопросами дискриминации в различных сферах деятельности и социальных средах, п</w:t>
      </w:r>
      <w:r>
        <w:t>о</w:t>
      </w:r>
      <w:r>
        <w:t>скольку права человека являются неделимыми, взаимосвязанными и взаимозависимыми. Другим элементом обязательства государства является н</w:t>
      </w:r>
      <w:r>
        <w:t>е</w:t>
      </w:r>
      <w:r>
        <w:t>обходимость четкого понимания государствами т</w:t>
      </w:r>
      <w:r>
        <w:t>о</w:t>
      </w:r>
      <w:r>
        <w:t>го, что составляет дискриминацию, как она опред</w:t>
      </w:r>
      <w:r>
        <w:t>е</w:t>
      </w:r>
      <w:r>
        <w:t>лена в статье 1. И наконец, в этой общей рекоме</w:t>
      </w:r>
      <w:r>
        <w:t>н</w:t>
      </w:r>
      <w:r>
        <w:t>дации необходимо четко разъяснить, что Конвенция применяется ко всем женщинам, независимо от их гражданства или национальности.</w:t>
      </w:r>
    </w:p>
    <w:p w:rsidR="00000000" w:rsidRDefault="00000000">
      <w:pPr>
        <w:pStyle w:val="DualTxt"/>
      </w:pPr>
      <w:r>
        <w:t>14.</w:t>
      </w:r>
      <w:r>
        <w:tab/>
        <w:t>Что касается конкретных компонентов обяз</w:t>
      </w:r>
      <w:r>
        <w:t>а</w:t>
      </w:r>
      <w:r>
        <w:t>тельства государства, то, ратифицировав Конве</w:t>
      </w:r>
      <w:r>
        <w:t>н</w:t>
      </w:r>
      <w:r>
        <w:t>цию, государство-участник тем самым берет на себя обязательство принимать меры и обязательство д</w:t>
      </w:r>
      <w:r>
        <w:t>о</w:t>
      </w:r>
      <w:r>
        <w:t>биваться результатов. От государства-участника также требуется выполнять как обязательства пре</w:t>
      </w:r>
      <w:r>
        <w:t>д</w:t>
      </w:r>
      <w:r>
        <w:t>принимать действия, так и обязательства воздерж</w:t>
      </w:r>
      <w:r>
        <w:t>и</w:t>
      </w:r>
      <w:r>
        <w:t>ваться от действий, поскольку от него требуется как воздерживаться от дискриминационных действий, так и принимать меры к достижению де-факто ра</w:t>
      </w:r>
      <w:r>
        <w:t>в</w:t>
      </w:r>
      <w:r>
        <w:t>ноправия. Государство-участник также обязано принять какие-то временные специальные меры, направленные на устранение последствий тех ди</w:t>
      </w:r>
      <w:r>
        <w:t>с</w:t>
      </w:r>
      <w:r>
        <w:t>криминационных действий, которые имели место в прошлом. К проблеме дискриминации следует по</w:t>
      </w:r>
      <w:r>
        <w:t>д</w:t>
      </w:r>
      <w:r>
        <w:t>ходить комплексно, а политика, направленная на ликвидацию дискриминации, должна проводиться «всеми соответствующими способами». Статья 2 также предусматривает, что дискриминация должна быть ликвидирована «безотлагательно», что означ</w:t>
      </w:r>
      <w:r>
        <w:t>а</w:t>
      </w:r>
      <w:r>
        <w:t>ет, что нехватка ресурсов или низкий уровень ра</w:t>
      </w:r>
      <w:r>
        <w:t>з</w:t>
      </w:r>
      <w:r>
        <w:t>вития не могут являться оправданием для несво</w:t>
      </w:r>
      <w:r>
        <w:t>е</w:t>
      </w:r>
      <w:r>
        <w:t>временного осуществления положений Конвенции. Обязательства, перечисленные в статье 2, подче</w:t>
      </w:r>
      <w:r>
        <w:t>р</w:t>
      </w:r>
      <w:r>
        <w:t>кивают главные обязательства государства-участника уважать, защищать и осуществлять пр</w:t>
      </w:r>
      <w:r>
        <w:t>а</w:t>
      </w:r>
      <w:r>
        <w:t>ва. Эти обязательства требуют от государства-участника воздерживаться от вмешательства в дело осуществления прав, предупреждать нарушения т</w:t>
      </w:r>
      <w:r>
        <w:t>а</w:t>
      </w:r>
      <w:r>
        <w:t>ких прав третьими сторонами и принимать соотве</w:t>
      </w:r>
      <w:r>
        <w:t>т</w:t>
      </w:r>
      <w:r>
        <w:t>ствующие меры к полной реализации равноправия женщин. В тех случаях, когда нарушения прав ч</w:t>
      </w:r>
      <w:r>
        <w:t>а</w:t>
      </w:r>
      <w:r>
        <w:t>стными субъектами носят злостный, массовый или систематический характер, а государство при этом не предпринимает никаких действий к тому, чтобы предупредить, расследовать или исправить полож</w:t>
      </w:r>
      <w:r>
        <w:t>е</w:t>
      </w:r>
      <w:r>
        <w:t>ние, подобная терпимость государства к таким н</w:t>
      </w:r>
      <w:r>
        <w:t>а</w:t>
      </w:r>
      <w:r>
        <w:t>рушениям может привести к ответственности гос</w:t>
      </w:r>
      <w:r>
        <w:t>у</w:t>
      </w:r>
      <w:r>
        <w:t>дарства за свою неспособность проявить должную заботливость, а если государство еще и  оправдыв</w:t>
      </w:r>
      <w:r>
        <w:t>а</w:t>
      </w:r>
      <w:r>
        <w:t>ет при этом свои действия или находит им соотве</w:t>
      </w:r>
      <w:r>
        <w:t>т</w:t>
      </w:r>
      <w:r>
        <w:t>ствующие предлоги, оно должно нести ответстве</w:t>
      </w:r>
      <w:r>
        <w:t>н</w:t>
      </w:r>
      <w:r>
        <w:t>ность как соучастник нарушений или как сторона, попустительствующая таким нарушениям. Госуда</w:t>
      </w:r>
      <w:r>
        <w:t>р</w:t>
      </w:r>
      <w:r>
        <w:t>ство-участник также обязано устранить препятс</w:t>
      </w:r>
      <w:r>
        <w:t>т</w:t>
      </w:r>
      <w:r>
        <w:t>вия, мешающие достижению равноправия женщин, которые основываются на дискриминационной, культурной или традиционной практике.</w:t>
      </w:r>
    </w:p>
    <w:p w:rsidR="00000000" w:rsidRDefault="00000000">
      <w:pPr>
        <w:pStyle w:val="DualTxt"/>
      </w:pPr>
      <w:r>
        <w:t>15.</w:t>
      </w:r>
      <w:r>
        <w:tab/>
        <w:t>Правовые рамки, обусловливающие примен</w:t>
      </w:r>
      <w:r>
        <w:t>и</w:t>
      </w:r>
      <w:r>
        <w:t>мость Конвенции на национальном уровне, имеют чрезвычайно большое значение. Обязательство, предусматриваемое пунктом (а) статьи 2, требует конституционной гарантии равноправия, соответс</w:t>
      </w:r>
      <w:r>
        <w:t>т</w:t>
      </w:r>
      <w:r>
        <w:t>вующего стандарту равноправия, предусмотренн</w:t>
      </w:r>
      <w:r>
        <w:t>о</w:t>
      </w:r>
      <w:r>
        <w:t>му Конвенцией. Настоятельно необходимо, чтобы положения Конвенции были включены в наци</w:t>
      </w:r>
      <w:r>
        <w:t>о</w:t>
      </w:r>
      <w:r>
        <w:t>нальную законодательную базу государства, и если для этого необходимо принять соответствующее з</w:t>
      </w:r>
      <w:r>
        <w:t>а</w:t>
      </w:r>
      <w:r>
        <w:t>конодательство, государство должно сделать это. Принятие закона о равноправии, включающего все элементы Конвенции, может также стать средством, с помощью которого можно будет обеспечить пр</w:t>
      </w:r>
      <w:r>
        <w:t>и</w:t>
      </w:r>
      <w:r>
        <w:t>менение  положений Конвенции на национальном уровне. Государство-участник обязано создать м</w:t>
      </w:r>
      <w:r>
        <w:t>е</w:t>
      </w:r>
      <w:r>
        <w:t>ханизмы для контроля за выполнением Конвенции и для расследования, исправления и предотвращения нарушений. В своих международных отношениях государство-участник должно воздерживаться от заключения каких-либо дискриминационных с</w:t>
      </w:r>
      <w:r>
        <w:t>о</w:t>
      </w:r>
      <w:r>
        <w:t>глашений, достижения дискриминационного пон</w:t>
      </w:r>
      <w:r>
        <w:t>и</w:t>
      </w:r>
      <w:r>
        <w:t>мания или осуществления дискриминационной практики и должно постоянно контролировать и анализировать воздействие международных согл</w:t>
      </w:r>
      <w:r>
        <w:t>а</w:t>
      </w:r>
      <w:r>
        <w:t>шений на положение женщин. В этом отношении развитые страны имеют особое обязательство пр</w:t>
      </w:r>
      <w:r>
        <w:t>е</w:t>
      </w:r>
      <w:r>
        <w:t>доставлять менее развитым странам помощь в в</w:t>
      </w:r>
      <w:r>
        <w:t>ы</w:t>
      </w:r>
      <w:r>
        <w:t>полнении ими своих договорных обязательств.</w:t>
      </w:r>
    </w:p>
    <w:p w:rsidR="00000000" w:rsidRDefault="00000000">
      <w:pPr>
        <w:pStyle w:val="DualTxt"/>
      </w:pPr>
      <w:r>
        <w:t>16.</w:t>
      </w:r>
      <w:r>
        <w:tab/>
        <w:t>Отдельный раздел общей рекомендации след</w:t>
      </w:r>
      <w:r>
        <w:t>у</w:t>
      </w:r>
      <w:r>
        <w:t>ет посвятить особым обстоятельствам, таким как вооруженный конфликт, гражданские беспорядки, стихийные бедствия и экономический кризис.</w:t>
      </w:r>
    </w:p>
    <w:p w:rsidR="00000000" w:rsidRDefault="00000000">
      <w:pPr>
        <w:pStyle w:val="DualTxt"/>
      </w:pPr>
      <w:r>
        <w:t>17.</w:t>
      </w:r>
      <w:r>
        <w:tab/>
        <w:t>Чрезвычайно важно, чтобы была достигнута межминистерская учрежденческая договоренность о достижении, мониторинге и оценке прогресса в деле осуществления Конвенции; при этом необх</w:t>
      </w:r>
      <w:r>
        <w:t>о</w:t>
      </w:r>
      <w:r>
        <w:t>димо четко определить роль и ответственность эт</w:t>
      </w:r>
      <w:r>
        <w:t>о</w:t>
      </w:r>
      <w:r>
        <w:t>го учрежденческого механизма и национального механизма по делам женщин. Подобная договоре</w:t>
      </w:r>
      <w:r>
        <w:t>н</w:t>
      </w:r>
      <w:r>
        <w:t>ность должна включать в себя четкий план дейс</w:t>
      </w:r>
      <w:r>
        <w:t>т</w:t>
      </w:r>
      <w:r>
        <w:t>вий, направленных на осуществление Конвенции и заключительных замечаний, а также предусматр</w:t>
      </w:r>
      <w:r>
        <w:t>и</w:t>
      </w:r>
      <w:r>
        <w:t>вать предоставление адекватных ресурсов. В этой связи государство должно взять на себя всю отве</w:t>
      </w:r>
      <w:r>
        <w:t>т</w:t>
      </w:r>
      <w:r>
        <w:t>ственность за проведение в обществе разъясн</w:t>
      </w:r>
      <w:r>
        <w:t>и</w:t>
      </w:r>
      <w:r>
        <w:t>тельно-пропагандистской работы по вопросу о пр</w:t>
      </w:r>
      <w:r>
        <w:t>а</w:t>
      </w:r>
      <w:r>
        <w:t>вах женщин в соответствии с Конвенцией, и один из разделов общей рекомендации должен быть посв</w:t>
      </w:r>
      <w:r>
        <w:t>я</w:t>
      </w:r>
      <w:r>
        <w:t>щен определению тех видов данных, которые дол</w:t>
      </w:r>
      <w:r>
        <w:t>ж</w:t>
      </w:r>
      <w:r>
        <w:t>ны быть собраны для эффективного осуществления этого плана. Поскольку государства зачастую пр</w:t>
      </w:r>
      <w:r>
        <w:t>о</w:t>
      </w:r>
      <w:r>
        <w:t>являют беспомощность при выполнении своих об</w:t>
      </w:r>
      <w:r>
        <w:t>я</w:t>
      </w:r>
      <w:r>
        <w:t>зательств, в общей рекомендации следует опред</w:t>
      </w:r>
      <w:r>
        <w:t>е</w:t>
      </w:r>
      <w:r>
        <w:t>лить и рассмотреть указываемые в таких случаях препятствия. Общая рекомендация должна также включать раздел, посвященный обязательствам, к</w:t>
      </w:r>
      <w:r>
        <w:t>а</w:t>
      </w:r>
      <w:r>
        <w:t>сающимся представления докладов, в котором сл</w:t>
      </w:r>
      <w:r>
        <w:t>е</w:t>
      </w:r>
      <w:r>
        <w:t>дует разъяснить основные причины и цели пре</w:t>
      </w:r>
      <w:r>
        <w:t>д</w:t>
      </w:r>
      <w:r>
        <w:t>ставления докладов; общая рекомендация также должна четко разъяснить обязательство государств создавать условия, благоприятствующие свободной активной деятельности неправительственных орг</w:t>
      </w:r>
      <w:r>
        <w:t>а</w:t>
      </w:r>
      <w:r>
        <w:t>низаций.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 Мехра</w:t>
      </w:r>
      <w:r>
        <w:t xml:space="preserve"> (Международный комитет дейс</w:t>
      </w:r>
      <w:r>
        <w:t>т</w:t>
      </w:r>
      <w:r>
        <w:t>вий в защиту прав женщин — Азиатско-Тихоокеанский регион и Организация «Партнеры за законность в области развития», Индия), отмечая, что в Конвенции и в рекомендациях общего хара</w:t>
      </w:r>
      <w:r>
        <w:t>к</w:t>
      </w:r>
      <w:r>
        <w:t>тера признается, что конкретные ситуации и сам</w:t>
      </w:r>
      <w:r>
        <w:t>о</w:t>
      </w:r>
      <w:r>
        <w:t>бытные черты, наряду с гендерными факторами, способствуют дискриминации в отношении же</w:t>
      </w:r>
      <w:r>
        <w:t>н</w:t>
      </w:r>
      <w:r>
        <w:t>щин, привлекает внимание к необходимости вкл</w:t>
      </w:r>
      <w:r>
        <w:t>ю</w:t>
      </w:r>
      <w:r>
        <w:t>чить и подробно охарактеризовать обязательства государств в контексте внутреннего конфликта и религиозно-фанатического насилия. Внутренние и религиозные конфликты превратились в одну из наиболее серьезных проблем современности в том, что касается нарушений прав человека, заменив с</w:t>
      </w:r>
      <w:r>
        <w:t>о</w:t>
      </w:r>
      <w:r>
        <w:t>бой межгосударственные войны в качестве главной причины перемещения людей. В своей общей рек</w:t>
      </w:r>
      <w:r>
        <w:t>о</w:t>
      </w:r>
      <w:r>
        <w:t>мендации No. 19 Комитет отметил, что война, во</w:t>
      </w:r>
      <w:r>
        <w:t>о</w:t>
      </w:r>
      <w:r>
        <w:t>руженный конфликт и оккупация ведут к простит</w:t>
      </w:r>
      <w:r>
        <w:t>у</w:t>
      </w:r>
      <w:r>
        <w:t>ции, торговле людьми и посягательствам сексуал</w:t>
      </w:r>
      <w:r>
        <w:t>ь</w:t>
      </w:r>
      <w:r>
        <w:t>ного характера, и рекомендовал меры, которые н</w:t>
      </w:r>
      <w:r>
        <w:t>е</w:t>
      </w:r>
      <w:r>
        <w:t>обходимо принять для решения возникающей в р</w:t>
      </w:r>
      <w:r>
        <w:t>е</w:t>
      </w:r>
      <w:r>
        <w:t>зультате этого проблемы уязвимости. В прошлом Комитет вмешивался в отдельных случаях, спров</w:t>
      </w:r>
      <w:r>
        <w:t>о</w:t>
      </w:r>
      <w:r>
        <w:t>цирова</w:t>
      </w:r>
      <w:r>
        <w:t>н</w:t>
      </w:r>
      <w:r>
        <w:t>ных соображениями геноцида, религиозно-фанатических нападений и конфликтов, в случаях использования женщин в качестве орудия войны, а также в случаях отсутствия правовых мер для р</w:t>
      </w:r>
      <w:r>
        <w:t>е</w:t>
      </w:r>
      <w:r>
        <w:t>шения этой проблемы.</w:t>
      </w:r>
    </w:p>
    <w:p w:rsidR="00000000" w:rsidRDefault="00000000">
      <w:pPr>
        <w:pStyle w:val="DualTxt"/>
      </w:pPr>
      <w:r>
        <w:t>19.</w:t>
      </w:r>
      <w:r>
        <w:tab/>
        <w:t>Комитет является единственным специализ</w:t>
      </w:r>
      <w:r>
        <w:t>и</w:t>
      </w:r>
      <w:r>
        <w:t>рованным органом, который может рассматривать вопросы насилия, осуществляемого на гендерной основе, и способы ликвидации его последствий. В статье 5 Конвенции признается, что социальные и культурные стереотипы в отношении женщин лежат в основе их дискриминации. Именно эти стереот</w:t>
      </w:r>
      <w:r>
        <w:t>и</w:t>
      </w:r>
      <w:r>
        <w:t>пы делают их объектом насилия и обусловливают долгосрочные последствия такого насилия. В силу гендерной принадлежности женщины подвергаются двойной угрозе. По причине пола они становятся жертвами насилия, а затем вынуждены нести на с</w:t>
      </w:r>
      <w:r>
        <w:t>е</w:t>
      </w:r>
      <w:r>
        <w:t>бе стигму внутри общины по причине постыдности, приписываемой насилию, что практически сводит на нет возможности ликвидации последствий так</w:t>
      </w:r>
      <w:r>
        <w:t>о</w:t>
      </w:r>
      <w:r>
        <w:t>го насилия и вовлечения жертв в жизнь общины. Ни община, ни закон не способны решить эту пробл</w:t>
      </w:r>
      <w:r>
        <w:t>е</w:t>
      </w:r>
      <w:r>
        <w:t>му. Внутри национального законодательства сущ</w:t>
      </w:r>
      <w:r>
        <w:t>е</w:t>
      </w:r>
      <w:r>
        <w:t>ствует вакуум, поскольку в рамках существующих пенитенциарных систем нет никакого надлежащего определения, которое бы отражало природу сове</w:t>
      </w:r>
      <w:r>
        <w:t>р</w:t>
      </w:r>
      <w:r>
        <w:t>шенного преступления.</w:t>
      </w:r>
    </w:p>
    <w:p w:rsidR="00000000" w:rsidRDefault="00000000">
      <w:pPr>
        <w:pStyle w:val="DualTxt"/>
      </w:pPr>
      <w:r>
        <w:t>20.</w:t>
      </w:r>
      <w:r>
        <w:tab/>
        <w:t>Существуют и другие причины, которые об</w:t>
      </w:r>
      <w:r>
        <w:t>у</w:t>
      </w:r>
      <w:r>
        <w:t>словливают настоятельную необходимость того, чтобы Комитет разработал четкие рамки обяз</w:t>
      </w:r>
      <w:r>
        <w:t>а</w:t>
      </w:r>
      <w:r>
        <w:t>тельств государств в том, что касается воздействия внутренних конфликтов на положение женщин. Во-первых, представление периодических докладов позволяет уже на раннем этапе выявить проблему, воспрепятствовать ее развитию и помочь ликвид</w:t>
      </w:r>
      <w:r>
        <w:t>и</w:t>
      </w:r>
      <w:r>
        <w:t>ровать ее последствия. Во-вторых, такие грубые н</w:t>
      </w:r>
      <w:r>
        <w:t>а</w:t>
      </w:r>
      <w:r>
        <w:t>рушения прав человека женщин, как нарушения, совершаемые в ходе внутренних конфликтов, дол</w:t>
      </w:r>
      <w:r>
        <w:t>ж</w:t>
      </w:r>
      <w:r>
        <w:t>ны стать частью постоянного анализа и четко опр</w:t>
      </w:r>
      <w:r>
        <w:t>е</w:t>
      </w:r>
      <w:r>
        <w:t>деленных рамок, которыми государства могли бы руководствоваться при рассмотрении и принятии соответствующих мер и которые обеспечивали бы их ответственность и подотчетность в междунаро</w:t>
      </w:r>
      <w:r>
        <w:t>д</w:t>
      </w:r>
      <w:r>
        <w:t>ном плане.</w:t>
      </w:r>
    </w:p>
    <w:p w:rsidR="00000000" w:rsidRDefault="00000000">
      <w:pPr>
        <w:pStyle w:val="DualTxt"/>
      </w:pPr>
      <w:r>
        <w:t>21.</w:t>
      </w:r>
      <w:r>
        <w:tab/>
        <w:t>Статья 2 определяет, что обязательства гос</w:t>
      </w:r>
      <w:r>
        <w:t>у</w:t>
      </w:r>
      <w:r>
        <w:t>дарств включают подтверждение путем признания наряду с нормативным запрещением или судебным запретом, а также выполнение положений госуда</w:t>
      </w:r>
      <w:r>
        <w:t>р</w:t>
      </w:r>
      <w:r>
        <w:t>ственными/негосударственными субъектами и и</w:t>
      </w:r>
      <w:r>
        <w:t>н</w:t>
      </w:r>
      <w:r>
        <w:t>ституциональными механизмами. Используя в кач</w:t>
      </w:r>
      <w:r>
        <w:t>е</w:t>
      </w:r>
      <w:r>
        <w:t>стве примера массовую резню мусульманского меньшинства в индийском штате Гуджарат в марте 2002 года, она говорит, что налицо огромные пр</w:t>
      </w:r>
      <w:r>
        <w:t>о</w:t>
      </w:r>
      <w:r>
        <w:t>белы, которые необходимо заполнить и скоррект</w:t>
      </w:r>
      <w:r>
        <w:t>и</w:t>
      </w:r>
      <w:r>
        <w:t>ровать путем принятия усилий на международном уровне. Ясно, что существуют проблемы с опред</w:t>
      </w:r>
      <w:r>
        <w:t>е</w:t>
      </w:r>
      <w:r>
        <w:t>лениями. Совершенные преступления представляли собой последовательный ряд преступлений, среди которых изнасилование являлось лишь одним из компонентов; поэтому уголовное преследование виновных только за совершение изнасилования я</w:t>
      </w:r>
      <w:r>
        <w:t>в</w:t>
      </w:r>
      <w:r>
        <w:t>ляется абсолютно неадекватным. Выдвижение мн</w:t>
      </w:r>
      <w:r>
        <w:t>о</w:t>
      </w:r>
      <w:r>
        <w:t>жественных обвинений, таких как обвинения в пр</w:t>
      </w:r>
      <w:r>
        <w:t>е</w:t>
      </w:r>
      <w:r>
        <w:t>ступном принуждении, нанесении тяжких телесных повреждений, оскорблении скромности, изнасил</w:t>
      </w:r>
      <w:r>
        <w:t>о</w:t>
      </w:r>
      <w:r>
        <w:t>вании и покушении на убийство, также является н</w:t>
      </w:r>
      <w:r>
        <w:t>е</w:t>
      </w:r>
      <w:r>
        <w:t>адекватным, поскольку совершенное в подобных обстоятельствах преступление выходит далеко за пределы нанесения увечий индивидууму. В дейс</w:t>
      </w:r>
      <w:r>
        <w:t>т</w:t>
      </w:r>
      <w:r>
        <w:t>вительности оно представляет собой нападение на всю общину и связано с разрушением духа и дост</w:t>
      </w:r>
      <w:r>
        <w:t>о</w:t>
      </w:r>
      <w:r>
        <w:t>инства этой общины. По своему умыслу такое пр</w:t>
      </w:r>
      <w:r>
        <w:t>е</w:t>
      </w:r>
      <w:r>
        <w:t>ступление является преступлением против челов</w:t>
      </w:r>
      <w:r>
        <w:t>е</w:t>
      </w:r>
      <w:r>
        <w:t>чества и заслуживает надлежащего определ</w:t>
      </w:r>
      <w:r>
        <w:t>е</w:t>
      </w:r>
      <w:r>
        <w:t>ния.</w:t>
      </w:r>
    </w:p>
    <w:p w:rsidR="00000000" w:rsidRDefault="00000000">
      <w:pPr>
        <w:pStyle w:val="DualTxt"/>
      </w:pPr>
      <w:r>
        <w:t>22.</w:t>
      </w:r>
      <w:r>
        <w:tab/>
        <w:t>Налицо также пробел и в системе судопрои</w:t>
      </w:r>
      <w:r>
        <w:t>з</w:t>
      </w:r>
      <w:r>
        <w:t>водства. Несмотря на тот факт, что большое число женщин и девочек были подвергнуты сексуальному насилию до того, как они были убиты, лишь одно дело было рассмотрено Верховным судом с прим</w:t>
      </w:r>
      <w:r>
        <w:t>е</w:t>
      </w:r>
      <w:r>
        <w:t>нением для этой цели специальных процедур; тем самым Суд признал факт отсутствия каких-либо надлежащих судебных процедур, позволяющих по всей справедливости преследовать в судебном п</w:t>
      </w:r>
      <w:r>
        <w:t>о</w:t>
      </w:r>
      <w:r>
        <w:t>рядке лиц, совершивших подобного рода престу</w:t>
      </w:r>
      <w:r>
        <w:t>п</w:t>
      </w:r>
      <w:r>
        <w:t>ления. Поэтому Верховный суд предоставил в кач</w:t>
      </w:r>
      <w:r>
        <w:t>е</w:t>
      </w:r>
      <w:r>
        <w:t>стве исключения защиту жертве и свидетелям.</w:t>
      </w:r>
    </w:p>
    <w:p w:rsidR="00000000" w:rsidRDefault="00000000">
      <w:pPr>
        <w:pStyle w:val="DualTxt"/>
      </w:pPr>
      <w:r>
        <w:t>23.</w:t>
      </w:r>
      <w:r>
        <w:tab/>
        <w:t>Следует отметить, что государство не несло никакой ответственности за организацию лагерей гуманитарной помощи или предоставление вспом</w:t>
      </w:r>
      <w:r>
        <w:t>о</w:t>
      </w:r>
      <w:r>
        <w:t>гательных услуг; не было оказано никаких услуг в области сексуального и репродуктивного здоровья, равно как и услуг по преодолению психических и иных травм. И община, и государство полностью скрыли эту проблему. Выбор жизненного пути для женщин сразу же стал навсегда и безоговорочно о</w:t>
      </w:r>
      <w:r>
        <w:t>г</w:t>
      </w:r>
      <w:r>
        <w:t>раниченным: девушек насильно выдали замуж и о</w:t>
      </w:r>
      <w:r>
        <w:t>г</w:t>
      </w:r>
      <w:r>
        <w:t>раничили их появление в общественных местах, поскольку община стремилась возродить свое до</w:t>
      </w:r>
      <w:r>
        <w:t>с</w:t>
      </w:r>
      <w:r>
        <w:t>тоинство, заставляя женщин как никогда ранее ж</w:t>
      </w:r>
      <w:r>
        <w:t>е</w:t>
      </w:r>
      <w:r>
        <w:t>стко следовать культурным кодексам поведения. Кроме того, экономическая разруха и потеря ко</w:t>
      </w:r>
      <w:r>
        <w:t>р</w:t>
      </w:r>
      <w:r>
        <w:t>мильцев привели к тому, что женщины были вын</w:t>
      </w:r>
      <w:r>
        <w:t>у</w:t>
      </w:r>
      <w:r>
        <w:t>ждены проживать в неприспособленных для но</w:t>
      </w:r>
      <w:r>
        <w:t>р</w:t>
      </w:r>
      <w:r>
        <w:t>мальной жизни условиях при полном отсутствии каких-либо реабилитационных программ или всп</w:t>
      </w:r>
      <w:r>
        <w:t>о</w:t>
      </w:r>
      <w:r>
        <w:t>могательных услуг, которые могли бы помочь им вернуться в жизнь общины и снова начать нормал</w:t>
      </w:r>
      <w:r>
        <w:t>ь</w:t>
      </w:r>
      <w:r>
        <w:t>ную жизнь.</w:t>
      </w:r>
    </w:p>
    <w:p w:rsidR="00000000" w:rsidRDefault="00000000">
      <w:pPr>
        <w:pStyle w:val="DualTxt"/>
      </w:pPr>
      <w:r>
        <w:t>24.</w:t>
      </w:r>
      <w:r>
        <w:tab/>
        <w:t>Важным аспектом отправления правосудия в условиях внутреннего конфликта, которое учитыв</w:t>
      </w:r>
      <w:r>
        <w:t>а</w:t>
      </w:r>
      <w:r>
        <w:t>ет зло и страдания, причиненные как общине, так и отдельным лицам, является вопрос о возмещении понесенного ущерба. В Гуджарате и без того неад</w:t>
      </w:r>
      <w:r>
        <w:t>е</w:t>
      </w:r>
      <w:r>
        <w:t>кватные объявленные компенсации не предусма</w:t>
      </w:r>
      <w:r>
        <w:t>т</w:t>
      </w:r>
      <w:r>
        <w:t>ривали компенсацию за сексуальные травмы, п</w:t>
      </w:r>
      <w:r>
        <w:t>о</w:t>
      </w:r>
      <w:r>
        <w:t>скольку они вовсе не были отнесены к разряду травм. Возмещение понесенного ущерба является важным вопросом и было признано таковым в о</w:t>
      </w:r>
      <w:r>
        <w:t>б</w:t>
      </w:r>
      <w:r>
        <w:t>щей рекомендации No. 19 Комитета, в которой г</w:t>
      </w:r>
      <w:r>
        <w:t>о</w:t>
      </w:r>
      <w:r>
        <w:t>сударства-участники обязываются проявлять дол</w:t>
      </w:r>
      <w:r>
        <w:t>ж</w:t>
      </w:r>
      <w:r>
        <w:t>ную заботливость к предотвращению насилия, пр</w:t>
      </w:r>
      <w:r>
        <w:t>е</w:t>
      </w:r>
      <w:r>
        <w:t>доставлению компенсаций и обеспечению беспр</w:t>
      </w:r>
      <w:r>
        <w:t>и</w:t>
      </w:r>
      <w:r>
        <w:t>страстного судебного разбир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 Удагама</w:t>
      </w:r>
      <w:r>
        <w:t xml:space="preserve"> (Международный комитет де</w:t>
      </w:r>
      <w:r>
        <w:t>й</w:t>
      </w:r>
      <w:r>
        <w:t>ствий в защиту прав женщин – Азиатско-Тихоокеанский регион и Центр по правам человека, Факультет права Университета Коломбо, Шри-Ланка) говорит о все возрастающей важности с</w:t>
      </w:r>
      <w:r>
        <w:t>о</w:t>
      </w:r>
      <w:r>
        <w:t>блюдения норм прав человека и гуманитарного пр</w:t>
      </w:r>
      <w:r>
        <w:t>а</w:t>
      </w:r>
      <w:r>
        <w:t>ва в ходе вооруженных конфликтов, большая часть которых в современном мире связана с ведением боевых действий внутри государств, а не между г</w:t>
      </w:r>
      <w:r>
        <w:t>о</w:t>
      </w:r>
      <w:r>
        <w:t>сударствами. Независимо от того, вызван ли тот или иной конфликт этническими или религиозными причинами, насилие на гендерной основе приним</w:t>
      </w:r>
      <w:r>
        <w:t>а</w:t>
      </w:r>
      <w:r>
        <w:t>ет в ходе конфликтов экстремальные формы и ос</w:t>
      </w:r>
      <w:r>
        <w:t>у</w:t>
      </w:r>
      <w:r>
        <w:t>ществляется как государственными, так и негос</w:t>
      </w:r>
      <w:r>
        <w:t>у</w:t>
      </w:r>
      <w:r>
        <w:t>дарственными субъектами и даже военнослужащ</w:t>
      </w:r>
      <w:r>
        <w:t>и</w:t>
      </w:r>
      <w:r>
        <w:t>ми международных миротворческих сил, включая случаи сексуального рабства, о которых сообщала бывший Специальный докладчик Организации Объединенных Наций по вопросу о насилии в о</w:t>
      </w:r>
      <w:r>
        <w:t>т</w:t>
      </w:r>
      <w:r>
        <w:t>ношении женщин г-жа Радхика Кумарасвами (E/CN.4/1996/53/Add.1). При этом не только те женщины, которые находятся, так сказать, «по др</w:t>
      </w:r>
      <w:r>
        <w:t>у</w:t>
      </w:r>
      <w:r>
        <w:t>гую сторону», подвергаются изнасилованиям, в</w:t>
      </w:r>
      <w:r>
        <w:t>ы</w:t>
      </w:r>
      <w:r>
        <w:t>нуждены заниматься проституцией и испытывают на себе другие нарушения, но и те женщины, кот</w:t>
      </w:r>
      <w:r>
        <w:t>о</w:t>
      </w:r>
      <w:r>
        <w:t>рые находятся «на той же стороне», что и лица, с</w:t>
      </w:r>
      <w:r>
        <w:t>о</w:t>
      </w:r>
      <w:r>
        <w:t>вершающие подобные деяния, обречены жить, с</w:t>
      </w:r>
      <w:r>
        <w:t>о</w:t>
      </w:r>
      <w:r>
        <w:t>блюдая традиционные патриархальные нормы, к</w:t>
      </w:r>
      <w:r>
        <w:t>о</w:t>
      </w:r>
      <w:r>
        <w:t>торым их обязывают следовать под личиной их «защиты», как это было в Афганистане в условиях власти «Талибана». Конфликты также приводят к появлению беженцев и внутренне перемещенных лиц, большую часть которых составляют женщины и дети. Что касается внутренне перемещенных лиц, то для них нет никакого специализированного ме</w:t>
      </w:r>
      <w:r>
        <w:t>ж</w:t>
      </w:r>
      <w:r>
        <w:t>дународного учреждения, которое бы занималось вопросами их защиты, что обусловливает огромное значение соблюдения принципа недискриминации при предоставлении услуг и расселении.</w:t>
      </w:r>
    </w:p>
    <w:p w:rsidR="00000000" w:rsidRDefault="00000000">
      <w:pPr>
        <w:pStyle w:val="DualTxt"/>
      </w:pPr>
      <w:r>
        <w:t>26.</w:t>
      </w:r>
      <w:r>
        <w:tab/>
        <w:t>Социальные, экономические и культурные права также более грубо попираются в ходе воор</w:t>
      </w:r>
      <w:r>
        <w:t>у</w:t>
      </w:r>
      <w:r>
        <w:t>женных конфликтов, чем в мирное время, что пр</w:t>
      </w:r>
      <w:r>
        <w:t>о</w:t>
      </w:r>
      <w:r>
        <w:t>является в дискриминации на гендерной основе женщин, являющихся главами домашних хозяйств, вдов военного времени, внутренне перемещенных лиц и беженцев в том, что касается их доступа к продуктам питания, воде, медицинским услугам и образованию, особенно в тех случаях, когда в ходе вооруженных конфликтов вводятся эмбарго на пр</w:t>
      </w:r>
      <w:r>
        <w:t>о</w:t>
      </w:r>
      <w:r>
        <w:t>довольствие и медикаменты. Женщины также ну</w:t>
      </w:r>
      <w:r>
        <w:t>ж</w:t>
      </w:r>
      <w:r>
        <w:t>даются в защите от дискриминации при предоста</w:t>
      </w:r>
      <w:r>
        <w:t>в</w:t>
      </w:r>
      <w:r>
        <w:t>лении займов, земельных участков и жилья; они также должны играть свою роль в выработке пол</w:t>
      </w:r>
      <w:r>
        <w:t>и</w:t>
      </w:r>
      <w:r>
        <w:t>тики, касающейся расселения, реабилитации и примирения. В рамках большей части официальных мирных процессов не предусматривается никакое участие женщин, что было признано Советом Без</w:t>
      </w:r>
      <w:r>
        <w:t>о</w:t>
      </w:r>
      <w:r>
        <w:t>пасности в его резолюции 1325 (2000) о роли же</w:t>
      </w:r>
      <w:r>
        <w:t>н</w:t>
      </w:r>
      <w:r>
        <w:t>щин в мирном процессе.</w:t>
      </w:r>
    </w:p>
    <w:p w:rsidR="00000000" w:rsidRDefault="00000000">
      <w:pPr>
        <w:pStyle w:val="DualTxt"/>
      </w:pPr>
      <w:r>
        <w:t>27.</w:t>
      </w:r>
      <w:r>
        <w:tab/>
        <w:t>Безнаказанность по-прежнему является одним из главных препятствий, мешающих поощрению прав человека; Международный уголовный суд предпринял ряд воодушевляющих шагов в этом о</w:t>
      </w:r>
      <w:r>
        <w:t>т</w:t>
      </w:r>
      <w:r>
        <w:t>ношении, однако многие государства еще не рат</w:t>
      </w:r>
      <w:r>
        <w:t>и</w:t>
      </w:r>
      <w:r>
        <w:t>фицировали Римский статут, а юрисдикция Суда всего лишь дополняет национальную юрисдикцию в отношении четко определенных преступлений против человечества, геноцида и военных престу</w:t>
      </w:r>
      <w:r>
        <w:t>п</w:t>
      </w:r>
      <w:r>
        <w:t>лений. Важно, чтобы государства признали, что преступления сексуального характера являются преступлениями, входящими в эти три категории, учитывая юриспруденцию Международных уголо</w:t>
      </w:r>
      <w:r>
        <w:t>в</w:t>
      </w:r>
      <w:r>
        <w:t>ных трибуналов по бывшей Югославии и Руанде.</w:t>
      </w:r>
    </w:p>
    <w:p w:rsidR="00000000" w:rsidRDefault="00000000">
      <w:pPr>
        <w:pStyle w:val="DualTxt"/>
      </w:pPr>
      <w:r>
        <w:t>28.</w:t>
      </w:r>
      <w:r>
        <w:tab/>
        <w:t>Рекомендации Международного комитета де</w:t>
      </w:r>
      <w:r>
        <w:t>й</w:t>
      </w:r>
      <w:r>
        <w:t>ствий в защиту прав женщин в Азиатско-Тихоокеанском регионе, касающиеся обязательств государств в соответствии со статьей 2 Конвенции в ходе вооруженных конфликтов, основываются на признании того факта, что международное право в области прав человека и международное гуман</w:t>
      </w:r>
      <w:r>
        <w:t>и</w:t>
      </w:r>
      <w:r>
        <w:t>тарное право взаимно дополняют друг друга. Гос</w:t>
      </w:r>
      <w:r>
        <w:t>у</w:t>
      </w:r>
      <w:r>
        <w:t>дарства – участники Конвенции обязаны обеспечить принятие всех возможных мер для предотвращения дискриминации на гендерной основе, и особенно сексуального насилия, в ходе вооруженных ко</w:t>
      </w:r>
      <w:r>
        <w:t>н</w:t>
      </w:r>
      <w:r>
        <w:t>фликтов, как это уже признано в общей рекоменд</w:t>
      </w:r>
      <w:r>
        <w:t>а</w:t>
      </w:r>
      <w:r>
        <w:t>ции No. 19. Такие меры должны включать законы, и особенно военные кодексы, криминализирующие сексуальное насилие в ходе вооруженных конфли</w:t>
      </w:r>
      <w:r>
        <w:t>к</w:t>
      </w:r>
      <w:r>
        <w:t>тов и дающие такого рода преступлениям по кра</w:t>
      </w:r>
      <w:r>
        <w:t>й</w:t>
      </w:r>
      <w:r>
        <w:t>ней мере столь же широкие определения, что и о</w:t>
      </w:r>
      <w:r>
        <w:t>п</w:t>
      </w:r>
      <w:r>
        <w:t>ределения, содержащиеся в применяемых к таким случаям международных правовых нормах. Нео</w:t>
      </w:r>
      <w:r>
        <w:t>б</w:t>
      </w:r>
      <w:r>
        <w:t>ходимо также обеспечить наличие адекватных с</w:t>
      </w:r>
      <w:r>
        <w:t>у</w:t>
      </w:r>
      <w:r>
        <w:t>дебных механизмов, в том числе военных трибун</w:t>
      </w:r>
      <w:r>
        <w:t>а</w:t>
      </w:r>
      <w:r>
        <w:t>лов, для судебного преследования и наказания лиц, виновных в совершении таких преступлений; на</w:t>
      </w:r>
      <w:r>
        <w:t>д</w:t>
      </w:r>
      <w:r>
        <w:t>лежащей профессиональной подготовки военн</w:t>
      </w:r>
      <w:r>
        <w:t>о</w:t>
      </w:r>
      <w:r>
        <w:t>служащих и сотрудников военной полиции, судей и гражданских обвинителей, с тем чтобы разъяснить им характер тех проблем, которые возникают в сл</w:t>
      </w:r>
      <w:r>
        <w:t>у</w:t>
      </w:r>
      <w:r>
        <w:t>чаях совершения сексуальных преступлений в ходе вооруженных конфликтов, и те меры, которые должны применяться в отношении негосударстве</w:t>
      </w:r>
      <w:r>
        <w:t>н</w:t>
      </w:r>
      <w:r>
        <w:t>ных субъектов, виновных в совершении таких пр</w:t>
      </w:r>
      <w:r>
        <w:t>е</w:t>
      </w:r>
      <w:r>
        <w:t>ступлений, как это предусмотрено в пункте (е) ст</w:t>
      </w:r>
      <w:r>
        <w:t>а</w:t>
      </w:r>
      <w:r>
        <w:t>тьи 2. Кроме того, государства должны оказывать содействие любому международному трибуналу, который судит лиц за преступления, совершенные одним из его граждан либо на территории самого государства, либо в других местах. Также важно обеспечить, чтобы законодательство в области н</w:t>
      </w:r>
      <w:r>
        <w:t>а</w:t>
      </w:r>
      <w:r>
        <w:t>циональной безопасности не включало положения, нарушающие принципы прав человека.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Маккиннон</w:t>
      </w:r>
      <w:r>
        <w:t xml:space="preserve"> (Организация «Равенство сегодня») отмечает ценность Конвенции как инс</w:t>
      </w:r>
      <w:r>
        <w:t>т</w:t>
      </w:r>
      <w:r>
        <w:t>румента, в котором рассматривается весь диапазон дискриминационных действий — от дискримин</w:t>
      </w:r>
      <w:r>
        <w:t>а</w:t>
      </w:r>
      <w:r>
        <w:t>ционных законов вплоть до жизни отдельных же</w:t>
      </w:r>
      <w:r>
        <w:t>н</w:t>
      </w:r>
      <w:r>
        <w:t>щин. Насилие в отношении женщин — тема общей рекомендации No. 19 — является хорошим прим</w:t>
      </w:r>
      <w:r>
        <w:t>е</w:t>
      </w:r>
      <w:r>
        <w:t>ром того, что, поскольку такое насилие совершается в отношении женщин именно как женщин, оно св</w:t>
      </w:r>
      <w:r>
        <w:t>я</w:t>
      </w:r>
      <w:r>
        <w:t>зано с навязыванием им иерархического и поэтому дискриминационного обращения, и происходит на критически важном стыке социальной и правовой сфер, и поэтому государства должны нести ответс</w:t>
      </w:r>
      <w:r>
        <w:t>т</w:t>
      </w:r>
      <w:r>
        <w:t>венность за реальные последствия такого насилия. Статья 2, связанная с осуществлением Конвенции, дает ответ на вопрос о том, что необходимо сделать для ликвидации дискриминации и что действител</w:t>
      </w:r>
      <w:r>
        <w:t>ь</w:t>
      </w:r>
      <w:r>
        <w:t>но означают те «соответствующие меры», которые необходимо принять с этой целью. Какой бы огро</w:t>
      </w:r>
      <w:r>
        <w:t>м</w:t>
      </w:r>
      <w:r>
        <w:t>ной ни представлялась эта задача, Комитет должен последовательно рассмотреть каждую статью и п</w:t>
      </w:r>
      <w:r>
        <w:t>у</w:t>
      </w:r>
      <w:r>
        <w:t>тем принятия рекомендаций общего характера в</w:t>
      </w:r>
      <w:r>
        <w:t>ы</w:t>
      </w:r>
      <w:r>
        <w:t>работать те конкретные шаги, которые следует предпринять; после этого необходимо обеспечить контроль за выполнением государствами этих пре</w:t>
      </w:r>
      <w:r>
        <w:t>д</w:t>
      </w:r>
      <w:r>
        <w:t>писаний и начать диалог между государствами и Комитетом. Таковы те важнейшие шаги, которые необходимо предпринять для эффективного осущ</w:t>
      </w:r>
      <w:r>
        <w:t>е</w:t>
      </w:r>
      <w:r>
        <w:t>ствления положений Конвенции, и в этом и закл</w:t>
      </w:r>
      <w:r>
        <w:t>ю</w:t>
      </w:r>
      <w:r>
        <w:t>чается сила Комитета. Одним из примеров такого процесса в сфере насилия в отношении женщин я</w:t>
      </w:r>
      <w:r>
        <w:t>в</w:t>
      </w:r>
      <w:r>
        <w:t>ляется серия убийств на сексуальной почве и исче</w:t>
      </w:r>
      <w:r>
        <w:t>з</w:t>
      </w:r>
      <w:r>
        <w:t>новений женщин в мексиканском городе Сьюдад-Хуарес, где мексиканское правительство предпр</w:t>
      </w:r>
      <w:r>
        <w:t>и</w:t>
      </w:r>
      <w:r>
        <w:t>нимало различные шаги для решения этой пробл</w:t>
      </w:r>
      <w:r>
        <w:t>е</w:t>
      </w:r>
      <w:r>
        <w:t>мы, однако до тех пор, пока убийства фактически не прекратились, оно не могло сказать, что оно и</w:t>
      </w:r>
      <w:r>
        <w:t>с</w:t>
      </w:r>
      <w:r>
        <w:t>пользовало «все соответствующие способы» для прекращения дискриминации. Без должного пр</w:t>
      </w:r>
      <w:r>
        <w:t>е</w:t>
      </w:r>
      <w:r>
        <w:t>творения в жизнь принципы остаются пустым зв</w:t>
      </w:r>
      <w:r>
        <w:t>у</w:t>
      </w:r>
      <w:r>
        <w:t>ком, но даже правильное осуществление не дает полных результатов без последующей деятельн</w:t>
      </w:r>
      <w:r>
        <w:t>о</w:t>
      </w:r>
      <w:r>
        <w:t>сти. Комитет должен воспользоваться возможн</w:t>
      </w:r>
      <w:r>
        <w:t>о</w:t>
      </w:r>
      <w:r>
        <w:t>стью для исправления того положения, что даже в тех случаях, когда правительства правильно мот</w:t>
      </w:r>
      <w:r>
        <w:t>и</w:t>
      </w:r>
      <w:r>
        <w:t>вированы, они зачастую просто не знают, что д</w:t>
      </w:r>
      <w:r>
        <w:t>е</w:t>
      </w:r>
      <w:r>
        <w:t>лать. Конвенция является правильным документом и концентрирует внимание на правильных полож</w:t>
      </w:r>
      <w:r>
        <w:t>е</w:t>
      </w:r>
      <w:r>
        <w:t>ниях, и сейчас настал тот самый правильный м</w:t>
      </w:r>
      <w:r>
        <w:t>о</w:t>
      </w:r>
      <w:r>
        <w:t>мент, когда необходимо претворить в жизнь те практические идеи, которые предусматривают сп</w:t>
      </w:r>
      <w:r>
        <w:t>о</w:t>
      </w:r>
      <w:r>
        <w:t>собы предоставления женщинам реальных прав ч</w:t>
      </w:r>
      <w:r>
        <w:t>е</w:t>
      </w:r>
      <w:r>
        <w:t>ловека, и поощрять эти права до тех пор, пока они не будут эффективно осуществлены.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Руднева</w:t>
      </w:r>
      <w:r>
        <w:t xml:space="preserve"> (Харьковский центр женских исследований, Украина) подчеркивает, что прав</w:t>
      </w:r>
      <w:r>
        <w:t>о</w:t>
      </w:r>
      <w:r>
        <w:t>вые обязательства государств – участников Конве</w:t>
      </w:r>
      <w:r>
        <w:t>н</w:t>
      </w:r>
      <w:r>
        <w:t>ции не ограничиваются статьей 2. Другие статьи, включая статьи, определяющие более широкие об</w:t>
      </w:r>
      <w:r>
        <w:t>я</w:t>
      </w:r>
      <w:r>
        <w:t>зательства государств, и статьи, определяющие суть вопроса и тот контекст, в котором государства должны выполнять свои обязательства, свидетел</w:t>
      </w:r>
      <w:r>
        <w:t>ь</w:t>
      </w:r>
      <w:r>
        <w:t>ствуют о том, что Конвенция охватывает каждый аспект жизни женщин. Все ветви государственного управления (исполнительная, законодательная и с</w:t>
      </w:r>
      <w:r>
        <w:t>у</w:t>
      </w:r>
      <w:r>
        <w:t>дебная), а также все органы государственной власти на национальном, региональном или местном уро</w:t>
      </w:r>
      <w:r>
        <w:t>в</w:t>
      </w:r>
      <w:r>
        <w:t>нях разделяют эту ответственность. Согласно пун</w:t>
      </w:r>
      <w:r>
        <w:t>к</w:t>
      </w:r>
      <w:r>
        <w:t>ту (а) статьи 2 государства, ратифицировавшие Конвенцию, обязуются включить принцип равн</w:t>
      </w:r>
      <w:r>
        <w:t>о</w:t>
      </w:r>
      <w:r>
        <w:t>правия в свои национальные конституции или др</w:t>
      </w:r>
      <w:r>
        <w:t>у</w:t>
      </w:r>
      <w:r>
        <w:t>гие законы; опыт Украины показывает, что до тех пор, пока определение дискриминации в отношении женщин не будет включено в Конституцию или в какой-либо отдельный закон, принятый с целью п</w:t>
      </w:r>
      <w:r>
        <w:t>о</w:t>
      </w:r>
      <w:r>
        <w:t>ощрения гендерного равенства, суды не будут в своих определениях ссылаться на дискриминацию как на юридический термин. Государства-участники должны понять, что после того, как они ратифиц</w:t>
      </w:r>
      <w:r>
        <w:t>и</w:t>
      </w:r>
      <w:r>
        <w:t>ровали Конвенцию, на нее можно ссылаться в н</w:t>
      </w:r>
      <w:r>
        <w:t>а</w:t>
      </w:r>
      <w:r>
        <w:t>циональных судах, в зависимости от взаимосвязи между международным правом и внутренним пр</w:t>
      </w:r>
      <w:r>
        <w:t>а</w:t>
      </w:r>
      <w:r>
        <w:t>вом в рамках их правовой системы и с учетом того, насколько доводы, основывающиеся на междун</w:t>
      </w:r>
      <w:r>
        <w:t>а</w:t>
      </w:r>
      <w:r>
        <w:t>родном праве, приемлемы для их судов. Несмотря на большое число стран, в которых международные договора составляют часть внутригосударственного права, положения Конвенции были использованы лишь в небольшом числе случаев; например, на У</w:t>
      </w:r>
      <w:r>
        <w:t>к</w:t>
      </w:r>
      <w:r>
        <w:t>раине положения Конвенции никогда не примен</w:t>
      </w:r>
      <w:r>
        <w:t>я</w:t>
      </w:r>
      <w:r>
        <w:t>лись. Конвенция может и должна оказывать возде</w:t>
      </w:r>
      <w:r>
        <w:t>й</w:t>
      </w:r>
      <w:r>
        <w:t>ствие на толкование и применение закона и должна приниматься во внимание при толковании конст</w:t>
      </w:r>
      <w:r>
        <w:t>и</w:t>
      </w:r>
      <w:r>
        <w:t>туционных или нормативных положений. Работа с судами и судебными ведомствами на Украине пок</w:t>
      </w:r>
      <w:r>
        <w:t>а</w:t>
      </w:r>
      <w:r>
        <w:t>зала, насколько важно, чтобы национальные суды учитывали точку зрения договорных органов Орг</w:t>
      </w:r>
      <w:r>
        <w:t>а</w:t>
      </w:r>
      <w:r>
        <w:t>низации Объединенных Наций в области прав чел</w:t>
      </w:r>
      <w:r>
        <w:t>о</w:t>
      </w:r>
      <w:r>
        <w:t>века, включая этот Комитет, даже если это означает возобновление рассмотрения дела после вынесения приговора. Уголовно-процессуальные кодексы Венгрии и Словацкой Республики основываются на этом подходе, и новый Уголовно-процессуальный кодекс Украины будет также исходить из этой ко</w:t>
      </w:r>
      <w:r>
        <w:t>н</w:t>
      </w:r>
      <w:r>
        <w:t>цепции.</w:t>
      </w:r>
    </w:p>
    <w:p w:rsidR="00000000" w:rsidRDefault="00000000">
      <w:pPr>
        <w:pStyle w:val="DualTxt"/>
      </w:pPr>
      <w:r>
        <w:t>31.</w:t>
      </w:r>
      <w:r>
        <w:tab/>
        <w:t>В отличие от других договоров в области прав человека Конвенция является уникальным докуме</w:t>
      </w:r>
      <w:r>
        <w:t>н</w:t>
      </w:r>
      <w:r>
        <w:t>том, поскольку она обязывает государства ликвид</w:t>
      </w:r>
      <w:r>
        <w:t>и</w:t>
      </w:r>
      <w:r>
        <w:t>ровать дискриминацию в отношении женщин со стороны любого лица, организации или предпр</w:t>
      </w:r>
      <w:r>
        <w:t>и</w:t>
      </w:r>
      <w:r>
        <w:t>ятия, а не только со стороны государственных орг</w:t>
      </w:r>
      <w:r>
        <w:t>а</w:t>
      </w:r>
      <w:r>
        <w:t>нов или учреждений. Государства должны обесп</w:t>
      </w:r>
      <w:r>
        <w:t>е</w:t>
      </w:r>
      <w:r>
        <w:t>чить баланс между гарантиями невмешательства в личную жизнь и принципом недискриминации.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 Кебриаэй</w:t>
      </w:r>
      <w:r>
        <w:t xml:space="preserve"> (Центр за репродуктивные права), выступая также от имени Службы защиты и пропаганды интересов женщин Индианы (ИПАС), ссылается на запрещение в статье 1 Конвенции ди</w:t>
      </w:r>
      <w:r>
        <w:t>с</w:t>
      </w:r>
      <w:r>
        <w:t>криминации с точки зрения ее «цели или последс</w:t>
      </w:r>
      <w:r>
        <w:t>т</w:t>
      </w:r>
      <w:r>
        <w:t>вия», что является важным, поскольку дискримин</w:t>
      </w:r>
      <w:r>
        <w:t>а</w:t>
      </w:r>
      <w:r>
        <w:t>ция может быть результатом якобы «нейтральных» законов или политики, особенно в контексте репр</w:t>
      </w:r>
      <w:r>
        <w:t>о</w:t>
      </w:r>
      <w:r>
        <w:t>дуктивных прав. Например, что касается матери</w:t>
      </w:r>
      <w:r>
        <w:t>н</w:t>
      </w:r>
      <w:r>
        <w:t>ской смертности, бездействие правительства перед лицом большого числа смертных случаев в ходе б</w:t>
      </w:r>
      <w:r>
        <w:t>е</w:t>
      </w:r>
      <w:r>
        <w:t>ременности и деторождения представляет собой дискриминацию в отношении женщин. Во исполн</w:t>
      </w:r>
      <w:r>
        <w:t>е</w:t>
      </w:r>
      <w:r>
        <w:t>ние пункта (b) статьи 2 государства-участники должны предоставить всем всеобщий доступ к в</w:t>
      </w:r>
      <w:r>
        <w:t>ы</w:t>
      </w:r>
      <w:r>
        <w:t>сококачественным услугам служб охраны матери</w:t>
      </w:r>
      <w:r>
        <w:t>н</w:t>
      </w:r>
      <w:r>
        <w:t>ства и обеспечить, чтобы их политика приводила к сокращению случаев материнской смертности, ос</w:t>
      </w:r>
      <w:r>
        <w:t>о</w:t>
      </w:r>
      <w:r>
        <w:t>бенно среди молодых и уязвимых женщин. Отсу</w:t>
      </w:r>
      <w:r>
        <w:t>т</w:t>
      </w:r>
      <w:r>
        <w:t>ствие надлежащей политики в области предупре</w:t>
      </w:r>
      <w:r>
        <w:t>ж</w:t>
      </w:r>
      <w:r>
        <w:t>дения ВИЧ/СПИДа наносит больший вред женщ</w:t>
      </w:r>
      <w:r>
        <w:t>и</w:t>
      </w:r>
      <w:r>
        <w:t>нам и девочкам, чем мужчинам, что равносильно дискриминации. Государства должны предпринять позитивные действия, с тем чтобы повысить осо</w:t>
      </w:r>
      <w:r>
        <w:t>з</w:t>
      </w:r>
      <w:r>
        <w:t>нание общественностью рисков и последствий, св</w:t>
      </w:r>
      <w:r>
        <w:t>я</w:t>
      </w:r>
      <w:r>
        <w:t>занных с ВИЧ/СПИДом, особенно для женщин и детей, и должны проанализировать те причины, по которым женщины являются более уязвимыми к этой болезни. Барьеры, препятствующие доступу женщин к службам планирования семьи и безопа</w:t>
      </w:r>
      <w:r>
        <w:t>с</w:t>
      </w:r>
      <w:r>
        <w:t>ным абортам, являются дискриминационными: женщины в большей степени страдают от последс</w:t>
      </w:r>
      <w:r>
        <w:t>т</w:t>
      </w:r>
      <w:r>
        <w:t>вий нежелательной беременности, и во исполнение пунктов (b), (d), (f) и (g) статьи 2 государства-участники должны разрешать проведение абортов на широкой основе и без каких-либо ограничений. Государства-участники должны обеспечить досту</w:t>
      </w:r>
      <w:r>
        <w:t>п</w:t>
      </w:r>
      <w:r>
        <w:t>ность качественных абортов и различных против</w:t>
      </w:r>
      <w:r>
        <w:t>о</w:t>
      </w:r>
      <w:r>
        <w:t>зачаточных средств для всех без необходимости п</w:t>
      </w:r>
      <w:r>
        <w:t>о</w:t>
      </w:r>
      <w:r>
        <w:t>лучения согласия третьей стороны, а также должны обеспечить право женщин на предоставление св</w:t>
      </w:r>
      <w:r>
        <w:t>о</w:t>
      </w:r>
      <w:r>
        <w:t>бодного и информированного согласия при прин</w:t>
      </w:r>
      <w:r>
        <w:t>я</w:t>
      </w:r>
      <w:r>
        <w:t>тии решений, касающихся методов предотвращения беременности. Государства должны также отменить любые национальные законы, возводящие аборт в разряд уголовных преступлений или предусматр</w:t>
      </w:r>
      <w:r>
        <w:t>и</w:t>
      </w:r>
      <w:r>
        <w:t>вающие наказание женщин за подобную операцию. Бездействие правительств в отношении практики женского обрезания и калечения женских генит</w:t>
      </w:r>
      <w:r>
        <w:t>а</w:t>
      </w:r>
      <w:r>
        <w:t>лий, которые общепринято считаются пагубными процедурами, нарушающими право женщин на свою физическую и телесную неприкосновенность, без сомнения, носит дискриминационный характер. Во исполнение пункта (f) статьи 2 государства-участники должны обеспечить, чтобы национал</w:t>
      </w:r>
      <w:r>
        <w:t>ь</w:t>
      </w:r>
      <w:r>
        <w:t>ные законы и нормативные положения защищали право женщин и девочек на свободу от такой пра</w:t>
      </w:r>
      <w:r>
        <w:t>к</w:t>
      </w:r>
      <w:r>
        <w:t>тики, и должны проводить эффективные учебные и агитационно-пропагандистские программы, н</w:t>
      </w:r>
      <w:r>
        <w:t>а</w:t>
      </w:r>
      <w:r>
        <w:t>правленные на ликвидацию такого обычая. Гос</w:t>
      </w:r>
      <w:r>
        <w:t>у</w:t>
      </w:r>
      <w:r>
        <w:t>дарства-участники должны обеспечить всем мол</w:t>
      </w:r>
      <w:r>
        <w:t>о</w:t>
      </w:r>
      <w:r>
        <w:t>дым людям, как состоящим, так и не состоящим в браке, доступ к информации и услугам в области репродуктивного здоровья, охватывающим все а</w:t>
      </w:r>
      <w:r>
        <w:t>с</w:t>
      </w:r>
      <w:r>
        <w:t>пекты половой сферы. И наконец, наказание же</w:t>
      </w:r>
      <w:r>
        <w:t>н</w:t>
      </w:r>
      <w:r>
        <w:t>щин за незаконный аборт или за мертворождение, являющееся результатом определенной предрод</w:t>
      </w:r>
      <w:r>
        <w:t>о</w:t>
      </w:r>
      <w:r>
        <w:t>вой практики, например, принятия наркотиков, ра</w:t>
      </w:r>
      <w:r>
        <w:t>в</w:t>
      </w:r>
      <w:r>
        <w:t>нозначно криминализации женщин на основе их репродуктивных во</w:t>
      </w:r>
      <w:r>
        <w:t>з</w:t>
      </w:r>
      <w:r>
        <w:t>можностей, что государства-участники обязаны прекратить делать во исполн</w:t>
      </w:r>
      <w:r>
        <w:t>е</w:t>
      </w:r>
      <w:r>
        <w:t>ние пунктов (d) и (f) статьи 2.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говорит, что все сделанные з</w:t>
      </w:r>
      <w:r>
        <w:t>а</w:t>
      </w:r>
      <w:r>
        <w:t>явления и документы, представленные неправ</w:t>
      </w:r>
      <w:r>
        <w:t>и</w:t>
      </w:r>
      <w:r>
        <w:t>тельственными организациями (НПО), имеют о</w:t>
      </w:r>
      <w:r>
        <w:t>т</w:t>
      </w:r>
      <w:r>
        <w:t>ношение к работе Комитета и будут приняты во внимание в ходе подготовки общей рекомендации по статье 2 Конвенции.</w:t>
      </w:r>
    </w:p>
    <w:p w:rsidR="00000000" w:rsidRDefault="00000000">
      <w:pPr>
        <w:pStyle w:val="DualTxt"/>
      </w:pPr>
      <w:r>
        <w:t>34.</w:t>
      </w:r>
      <w:r>
        <w:tab/>
        <w:t>Многие из выступивших ораторов выразили надежду на то, что в этой рекомендации общего х</w:t>
      </w:r>
      <w:r>
        <w:t>а</w:t>
      </w:r>
      <w:r>
        <w:t>рактера будет подчеркнута первостепенная ответс</w:t>
      </w:r>
      <w:r>
        <w:t>т</w:t>
      </w:r>
      <w:r>
        <w:t>венность государств-участников - на всех уровнях государственного правления – за осуществление Конвенции. Было также указано на необходимость понимать дискриминацию в отношении женщин и гендерное равноправие в субстантивном плане и придерживаться широкого подхода, поскольку ст</w:t>
      </w:r>
      <w:r>
        <w:t>а</w:t>
      </w:r>
      <w:r>
        <w:t>тья 2 неразрывно связана со всеми другими стать</w:t>
      </w:r>
      <w:r>
        <w:t>я</w:t>
      </w:r>
      <w:r>
        <w:t>ми Конвенции. Была отмечена необходимость в</w:t>
      </w:r>
      <w:r>
        <w:t>ы</w:t>
      </w:r>
      <w:r>
        <w:t>деления слова «безотлагательно» в качестве пр</w:t>
      </w:r>
      <w:r>
        <w:t>и</w:t>
      </w:r>
      <w:r>
        <w:t>знака настоятельности осуществления положений этой статьи, а также необходимость подчеркнуть тот факт, что государства обязаны принять все меры для «изменения или отмены любых действующих законов, постановлений, обычаев и практики, кот</w:t>
      </w:r>
      <w:r>
        <w:t>о</w:t>
      </w:r>
      <w:r>
        <w:t>рые представляют собой дискриминацию в отнош</w:t>
      </w:r>
      <w:r>
        <w:t>е</w:t>
      </w:r>
      <w:r>
        <w:t>нии женщин». Конвенция должна истолковываться как применимая к негражданам, проживающим на территории того или иного государства-участника. В этой общей рекомендации также следует ра</w:t>
      </w:r>
      <w:r>
        <w:t>с</w:t>
      </w:r>
      <w:r>
        <w:t>смотреть вопрос о репродуктивных правах и по</w:t>
      </w:r>
      <w:r>
        <w:t>д</w:t>
      </w:r>
      <w:r>
        <w:t>черкнуть ответственность государства за предо</w:t>
      </w:r>
      <w:r>
        <w:t>т</w:t>
      </w:r>
      <w:r>
        <w:t>вращение нарушений прав человека женщин в ходе вооруженных конфликтов, включая внутренние конфликты.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Шёпп-Шиллинг</w:t>
      </w:r>
      <w:r>
        <w:t xml:space="preserve"> говорит, что она пр</w:t>
      </w:r>
      <w:r>
        <w:t>и</w:t>
      </w:r>
      <w:r>
        <w:t>ветствует вклад неправительственных организаций и благодарит Отдел по улучшению положения же</w:t>
      </w:r>
      <w:r>
        <w:t>н</w:t>
      </w:r>
      <w:r>
        <w:t>щин за организацию этого заседания.</w:t>
      </w:r>
    </w:p>
    <w:p w:rsidR="00000000" w:rsidRDefault="00000000">
      <w:pPr>
        <w:pStyle w:val="DualTxt"/>
      </w:pPr>
      <w:r>
        <w:t>36.</w:t>
      </w:r>
      <w:r>
        <w:tab/>
        <w:t>Из проведенной дискуссии ясно следует, что необходимо тщательно изучить формулировки всех положений статьи 2. Необходим всеобъемлющий подход, поскольку в отличие от других междун</w:t>
      </w:r>
      <w:r>
        <w:t>а</w:t>
      </w:r>
      <w:r>
        <w:t>родных документов по правам человека, разраб</w:t>
      </w:r>
      <w:r>
        <w:t>о</w:t>
      </w:r>
      <w:r>
        <w:t>танных под эгидой Организации Объединенных Наций, Конвенция применяется ко «всем формам дискриминации в отношении женщин», включая и те формы дискриминации, которые не были ко</w:t>
      </w:r>
      <w:r>
        <w:t>н</w:t>
      </w:r>
      <w:r>
        <w:t>кретно упомянуты в Конвенции; этот момент имеет особенно важное значение в контексте реформы д</w:t>
      </w:r>
      <w:r>
        <w:t>о</w:t>
      </w:r>
      <w:r>
        <w:t>говорных органов.</w:t>
      </w:r>
    </w:p>
    <w:p w:rsidR="00000000" w:rsidRDefault="00000000">
      <w:pPr>
        <w:pStyle w:val="DualTxt"/>
      </w:pPr>
      <w:r>
        <w:t>37.</w:t>
      </w:r>
      <w:r>
        <w:tab/>
        <w:t>В отличие от Международного пакта об эк</w:t>
      </w:r>
      <w:r>
        <w:t>о</w:t>
      </w:r>
      <w:r>
        <w:t>номических, социальных и культурных правах Ко</w:t>
      </w:r>
      <w:r>
        <w:t>н</w:t>
      </w:r>
      <w:r>
        <w:t>венция призывает государства-участники безотлаг</w:t>
      </w:r>
      <w:r>
        <w:t>а</w:t>
      </w:r>
      <w:r>
        <w:t>тельно принять необходимые меры, хотя она и не требует немедленно достичь результатов во всех областях; вместе с тем эта натянутость, которая особенно очевидна в статье 3 и в пункте (а) статьи 5, не должна использоваться в качестве оправдания затягивания с проведением реформ. По крайней м</w:t>
      </w:r>
      <w:r>
        <w:t>е</w:t>
      </w:r>
      <w:r>
        <w:t>ре, реформы в правовой области могут быть осущ</w:t>
      </w:r>
      <w:r>
        <w:t>е</w:t>
      </w:r>
      <w:r>
        <w:t>ствлены быстро.</w:t>
      </w:r>
    </w:p>
    <w:p w:rsidR="00000000" w:rsidRDefault="00000000">
      <w:pPr>
        <w:pStyle w:val="DualTxt"/>
      </w:pPr>
      <w:r>
        <w:t>38.</w:t>
      </w:r>
      <w:r>
        <w:tab/>
        <w:t>В этой общей рекомендации следует рассмо</w:t>
      </w:r>
      <w:r>
        <w:t>т</w:t>
      </w:r>
      <w:r>
        <w:t>реть вопрос о федерализме и вопрос об обязател</w:t>
      </w:r>
      <w:r>
        <w:t>ь</w:t>
      </w:r>
      <w:r>
        <w:t>ствах по международному праву, которые часто з</w:t>
      </w:r>
      <w:r>
        <w:t>а</w:t>
      </w:r>
      <w:r>
        <w:t>трагиваются в докладах государств-участников. Каждое правительство считает, что форма федер</w:t>
      </w:r>
      <w:r>
        <w:t>а</w:t>
      </w:r>
      <w:r>
        <w:t>лизма в его стране является уникальной и, хотя это, может быть, и так, необходимо прийти к общему пониманию.</w:t>
      </w:r>
    </w:p>
    <w:p w:rsidR="00000000" w:rsidRDefault="00000000">
      <w:pPr>
        <w:pStyle w:val="DualTxt"/>
      </w:pPr>
      <w:r>
        <w:t>39.</w:t>
      </w:r>
      <w:r>
        <w:tab/>
        <w:t>И наконец, путаница в отношении различий, существующих между половой сферой и гендерной проблематикой, а также между равноправием и р</w:t>
      </w:r>
      <w:r>
        <w:t>а</w:t>
      </w:r>
      <w:r>
        <w:t>венством, зачастую приводит к выработке неверной политики; эта проблема должна быть также затр</w:t>
      </w:r>
      <w:r>
        <w:t>о</w:t>
      </w:r>
      <w:r>
        <w:t>нута в общей рекомендации.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Г-н Флинтерман</w:t>
      </w:r>
      <w:r>
        <w:t xml:space="preserve"> говорит, что Комитету нео</w:t>
      </w:r>
      <w:r>
        <w:t>б</w:t>
      </w:r>
      <w:r>
        <w:t>ходимо рассмотреть вопрос о том, должна ли эта общая рекомендация быть сформулирована в общих выражениях аналогично общему замечанию No. 28 Комитета по правам человека, которое касается равноправия мужчин и женщин, или же в ней сл</w:t>
      </w:r>
      <w:r>
        <w:t>е</w:t>
      </w:r>
      <w:r>
        <w:t>дует рассмотреть ряд конкретных вопросов, таких как вопрос о репродуктивных правах и вопрос о правах женщин в периоды вооруженных конфли</w:t>
      </w:r>
      <w:r>
        <w:t>к</w:t>
      </w:r>
      <w:r>
        <w:t>тов.</w:t>
      </w:r>
    </w:p>
    <w:p w:rsidR="00000000" w:rsidRDefault="00000000">
      <w:pPr>
        <w:pStyle w:val="DualTxt"/>
      </w:pPr>
      <w:r>
        <w:t>41.</w:t>
      </w:r>
      <w:r>
        <w:tab/>
        <w:t>Он согласен с представительницей ЮНИФЕМ в том, что Конвенция должна оказывать влияние как на национальную, так и на международную полит</w:t>
      </w:r>
      <w:r>
        <w:t>и</w:t>
      </w:r>
      <w:r>
        <w:t>ку государств-участников; вместе с тем, он был бы признателен, если бы она разъяснила ту часть св</w:t>
      </w:r>
      <w:r>
        <w:t>о</w:t>
      </w:r>
      <w:r>
        <w:t>его заявления, где она сказала, что развитые страны обязаны предоставлять менее развитым странам помощь в выполнении их обязательств по междун</w:t>
      </w:r>
      <w:r>
        <w:t>а</w:t>
      </w:r>
      <w:r>
        <w:t>родным ко</w:t>
      </w:r>
      <w:r>
        <w:t>н</w:t>
      </w:r>
      <w:r>
        <w:t>венциям.</w:t>
      </w:r>
    </w:p>
    <w:p w:rsidR="00000000" w:rsidRDefault="00000000">
      <w:pPr>
        <w:pStyle w:val="DualTxt"/>
      </w:pPr>
      <w:r>
        <w:t>42.</w:t>
      </w:r>
      <w:r>
        <w:tab/>
        <w:t>Он считает, что в этой рекомендации общего характера следует указать, что международное пр</w:t>
      </w:r>
      <w:r>
        <w:t>а</w:t>
      </w:r>
      <w:r>
        <w:t>во в области прав человека, включая Конвенцию, и международное гуманитарное право взаимно д</w:t>
      </w:r>
      <w:r>
        <w:t>о</w:t>
      </w:r>
      <w:r>
        <w:t>полняют друг друга, хотя международное гуман</w:t>
      </w:r>
      <w:r>
        <w:t>и</w:t>
      </w:r>
      <w:r>
        <w:t>тарное право может играть главенствующую роль в периоды вооруженных конфликтов; в этой рекоме</w:t>
      </w:r>
      <w:r>
        <w:t>н</w:t>
      </w:r>
      <w:r>
        <w:t>дации также следует подчеркнуть, что положения Конвенции должны осуществляться даже в периоды вооруженных конфликтов. Вместе с тем, он не уб</w:t>
      </w:r>
      <w:r>
        <w:t>е</w:t>
      </w:r>
      <w:r>
        <w:t>жден в том, что в рекомендации следует подробно останавливаться на вопросе женщин в вооруже</w:t>
      </w:r>
      <w:r>
        <w:t>н</w:t>
      </w:r>
      <w:r>
        <w:t>ных конфликтах.</w:t>
      </w:r>
    </w:p>
    <w:p w:rsidR="00000000" w:rsidRDefault="00000000">
      <w:pPr>
        <w:pStyle w:val="DualTxt"/>
      </w:pPr>
      <w:r>
        <w:t>43.</w:t>
      </w:r>
      <w:r>
        <w:tab/>
        <w:t>Он просит представительницу организации «Равенство сегодня» разъяснить, что она имела в виду, когда говорила о «позитивном равноправии» и «подлинном равноправии». И наконец, хотя он и с</w:t>
      </w:r>
      <w:r>
        <w:t>о</w:t>
      </w:r>
      <w:r>
        <w:t>гласен с г-жой Шёпп-Шиллинг в том, что Комитету следует прояснить различие между равенством и равноправием, а также между половой сферой и гендерной проблематикой, он считает, что это, по-видимому, лучше сделать в отдельной общей рек</w:t>
      </w:r>
      <w:r>
        <w:t>о</w:t>
      </w:r>
      <w:r>
        <w:t>мендации по каждой из этих тем.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Габр</w:t>
      </w:r>
      <w:r>
        <w:t xml:space="preserve"> поддерживает предложение о том, что эта общая рекомендация должна основываться на всеобъемлющем подходе, начиная с рекоменд</w:t>
      </w:r>
      <w:r>
        <w:t>а</w:t>
      </w:r>
      <w:r>
        <w:t>ции о том, что государствам-участникам необход</w:t>
      </w:r>
      <w:r>
        <w:t>и</w:t>
      </w:r>
      <w:r>
        <w:t>мо внести изменения в свое действующее законод</w:t>
      </w:r>
      <w:r>
        <w:t>а</w:t>
      </w:r>
      <w:r>
        <w:t>тельство или принять любое новое законодательс</w:t>
      </w:r>
      <w:r>
        <w:t>т</w:t>
      </w:r>
      <w:r>
        <w:t>во, которое является необходимым для обеспечения полного осуществления Конвенции. Г-жа Шёпп-Шиллинг справедливо отметила, что государства зачастую пытаются уйти от выполнения возложе</w:t>
      </w:r>
      <w:r>
        <w:t>н</w:t>
      </w:r>
      <w:r>
        <w:t>ных на них обязательств, ссылаясь на федеральную систему правления в своих странах; в этой связи необходимо подчеркнуть, что ответственность за осуществление Конвенции в конечном счете лежит на самом государстве.</w:t>
      </w:r>
    </w:p>
    <w:p w:rsidR="00000000" w:rsidRDefault="00000000">
      <w:pPr>
        <w:pStyle w:val="DualTxt"/>
      </w:pPr>
      <w:r>
        <w:t>45.</w:t>
      </w:r>
      <w:r>
        <w:tab/>
        <w:t>Некоторые ораторы отметили важность ос</w:t>
      </w:r>
      <w:r>
        <w:t>у</w:t>
      </w:r>
      <w:r>
        <w:t>ществления последующей деятельности и подо</w:t>
      </w:r>
      <w:r>
        <w:t>т</w:t>
      </w:r>
      <w:r>
        <w:t>четности. При присоединении к Конвенции ряд г</w:t>
      </w:r>
      <w:r>
        <w:t>о</w:t>
      </w:r>
      <w:r>
        <w:t>сударств сделали оговорки в отношении статьи 2; в общей рекомендации следует отметить необход</w:t>
      </w:r>
      <w:r>
        <w:t>и</w:t>
      </w:r>
      <w:r>
        <w:t>мость проведения агитационно-разъяснительных кампаний в качестве одного из средств ликвидации дискриминационных стереотипов. Также следует затронуть вопросы охраны здоровья женщин, вкл</w:t>
      </w:r>
      <w:r>
        <w:t>ю</w:t>
      </w:r>
      <w:r>
        <w:t>чая вопрос о насилии в отношении женщин, (кот</w:t>
      </w:r>
      <w:r>
        <w:t>о</w:t>
      </w:r>
      <w:r>
        <w:t>рое особенно часто проявляется в период междун</w:t>
      </w:r>
      <w:r>
        <w:t>а</w:t>
      </w:r>
      <w:r>
        <w:t>родных конфликтов); в этом контексте следует уп</w:t>
      </w:r>
      <w:r>
        <w:t>о</w:t>
      </w:r>
      <w:r>
        <w:t>мянуть резолюцию 1325 (2000) Совета Безопасн</w:t>
      </w:r>
      <w:r>
        <w:t>о</w:t>
      </w:r>
      <w:r>
        <w:t>сти о женщинах, мире и безопасности.</w:t>
      </w:r>
    </w:p>
    <w:p w:rsidR="00000000" w:rsidRDefault="00000000">
      <w:pPr>
        <w:pStyle w:val="DualTxt"/>
      </w:pPr>
      <w:r>
        <w:t>46.</w:t>
      </w:r>
      <w:r>
        <w:tab/>
        <w:t>Осуществление конвенций в области межд</w:t>
      </w:r>
      <w:r>
        <w:t>у</w:t>
      </w:r>
      <w:r>
        <w:t>народной торговли часто оказывает негативное во</w:t>
      </w:r>
      <w:r>
        <w:t>з</w:t>
      </w:r>
      <w:r>
        <w:t>действие на положение женщин. Государства, пр</w:t>
      </w:r>
      <w:r>
        <w:t>и</w:t>
      </w:r>
      <w:r>
        <w:t>соединившиеся к подобным документам, должны быть настоятельно призваны обеспечить создание и наличие социальных сетей безопасности.</w:t>
      </w:r>
    </w:p>
    <w:p w:rsidR="00000000" w:rsidRDefault="00000000">
      <w:pPr>
        <w:pStyle w:val="DualTxt"/>
      </w:pPr>
      <w:r>
        <w:t>47.</w:t>
      </w:r>
      <w:r>
        <w:tab/>
        <w:t>И наконец, Международная комиссия юристов не смогла принять участие в этом заседании, однако представила документ, который заслуживает вн</w:t>
      </w:r>
      <w:r>
        <w:t>и</w:t>
      </w:r>
      <w:r>
        <w:t>мания Комитета.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Г-жа Морвай</w:t>
      </w:r>
      <w:r>
        <w:t xml:space="preserve"> говорит, что она разочарована тем, что Международная комиссия юристов не представлена на этом заседании, и просит разъя</w:t>
      </w:r>
      <w:r>
        <w:t>с</w:t>
      </w:r>
      <w:r>
        <w:t>нить причины отсутствия ее представителей.</w:t>
      </w:r>
    </w:p>
    <w:p w:rsidR="00000000" w:rsidRDefault="00000000">
      <w:pPr>
        <w:pStyle w:val="DualTxt"/>
      </w:pPr>
      <w:r>
        <w:t>49.</w:t>
      </w:r>
      <w:r>
        <w:tab/>
        <w:t>Она просит представителей неправительс</w:t>
      </w:r>
      <w:r>
        <w:t>т</w:t>
      </w:r>
      <w:r>
        <w:t>венных организаций объяснить, в какой степени в этой общей рекомендации следует рассмотреть взаимосвязь между статьей 2 и всеми другими статьями Конвенции, а также между статьей 2 и т</w:t>
      </w:r>
      <w:r>
        <w:t>е</w:t>
      </w:r>
      <w:r>
        <w:t>ми областями, которые не были четко упомянуты в этом документе по той причине, что в названии Конвенции говорится о «всех формах» дискрим</w:t>
      </w:r>
      <w:r>
        <w:t>и</w:t>
      </w:r>
      <w:r>
        <w:t>нации в отношении женщин.</w:t>
      </w:r>
    </w:p>
    <w:p w:rsidR="00000000" w:rsidRDefault="00000000">
      <w:pPr>
        <w:pStyle w:val="DualTxt"/>
      </w:pPr>
      <w:r>
        <w:t>50.</w:t>
      </w:r>
      <w:r>
        <w:tab/>
        <w:t>Вопрос о репродуктивных правах девочек-подростков является острым вопросом; она хотела бы узнать, было ли проведено какое-либо исслед</w:t>
      </w:r>
      <w:r>
        <w:t>о</w:t>
      </w:r>
      <w:r>
        <w:t>вание по вопросу о реалиях гендерного характера, связанных с подростковой сексуальностью. Не я</w:t>
      </w:r>
      <w:r>
        <w:t>с</w:t>
      </w:r>
      <w:r>
        <w:t>но, в какой степени можно утверждать, что половые отношения между подростками полностью основ</w:t>
      </w:r>
      <w:r>
        <w:t>ы</w:t>
      </w:r>
      <w:r>
        <w:t>ваются на взаимном согласии; кроме того, прав</w:t>
      </w:r>
      <w:r>
        <w:t>и</w:t>
      </w:r>
      <w:r>
        <w:t>тельства многих стран пытаются оправдать прост</w:t>
      </w:r>
      <w:r>
        <w:t>и</w:t>
      </w:r>
      <w:r>
        <w:t>туцию, порнографию и половые отношения между девочками в столь раннем возрасте, как 12 лет, и мужчинами значительно более старшего возраста на том основании, что подобная практика является ч</w:t>
      </w:r>
      <w:r>
        <w:t>а</w:t>
      </w:r>
      <w:r>
        <w:t>стью их культуры. Она также хотела бы получить информацию о воздействии развивающейся инд</w:t>
      </w:r>
      <w:r>
        <w:t>у</w:t>
      </w:r>
      <w:r>
        <w:t>стрии секса и порнографии на женщин и их репр</w:t>
      </w:r>
      <w:r>
        <w:t>о</w:t>
      </w:r>
      <w:r>
        <w:t>дуктивные права.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Г-жа Шимонович</w:t>
      </w:r>
      <w:r>
        <w:t xml:space="preserve"> говорит, что выработка этой общей рекомендации позволит дать толкование формулировкам положений статьи 2 и будет соде</w:t>
      </w:r>
      <w:r>
        <w:t>й</w:t>
      </w:r>
      <w:r>
        <w:t>ствовать развитию Конвенции в качестве одного из ведущих документов в области прав человека. В этой связи она задает вопрос о том, следует ли в этой общей рекомендации говорить только о «ра</w:t>
      </w:r>
      <w:r>
        <w:t>в</w:t>
      </w:r>
      <w:r>
        <w:t>ноправии мужчин и женщин», как это делается в пункте (а) статьи 2, или же принцип, лежащий в о</w:t>
      </w:r>
      <w:r>
        <w:t>с</w:t>
      </w:r>
      <w:r>
        <w:t>нове этого положения, оправдывает использование термина «гендерное равноправие». Решение, кот</w:t>
      </w:r>
      <w:r>
        <w:t>о</w:t>
      </w:r>
      <w:r>
        <w:t>рое будет принято по этому вопросу, определит, рассматривается ли данная Конвенция в качестве временного документа, который утратит свое зн</w:t>
      </w:r>
      <w:r>
        <w:t>а</w:t>
      </w:r>
      <w:r>
        <w:t>чение в будущем, или же она рассматривается в к</w:t>
      </w:r>
      <w:r>
        <w:t>а</w:t>
      </w:r>
      <w:r>
        <w:t>честве документа, который будет всегда иметь ва</w:t>
      </w:r>
      <w:r>
        <w:t>ж</w:t>
      </w:r>
      <w:r>
        <w:t>ное значение в области гендерной проблематики и прав человека.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Г-жа Гонсалес Мартинес</w:t>
      </w:r>
      <w:r>
        <w:t xml:space="preserve"> говорит, что она в</w:t>
      </w:r>
      <w:r>
        <w:t>о</w:t>
      </w:r>
      <w:r>
        <w:t>одушевлена тем интересом, который неправител</w:t>
      </w:r>
      <w:r>
        <w:t>ь</w:t>
      </w:r>
      <w:r>
        <w:t>ственные организации проявляют к работе Комит</w:t>
      </w:r>
      <w:r>
        <w:t>е</w:t>
      </w:r>
      <w:r>
        <w:t>та, и признательна за представленную документ</w:t>
      </w:r>
      <w:r>
        <w:t>а</w:t>
      </w:r>
      <w:r>
        <w:t>цию.</w:t>
      </w:r>
    </w:p>
    <w:p w:rsidR="00000000" w:rsidRDefault="00000000">
      <w:pPr>
        <w:pStyle w:val="DualTxt"/>
      </w:pPr>
      <w:r>
        <w:t>53.</w:t>
      </w:r>
      <w:r>
        <w:tab/>
        <w:t>Она согласна с тем, что толкование государс</w:t>
      </w:r>
      <w:r>
        <w:t>т</w:t>
      </w:r>
      <w:r>
        <w:t>вами вопроса о федерализме является проблемой и что осуществление конвенций в области междун</w:t>
      </w:r>
      <w:r>
        <w:t>а</w:t>
      </w:r>
      <w:r>
        <w:t>родной торговли может оказывать негативное во</w:t>
      </w:r>
      <w:r>
        <w:t>з</w:t>
      </w:r>
      <w:r>
        <w:t>действие на положение женщин, равно как и ос</w:t>
      </w:r>
      <w:r>
        <w:t>у</w:t>
      </w:r>
      <w:r>
        <w:t>ществление соглашений об экономической рестру</w:t>
      </w:r>
      <w:r>
        <w:t>к</w:t>
      </w:r>
      <w:r>
        <w:t>туризации, заключенных между государствами – участниками Конвенции и международными ф</w:t>
      </w:r>
      <w:r>
        <w:t>и</w:t>
      </w:r>
      <w:r>
        <w:t>нансовыми учрежд</w:t>
      </w:r>
      <w:r>
        <w:t>е</w:t>
      </w:r>
      <w:r>
        <w:t>ниями.</w:t>
      </w:r>
    </w:p>
    <w:p w:rsidR="00000000" w:rsidRDefault="00000000">
      <w:pPr>
        <w:pStyle w:val="DualTxt"/>
      </w:pPr>
      <w:r>
        <w:t>54.</w:t>
      </w:r>
      <w:r>
        <w:tab/>
        <w:t>С точки зрения юридических положений, ст</w:t>
      </w:r>
      <w:r>
        <w:t>а</w:t>
      </w:r>
      <w:r>
        <w:t>тья 2 является основой Конвенции. Накладывая на государства ответственность за ликвидацию ди</w:t>
      </w:r>
      <w:r>
        <w:t>с</w:t>
      </w:r>
      <w:r>
        <w:t>криминации со стороны не только государственных органов, но и учреждений частного сектора, эта статья выводит Конвенцию на передний край дв</w:t>
      </w:r>
      <w:r>
        <w:t>и</w:t>
      </w:r>
      <w:r>
        <w:t>жения за права человека. Вместе с тем, важно не расширять сферу действия статьи 2, равно как и других положений Конвенции, за пределы первон</w:t>
      </w:r>
      <w:r>
        <w:t>а</w:t>
      </w:r>
      <w:r>
        <w:t>чальных намерений ее составителей.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 Син</w:t>
      </w:r>
      <w:r>
        <w:t xml:space="preserve"> говорит, что она хотела бы получить информацию о воздействии на жизнь женщин ма</w:t>
      </w:r>
      <w:r>
        <w:t>к</w:t>
      </w:r>
      <w:r>
        <w:t>роэкономических программ, санкционированных бреттон-вудскими учреждениями и региональными фина</w:t>
      </w:r>
      <w:r>
        <w:t>н</w:t>
      </w:r>
      <w:r>
        <w:t>совыми учреждениями.</w:t>
      </w:r>
    </w:p>
    <w:p w:rsidR="00000000" w:rsidRDefault="00000000">
      <w:pPr>
        <w:pStyle w:val="DualTxt"/>
      </w:pPr>
      <w:r>
        <w:t>56.</w:t>
      </w:r>
      <w:r>
        <w:tab/>
        <w:t>Она просит представителей неправительс</w:t>
      </w:r>
      <w:r>
        <w:t>т</w:t>
      </w:r>
      <w:r>
        <w:t>венных организаций поподробнее остановиться на терминах «равенство» и «равноправие». Равенство упоминается в девятом пункте преамбулы Конве</w:t>
      </w:r>
      <w:r>
        <w:t>н</w:t>
      </w:r>
      <w:r>
        <w:t>ции не в контексте гендерного равенства, а в ко</w:t>
      </w:r>
      <w:r>
        <w:t>н</w:t>
      </w:r>
      <w:r>
        <w:t>тексте «нового международного экономического порядка, основанного на равенстве и справедлив</w:t>
      </w:r>
      <w:r>
        <w:t>о</w:t>
      </w:r>
      <w:r>
        <w:t>сти», и это положение активно обсуждалось в пер</w:t>
      </w:r>
      <w:r>
        <w:t>и</w:t>
      </w:r>
      <w:r>
        <w:t>од разработки Конвенции. Государства-участники, особенно в Латинской Америке, часто предпочит</w:t>
      </w:r>
      <w:r>
        <w:t>а</w:t>
      </w:r>
      <w:r>
        <w:t>ют использовать термин «равенство»; Комитет же всегда настаивал на том, что целью данной Конве</w:t>
      </w:r>
      <w:r>
        <w:t>н</w:t>
      </w:r>
      <w:r>
        <w:t>ции является равноправие, однако она не убеждена в том, что это различие должно быть проведено в общей рекомендации.</w:t>
      </w:r>
    </w:p>
    <w:p w:rsidR="00000000" w:rsidRDefault="00000000">
      <w:pPr>
        <w:pStyle w:val="DualTxt"/>
      </w:pPr>
      <w:r>
        <w:t>57.</w:t>
      </w:r>
      <w:r>
        <w:tab/>
        <w:t>Было бы также полезно получить информацию о тех случаях, когда после многих лет насилия в семье женщина убила своего мужа, однако при этом ей было отказано в разрешении утверждать в суде, что это было сделано в рамках самообороны.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Г-жа Бельмихуб-Зердани</w:t>
      </w:r>
      <w:r>
        <w:t xml:space="preserve"> отмечает, что может сложиться такое впечатление, что ссылка на «право народов, находящихся под иностранным и колон</w:t>
      </w:r>
      <w:r>
        <w:t>и</w:t>
      </w:r>
      <w:r>
        <w:t>альным господством и иностранной оккупацией, на самоопределение и независимость, а также уваж</w:t>
      </w:r>
      <w:r>
        <w:t>е</w:t>
      </w:r>
      <w:r>
        <w:t>ние национального суверенитета и территориал</w:t>
      </w:r>
      <w:r>
        <w:t>ь</w:t>
      </w:r>
      <w:r>
        <w:t>ной целостности» в одиннадцатом пункте преамб</w:t>
      </w:r>
      <w:r>
        <w:t>у</w:t>
      </w:r>
      <w:r>
        <w:t>лы к Конвенции противоречит мнению о том, что международное гуманитарное право превалирует над международными стандартами в области прав человека в периоды вооруженных конфликтов. П</w:t>
      </w:r>
      <w:r>
        <w:t>е</w:t>
      </w:r>
      <w:r>
        <w:t>кинская платформа действий также включает ссы</w:t>
      </w:r>
      <w:r>
        <w:t>л</w:t>
      </w:r>
      <w:r>
        <w:t>ку на «воздействие вооруженных и иных конфли</w:t>
      </w:r>
      <w:r>
        <w:t>к</w:t>
      </w:r>
      <w:r>
        <w:t>тов на женщин, включая женщин, живущих в усл</w:t>
      </w:r>
      <w:r>
        <w:t>о</w:t>
      </w:r>
      <w:r>
        <w:t>виях иностранной оккупации».</w:t>
      </w:r>
    </w:p>
    <w:p w:rsidR="00000000" w:rsidRDefault="00000000">
      <w:pPr>
        <w:pStyle w:val="DualTxt"/>
      </w:pPr>
      <w:r>
        <w:t>59.</w:t>
      </w:r>
      <w:r>
        <w:tab/>
        <w:t>Общая рекомендация должна расширить то</w:t>
      </w:r>
      <w:r>
        <w:t>л</w:t>
      </w:r>
      <w:r>
        <w:t>кование Комитетом положений Конвенции, с тем чтобы Конвенция охватывала вопросы дискримин</w:t>
      </w:r>
      <w:r>
        <w:t>а</w:t>
      </w:r>
      <w:r>
        <w:t>ции в отношении женщин на международном уро</w:t>
      </w:r>
      <w:r>
        <w:t>в</w:t>
      </w:r>
      <w:r>
        <w:t>не, путем включений рекомендаций, касающихся ситуаций вооруженного конфликта в странах, нах</w:t>
      </w:r>
      <w:r>
        <w:t>о</w:t>
      </w:r>
      <w:r>
        <w:t>дящихся под оккупацией, как например, Ирак и П</w:t>
      </w:r>
      <w:r>
        <w:t>а</w:t>
      </w:r>
      <w:r>
        <w:t>лестина. Члены Комитета должны иметь мужество сделать то, что пока не удалось сделать мужчинам в Организации Объединенных Наций, а именно с</w:t>
      </w:r>
      <w:r>
        <w:t>о</w:t>
      </w:r>
      <w:r>
        <w:t>действовать развитию международного права п</w:t>
      </w:r>
      <w:r>
        <w:t>о</w:t>
      </w:r>
      <w:r>
        <w:t>средством направления контрольной миссии для проверки хода осуществления Конвенции, и ос</w:t>
      </w:r>
      <w:r>
        <w:t>о</w:t>
      </w:r>
      <w:r>
        <w:t>бенно выполнения ее преамбулы и статьи 2, в п</w:t>
      </w:r>
      <w:r>
        <w:t>о</w:t>
      </w:r>
      <w:r>
        <w:t>добных ситуациях.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Г-жа Тавареш да Силва</w:t>
      </w:r>
      <w:r>
        <w:t xml:space="preserve"> говорит, что по св</w:t>
      </w:r>
      <w:r>
        <w:t>о</w:t>
      </w:r>
      <w:r>
        <w:t>ей букве Конвенция касается дискриминации по признаку пола. Однако по своему духу она также охватывает дискриминацию, основывающуюся на гендерных признаках, что четко следует из полож</w:t>
      </w:r>
      <w:r>
        <w:t>е</w:t>
      </w:r>
      <w:r>
        <w:t>ний статей 2 и 5 соответственно, касающихся изм</w:t>
      </w:r>
      <w:r>
        <w:t>е</w:t>
      </w:r>
      <w:r>
        <w:t>нения социальных и культурных моделей поведения и изменения или упразднения обычаев и практики, которые представляют собой дискриминацию в о</w:t>
      </w:r>
      <w:r>
        <w:t>т</w:t>
      </w:r>
      <w:r>
        <w:t>ношении женщин. Поэтому общая рекомендация, которую предстоит разработать в отношении статьи 2 Конвенции, должна отражать оба эти параметра.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Г-жа Ахмад</w:t>
      </w:r>
      <w:r>
        <w:t xml:space="preserve"> говорит, что основное внимание следует уделить руководящей роли государства в деле безотлагательного поощрения негосударстве</w:t>
      </w:r>
      <w:r>
        <w:t>н</w:t>
      </w:r>
      <w:r>
        <w:t>ных субъектов, особенно стратегически заинтер</w:t>
      </w:r>
      <w:r>
        <w:t>е</w:t>
      </w:r>
      <w:r>
        <w:t>сованных сторон, к выполнению своих обяз</w:t>
      </w:r>
      <w:r>
        <w:t>а</w:t>
      </w:r>
      <w:r>
        <w:t>тельств. Другим вопросом, вызывающим особую обеспокоенность, является необходимость провед</w:t>
      </w:r>
      <w:r>
        <w:t>е</w:t>
      </w:r>
      <w:r>
        <w:t>ния на национальном уровне всеобъемлющих и</w:t>
      </w:r>
      <w:r>
        <w:t>с</w:t>
      </w:r>
      <w:r>
        <w:t>следований с целью определения тех препятствий, которые мешают осуществлению Конвенции, а та</w:t>
      </w:r>
      <w:r>
        <w:t>к</w:t>
      </w:r>
      <w:r>
        <w:t>же с целью улучшения процесса ее осуществления, в частности, путем содействия лучшему пониманию Конвенции в целях обеспечения признания и ув</w:t>
      </w:r>
      <w:r>
        <w:t>а</w:t>
      </w:r>
      <w:r>
        <w:t>жения прав женщин. В этой связи она надеется, что неправительственные организации и Организация Объединенных Наций предоставят необходимую поддержку на страновом уровне.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Г-жа Маккиннон</w:t>
      </w:r>
      <w:r>
        <w:t xml:space="preserve"> (Организация «Равенство сегодня»), отвечая на вопрос, касающийся опред</w:t>
      </w:r>
      <w:r>
        <w:t>е</w:t>
      </w:r>
      <w:r>
        <w:t>ления термина «позитивное равноправие», говорит, что выбор этого термина был обусловлен тем фа</w:t>
      </w:r>
      <w:r>
        <w:t>к</w:t>
      </w:r>
      <w:r>
        <w:t>том, что он в достаточно полной мере охватывает и отражает особую концепцию равноправия, четко сформулированную в Конвенции и коренящуюся в юриспруденции Комитета, наподобие того, как это было, например, сделано в пункте 29 общей рек</w:t>
      </w:r>
      <w:r>
        <w:t>о</w:t>
      </w:r>
      <w:r>
        <w:t>мендации No. 25. Другими словами, прекращение всех форм неравноправия уже само по себе являе</w:t>
      </w:r>
      <w:r>
        <w:t>т</w:t>
      </w:r>
      <w:r>
        <w:t>ся равноправием в той степени, в какой женщины как группа уже перестают иметь правовой и соц</w:t>
      </w:r>
      <w:r>
        <w:t>и</w:t>
      </w:r>
      <w:r>
        <w:t>альный статус лиц «второго класса». После этого международное сообщество должно будет принять решение о том, сохраняются ли еще какие-либо проблемы гендерного неравноправия. Позитивное равноправие является по сути дела противополо</w:t>
      </w:r>
      <w:r>
        <w:t>ж</w:t>
      </w:r>
      <w:r>
        <w:t>ным негативному равноправию, исходя из того, что Конвенция видоизменила традиционный подход к понятию «равноправие». В частности, это понятие уже не ограничивается правовой и личностной ди</w:t>
      </w:r>
      <w:r>
        <w:t>с</w:t>
      </w:r>
      <w:r>
        <w:t>криминацией и дискриминационным воздействием в традиционном правовом смысле; оно уже  свид</w:t>
      </w:r>
      <w:r>
        <w:t>е</w:t>
      </w:r>
      <w:r>
        <w:t>тельствует об отрицании привычной модели «ра</w:t>
      </w:r>
      <w:r>
        <w:t>в</w:t>
      </w:r>
      <w:r>
        <w:t>ноправия», равно как и о том, что позитивное ра</w:t>
      </w:r>
      <w:r>
        <w:t>в</w:t>
      </w:r>
      <w:r>
        <w:t>ноправие так и останется недостигнутым, если ко всем женщинам будут относиться одинаково, но плохо. Этот термин также свидетельствует о том, что проведение в аналогичных ситуациях сравнения положения женщин и мужчин необязательно явл</w:t>
      </w:r>
      <w:r>
        <w:t>я</w:t>
      </w:r>
      <w:r>
        <w:t>ется наиболее полезным правовым подходом, как это видно на примере насилия в отношении женщин и случаев, каса</w:t>
      </w:r>
      <w:r>
        <w:t>ю</w:t>
      </w:r>
      <w:r>
        <w:t>щихся репродуктивных прав.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Г-жа Руднева</w:t>
      </w:r>
      <w:r>
        <w:t xml:space="preserve"> (Харьковский центр женских исследований), подчеркивая юридическую ва</w:t>
      </w:r>
      <w:r>
        <w:t>ж</w:t>
      </w:r>
      <w:r>
        <w:t>ность статьи 2 Конвенции, говорит, что в общей р</w:t>
      </w:r>
      <w:r>
        <w:t>е</w:t>
      </w:r>
      <w:r>
        <w:t>комендации No. 26 должны содержаться точные правовые формулировки и достаточно подробной информации по таким тематическим вопросам, как репродуктивные права женщин в периоды воор</w:t>
      </w:r>
      <w:r>
        <w:t>у</w:t>
      </w:r>
      <w:r>
        <w:t>женных конфликтов. В этой связи она отмечает, что ранее сделанные ее делегацией замечания по да</w:t>
      </w:r>
      <w:r>
        <w:t>н</w:t>
      </w:r>
      <w:r>
        <w:t>ному вопросу основываются на опыте более 200 украинских судей. Хотя Конвенция является сег</w:t>
      </w:r>
      <w:r>
        <w:t>о</w:t>
      </w:r>
      <w:r>
        <w:t>дня столь же прогрессивным документом, что и в период ее первоначальной разработки, концепция гендерного равноправия зачастую неправильно то</w:t>
      </w:r>
      <w:r>
        <w:t>л</w:t>
      </w:r>
      <w:r>
        <w:t>куется судебными органами. С тем чтобы избежать этого, следует занять более конструктивную поз</w:t>
      </w:r>
      <w:r>
        <w:t>и</w:t>
      </w:r>
      <w:r>
        <w:t>цию и ссылаться вместо этого на равноправие му</w:t>
      </w:r>
      <w:r>
        <w:t>ж</w:t>
      </w:r>
      <w:r>
        <w:t>чин и женщин. Конвенция является неотъемлемой частью многих национальных законодательств. П</w:t>
      </w:r>
      <w:r>
        <w:t>о</w:t>
      </w:r>
      <w:r>
        <w:t>этому чрезвычайно важно обеспечить правильное толкование статьи 2 судами и юристами.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Г-жа Удагама</w:t>
      </w:r>
      <w:r>
        <w:t xml:space="preserve"> (Международный комитет де</w:t>
      </w:r>
      <w:r>
        <w:t>й</w:t>
      </w:r>
      <w:r>
        <w:t>ствий в защиту прав женщин — Азиатско-Тихоокеанский регион) говорит, что общая рек</w:t>
      </w:r>
      <w:r>
        <w:t>о</w:t>
      </w:r>
      <w:r>
        <w:t>мендация по статье 2 Конвенции должна быть вс</w:t>
      </w:r>
      <w:r>
        <w:t>е</w:t>
      </w:r>
      <w:r>
        <w:t>охватывающей. Поэтому представляется чрезв</w:t>
      </w:r>
      <w:r>
        <w:t>ы</w:t>
      </w:r>
      <w:r>
        <w:t>чайно важным, чтобы эта рекомендация включала в себя правовые рамки, касающиеся обязательств г</w:t>
      </w:r>
      <w:r>
        <w:t>о</w:t>
      </w:r>
      <w:r>
        <w:t>сударств в периоды конфликтов и внутренних ко</w:t>
      </w:r>
      <w:r>
        <w:t>н</w:t>
      </w:r>
      <w:r>
        <w:t>фликтов, применительно к которым разработка о</w:t>
      </w:r>
      <w:r>
        <w:t>т</w:t>
      </w:r>
      <w:r>
        <w:t>дельной общей рекомендации будет необходима только для того, чтобы развить эти правовые рамки. Ее делегация чрезвычайно заинтересована в с</w:t>
      </w:r>
      <w:r>
        <w:t>о</w:t>
      </w:r>
      <w:r>
        <w:t>трудничестве с Комитетом по данному вопросу. В этом контексте ее делегация готова представить расширенный концептуальный док</w:t>
      </w:r>
      <w:r>
        <w:t>у</w:t>
      </w:r>
      <w:r>
        <w:t>мент.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Г-жа Уолдорф</w:t>
      </w:r>
      <w:r>
        <w:t xml:space="preserve"> (Фонд Организации Объед</w:t>
      </w:r>
      <w:r>
        <w:t>и</w:t>
      </w:r>
      <w:r>
        <w:t>ненных Наций для развития в интересах женщин) говорит, что, по мнению ЮНИФЕМ, оптимальным подходом к разработке этой общей рекомендации могло бы стать достижение компромисса между тем уровнем абстракции, который наблюдается в п</w:t>
      </w:r>
      <w:r>
        <w:t>о</w:t>
      </w:r>
      <w:r>
        <w:t>следней рекомендации Комитета по правам челов</w:t>
      </w:r>
      <w:r>
        <w:t>е</w:t>
      </w:r>
      <w:r>
        <w:t>ка, и более широким диапазоном идей, предложе</w:t>
      </w:r>
      <w:r>
        <w:t>н</w:t>
      </w:r>
      <w:r>
        <w:t>ных в ходе данной дискуссии. В противном случае будет чрезвычайно сложно представить подробные разъяснения в отношении тех мер, которые необх</w:t>
      </w:r>
      <w:r>
        <w:t>о</w:t>
      </w:r>
      <w:r>
        <w:t>димо принять в соответствии с каждой статьей Конвенции, хотя при этом понятно, насколько ва</w:t>
      </w:r>
      <w:r>
        <w:t>ж</w:t>
      </w:r>
      <w:r>
        <w:t>но представить конкретные примеры в тех обла</w:t>
      </w:r>
      <w:r>
        <w:t>с</w:t>
      </w:r>
      <w:r>
        <w:t>тях, где не хватает концептуальной ясности.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Г-жа Кисмоди</w:t>
      </w:r>
      <w:r>
        <w:t xml:space="preserve"> (Всемирная организация здр</w:t>
      </w:r>
      <w:r>
        <w:t>а</w:t>
      </w:r>
      <w:r>
        <w:t>воохранения) говорит, что конкретные примеры я</w:t>
      </w:r>
      <w:r>
        <w:t>в</w:t>
      </w:r>
      <w:r>
        <w:t>ляются полезными, если не самыми главными сре</w:t>
      </w:r>
      <w:r>
        <w:t>д</w:t>
      </w:r>
      <w:r>
        <w:t>ствами, помогающими правительствам и другим з</w:t>
      </w:r>
      <w:r>
        <w:t>а</w:t>
      </w:r>
      <w:r>
        <w:t>интересованным сторонам в осуществлении Ко</w:t>
      </w:r>
      <w:r>
        <w:t>н</w:t>
      </w:r>
      <w:r>
        <w:t>венции и рекомендаций общего характера, а также в осуществлении выводов и общих рекомендаций Комитета. Она также говорит о том, что проведе</w:t>
      </w:r>
      <w:r>
        <w:t>н</w:t>
      </w:r>
      <w:r>
        <w:t>ное ВОЗ многострановое исследование по вопросу о насилии, в том числе о сексуальном насилии в о</w:t>
      </w:r>
      <w:r>
        <w:t>т</w:t>
      </w:r>
      <w:r>
        <w:t>ношении подростков, уже позволило получить н</w:t>
      </w:r>
      <w:r>
        <w:t>е</w:t>
      </w:r>
      <w:r>
        <w:t>которые результаты, которые ВОЗ с удовольствием представит вниманию чл</w:t>
      </w:r>
      <w:r>
        <w:t>е</w:t>
      </w:r>
      <w:r>
        <w:t>нов Комитета.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Г-жа Имам</w:t>
      </w:r>
      <w:r>
        <w:t xml:space="preserve"> (Фонд Организации Объедине</w:t>
      </w:r>
      <w:r>
        <w:t>н</w:t>
      </w:r>
      <w:r>
        <w:t>ных Наций в области народонаселения) поддерж</w:t>
      </w:r>
      <w:r>
        <w:t>и</w:t>
      </w:r>
      <w:r>
        <w:t>вает точки зрения, выраженные двумя предыдущ</w:t>
      </w:r>
      <w:r>
        <w:t>и</w:t>
      </w:r>
      <w:r>
        <w:t>ми ораторами; конкретные примеры являются ос</w:t>
      </w:r>
      <w:r>
        <w:t>о</w:t>
      </w:r>
      <w:r>
        <w:t>бенно полезными для тех, кто не привык работать на общем уровне абстракции в той или иной ко</w:t>
      </w:r>
      <w:r>
        <w:t>н</w:t>
      </w:r>
      <w:r>
        <w:t>кретной области. В ответ на вопрос, касающийся обязательств развитых стран в области прав чел</w:t>
      </w:r>
      <w:r>
        <w:t>о</w:t>
      </w:r>
      <w:r>
        <w:t>века предоставлять международную помощь разв</w:t>
      </w:r>
      <w:r>
        <w:t>и</w:t>
      </w:r>
      <w:r>
        <w:t>вающимся государствам и сотрудничать с ними, она говорит, что подобные обязательства распростр</w:t>
      </w:r>
      <w:r>
        <w:t>а</w:t>
      </w:r>
      <w:r>
        <w:t>няются на те территории, где развитые государства имеют какую-либо форму влияния, ответственности и контроля. При принятии любых обязательств о предоставлении добровольной помощи, необходимо дополнительно принимать во внимание характер такой помощи и те программные мероприятия, в рамках которых эта помощь будет оказываться. Также было бы полезно координировать эту де</w:t>
      </w:r>
      <w:r>
        <w:t>я</w:t>
      </w:r>
      <w:r>
        <w:t>тельность с той работой, которая должна быть в скором времени проведена в связи с Декларацией Организации Объединенных Наций о праве на ра</w:t>
      </w:r>
      <w:r>
        <w:t>з</w:t>
      </w:r>
      <w:r>
        <w:t>витие, принимая при этом во внимание права же</w:t>
      </w:r>
      <w:r>
        <w:t>н</w:t>
      </w:r>
      <w:r>
        <w:t>щин. В заключение она сообщает членам Комитета о том, что она с удовольствием распространит ср</w:t>
      </w:r>
      <w:r>
        <w:t>е</w:t>
      </w:r>
      <w:r>
        <w:t>ди них экземпляры резюме доклада о междунаро</w:t>
      </w:r>
      <w:r>
        <w:t>д</w:t>
      </w:r>
      <w:r>
        <w:t>ных обязательствах, в том числе по вопросу о п</w:t>
      </w:r>
      <w:r>
        <w:t>о</w:t>
      </w:r>
      <w:r>
        <w:t>мощи и действиях развитых государств, которое было подготовлено Международным советом по политике в области прав человека.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Г-жа Катзире</w:t>
      </w:r>
      <w:r>
        <w:t xml:space="preserve"> (Центр за репродуктивные пр</w:t>
      </w:r>
      <w:r>
        <w:t>а</w:t>
      </w:r>
      <w:r>
        <w:t>ва), отвечая на вопрос, касающийся подростковой сексуальности, ссылается на две недавние общие рекомендации Комитета по правам ребенка, каса</w:t>
      </w:r>
      <w:r>
        <w:t>ю</w:t>
      </w:r>
      <w:r>
        <w:t>щиеся охраны здоровья подростков и ВИЧ/СПИДа, в каждой из которых говорится о потребностях подростков в услугах в области репродуктивного здоровья и планирования размеров семьи. Она о</w:t>
      </w:r>
      <w:r>
        <w:t>т</w:t>
      </w:r>
      <w:r>
        <w:t>мечает, что необходимо провести более углубле</w:t>
      </w:r>
      <w:r>
        <w:t>н</w:t>
      </w:r>
      <w:r>
        <w:t>ные исследования о половых отношениях, связа</w:t>
      </w:r>
      <w:r>
        <w:t>н</w:t>
      </w:r>
      <w:r>
        <w:t>ных с эксплуатацией подростков, равно как необх</w:t>
      </w:r>
      <w:r>
        <w:t>о</w:t>
      </w:r>
      <w:r>
        <w:t>димо, чтобы правительства предприняли шаги, н</w:t>
      </w:r>
      <w:r>
        <w:t>а</w:t>
      </w:r>
      <w:r>
        <w:t>правленные на прекращение любых сексуальных злоупотреблений и эксплуатации; такие шаги должны включать  принятие соответствующего уг</w:t>
      </w:r>
      <w:r>
        <w:t>о</w:t>
      </w:r>
      <w:r>
        <w:t>ловного законодательства и мер, направленных на прекращение практики вступления детей в брак. Аналогичные действия также необходимы для удовлетворения нужд подростков в медицинском обслуживании и в услугах в области планирования размеров семьи, независимо от контекста их пол</w:t>
      </w:r>
      <w:r>
        <w:t>о</w:t>
      </w:r>
      <w:r>
        <w:t>вых отношений. Отсутствие подобных услуг может иметь разрушительные последствия для их жизни.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Г-жа Мехра</w:t>
      </w:r>
      <w:r>
        <w:t xml:space="preserve"> (Международный комитет дейс</w:t>
      </w:r>
      <w:r>
        <w:t>т</w:t>
      </w:r>
      <w:r>
        <w:t>вий в защиту прав женщин — Азиатско-Тихоокеанский регион), ссылаясь на обязательства развитых стран в отношении предоставления ме</w:t>
      </w:r>
      <w:r>
        <w:t>ж</w:t>
      </w:r>
      <w:r>
        <w:t>дународной помощи, говорит, что государства – участники многосторонних договоров, к числу к</w:t>
      </w:r>
      <w:r>
        <w:t>о</w:t>
      </w:r>
      <w:r>
        <w:t>торых относится и Конвенция, заинтересованы в обеспечении ее универсального осуществления; е</w:t>
      </w:r>
      <w:r>
        <w:t>с</w:t>
      </w:r>
      <w:r>
        <w:t>ли же этого не происходит, могут быть применены положения пункта 1 статьи 29 Конвенции. В свете этого, будучи участниками многостороннего дог</w:t>
      </w:r>
      <w:r>
        <w:t>о</w:t>
      </w:r>
      <w:r>
        <w:t>вора, государства должны также выполнять поз</w:t>
      </w:r>
      <w:r>
        <w:t>и</w:t>
      </w:r>
      <w:r>
        <w:t>тивное обязательство оказывать помощь в деле осуществления такого договора. В преамбуле к Конвенции взаимное сотрудничество и взаимная выгода упоминаются в качестве факторов, спосо</w:t>
      </w:r>
      <w:r>
        <w:t>б</w:t>
      </w:r>
      <w:r>
        <w:t>ствующих достижению равенства между женщин</w:t>
      </w:r>
      <w:r>
        <w:t>а</w:t>
      </w:r>
      <w:r>
        <w:t>ми и мужчинами; с этой целью необходимо обесп</w:t>
      </w:r>
      <w:r>
        <w:t>е</w:t>
      </w:r>
      <w:r>
        <w:t>чить последовательность и соответствие внутре</w:t>
      </w:r>
      <w:r>
        <w:t>н</w:t>
      </w:r>
      <w:r>
        <w:t>ней и внешней политики. Те же факторы также упоминаются и в конвенциях других договорных органов. Поэтому она считает, что развитые гос</w:t>
      </w:r>
      <w:r>
        <w:t>у</w:t>
      </w:r>
      <w:r>
        <w:t>дарства обязаны предоставлять помощь менее ра</w:t>
      </w:r>
      <w:r>
        <w:t>з</w:t>
      </w:r>
      <w:r>
        <w:t>витым странам в осуществлении договорных обяз</w:t>
      </w:r>
      <w:r>
        <w:t>а</w:t>
      </w:r>
      <w:r>
        <w:t>тельств.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12 ч. 45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NO&gt;&gt;N0443329R&lt;&lt;ODS JOB NO&gt;&gt;</w:t>
      </w:r>
    </w:p>
    <w:p w:rsidR="00000000" w:rsidRDefault="00000000">
      <w:pPr>
        <w:pStyle w:val="CommentText"/>
      </w:pPr>
      <w:r>
        <w:t>&lt;&lt;ODS DOC SYMBOL1&gt;&gt;CEDAW/C/SR.664&lt;&lt;ODS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04-43329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*0443329*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April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4607E9A"/>
    <w:multiLevelType w:val="multilevel"/>
    <w:tmpl w:val="FB44156A"/>
    <w:lvl w:ilvl="0">
      <w:start w:val="6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4FEA01CA"/>
    <w:multiLevelType w:val="singleLevel"/>
    <w:tmpl w:val="90D48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</w:abstractNum>
  <w:abstractNum w:abstractNumId="9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9"/>
  </w:num>
  <w:num w:numId="13">
    <w:abstractNumId w:val="6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4/2005 9:26::02"/>
    <w:docVar w:name="DocCategory" w:val="SROthers"/>
    <w:docVar w:name="DocType" w:val="Final"/>
    <w:docVar w:name="JobNo" w:val="0443329R"/>
    <w:docVar w:name="OandT" w:val=" "/>
    <w:docVar w:name="Symbol1" w:val="CEDAW/C/SR.66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8377</Words>
  <Characters>47753</Characters>
  <Application>Microsoft Office Word</Application>
  <DocSecurity>4</DocSecurity>
  <Lines>397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58644</CharactersWithSpaces>
  <SharedDoc>false</SharedDoc>
  <HLinks>
    <vt:vector size="6" baseType="variant">
      <vt:variant>
        <vt:i4>4522087</vt:i4>
      </vt:variant>
      <vt:variant>
        <vt:i4>117086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Tatiana.Panichkina</cp:lastModifiedBy>
  <cp:revision>7</cp:revision>
  <cp:lastPrinted>2005-05-25T06:48:00Z</cp:lastPrinted>
  <dcterms:created xsi:type="dcterms:W3CDTF">2005-05-25T06:46:00Z</dcterms:created>
  <dcterms:modified xsi:type="dcterms:W3CDTF">2005-05-25T07:41:00Z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0443329</vt:lpwstr>
  </property>
  <property fmtid="{D5CDD505-2E9C-101B-9397-08002B2CF9AE}" pid="3" name="Symbol1">
    <vt:lpwstr>CEDAW/C/SR.664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Паничкина</vt:lpwstr>
  </property>
</Properties>
</file>