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A40FBDA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AE0CEB0" w14:textId="77777777" w:rsidR="002D5AAC" w:rsidRDefault="002D5AAC" w:rsidP="009C5E1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D65E36B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8D26388" w14:textId="765E8F7F" w:rsidR="002D5AAC" w:rsidRDefault="009C5E1E" w:rsidP="009C5E1E">
            <w:pPr>
              <w:jc w:val="right"/>
            </w:pPr>
            <w:r w:rsidRPr="009C5E1E">
              <w:rPr>
                <w:sz w:val="40"/>
              </w:rPr>
              <w:t>CERD</w:t>
            </w:r>
            <w:r>
              <w:t>/C/TKM/Q/12-13</w:t>
            </w:r>
          </w:p>
        </w:tc>
      </w:tr>
      <w:tr w:rsidR="002D5AAC" w:rsidRPr="009C5E1E" w14:paraId="3E05C71D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A0A8A72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BED2C8C" wp14:editId="04D2E21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16E36B9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2F82D03" w14:textId="77777777" w:rsidR="002D5AAC" w:rsidRPr="009C5E1E" w:rsidRDefault="009C5E1E" w:rsidP="008D2AAD">
            <w:pPr>
              <w:spacing w:before="240"/>
              <w:rPr>
                <w:lang w:val="en-US"/>
              </w:rPr>
            </w:pPr>
            <w:r w:rsidRPr="009C5E1E">
              <w:rPr>
                <w:lang w:val="en-US"/>
              </w:rPr>
              <w:t>Distr.: General</w:t>
            </w:r>
          </w:p>
          <w:p w14:paraId="195ADB2B" w14:textId="77777777" w:rsidR="009C5E1E" w:rsidRPr="009C5E1E" w:rsidRDefault="009C5E1E" w:rsidP="009C5E1E">
            <w:pPr>
              <w:spacing w:line="240" w:lineRule="exact"/>
              <w:rPr>
                <w:lang w:val="en-US"/>
              </w:rPr>
            </w:pPr>
            <w:r w:rsidRPr="009C5E1E">
              <w:rPr>
                <w:lang w:val="en-US"/>
              </w:rPr>
              <w:t>23 June 2023</w:t>
            </w:r>
          </w:p>
          <w:p w14:paraId="3FC2AE17" w14:textId="77777777" w:rsidR="009C5E1E" w:rsidRPr="009C5E1E" w:rsidRDefault="009C5E1E" w:rsidP="009C5E1E">
            <w:pPr>
              <w:spacing w:line="240" w:lineRule="exact"/>
              <w:rPr>
                <w:lang w:val="en-US"/>
              </w:rPr>
            </w:pPr>
            <w:r w:rsidRPr="009C5E1E">
              <w:rPr>
                <w:lang w:val="en-US"/>
              </w:rPr>
              <w:t>Russian</w:t>
            </w:r>
          </w:p>
          <w:p w14:paraId="7C35FBB2" w14:textId="10B2A591" w:rsidR="009C5E1E" w:rsidRPr="009C5E1E" w:rsidRDefault="009C5E1E" w:rsidP="009C5E1E">
            <w:pPr>
              <w:spacing w:line="240" w:lineRule="exact"/>
              <w:rPr>
                <w:lang w:val="en-US"/>
              </w:rPr>
            </w:pPr>
            <w:r w:rsidRPr="009C5E1E">
              <w:rPr>
                <w:lang w:val="en-US"/>
              </w:rPr>
              <w:t>Original: English</w:t>
            </w:r>
            <w:r w:rsidRPr="009C5E1E">
              <w:rPr>
                <w:lang w:val="en-US"/>
              </w:rPr>
              <w:br/>
            </w:r>
            <w:r w:rsidRPr="009C5E1E">
              <w:rPr>
                <w:lang w:val="en-US"/>
              </w:rPr>
              <w:t>English, French, Russian and Spanish only</w:t>
            </w:r>
          </w:p>
        </w:tc>
      </w:tr>
    </w:tbl>
    <w:p w14:paraId="1C6506DB" w14:textId="77777777" w:rsidR="009C5E1E" w:rsidRPr="009C5E1E" w:rsidRDefault="009C5E1E" w:rsidP="009C5E1E">
      <w:pPr>
        <w:spacing w:before="120"/>
        <w:rPr>
          <w:b/>
          <w:bCs/>
          <w:color w:val="000000" w:themeColor="text1"/>
          <w:sz w:val="24"/>
          <w:szCs w:val="24"/>
        </w:rPr>
      </w:pPr>
      <w:r w:rsidRPr="009C5E1E">
        <w:rPr>
          <w:b/>
          <w:bCs/>
          <w:sz w:val="24"/>
          <w:szCs w:val="24"/>
        </w:rPr>
        <w:t>Комитет по ликвидации расовой дискриминации</w:t>
      </w:r>
    </w:p>
    <w:p w14:paraId="6AC4B0EF" w14:textId="77777777" w:rsidR="009C5E1E" w:rsidRPr="007C5415" w:rsidRDefault="009C5E1E" w:rsidP="009C5E1E">
      <w:pPr>
        <w:rPr>
          <w:b/>
          <w:bCs/>
          <w:color w:val="000000" w:themeColor="text1"/>
        </w:rPr>
      </w:pPr>
      <w:r>
        <w:rPr>
          <w:b/>
          <w:bCs/>
        </w:rPr>
        <w:t>110-я сессия</w:t>
      </w:r>
      <w:r>
        <w:tab/>
      </w:r>
    </w:p>
    <w:p w14:paraId="16C4B591" w14:textId="4D4D931B" w:rsidR="009C5E1E" w:rsidRPr="007C5415" w:rsidRDefault="009C5E1E" w:rsidP="009C5E1E">
      <w:pPr>
        <w:rPr>
          <w:color w:val="000000" w:themeColor="text1"/>
        </w:rPr>
      </w:pPr>
      <w:r>
        <w:t>7</w:t>
      </w:r>
      <w:r>
        <w:rPr>
          <w:lang w:val="en-US"/>
        </w:rPr>
        <w:t>–</w:t>
      </w:r>
      <w:r>
        <w:t>31 августа 2023 года</w:t>
      </w:r>
    </w:p>
    <w:p w14:paraId="13762F01" w14:textId="77777777" w:rsidR="009C5E1E" w:rsidRPr="007C5415" w:rsidRDefault="009C5E1E" w:rsidP="009C5E1E">
      <w:pPr>
        <w:rPr>
          <w:color w:val="000000" w:themeColor="text1"/>
        </w:rPr>
      </w:pPr>
      <w:r>
        <w:t>Пункт 4 предварительной повестки дня</w:t>
      </w:r>
    </w:p>
    <w:p w14:paraId="37F5FD19" w14:textId="1599BAC8" w:rsidR="009C5E1E" w:rsidRPr="007C5415" w:rsidRDefault="009C5E1E" w:rsidP="009C5E1E">
      <w:pPr>
        <w:rPr>
          <w:b/>
          <w:bCs/>
          <w:color w:val="000000" w:themeColor="text1"/>
        </w:rPr>
      </w:pPr>
      <w:r>
        <w:rPr>
          <w:b/>
          <w:bCs/>
        </w:rPr>
        <w:t xml:space="preserve">Рассмотрение докладов, комментариев и информации, </w:t>
      </w:r>
      <w:r>
        <w:rPr>
          <w:b/>
          <w:bCs/>
        </w:rPr>
        <w:br/>
      </w:r>
      <w:r>
        <w:rPr>
          <w:b/>
          <w:bCs/>
        </w:rPr>
        <w:t xml:space="preserve">представляемых государствами-участниками </w:t>
      </w:r>
      <w:r>
        <w:rPr>
          <w:b/>
          <w:bCs/>
        </w:rPr>
        <w:br/>
      </w:r>
      <w:r>
        <w:rPr>
          <w:b/>
          <w:bCs/>
        </w:rPr>
        <w:t>в соответствии со статьей 9 Конвенции</w:t>
      </w:r>
    </w:p>
    <w:p w14:paraId="72FB89B6" w14:textId="459F5609" w:rsidR="009C5E1E" w:rsidRPr="007C5415" w:rsidRDefault="009C5E1E" w:rsidP="009C5E1E">
      <w:pPr>
        <w:pStyle w:val="HChG"/>
      </w:pPr>
      <w:r>
        <w:tab/>
      </w:r>
      <w:r>
        <w:tab/>
      </w:r>
      <w:r>
        <w:rPr>
          <w:bCs/>
        </w:rPr>
        <w:t xml:space="preserve">Перечень тем в связи с объединенными двенадцатым </w:t>
      </w:r>
      <w:r>
        <w:rPr>
          <w:bCs/>
        </w:rPr>
        <w:br/>
      </w:r>
      <w:r>
        <w:rPr>
          <w:bCs/>
        </w:rPr>
        <w:t>и тринадцатым периодическими докладами Туркменистана</w:t>
      </w:r>
    </w:p>
    <w:p w14:paraId="36DEFEF5" w14:textId="77777777" w:rsidR="009C5E1E" w:rsidRPr="007C5415" w:rsidRDefault="009C5E1E" w:rsidP="009C5E1E">
      <w:pPr>
        <w:pStyle w:val="H1G"/>
        <w:rPr>
          <w:rFonts w:eastAsia="SimSun"/>
        </w:rPr>
      </w:pPr>
      <w:r>
        <w:tab/>
      </w:r>
      <w:r>
        <w:tab/>
      </w:r>
      <w:r>
        <w:rPr>
          <w:bCs/>
        </w:rPr>
        <w:t>Записка Докладчика по стране</w:t>
      </w:r>
    </w:p>
    <w:p w14:paraId="23E7CFF4" w14:textId="77777777" w:rsidR="009C5E1E" w:rsidRPr="007C5415" w:rsidRDefault="009C5E1E" w:rsidP="009C5E1E">
      <w:pPr>
        <w:pStyle w:val="SingleTxtG"/>
      </w:pPr>
      <w:r>
        <w:t>1.</w:t>
      </w:r>
      <w:r>
        <w:tab/>
        <w:t>Комитет по ликвидации расовой дискриминации на своей семьдесят шестой сессии</w:t>
      </w:r>
      <w:r w:rsidRPr="009C5E1E">
        <w:rPr>
          <w:rStyle w:val="aa"/>
        </w:rPr>
        <w:footnoteReference w:id="1"/>
      </w:r>
      <w:r>
        <w:t xml:space="preserve"> постановил, что докладчик по стране будет направлять соответствующему государству-участнику краткий перечень тем, призванных определять направление и нацеленность диалога между делегацией государства-участника и Комитетом во время рассмотрения доклада государства-участника. Настоящий документ содержит перечень таких тем. Данный перечень не является исчерпывающим; в ходе диалога могут быть подняты и другие вопросы. Представления письменных ответов не требуется.</w:t>
      </w:r>
    </w:p>
    <w:p w14:paraId="0F217A0B" w14:textId="77777777" w:rsidR="009C5E1E" w:rsidRPr="007C5415" w:rsidRDefault="009C5E1E" w:rsidP="009C5E1E">
      <w:pPr>
        <w:pStyle w:val="H23G"/>
        <w:rPr>
          <w:rFonts w:eastAsiaTheme="minorHAnsi"/>
        </w:rPr>
      </w:pPr>
      <w:r>
        <w:tab/>
      </w:r>
      <w:r>
        <w:tab/>
      </w:r>
      <w:r>
        <w:rPr>
          <w:bCs/>
        </w:rPr>
        <w:t>Статистика</w:t>
      </w:r>
    </w:p>
    <w:p w14:paraId="1253A688" w14:textId="355FB962" w:rsidR="009C5E1E" w:rsidRPr="007C5415" w:rsidRDefault="009C5E1E" w:rsidP="009C5E1E">
      <w:pPr>
        <w:pStyle w:val="SingleTxtG"/>
      </w:pPr>
      <w:r>
        <w:t>2.</w:t>
      </w:r>
      <w:r>
        <w:tab/>
        <w:t>На основе национальной переписи населения и жилищного фонда 2022 года обновленные статистические данные о демографическом составе населения, основанные на самоидентификации и дезагрегированные по этническому происхождению, включая народность люли/цыган. Обновленные статистические данные по беженцам, просителям убежища и лицам без гражданства. Экономические и социальные показатели для различных групп населения, проживающих на территории государства-участника, в разбивке по национальному или этническому происхождению, полу и возрасту, особенно в отношении групп меньшинств, в свете национальной переписи населения и жилищного фонда 2022 года</w:t>
      </w:r>
      <w:r w:rsidRPr="009C5E1E">
        <w:rPr>
          <w:rStyle w:val="aa"/>
        </w:rPr>
        <w:footnoteReference w:id="2"/>
      </w:r>
      <w:r>
        <w:t xml:space="preserve">. </w:t>
      </w:r>
    </w:p>
    <w:p w14:paraId="2E285B2A" w14:textId="77777777" w:rsidR="009C5E1E" w:rsidRPr="007C5415" w:rsidRDefault="009C5E1E" w:rsidP="009C5E1E">
      <w:pPr>
        <w:pStyle w:val="H23G"/>
      </w:pPr>
      <w:r>
        <w:tab/>
      </w:r>
      <w:r>
        <w:tab/>
      </w:r>
      <w:r>
        <w:rPr>
          <w:bCs/>
        </w:rPr>
        <w:t>Место Конвенции во внутреннем праве и институциональная и директивная основа ее осуществления (ст. 1, 2, 4, 5, 6 и 7)</w:t>
      </w:r>
      <w:r>
        <w:t xml:space="preserve"> </w:t>
      </w:r>
    </w:p>
    <w:p w14:paraId="5D3E3718" w14:textId="1A8E1E8A" w:rsidR="009C5E1E" w:rsidRPr="007C5415" w:rsidRDefault="009C5E1E" w:rsidP="009C5E1E">
      <w:pPr>
        <w:pStyle w:val="SingleTxtG"/>
      </w:pPr>
      <w:r>
        <w:t>3.</w:t>
      </w:r>
      <w:r>
        <w:tab/>
        <w:t>Шаги, предпринятые для разработки и принятия всеобъемлющего закона о борьбе с дискриминацией, включающего определение прямой и косвенной дискриминации. Меры, направленные на принятие комплексной стратегии и национального плана действий по борьбе с расизмом, расовой дискриминацией и нетерпимостью</w:t>
      </w:r>
      <w:r w:rsidRPr="009C5E1E">
        <w:rPr>
          <w:rStyle w:val="aa"/>
        </w:rPr>
        <w:footnoteReference w:id="3"/>
      </w:r>
      <w:r>
        <w:t xml:space="preserve">. Информация о принятии и осуществлении специальных мер, </w:t>
      </w:r>
      <w:r>
        <w:lastRenderedPageBreak/>
        <w:t>направленных на обеспечение надлежащего прогресса в отношении групп меньшинств, находящихся в неблагоприятном положении, в соответствии со статьями</w:t>
      </w:r>
      <w:r>
        <w:rPr>
          <w:lang w:val="en-US"/>
        </w:rPr>
        <w:t> </w:t>
      </w:r>
      <w:r>
        <w:t>1 (пункт 4) и 2 (пункт 2) Конвенции</w:t>
      </w:r>
      <w:r w:rsidRPr="009C5E1E">
        <w:rPr>
          <w:rStyle w:val="aa"/>
        </w:rPr>
        <w:footnoteReference w:id="4"/>
      </w:r>
      <w:r>
        <w:t>.</w:t>
      </w:r>
    </w:p>
    <w:p w14:paraId="36D46F95" w14:textId="77777777" w:rsidR="009C5E1E" w:rsidRPr="007C5415" w:rsidRDefault="009C5E1E" w:rsidP="009C5E1E">
      <w:pPr>
        <w:pStyle w:val="SingleTxtG"/>
      </w:pPr>
      <w:r>
        <w:t>4.</w:t>
      </w:r>
      <w:r>
        <w:tab/>
        <w:t>Информация о мерах, принятых для повышения осведомленности государственных служащих, сотрудников правоохранительных и судебных органов о запрете расовой дискриминации и средствах правовой защиты, доступных для жертв, включая эффективность и воздействие этих мер</w:t>
      </w:r>
      <w:r w:rsidRPr="009C5E1E">
        <w:rPr>
          <w:rStyle w:val="aa"/>
        </w:rPr>
        <w:footnoteReference w:id="5"/>
      </w:r>
      <w:r>
        <w:t>.</w:t>
      </w:r>
    </w:p>
    <w:p w14:paraId="0EC97522" w14:textId="77777777" w:rsidR="009C5E1E" w:rsidRPr="007C5415" w:rsidRDefault="009C5E1E" w:rsidP="009C5E1E">
      <w:pPr>
        <w:pStyle w:val="SingleTxtG"/>
      </w:pPr>
      <w:r>
        <w:t>5.</w:t>
      </w:r>
      <w:r>
        <w:tab/>
        <w:t>Обновленные статистические данные и подробная информация о зарегистрированных жалобах в суды или любые другие национальные учреждения на акты расовой дискриминации, расистские ненавистнические высказывания и преступления на почве ненависти, в том числе в Интернете и через средства массовой информации, а также о количестве расследований, судебных преследований и осуждений виновных, если таковые имеются</w:t>
      </w:r>
      <w:r w:rsidRPr="009C5E1E">
        <w:rPr>
          <w:rStyle w:val="aa"/>
        </w:rPr>
        <w:footnoteReference w:id="6"/>
      </w:r>
      <w:r>
        <w:t>. Меры, принятые для изучения причин отсутствия жалоб и судебных исков, связанных с расовой дискриминацией, в период с 2016 по 2019 год, и обновленная информация о применении Конвенции на национальном уровне</w:t>
      </w:r>
      <w:r w:rsidRPr="009C5E1E">
        <w:rPr>
          <w:rStyle w:val="aa"/>
        </w:rPr>
        <w:footnoteReference w:id="7"/>
      </w:r>
      <w:r>
        <w:t>.</w:t>
      </w:r>
    </w:p>
    <w:p w14:paraId="619F5033" w14:textId="77777777" w:rsidR="009C5E1E" w:rsidRPr="007C5415" w:rsidRDefault="009C5E1E" w:rsidP="009C5E1E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 (ст. 5 и 6)</w:t>
      </w:r>
      <w:r>
        <w:t xml:space="preserve"> </w:t>
      </w:r>
    </w:p>
    <w:p w14:paraId="37D48CDE" w14:textId="77777777" w:rsidR="009C5E1E" w:rsidRPr="007C5415" w:rsidRDefault="009C5E1E" w:rsidP="009C5E1E">
      <w:pPr>
        <w:pStyle w:val="SingleTxtG"/>
      </w:pPr>
      <w:r>
        <w:t>6.</w:t>
      </w:r>
      <w:r>
        <w:tab/>
        <w:t>Обновленная информация о мерах по обеспечению полной независимости и беспристрастности судебных органов в соответствии с Основными принципами независимости судебных органов</w:t>
      </w:r>
      <w:r w:rsidRPr="009C5E1E">
        <w:rPr>
          <w:rStyle w:val="aa"/>
        </w:rPr>
        <w:footnoteReference w:id="8"/>
      </w:r>
      <w:r>
        <w:t>.</w:t>
      </w:r>
    </w:p>
    <w:p w14:paraId="702D0067" w14:textId="77777777" w:rsidR="009C5E1E" w:rsidRPr="007C5415" w:rsidRDefault="009C5E1E" w:rsidP="009C5E1E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 (ст. 2)</w:t>
      </w:r>
    </w:p>
    <w:p w14:paraId="097574DE" w14:textId="77777777" w:rsidR="009C5E1E" w:rsidRPr="007C5415" w:rsidRDefault="009C5E1E" w:rsidP="009C5E1E">
      <w:pPr>
        <w:pStyle w:val="SingleTxtG"/>
      </w:pPr>
      <w:r>
        <w:t>7.</w:t>
      </w:r>
      <w:r>
        <w:tab/>
        <w:t>Информация о мерах по укреплению мандата Канцелярии Омбудсмена в целях эффективного поощрения прав человека и мониторинга прогресса в осуществлении Конвенции независимым и прозрачным образом при обеспечении того, чтобы Канцелярия располагала достаточными финансовыми и людскими ресурсами для выполнения своего мандата</w:t>
      </w:r>
      <w:r w:rsidRPr="009C5E1E">
        <w:rPr>
          <w:rStyle w:val="aa"/>
        </w:rPr>
        <w:footnoteReference w:id="9"/>
      </w:r>
      <w:r>
        <w:t>. Информация о полномочиях Канцелярии Омбудсмена по расследованию жалоб на расовую дискриминацию.</w:t>
      </w:r>
    </w:p>
    <w:p w14:paraId="7A112F74" w14:textId="77777777" w:rsidR="009C5E1E" w:rsidRPr="007C5415" w:rsidRDefault="009C5E1E" w:rsidP="009C5E1E">
      <w:pPr>
        <w:pStyle w:val="H23G"/>
      </w:pPr>
      <w:r>
        <w:tab/>
      </w:r>
      <w:r>
        <w:tab/>
      </w:r>
      <w:r>
        <w:rPr>
          <w:bCs/>
        </w:rPr>
        <w:t>Расистские ненавистнические высказывания, подстрекательство к расовой ненависти и преступления на почве расовой ненависти (ст. 2, 4 и 6)</w:t>
      </w:r>
    </w:p>
    <w:p w14:paraId="005667EF" w14:textId="77777777" w:rsidR="009C5E1E" w:rsidRPr="007C5415" w:rsidRDefault="009C5E1E" w:rsidP="009C5E1E">
      <w:pPr>
        <w:pStyle w:val="SingleTxtG"/>
      </w:pPr>
      <w:r>
        <w:t>8.</w:t>
      </w:r>
      <w:r>
        <w:tab/>
        <w:t>Меры, принятые Меджлисом для изменения положений Уголовного кодекса и других соответствующих законодательных актов, касающихся ненавистнических высказываний на расовой почве, подстрекательства к расовой ненависти и преступлений на почве расовой ненависти, в соответствии со статьей 4 Конвенции. Меры, принятые для обеспечения того, чтобы положения Уголовного кодекса и другие меры по борьбе с языком ненависти не использовались таким образом, который приводит к ненужному или непропорциональному вмешательству в свободу выражения мнений или свободу мирных собраний и ассоциаций в отношении деятельности организаций гражданского общества, правозащитников и журналистов, в частности тех, кто занимается правами этнических меньшинств</w:t>
      </w:r>
      <w:r w:rsidRPr="009C5E1E">
        <w:rPr>
          <w:rStyle w:val="aa"/>
        </w:rPr>
        <w:footnoteReference w:id="10"/>
      </w:r>
      <w:r>
        <w:t xml:space="preserve">. </w:t>
      </w:r>
    </w:p>
    <w:p w14:paraId="0DDDF9CB" w14:textId="2138B289" w:rsidR="009C5E1E" w:rsidRPr="009C5E1E" w:rsidRDefault="009C5E1E" w:rsidP="009C5E1E">
      <w:pPr>
        <w:pStyle w:val="SingleTxtG"/>
      </w:pPr>
      <w:r>
        <w:t>9.</w:t>
      </w:r>
      <w:r>
        <w:tab/>
        <w:t>Информация о мерах по эффективному расследованию, преследованию и борьбе с расистскими высказываниями на почве ненависти и наказании виновных</w:t>
      </w:r>
      <w:r w:rsidRPr="009C5E1E">
        <w:rPr>
          <w:rStyle w:val="aa"/>
        </w:rPr>
        <w:footnoteReference w:id="11"/>
      </w:r>
      <w:r>
        <w:t>.</w:t>
      </w:r>
    </w:p>
    <w:p w14:paraId="17C49C8B" w14:textId="77777777" w:rsidR="009C5E1E" w:rsidRPr="007C5415" w:rsidRDefault="009C5E1E" w:rsidP="009C5E1E">
      <w:pPr>
        <w:pStyle w:val="H23G"/>
      </w:pPr>
      <w:r>
        <w:lastRenderedPageBreak/>
        <w:tab/>
      </w:r>
      <w:r>
        <w:tab/>
      </w:r>
      <w:r>
        <w:rPr>
          <w:bCs/>
        </w:rPr>
        <w:t>Организации гражданского общества (ст. 5)</w:t>
      </w:r>
    </w:p>
    <w:p w14:paraId="6CB64064" w14:textId="77777777" w:rsidR="009C5E1E" w:rsidRPr="007C5415" w:rsidRDefault="009C5E1E" w:rsidP="009C5E1E">
      <w:pPr>
        <w:pStyle w:val="SingleTxtG"/>
      </w:pPr>
      <w:r>
        <w:t>10.</w:t>
      </w:r>
      <w:r>
        <w:tab/>
        <w:t>Информация о зарегистрированных организациях гражданского общества, в частности тех, которые занимаются правами этнических групп</w:t>
      </w:r>
      <w:r w:rsidRPr="009C5E1E">
        <w:rPr>
          <w:rStyle w:val="aa"/>
        </w:rPr>
        <w:footnoteReference w:id="12"/>
      </w:r>
      <w:r>
        <w:t xml:space="preserve">. Меры, принятые для обеспечения того, чтобы организации гражданского общества, правозащитники и журналисты, включая тех, кто занимается правами этнических меньшинств, могли эффективно и без запугивания выполнять свою работу. </w:t>
      </w:r>
    </w:p>
    <w:p w14:paraId="26D11BB2" w14:textId="77777777" w:rsidR="009C5E1E" w:rsidRPr="007C5415" w:rsidRDefault="009C5E1E" w:rsidP="009C5E1E">
      <w:pPr>
        <w:pStyle w:val="H23G"/>
      </w:pPr>
      <w:r>
        <w:tab/>
      </w:r>
      <w:r>
        <w:tab/>
      </w:r>
      <w:r>
        <w:rPr>
          <w:bCs/>
        </w:rPr>
        <w:t>Положение этнических меньшинств (ст. 2, 5 и 7)</w:t>
      </w:r>
    </w:p>
    <w:p w14:paraId="3F203FC6" w14:textId="77777777" w:rsidR="009C5E1E" w:rsidRPr="007C5415" w:rsidRDefault="009C5E1E" w:rsidP="009C5E1E">
      <w:pPr>
        <w:pStyle w:val="SingleTxtG"/>
      </w:pPr>
      <w:r>
        <w:t>11.</w:t>
      </w:r>
      <w:r>
        <w:tab/>
        <w:t>Меры, принятые для обеспечения доступа представителей этнических меньшинств к образованию на всех уровнях на их родном языке, включая создание школ и издание школьных учебников на языках меньшинств</w:t>
      </w:r>
      <w:r w:rsidRPr="009C5E1E">
        <w:rPr>
          <w:rStyle w:val="aa"/>
        </w:rPr>
        <w:footnoteReference w:id="13"/>
      </w:r>
      <w:r>
        <w:t xml:space="preserve">. </w:t>
      </w:r>
    </w:p>
    <w:p w14:paraId="533B6D0A" w14:textId="77777777" w:rsidR="009C5E1E" w:rsidRPr="007C5415" w:rsidRDefault="009C5E1E" w:rsidP="009C5E1E">
      <w:pPr>
        <w:pStyle w:val="SingleTxtG"/>
      </w:pPr>
      <w:r>
        <w:t>12.</w:t>
      </w:r>
      <w:r>
        <w:tab/>
        <w:t>Меры по обеспечению эффективного участия и представительства этнических меньшинств в общественной и политической жизни, особенно в государственных учреждениях, полиции и судебной системе, а также по обеспечению осуществления ими экономических, социальных и культурных прав, в том числе путем принятия и реализации специальных мер</w:t>
      </w:r>
      <w:r w:rsidRPr="009C5E1E">
        <w:rPr>
          <w:rStyle w:val="aa"/>
        </w:rPr>
        <w:footnoteReference w:id="14"/>
      </w:r>
      <w:r>
        <w:t>.</w:t>
      </w:r>
    </w:p>
    <w:p w14:paraId="29D2F7DE" w14:textId="77777777" w:rsidR="009C5E1E" w:rsidRPr="007C5415" w:rsidRDefault="009C5E1E" w:rsidP="009C5E1E">
      <w:pPr>
        <w:pStyle w:val="SingleTxtG"/>
      </w:pPr>
      <w:r>
        <w:t>13.</w:t>
      </w:r>
      <w:r>
        <w:tab/>
        <w:t>Обновленная информация о мерах, принятых для защиты прав меньшинств, включая их право на свободу мысли, совести и религии без какой-либо дискриминации по признаку расы, цвета кожи, родового, национального или этнического происхождения, а также о влиянии реализации Закона о свободе религии и религиозных организациях 2016 года</w:t>
      </w:r>
      <w:r w:rsidRPr="009C5E1E">
        <w:rPr>
          <w:rStyle w:val="aa"/>
        </w:rPr>
        <w:footnoteReference w:id="15"/>
      </w:r>
      <w:r>
        <w:t xml:space="preserve">. </w:t>
      </w:r>
    </w:p>
    <w:p w14:paraId="1D7BD452" w14:textId="1725ECAA" w:rsidR="009C5E1E" w:rsidRPr="007C5415" w:rsidRDefault="009C5E1E" w:rsidP="009C5E1E">
      <w:pPr>
        <w:pStyle w:val="H23G"/>
      </w:pPr>
      <w:r>
        <w:tab/>
      </w:r>
      <w:r>
        <w:tab/>
      </w:r>
      <w:r>
        <w:rPr>
          <w:bCs/>
        </w:rPr>
        <w:t xml:space="preserve">Положение неграждан, включая просителей убежища, беженцев и лиц </w:t>
      </w:r>
      <w:r>
        <w:rPr>
          <w:bCs/>
        </w:rPr>
        <w:br/>
      </w:r>
      <w:r>
        <w:rPr>
          <w:bCs/>
        </w:rPr>
        <w:t>без гражданства (ст. 2 и 5)</w:t>
      </w:r>
    </w:p>
    <w:p w14:paraId="328D0B02" w14:textId="77777777" w:rsidR="009C5E1E" w:rsidRPr="007C5415" w:rsidRDefault="009C5E1E" w:rsidP="009C5E1E">
      <w:pPr>
        <w:pStyle w:val="SingleTxtG"/>
      </w:pPr>
      <w:r>
        <w:t>14.</w:t>
      </w:r>
      <w:r>
        <w:tab/>
        <w:t>Обновленная информация о законодательной и политической базе в отношении просителей убежища и беженцев, включая обновленную информацию о мерах по предотвращению выдворения просителей убежища</w:t>
      </w:r>
      <w:r w:rsidRPr="009C5E1E">
        <w:rPr>
          <w:rStyle w:val="aa"/>
        </w:rPr>
        <w:footnoteReference w:id="16"/>
      </w:r>
      <w:r>
        <w:t>. Дополнительная информация о реализации Закона о беженцах от 2017 года и его воздействии.</w:t>
      </w:r>
    </w:p>
    <w:p w14:paraId="67EC0E8F" w14:textId="1273F1E8" w:rsidR="009C5E1E" w:rsidRPr="007C5415" w:rsidRDefault="009C5E1E" w:rsidP="009C5E1E">
      <w:pPr>
        <w:pStyle w:val="SingleTxtG"/>
      </w:pPr>
      <w:r>
        <w:t>15.</w:t>
      </w:r>
      <w:r>
        <w:tab/>
        <w:t xml:space="preserve">Обновленная и подробная информация о мерах по предотвращению и защите лиц от безгражданства, включая информацию о процедуре определения безгражданства и о мерах по устранению препятствий для регистрации рождения, в свете Национального плана действий по искоренению безгражданства на период </w:t>
      </w:r>
      <w:r>
        <w:br/>
      </w:r>
      <w:r>
        <w:t>2018</w:t>
      </w:r>
      <w:r>
        <w:t>–</w:t>
      </w:r>
      <w:r>
        <w:t>2024 годов</w:t>
      </w:r>
      <w:r w:rsidRPr="009C5E1E">
        <w:rPr>
          <w:rStyle w:val="aa"/>
        </w:rPr>
        <w:footnoteReference w:id="17"/>
      </w:r>
      <w:r>
        <w:t xml:space="preserve">. </w:t>
      </w:r>
    </w:p>
    <w:p w14:paraId="65F7850C" w14:textId="77777777" w:rsidR="009C5E1E" w:rsidRPr="007C5415" w:rsidRDefault="009C5E1E" w:rsidP="009C5E1E">
      <w:pPr>
        <w:pStyle w:val="SingleTxtG"/>
      </w:pPr>
      <w:r>
        <w:t>16.</w:t>
      </w:r>
      <w:r>
        <w:tab/>
        <w:t>Меры по обеспечению доступа неграждан к образованию, занятости, жилью и медицинским услугам без дискриминации. Информация о мерах по обеспечению того, чтобы семьи могли получать визы</w:t>
      </w:r>
      <w:r w:rsidRPr="009C5E1E">
        <w:rPr>
          <w:rStyle w:val="aa"/>
        </w:rPr>
        <w:footnoteReference w:id="18"/>
      </w:r>
      <w:r>
        <w:t>.</w:t>
      </w:r>
    </w:p>
    <w:p w14:paraId="63B81C49" w14:textId="6F295410" w:rsidR="009C5E1E" w:rsidRPr="007C5415" w:rsidRDefault="009C5E1E" w:rsidP="009C5E1E">
      <w:pPr>
        <w:pStyle w:val="H23G"/>
      </w:pPr>
      <w:r>
        <w:tab/>
      </w:r>
      <w:r>
        <w:tab/>
        <w:t>Образовани</w:t>
      </w:r>
      <w:r>
        <w:rPr>
          <w:bCs/>
        </w:rPr>
        <w:t xml:space="preserve">е в области прав человека в целях борьбы с предрассудками </w:t>
      </w:r>
      <w:r>
        <w:rPr>
          <w:bCs/>
        </w:rPr>
        <w:br/>
      </w:r>
      <w:r>
        <w:rPr>
          <w:bCs/>
        </w:rPr>
        <w:t>и нетерпимостью (ст. 7)</w:t>
      </w:r>
    </w:p>
    <w:p w14:paraId="2922112F" w14:textId="77777777" w:rsidR="009C5E1E" w:rsidRPr="007C5415" w:rsidRDefault="009C5E1E" w:rsidP="009C5E1E">
      <w:pPr>
        <w:pStyle w:val="SingleTxtG"/>
      </w:pPr>
      <w:r>
        <w:t>17.</w:t>
      </w:r>
      <w:r>
        <w:tab/>
        <w:t xml:space="preserve">Информация о мерах по развитию образования в области прав человека, в том числе по способам борьбы с расовой дискриминацией, во всех школьных программах, университетских программах и программах подготовки учителей, а также о мерах по повышению осведомленности широкой общественности, государственных служащих, сотрудников правоохранительных и судебных органов о важности культурного разнообразия, терпимости и межэтнического взаимопонимания. </w:t>
      </w:r>
    </w:p>
    <w:p w14:paraId="6D32B501" w14:textId="051419AA" w:rsidR="00381C24" w:rsidRPr="009C5E1E" w:rsidRDefault="009C5E1E" w:rsidP="009C5E1E">
      <w:pPr>
        <w:spacing w:before="240"/>
        <w:jc w:val="center"/>
      </w:pPr>
      <w:r w:rsidRPr="007C5415">
        <w:rPr>
          <w:u w:val="single"/>
        </w:rPr>
        <w:tab/>
      </w:r>
      <w:r w:rsidRPr="007C5415">
        <w:rPr>
          <w:u w:val="single"/>
        </w:rPr>
        <w:tab/>
      </w:r>
      <w:r w:rsidRPr="007C5415">
        <w:rPr>
          <w:u w:val="single"/>
        </w:rPr>
        <w:tab/>
      </w:r>
    </w:p>
    <w:sectPr w:rsidR="00381C24" w:rsidRPr="009C5E1E" w:rsidSect="009C5E1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1863" w14:textId="77777777" w:rsidR="00A605D0" w:rsidRPr="00A312BC" w:rsidRDefault="00A605D0" w:rsidP="00A312BC"/>
  </w:endnote>
  <w:endnote w:type="continuationSeparator" w:id="0">
    <w:p w14:paraId="536BFF67" w14:textId="77777777" w:rsidR="00A605D0" w:rsidRPr="00A312BC" w:rsidRDefault="00A605D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570A7" w14:textId="0991301A" w:rsidR="009C5E1E" w:rsidRPr="009C5E1E" w:rsidRDefault="009C5E1E">
    <w:pPr>
      <w:pStyle w:val="a8"/>
    </w:pPr>
    <w:r w:rsidRPr="009C5E1E">
      <w:rPr>
        <w:b/>
        <w:sz w:val="18"/>
      </w:rPr>
      <w:fldChar w:fldCharType="begin"/>
    </w:r>
    <w:r w:rsidRPr="009C5E1E">
      <w:rPr>
        <w:b/>
        <w:sz w:val="18"/>
      </w:rPr>
      <w:instrText xml:space="preserve"> PAGE  \* MERGEFORMAT </w:instrText>
    </w:r>
    <w:r w:rsidRPr="009C5E1E">
      <w:rPr>
        <w:b/>
        <w:sz w:val="18"/>
      </w:rPr>
      <w:fldChar w:fldCharType="separate"/>
    </w:r>
    <w:r w:rsidRPr="009C5E1E">
      <w:rPr>
        <w:b/>
        <w:noProof/>
        <w:sz w:val="18"/>
      </w:rPr>
      <w:t>2</w:t>
    </w:r>
    <w:r w:rsidRPr="009C5E1E">
      <w:rPr>
        <w:b/>
        <w:sz w:val="18"/>
      </w:rPr>
      <w:fldChar w:fldCharType="end"/>
    </w:r>
    <w:r>
      <w:rPr>
        <w:b/>
        <w:sz w:val="18"/>
      </w:rPr>
      <w:tab/>
    </w:r>
    <w:r>
      <w:t>GE.23-11308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A12B2" w14:textId="2B570CF6" w:rsidR="009C5E1E" w:rsidRPr="009C5E1E" w:rsidRDefault="009C5E1E" w:rsidP="009C5E1E">
    <w:pPr>
      <w:pStyle w:val="a8"/>
      <w:tabs>
        <w:tab w:val="clear" w:pos="9639"/>
        <w:tab w:val="right" w:pos="9638"/>
      </w:tabs>
      <w:rPr>
        <w:b/>
        <w:sz w:val="18"/>
      </w:rPr>
    </w:pPr>
    <w:r>
      <w:t>GE.23-11308</w:t>
    </w:r>
    <w:r>
      <w:tab/>
    </w:r>
    <w:r w:rsidRPr="009C5E1E">
      <w:rPr>
        <w:b/>
        <w:sz w:val="18"/>
      </w:rPr>
      <w:fldChar w:fldCharType="begin"/>
    </w:r>
    <w:r w:rsidRPr="009C5E1E">
      <w:rPr>
        <w:b/>
        <w:sz w:val="18"/>
      </w:rPr>
      <w:instrText xml:space="preserve"> PAGE  \* MERGEFORMAT </w:instrText>
    </w:r>
    <w:r w:rsidRPr="009C5E1E">
      <w:rPr>
        <w:b/>
        <w:sz w:val="18"/>
      </w:rPr>
      <w:fldChar w:fldCharType="separate"/>
    </w:r>
    <w:r w:rsidRPr="009C5E1E">
      <w:rPr>
        <w:b/>
        <w:noProof/>
        <w:sz w:val="18"/>
      </w:rPr>
      <w:t>3</w:t>
    </w:r>
    <w:r w:rsidRPr="009C5E1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7B82C" w14:textId="01A782AA" w:rsidR="00042B72" w:rsidRPr="009C5E1E" w:rsidRDefault="009C5E1E" w:rsidP="009C5E1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170E451" wp14:editId="054AE33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23-11308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65B922B" wp14:editId="044DFB8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270623   280623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816C6" w14:textId="77777777" w:rsidR="00A605D0" w:rsidRPr="001075E9" w:rsidRDefault="00A605D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44F4007" w14:textId="77777777" w:rsidR="00A605D0" w:rsidRDefault="00A605D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57CFBF8" w14:textId="355E2AA8" w:rsidR="009C5E1E" w:rsidRPr="009C5E1E" w:rsidRDefault="009C5E1E" w:rsidP="009C5E1E">
      <w:pPr>
        <w:pStyle w:val="ad"/>
        <w:rPr>
          <w:lang w:val="en-US"/>
        </w:rPr>
      </w:pPr>
      <w:r>
        <w:tab/>
      </w:r>
      <w:r w:rsidRPr="009C5E1E">
        <w:rPr>
          <w:rStyle w:val="aa"/>
        </w:rPr>
        <w:footnoteRef/>
      </w:r>
      <w:r w:rsidRPr="009C5E1E">
        <w:rPr>
          <w:lang w:val="en-US"/>
        </w:rPr>
        <w:tab/>
      </w:r>
      <w:hyperlink r:id="rId1" w:history="1">
        <w:r>
          <w:rPr>
            <w:rStyle w:val="af1"/>
            <w:lang w:val="en-US"/>
          </w:rPr>
          <w:t>A/65/18</w:t>
        </w:r>
      </w:hyperlink>
      <w:r w:rsidRPr="009C5E1E">
        <w:rPr>
          <w:lang w:val="en-US"/>
        </w:rPr>
        <w:t xml:space="preserve">, </w:t>
      </w:r>
      <w:r>
        <w:t>п</w:t>
      </w:r>
      <w:r w:rsidRPr="009C5E1E">
        <w:rPr>
          <w:lang w:val="en-US"/>
        </w:rPr>
        <w:t>. 85.</w:t>
      </w:r>
    </w:p>
  </w:footnote>
  <w:footnote w:id="2">
    <w:p w14:paraId="26DB13FD" w14:textId="22E4813D" w:rsidR="009C5E1E" w:rsidRPr="009C5E1E" w:rsidRDefault="009C5E1E" w:rsidP="009C5E1E">
      <w:pPr>
        <w:pStyle w:val="ad"/>
        <w:rPr>
          <w:lang w:val="en-US"/>
        </w:rPr>
      </w:pPr>
      <w:r w:rsidRPr="009C5E1E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2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5</w:t>
      </w:r>
      <w:proofErr w:type="gramEnd"/>
      <w:r w:rsidRPr="004F6697">
        <w:rPr>
          <w:lang w:val="en-US"/>
        </w:rPr>
        <w:t xml:space="preserve">; </w:t>
      </w:r>
      <w:hyperlink r:id="rId3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11</w:t>
      </w:r>
      <w:r w:rsidR="009116BB" w:rsidRPr="009116BB">
        <w:rPr>
          <w:lang w:val="en-US"/>
        </w:rPr>
        <w:t>–</w:t>
      </w:r>
      <w:r w:rsidRPr="004F6697">
        <w:rPr>
          <w:lang w:val="en-US"/>
        </w:rPr>
        <w:t>22.</w:t>
      </w:r>
      <w:bookmarkStart w:id="0" w:name="_Hlk136418081"/>
      <w:bookmarkEnd w:id="0"/>
    </w:p>
  </w:footnote>
  <w:footnote w:id="3">
    <w:p w14:paraId="3D9AA1E8" w14:textId="07B3023E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4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7</w:t>
      </w:r>
      <w:proofErr w:type="gramEnd"/>
      <w:r w:rsidRPr="004F6697">
        <w:rPr>
          <w:lang w:val="en-US"/>
        </w:rPr>
        <w:t xml:space="preserve">; </w:t>
      </w:r>
      <w:hyperlink r:id="rId5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23</w:t>
      </w:r>
      <w:r w:rsidR="009116BB" w:rsidRPr="009116BB">
        <w:rPr>
          <w:lang w:val="en-US"/>
        </w:rPr>
        <w:t>–</w:t>
      </w:r>
      <w:r w:rsidRPr="004F6697">
        <w:rPr>
          <w:lang w:val="en-US"/>
        </w:rPr>
        <w:t>27.</w:t>
      </w:r>
    </w:p>
  </w:footnote>
  <w:footnote w:id="4">
    <w:p w14:paraId="704228AE" w14:textId="7CB0B8FC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9C5E1E">
        <w:rPr>
          <w:lang w:val="en-US"/>
        </w:rPr>
        <w:tab/>
      </w:r>
      <w:hyperlink r:id="rId6" w:history="1">
        <w:r>
          <w:rPr>
            <w:rStyle w:val="af1"/>
            <w:lang w:val="en-US"/>
          </w:rPr>
          <w:t>CERD/C/TKM/CO/8-11</w:t>
        </w:r>
      </w:hyperlink>
      <w:r w:rsidRPr="009C5E1E">
        <w:rPr>
          <w:lang w:val="en-US"/>
        </w:rPr>
        <w:t xml:space="preserve">, </w:t>
      </w:r>
      <w:r>
        <w:t>п</w:t>
      </w:r>
      <w:r w:rsidRPr="009C5E1E">
        <w:rPr>
          <w:lang w:val="en-US"/>
        </w:rPr>
        <w:t xml:space="preserve">. </w:t>
      </w:r>
      <w:proofErr w:type="gramStart"/>
      <w:r w:rsidRPr="009C5E1E">
        <w:rPr>
          <w:lang w:val="en-US"/>
        </w:rPr>
        <w:t>15</w:t>
      </w:r>
      <w:proofErr w:type="gramEnd"/>
      <w:r w:rsidRPr="009C5E1E">
        <w:rPr>
          <w:lang w:val="en-US"/>
        </w:rPr>
        <w:t>.</w:t>
      </w:r>
    </w:p>
  </w:footnote>
  <w:footnote w:id="5">
    <w:p w14:paraId="351F8E87" w14:textId="6A5CABCC" w:rsidR="009C5E1E" w:rsidRPr="009C5E1E" w:rsidRDefault="009C5E1E" w:rsidP="009C5E1E">
      <w:pPr>
        <w:pStyle w:val="ad"/>
        <w:rPr>
          <w:lang w:val="en-US"/>
        </w:rPr>
      </w:pPr>
      <w:r w:rsidRPr="009C5E1E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7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25</w:t>
      </w:r>
      <w:proofErr w:type="gramEnd"/>
      <w:r w:rsidRPr="004F6697">
        <w:rPr>
          <w:lang w:val="en-US"/>
        </w:rPr>
        <w:t xml:space="preserve">; </w:t>
      </w:r>
      <w:r>
        <w:t>и</w:t>
      </w:r>
      <w:r w:rsidRPr="004F6697">
        <w:rPr>
          <w:lang w:val="en-US"/>
        </w:rPr>
        <w:t xml:space="preserve"> </w:t>
      </w:r>
      <w:hyperlink r:id="rId8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 xml:space="preserve">. 163 </w:t>
      </w:r>
      <w:r>
        <w:t>и</w:t>
      </w:r>
      <w:r w:rsidRPr="004F6697">
        <w:rPr>
          <w:lang w:val="en-US"/>
        </w:rPr>
        <w:t xml:space="preserve"> 176</w:t>
      </w:r>
      <w:r w:rsidR="009116BB" w:rsidRPr="009116BB">
        <w:rPr>
          <w:lang w:val="en-US"/>
        </w:rPr>
        <w:t>–</w:t>
      </w:r>
      <w:r w:rsidRPr="004F6697">
        <w:rPr>
          <w:lang w:val="en-US"/>
        </w:rPr>
        <w:t>194.</w:t>
      </w:r>
    </w:p>
  </w:footnote>
  <w:footnote w:id="6">
    <w:p w14:paraId="16AB9980" w14:textId="6EDD124F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9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21</w:t>
      </w:r>
      <w:proofErr w:type="gramEnd"/>
      <w:r w:rsidRPr="004F6697">
        <w:rPr>
          <w:lang w:val="en-US"/>
        </w:rPr>
        <w:t xml:space="preserve">; </w:t>
      </w:r>
      <w:hyperlink r:id="rId10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164</w:t>
      </w:r>
      <w:r w:rsidR="009116BB" w:rsidRPr="009116BB">
        <w:rPr>
          <w:lang w:val="en-US"/>
        </w:rPr>
        <w:t>–</w:t>
      </w:r>
      <w:r w:rsidRPr="004F6697">
        <w:rPr>
          <w:lang w:val="en-US"/>
        </w:rPr>
        <w:t>167.</w:t>
      </w:r>
    </w:p>
  </w:footnote>
  <w:footnote w:id="7">
    <w:p w14:paraId="502C8FC7" w14:textId="4EEE0B0E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bookmarkStart w:id="1" w:name="_Hlk136421798"/>
      <w:r w:rsidRPr="004F6697">
        <w:rPr>
          <w:lang w:val="en-US"/>
        </w:rPr>
        <w:tab/>
      </w:r>
      <w:hyperlink r:id="rId11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21</w:t>
      </w:r>
      <w:proofErr w:type="gramEnd"/>
      <w:r w:rsidRPr="004F6697">
        <w:rPr>
          <w:lang w:val="en-US"/>
        </w:rPr>
        <w:t xml:space="preserve">; </w:t>
      </w:r>
      <w:hyperlink r:id="rId12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163</w:t>
      </w:r>
      <w:r w:rsidR="009116BB" w:rsidRPr="009116BB">
        <w:rPr>
          <w:lang w:val="en-US"/>
        </w:rPr>
        <w:t>–</w:t>
      </w:r>
      <w:r w:rsidRPr="004F6697">
        <w:rPr>
          <w:lang w:val="en-US"/>
        </w:rPr>
        <w:t>168.</w:t>
      </w:r>
      <w:bookmarkEnd w:id="1"/>
    </w:p>
  </w:footnote>
  <w:footnote w:id="8">
    <w:p w14:paraId="58949BAF" w14:textId="16056673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13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23</w:t>
      </w:r>
      <w:proofErr w:type="gramEnd"/>
      <w:r w:rsidRPr="004F6697">
        <w:rPr>
          <w:lang w:val="en-US"/>
        </w:rPr>
        <w:t xml:space="preserve">; </w:t>
      </w:r>
      <w:hyperlink r:id="rId14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169</w:t>
      </w:r>
      <w:r w:rsidR="009116BB" w:rsidRPr="009116BB">
        <w:rPr>
          <w:lang w:val="en-US"/>
        </w:rPr>
        <w:t>–</w:t>
      </w:r>
      <w:r w:rsidRPr="004F6697">
        <w:rPr>
          <w:lang w:val="en-US"/>
        </w:rPr>
        <w:t>175.</w:t>
      </w:r>
    </w:p>
  </w:footnote>
  <w:footnote w:id="9">
    <w:p w14:paraId="582572F9" w14:textId="49A4B9A2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15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11</w:t>
      </w:r>
      <w:proofErr w:type="gramEnd"/>
      <w:r w:rsidRPr="004F6697">
        <w:rPr>
          <w:lang w:val="en-US"/>
        </w:rPr>
        <w:t xml:space="preserve">; </w:t>
      </w:r>
      <w:hyperlink r:id="rId16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33</w:t>
      </w:r>
      <w:r w:rsidR="009116BB" w:rsidRPr="009116BB">
        <w:rPr>
          <w:lang w:val="en-US"/>
        </w:rPr>
        <w:t>–</w:t>
      </w:r>
      <w:r w:rsidRPr="004F6697">
        <w:rPr>
          <w:lang w:val="en-US"/>
        </w:rPr>
        <w:t xml:space="preserve">68. </w:t>
      </w:r>
    </w:p>
  </w:footnote>
  <w:footnote w:id="10">
    <w:p w14:paraId="2FB8919A" w14:textId="735935EC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17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9</w:t>
      </w:r>
      <w:proofErr w:type="gramEnd"/>
      <w:r w:rsidRPr="004F6697">
        <w:rPr>
          <w:lang w:val="en-US"/>
        </w:rPr>
        <w:t xml:space="preserve">; </w:t>
      </w:r>
      <w:hyperlink r:id="rId18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28</w:t>
      </w:r>
      <w:r w:rsidR="009116BB" w:rsidRPr="009116BB">
        <w:rPr>
          <w:lang w:val="en-US"/>
        </w:rPr>
        <w:t>–</w:t>
      </w:r>
      <w:r w:rsidRPr="004F6697">
        <w:rPr>
          <w:lang w:val="en-US"/>
        </w:rPr>
        <w:t>32.</w:t>
      </w:r>
    </w:p>
  </w:footnote>
  <w:footnote w:id="11">
    <w:p w14:paraId="56B67DF0" w14:textId="5DC2CE4A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9C5E1E">
        <w:rPr>
          <w:lang w:val="en-US"/>
        </w:rPr>
        <w:tab/>
      </w:r>
      <w:hyperlink r:id="rId19" w:history="1">
        <w:r>
          <w:rPr>
            <w:rStyle w:val="af1"/>
            <w:lang w:val="en-US"/>
          </w:rPr>
          <w:t>CERD/C/TKM/CO/8-11</w:t>
        </w:r>
      </w:hyperlink>
      <w:r w:rsidRPr="009C5E1E">
        <w:rPr>
          <w:lang w:val="en-US"/>
        </w:rPr>
        <w:t xml:space="preserve">, </w:t>
      </w:r>
      <w:r>
        <w:t>п</w:t>
      </w:r>
      <w:r w:rsidRPr="009C5E1E">
        <w:rPr>
          <w:lang w:val="en-US"/>
        </w:rPr>
        <w:t xml:space="preserve">. </w:t>
      </w:r>
      <w:proofErr w:type="gramStart"/>
      <w:r w:rsidRPr="009C5E1E">
        <w:rPr>
          <w:lang w:val="en-US"/>
        </w:rPr>
        <w:t>9</w:t>
      </w:r>
      <w:proofErr w:type="gramEnd"/>
      <w:r w:rsidRPr="009C5E1E">
        <w:rPr>
          <w:lang w:val="en-US"/>
        </w:rPr>
        <w:t xml:space="preserve">. </w:t>
      </w:r>
    </w:p>
  </w:footnote>
  <w:footnote w:id="12">
    <w:p w14:paraId="320A347C" w14:textId="3A1E1BC3" w:rsidR="009C5E1E" w:rsidRPr="00F70589" w:rsidRDefault="009C5E1E" w:rsidP="009C5E1E">
      <w:pPr>
        <w:pStyle w:val="ad"/>
      </w:pPr>
      <w:r w:rsidRPr="009C5E1E">
        <w:rPr>
          <w:lang w:val="en-US"/>
        </w:rPr>
        <w:tab/>
      </w:r>
      <w:r w:rsidRPr="009C5E1E">
        <w:rPr>
          <w:rStyle w:val="aa"/>
        </w:rPr>
        <w:footnoteRef/>
      </w:r>
      <w:r>
        <w:tab/>
        <w:t xml:space="preserve">Там же, п. 29; и </w:t>
      </w:r>
      <w:hyperlink r:id="rId20" w:history="1">
        <w:r>
          <w:rPr>
            <w:rStyle w:val="af1"/>
          </w:rPr>
          <w:t>CERD/C/TKM/12-13</w:t>
        </w:r>
      </w:hyperlink>
      <w:r>
        <w:t>, п. 199.</w:t>
      </w:r>
    </w:p>
  </w:footnote>
  <w:footnote w:id="13">
    <w:p w14:paraId="4C8C39C9" w14:textId="4EA16FEC" w:rsidR="009C5E1E" w:rsidRPr="009C5E1E" w:rsidRDefault="009C5E1E" w:rsidP="009C5E1E">
      <w:pPr>
        <w:pStyle w:val="ad"/>
        <w:rPr>
          <w:lang w:val="en-US"/>
        </w:rPr>
      </w:pPr>
      <w: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21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15</w:t>
      </w:r>
      <w:proofErr w:type="gramEnd"/>
      <w:r w:rsidRPr="004F6697">
        <w:rPr>
          <w:lang w:val="en-US"/>
        </w:rPr>
        <w:t xml:space="preserve">; </w:t>
      </w:r>
      <w:hyperlink r:id="rId22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104</w:t>
      </w:r>
      <w:r w:rsidR="00E44195" w:rsidRPr="00E44195">
        <w:rPr>
          <w:lang w:val="en-US"/>
        </w:rPr>
        <w:t>–</w:t>
      </w:r>
      <w:r w:rsidRPr="004F6697">
        <w:rPr>
          <w:lang w:val="en-US"/>
        </w:rPr>
        <w:t>112.</w:t>
      </w:r>
    </w:p>
  </w:footnote>
  <w:footnote w:id="14">
    <w:p w14:paraId="3A91AB76" w14:textId="234CBDFC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23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15</w:t>
      </w:r>
      <w:proofErr w:type="gramEnd"/>
      <w:r w:rsidRPr="004F6697">
        <w:rPr>
          <w:lang w:val="en-US"/>
        </w:rPr>
        <w:t xml:space="preserve">; </w:t>
      </w:r>
      <w:r>
        <w:t>и</w:t>
      </w:r>
      <w:r w:rsidRPr="004F6697">
        <w:rPr>
          <w:lang w:val="en-US"/>
        </w:rPr>
        <w:t xml:space="preserve"> </w:t>
      </w:r>
      <w:hyperlink r:id="rId24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113</w:t>
      </w:r>
      <w:r w:rsidR="00E44195" w:rsidRPr="00E44195">
        <w:rPr>
          <w:lang w:val="en-US"/>
        </w:rPr>
        <w:t>–</w:t>
      </w:r>
      <w:r w:rsidRPr="004F6697">
        <w:rPr>
          <w:lang w:val="en-US"/>
        </w:rPr>
        <w:t xml:space="preserve">133 </w:t>
      </w:r>
      <w:r>
        <w:t>и</w:t>
      </w:r>
      <w:r w:rsidRPr="004F6697">
        <w:rPr>
          <w:lang w:val="en-US"/>
        </w:rPr>
        <w:t xml:space="preserve"> 145</w:t>
      </w:r>
      <w:r w:rsidR="00E44195" w:rsidRPr="00E44195">
        <w:rPr>
          <w:lang w:val="en-US"/>
        </w:rPr>
        <w:t>–</w:t>
      </w:r>
      <w:r w:rsidRPr="004F6697">
        <w:rPr>
          <w:lang w:val="en-US"/>
        </w:rPr>
        <w:t>151.</w:t>
      </w:r>
    </w:p>
  </w:footnote>
  <w:footnote w:id="15">
    <w:p w14:paraId="016BA6BC" w14:textId="5F966CA8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25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13</w:t>
      </w:r>
      <w:proofErr w:type="gramEnd"/>
      <w:r w:rsidRPr="004F6697">
        <w:rPr>
          <w:lang w:val="en-US"/>
        </w:rPr>
        <w:t xml:space="preserve">; </w:t>
      </w:r>
      <w:hyperlink r:id="rId26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69</w:t>
      </w:r>
      <w:r w:rsidR="00E44195" w:rsidRPr="00E44195">
        <w:rPr>
          <w:lang w:val="en-US"/>
        </w:rPr>
        <w:t>–</w:t>
      </w:r>
      <w:r w:rsidRPr="004F6697">
        <w:rPr>
          <w:lang w:val="en-US"/>
        </w:rPr>
        <w:t>103.</w:t>
      </w:r>
    </w:p>
  </w:footnote>
  <w:footnote w:id="16">
    <w:p w14:paraId="19E83E1C" w14:textId="790A4D4F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27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17</w:t>
      </w:r>
      <w:proofErr w:type="gramEnd"/>
      <w:r w:rsidRPr="004F6697">
        <w:rPr>
          <w:lang w:val="en-US"/>
        </w:rPr>
        <w:t xml:space="preserve">; </w:t>
      </w:r>
      <w:r>
        <w:t>и</w:t>
      </w:r>
      <w:r w:rsidRPr="004F6697">
        <w:rPr>
          <w:lang w:val="en-US"/>
        </w:rPr>
        <w:t xml:space="preserve"> </w:t>
      </w:r>
      <w:hyperlink r:id="rId28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152</w:t>
      </w:r>
      <w:r w:rsidR="00E44195" w:rsidRPr="00E44195">
        <w:rPr>
          <w:lang w:val="en-US"/>
        </w:rPr>
        <w:t>–</w:t>
      </w:r>
      <w:r w:rsidRPr="004F6697">
        <w:rPr>
          <w:lang w:val="en-US"/>
        </w:rPr>
        <w:t xml:space="preserve">153 </w:t>
      </w:r>
      <w:r>
        <w:t>и</w:t>
      </w:r>
      <w:r w:rsidRPr="004F6697">
        <w:rPr>
          <w:lang w:val="en-US"/>
        </w:rPr>
        <w:t xml:space="preserve"> 148</w:t>
      </w:r>
      <w:r w:rsidR="00E44195" w:rsidRPr="00E44195">
        <w:rPr>
          <w:lang w:val="en-US"/>
        </w:rPr>
        <w:t>–</w:t>
      </w:r>
      <w:r w:rsidRPr="004F6697">
        <w:rPr>
          <w:lang w:val="en-US"/>
        </w:rPr>
        <w:t>151.</w:t>
      </w:r>
    </w:p>
  </w:footnote>
  <w:footnote w:id="17">
    <w:p w14:paraId="7DA37A68" w14:textId="36FD444A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29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19</w:t>
      </w:r>
      <w:proofErr w:type="gramEnd"/>
      <w:r w:rsidRPr="004F6697">
        <w:rPr>
          <w:lang w:val="en-US"/>
        </w:rPr>
        <w:t xml:space="preserve">; </w:t>
      </w:r>
      <w:hyperlink r:id="rId30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154</w:t>
      </w:r>
      <w:r w:rsidR="00E44195" w:rsidRPr="00E44195">
        <w:rPr>
          <w:lang w:val="en-US"/>
        </w:rPr>
        <w:t>–</w:t>
      </w:r>
      <w:r w:rsidRPr="004F6697">
        <w:rPr>
          <w:lang w:val="en-US"/>
        </w:rPr>
        <w:t xml:space="preserve">162. </w:t>
      </w:r>
    </w:p>
  </w:footnote>
  <w:footnote w:id="18">
    <w:p w14:paraId="039BE301" w14:textId="651BB848" w:rsidR="009C5E1E" w:rsidRPr="009C5E1E" w:rsidRDefault="009C5E1E" w:rsidP="009C5E1E">
      <w:pPr>
        <w:pStyle w:val="ad"/>
        <w:rPr>
          <w:lang w:val="en-US"/>
        </w:rPr>
      </w:pPr>
      <w:r w:rsidRPr="004F6697">
        <w:rPr>
          <w:lang w:val="en-US"/>
        </w:rPr>
        <w:tab/>
      </w:r>
      <w:r w:rsidRPr="009C5E1E">
        <w:rPr>
          <w:rStyle w:val="aa"/>
        </w:rPr>
        <w:footnoteRef/>
      </w:r>
      <w:r w:rsidRPr="004F6697">
        <w:rPr>
          <w:lang w:val="en-US"/>
        </w:rPr>
        <w:tab/>
      </w:r>
      <w:hyperlink r:id="rId31" w:history="1">
        <w:r>
          <w:rPr>
            <w:rStyle w:val="af1"/>
            <w:lang w:val="en-US"/>
          </w:rPr>
          <w:t>CERD/C/TKM/CO/8-11</w:t>
        </w:r>
      </w:hyperlink>
      <w:r w:rsidRPr="004F6697">
        <w:rPr>
          <w:lang w:val="en-US"/>
        </w:rPr>
        <w:t xml:space="preserve">, </w:t>
      </w:r>
      <w:r>
        <w:t>п</w:t>
      </w:r>
      <w:r w:rsidRPr="004F6697">
        <w:rPr>
          <w:lang w:val="en-US"/>
        </w:rPr>
        <w:t xml:space="preserve">. </w:t>
      </w:r>
      <w:proofErr w:type="gramStart"/>
      <w:r w:rsidRPr="004F6697">
        <w:rPr>
          <w:lang w:val="en-US"/>
        </w:rPr>
        <w:t>17</w:t>
      </w:r>
      <w:proofErr w:type="gramEnd"/>
      <w:r w:rsidRPr="004F6697">
        <w:rPr>
          <w:lang w:val="en-US"/>
        </w:rPr>
        <w:t xml:space="preserve">; </w:t>
      </w:r>
      <w:hyperlink r:id="rId32" w:history="1">
        <w:r>
          <w:rPr>
            <w:rStyle w:val="af1"/>
            <w:lang w:val="en-US"/>
          </w:rPr>
          <w:t>CERD/C/TKM/12-13</w:t>
        </w:r>
      </w:hyperlink>
      <w:r w:rsidRPr="004F6697">
        <w:rPr>
          <w:lang w:val="en-US"/>
        </w:rPr>
        <w:t xml:space="preserve">, </w:t>
      </w:r>
      <w:r>
        <w:t>пп</w:t>
      </w:r>
      <w:r w:rsidRPr="004F6697">
        <w:rPr>
          <w:lang w:val="en-US"/>
        </w:rPr>
        <w:t>. 139</w:t>
      </w:r>
      <w:r w:rsidR="00E44195" w:rsidRPr="00E44195">
        <w:rPr>
          <w:lang w:val="en-US"/>
        </w:rPr>
        <w:t>–</w:t>
      </w:r>
      <w:r w:rsidRPr="004F6697">
        <w:rPr>
          <w:lang w:val="en-US"/>
        </w:rPr>
        <w:t>151.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BDA9E" w14:textId="55C38ADD" w:rsidR="009C5E1E" w:rsidRPr="009C5E1E" w:rsidRDefault="009C5E1E">
    <w:pPr>
      <w:pStyle w:val="a5"/>
    </w:pPr>
    <w:fldSimple w:instr=" TITLE  \* MERGEFORMAT ">
      <w:r w:rsidR="00CC0469">
        <w:t>CERD/C/TKM/Q/12-13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01E39" w14:textId="760C9A28" w:rsidR="009C5E1E" w:rsidRPr="009C5E1E" w:rsidRDefault="009C5E1E" w:rsidP="009C5E1E">
    <w:pPr>
      <w:pStyle w:val="a5"/>
      <w:jc w:val="right"/>
    </w:pPr>
    <w:fldSimple w:instr=" TITLE  \* MERGEFORMAT ">
      <w:r w:rsidR="00CC0469">
        <w:t>CERD/C/TKM/Q/12-13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19163207">
    <w:abstractNumId w:val="16"/>
  </w:num>
  <w:num w:numId="2" w16cid:durableId="603193419">
    <w:abstractNumId w:val="11"/>
  </w:num>
  <w:num w:numId="3" w16cid:durableId="1927036370">
    <w:abstractNumId w:val="10"/>
  </w:num>
  <w:num w:numId="4" w16cid:durableId="979768807">
    <w:abstractNumId w:val="17"/>
  </w:num>
  <w:num w:numId="5" w16cid:durableId="1945649462">
    <w:abstractNumId w:val="13"/>
  </w:num>
  <w:num w:numId="6" w16cid:durableId="2066100270">
    <w:abstractNumId w:val="8"/>
  </w:num>
  <w:num w:numId="7" w16cid:durableId="866413260">
    <w:abstractNumId w:val="3"/>
  </w:num>
  <w:num w:numId="8" w16cid:durableId="1578662981">
    <w:abstractNumId w:val="2"/>
  </w:num>
  <w:num w:numId="9" w16cid:durableId="1508250829">
    <w:abstractNumId w:val="1"/>
  </w:num>
  <w:num w:numId="10" w16cid:durableId="700975376">
    <w:abstractNumId w:val="0"/>
  </w:num>
  <w:num w:numId="11" w16cid:durableId="987127639">
    <w:abstractNumId w:val="9"/>
  </w:num>
  <w:num w:numId="12" w16cid:durableId="969939410">
    <w:abstractNumId w:val="7"/>
  </w:num>
  <w:num w:numId="13" w16cid:durableId="1239244318">
    <w:abstractNumId w:val="6"/>
  </w:num>
  <w:num w:numId="14" w16cid:durableId="2029065766">
    <w:abstractNumId w:val="5"/>
  </w:num>
  <w:num w:numId="15" w16cid:durableId="1173885169">
    <w:abstractNumId w:val="4"/>
  </w:num>
  <w:num w:numId="16" w16cid:durableId="1593666979">
    <w:abstractNumId w:val="15"/>
  </w:num>
  <w:num w:numId="17" w16cid:durableId="1241064913">
    <w:abstractNumId w:val="12"/>
  </w:num>
  <w:num w:numId="18" w16cid:durableId="1946380828">
    <w:abstractNumId w:val="14"/>
  </w:num>
  <w:num w:numId="19" w16cid:durableId="568543944">
    <w:abstractNumId w:val="15"/>
  </w:num>
  <w:num w:numId="20" w16cid:durableId="986785663">
    <w:abstractNumId w:val="12"/>
  </w:num>
  <w:num w:numId="21" w16cid:durableId="11621651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5D0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7C49AB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6BB"/>
    <w:rsid w:val="00911BE4"/>
    <w:rsid w:val="00951972"/>
    <w:rsid w:val="009608F3"/>
    <w:rsid w:val="009A24AC"/>
    <w:rsid w:val="009C5E1E"/>
    <w:rsid w:val="009D5FCE"/>
    <w:rsid w:val="00A14DA8"/>
    <w:rsid w:val="00A312BC"/>
    <w:rsid w:val="00A605D0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60F0C"/>
    <w:rsid w:val="00C805C9"/>
    <w:rsid w:val="00C92939"/>
    <w:rsid w:val="00CA1679"/>
    <w:rsid w:val="00CB151C"/>
    <w:rsid w:val="00CC0469"/>
    <w:rsid w:val="00CE5A1A"/>
    <w:rsid w:val="00CF55F6"/>
    <w:rsid w:val="00D33D63"/>
    <w:rsid w:val="00D90028"/>
    <w:rsid w:val="00D90138"/>
    <w:rsid w:val="00DD78D1"/>
    <w:rsid w:val="00DE32CD"/>
    <w:rsid w:val="00DF71B9"/>
    <w:rsid w:val="00E2576D"/>
    <w:rsid w:val="00E32125"/>
    <w:rsid w:val="00E44195"/>
    <w:rsid w:val="00E73F76"/>
    <w:rsid w:val="00EA2C9F"/>
    <w:rsid w:val="00EA420E"/>
    <w:rsid w:val="00ED0BDA"/>
    <w:rsid w:val="00EF1360"/>
    <w:rsid w:val="00EF3220"/>
    <w:rsid w:val="00F0540A"/>
    <w:rsid w:val="00F1379F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FED72"/>
  <w15:docId w15:val="{79899558-DC8A-4106-9C25-9F336E8F4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9C5E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RD/C/TKM/12-13" TargetMode="External"/><Relationship Id="rId13" Type="http://schemas.openxmlformats.org/officeDocument/2006/relationships/hyperlink" Target="http://undocs.org/ru/CERD/C/TKM/CO/8-11" TargetMode="External"/><Relationship Id="rId18" Type="http://schemas.openxmlformats.org/officeDocument/2006/relationships/hyperlink" Target="http://undocs.org/ru/CERD/C/TKM/12-13" TargetMode="External"/><Relationship Id="rId26" Type="http://schemas.openxmlformats.org/officeDocument/2006/relationships/hyperlink" Target="http://undocs.org/ru/CERD/C/TKM/12-13" TargetMode="External"/><Relationship Id="rId3" Type="http://schemas.openxmlformats.org/officeDocument/2006/relationships/hyperlink" Target="http://undocs.org/ru/CERD/C/TKM/12-13" TargetMode="External"/><Relationship Id="rId21" Type="http://schemas.openxmlformats.org/officeDocument/2006/relationships/hyperlink" Target="http://undocs.org/ru/CERD/C/TKM/CO/8-11" TargetMode="External"/><Relationship Id="rId7" Type="http://schemas.openxmlformats.org/officeDocument/2006/relationships/hyperlink" Target="http://undocs.org/ru/CERD/C/TKM/CO/8-11" TargetMode="External"/><Relationship Id="rId12" Type="http://schemas.openxmlformats.org/officeDocument/2006/relationships/hyperlink" Target="http://undocs.org/ru/CERD/C/TKM/12-13" TargetMode="External"/><Relationship Id="rId17" Type="http://schemas.openxmlformats.org/officeDocument/2006/relationships/hyperlink" Target="http://undocs.org/ru/CERD/C/TKM/CO/8-11" TargetMode="External"/><Relationship Id="rId25" Type="http://schemas.openxmlformats.org/officeDocument/2006/relationships/hyperlink" Target="http://undocs.org/ru/CERD/C/TKM/CO/8-11" TargetMode="External"/><Relationship Id="rId2" Type="http://schemas.openxmlformats.org/officeDocument/2006/relationships/hyperlink" Target="http://undocs.org/ru/CERD/C/TKM/CO/8-11" TargetMode="External"/><Relationship Id="rId16" Type="http://schemas.openxmlformats.org/officeDocument/2006/relationships/hyperlink" Target="http://undocs.org/ru/CERD/C/TKM/12-13" TargetMode="External"/><Relationship Id="rId20" Type="http://schemas.openxmlformats.org/officeDocument/2006/relationships/hyperlink" Target="http://undocs.org/ru/CERD/C/TKM/12-13" TargetMode="External"/><Relationship Id="rId29" Type="http://schemas.openxmlformats.org/officeDocument/2006/relationships/hyperlink" Target="http://undocs.org/ru/CERD/C/TKM/CO/8-11" TargetMode="External"/><Relationship Id="rId1" Type="http://schemas.openxmlformats.org/officeDocument/2006/relationships/hyperlink" Target="http://undocs.org/ru/A/65/18" TargetMode="External"/><Relationship Id="rId6" Type="http://schemas.openxmlformats.org/officeDocument/2006/relationships/hyperlink" Target="http://undocs.org/ru/CERD/C/TKM/CO/8-11" TargetMode="External"/><Relationship Id="rId11" Type="http://schemas.openxmlformats.org/officeDocument/2006/relationships/hyperlink" Target="http://undocs.org/ru/CERD/C/TKM/CO/8-11" TargetMode="External"/><Relationship Id="rId24" Type="http://schemas.openxmlformats.org/officeDocument/2006/relationships/hyperlink" Target="http://undocs.org/ru/CERD/C/TKM/12-13" TargetMode="External"/><Relationship Id="rId32" Type="http://schemas.openxmlformats.org/officeDocument/2006/relationships/hyperlink" Target="http://undocs.org/ru/CERD/C/TKM/12-13" TargetMode="External"/><Relationship Id="rId5" Type="http://schemas.openxmlformats.org/officeDocument/2006/relationships/hyperlink" Target="http://undocs.org/ru/CERD/C/TKM/12-13" TargetMode="External"/><Relationship Id="rId15" Type="http://schemas.openxmlformats.org/officeDocument/2006/relationships/hyperlink" Target="http://undocs.org/ru/CERD/C/TKM/CO/8-11" TargetMode="External"/><Relationship Id="rId23" Type="http://schemas.openxmlformats.org/officeDocument/2006/relationships/hyperlink" Target="http://undocs.org/ru/CERD/C/TKM/CO/8-11" TargetMode="External"/><Relationship Id="rId28" Type="http://schemas.openxmlformats.org/officeDocument/2006/relationships/hyperlink" Target="http://undocs.org/ru/CERD/C/TKM/12-13" TargetMode="External"/><Relationship Id="rId10" Type="http://schemas.openxmlformats.org/officeDocument/2006/relationships/hyperlink" Target="http://undocs.org/ru/CERD/C/TKM/12-13" TargetMode="External"/><Relationship Id="rId19" Type="http://schemas.openxmlformats.org/officeDocument/2006/relationships/hyperlink" Target="http://undocs.org/ru/CERD/C/TKM/CO/8-11" TargetMode="External"/><Relationship Id="rId31" Type="http://schemas.openxmlformats.org/officeDocument/2006/relationships/hyperlink" Target="http://undocs.org/ru/CERD/C/TKM/CO/8-11" TargetMode="External"/><Relationship Id="rId4" Type="http://schemas.openxmlformats.org/officeDocument/2006/relationships/hyperlink" Target="http://undocs.org/ru/CERD/C/TKM/CO/8-11" TargetMode="External"/><Relationship Id="rId9" Type="http://schemas.openxmlformats.org/officeDocument/2006/relationships/hyperlink" Target="http://undocs.org/ru/CERD/C/TKM/CO/8-11" TargetMode="External"/><Relationship Id="rId14" Type="http://schemas.openxmlformats.org/officeDocument/2006/relationships/hyperlink" Target="http://undocs.org/ru/CERD/C/TKM/12-13" TargetMode="External"/><Relationship Id="rId22" Type="http://schemas.openxmlformats.org/officeDocument/2006/relationships/hyperlink" Target="http://undocs.org/ru/CERD/C/TKM/12-13" TargetMode="External"/><Relationship Id="rId27" Type="http://schemas.openxmlformats.org/officeDocument/2006/relationships/hyperlink" Target="http://undocs.org/ru/CERD/C/TKM/CO/8-11" TargetMode="External"/><Relationship Id="rId30" Type="http://schemas.openxmlformats.org/officeDocument/2006/relationships/hyperlink" Target="http://undocs.org/ru/CERD/C/TKM/12-1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1005</Words>
  <Characters>6805</Characters>
  <Application>Microsoft Office Word</Application>
  <DocSecurity>0</DocSecurity>
  <Lines>133</Lines>
  <Paragraphs>40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CERD/C/TKM/Q/12-13</vt:lpstr>
      <vt:lpstr>A/</vt:lpstr>
      <vt:lpstr>A/</vt:lpstr>
    </vt:vector>
  </TitlesOfParts>
  <Company>DCM</Company>
  <LinksUpToDate>false</LinksUpToDate>
  <CharactersWithSpaces>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CERD/C/TKM/Q/12-13</dc:title>
  <dc:subject/>
  <dc:creator>Anna BLAGODATSKIKH</dc:creator>
  <cp:keywords/>
  <cp:lastModifiedBy>Anna Blagodatskikh</cp:lastModifiedBy>
  <cp:revision>4</cp:revision>
  <cp:lastPrinted>2023-06-28T07:50:00Z</cp:lastPrinted>
  <dcterms:created xsi:type="dcterms:W3CDTF">2023-06-28T07:50:00Z</dcterms:created>
  <dcterms:modified xsi:type="dcterms:W3CDTF">2023-06-28T07:51:00Z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