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F7517">
      <w:pPr>
        <w:spacing w:after="320"/>
        <w:textAlignment w:val="center"/>
      </w:pPr>
      <w:r>
        <w:t>1999</w:t>
      </w:r>
      <w:r>
        <w:rPr>
          <w:rFonts w:hint="eastAsia"/>
        </w:rPr>
        <w:t>年实质性会议</w:t>
      </w:r>
    </w:p>
    <w:p w:rsidR="00000000" w:rsidRDefault="00CF7517">
      <w:pPr>
        <w:spacing w:after="320"/>
        <w:textAlignment w:val="center"/>
      </w:pPr>
    </w:p>
    <w:p w:rsidR="00000000" w:rsidRDefault="00CF7517">
      <w:pPr>
        <w:pStyle w:val="Heading2"/>
      </w:pPr>
      <w:r>
        <w:rPr>
          <w:rFonts w:hint="eastAsia"/>
        </w:rPr>
        <w:t>《经济、社会、文化权利国际盟约》的执行情况</w:t>
      </w:r>
    </w:p>
    <w:p w:rsidR="00000000" w:rsidRDefault="00CF7517">
      <w:pPr>
        <w:pStyle w:val="Heading3"/>
      </w:pPr>
      <w:r>
        <w:rPr>
          <w:rFonts w:hint="eastAsia"/>
        </w:rPr>
        <w:t>缔约国按照《盟约》第</w:t>
      </w:r>
      <w:r>
        <w:t>16</w:t>
      </w:r>
      <w:r>
        <w:rPr>
          <w:rFonts w:hint="eastAsia"/>
        </w:rPr>
        <w:t>和第</w:t>
      </w:r>
      <w:r>
        <w:t>17</w:t>
      </w:r>
      <w:r>
        <w:rPr>
          <w:rFonts w:hint="eastAsia"/>
        </w:rPr>
        <w:t>条提交的</w:t>
      </w:r>
      <w:r>
        <w:br/>
      </w:r>
      <w:r>
        <w:rPr>
          <w:rFonts w:hint="eastAsia"/>
        </w:rPr>
        <w:t>第二次定期报告</w:t>
      </w:r>
    </w:p>
    <w:p w:rsidR="00000000" w:rsidRDefault="00CF7517">
      <w:pPr>
        <w:pStyle w:val="Heading3"/>
      </w:pPr>
      <w:r>
        <w:rPr>
          <w:rFonts w:hint="eastAsia"/>
        </w:rPr>
        <w:t>增</w:t>
      </w:r>
      <w:r>
        <w:t xml:space="preserve">  </w:t>
      </w:r>
      <w:r>
        <w:rPr>
          <w:rFonts w:hint="eastAsia"/>
        </w:rPr>
        <w:t>编</w:t>
      </w:r>
    </w:p>
    <w:p w:rsidR="00000000" w:rsidRDefault="00CF7517">
      <w:pPr>
        <w:pStyle w:val="Heading2"/>
      </w:pPr>
      <w:r>
        <w:t xml:space="preserve">    </w:t>
      </w:r>
      <w:r>
        <w:rPr>
          <w:rFonts w:hint="eastAsia"/>
        </w:rPr>
        <w:t>南斯拉夫</w:t>
      </w:r>
      <w:r>
        <w:t xml:space="preserve"> </w:t>
      </w:r>
      <w:r>
        <w:rPr>
          <w:rStyle w:val="FootnoteReference"/>
        </w:rPr>
        <w:footnoteReference w:customMarkFollows="1" w:id="1"/>
        <w:t>*</w:t>
      </w:r>
      <w:r>
        <w:t xml:space="preserve"> </w:t>
      </w:r>
      <w:r>
        <w:rPr>
          <w:rStyle w:val="FootnoteReference"/>
        </w:rPr>
        <w:footnoteReference w:customMarkFollows="1" w:id="2"/>
        <w:t>**</w:t>
      </w:r>
      <w:r>
        <w:t xml:space="preserve"> </w:t>
      </w:r>
    </w:p>
    <w:p w:rsidR="00000000" w:rsidRDefault="00CF7517">
      <w:pPr>
        <w:jc w:val="right"/>
      </w:pPr>
      <w:r>
        <w:rPr>
          <w:rFonts w:hint="eastAsia"/>
        </w:rPr>
        <w:t>［</w:t>
      </w:r>
      <w:r>
        <w:t>1998</w:t>
      </w:r>
      <w:r>
        <w:rPr>
          <w:rFonts w:hint="eastAsia"/>
        </w:rPr>
        <w:t>年</w:t>
      </w:r>
      <w:r>
        <w:t>11</w:t>
      </w:r>
      <w:r>
        <w:rPr>
          <w:rFonts w:hint="eastAsia"/>
        </w:rPr>
        <w:t>月</w:t>
      </w:r>
      <w:r>
        <w:t>19</w:t>
      </w:r>
      <w:r>
        <w:rPr>
          <w:rFonts w:hint="eastAsia"/>
        </w:rPr>
        <w:t>日］</w:t>
      </w:r>
    </w:p>
    <w:p w:rsidR="00000000" w:rsidRDefault="00CF7517">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CF7517">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CF7517">
      <w:pPr>
        <w:pStyle w:val="a3"/>
      </w:pPr>
      <w:r>
        <w:rPr>
          <w:rFonts w:hint="eastAsia"/>
        </w:rPr>
        <w:t>导</w:t>
      </w:r>
      <w:r>
        <w:t xml:space="preserve">  </w:t>
      </w:r>
      <w:r>
        <w:rPr>
          <w:rFonts w:hint="eastAsia"/>
        </w:rPr>
        <w:t>言</w:t>
      </w:r>
      <w:r>
        <w:t>...........</w:t>
      </w:r>
      <w:r>
        <w:t>..............</w:t>
      </w:r>
      <w:r>
        <w:tab/>
      </w:r>
      <w:r>
        <w:tab/>
        <w:t>1</w:t>
      </w:r>
      <w:r>
        <w:tab/>
        <w:t>-</w:t>
      </w:r>
      <w:r>
        <w:tab/>
        <w:t>4</w:t>
      </w:r>
      <w:r>
        <w:tab/>
        <w:t>3</w:t>
      </w:r>
    </w:p>
    <w:p w:rsidR="00000000" w:rsidRDefault="00CF7517">
      <w:pPr>
        <w:pStyle w:val="a3"/>
        <w:ind w:left="518"/>
      </w:pPr>
      <w:r>
        <w:rPr>
          <w:rFonts w:hint="eastAsia"/>
        </w:rPr>
        <w:t>第</w:t>
      </w:r>
      <w:r>
        <w:t>1</w:t>
      </w:r>
      <w:r>
        <w:rPr>
          <w:rFonts w:hint="eastAsia"/>
        </w:rPr>
        <w:t>条</w:t>
      </w:r>
      <w:r>
        <w:t>..........</w:t>
      </w:r>
      <w:r>
        <w:tab/>
      </w:r>
      <w:r>
        <w:tab/>
      </w:r>
      <w:r>
        <w:tab/>
        <w:t>5</w:t>
      </w:r>
      <w:r>
        <w:tab/>
        <w:t>-</w:t>
      </w:r>
      <w:r>
        <w:tab/>
        <w:t>9</w:t>
      </w:r>
      <w:r>
        <w:tab/>
        <w:t>3</w:t>
      </w:r>
    </w:p>
    <w:p w:rsidR="00000000" w:rsidRDefault="00CF7517">
      <w:pPr>
        <w:pStyle w:val="a3"/>
        <w:ind w:left="518"/>
      </w:pPr>
      <w:r>
        <w:rPr>
          <w:rFonts w:hint="eastAsia"/>
        </w:rPr>
        <w:t>第</w:t>
      </w:r>
      <w:r>
        <w:t>2</w:t>
      </w:r>
      <w:r>
        <w:rPr>
          <w:rFonts w:hint="eastAsia"/>
        </w:rPr>
        <w:t>条</w:t>
      </w:r>
      <w:r>
        <w:t>...................</w:t>
      </w:r>
      <w:r>
        <w:tab/>
      </w:r>
      <w:r>
        <w:tab/>
        <w:t>10</w:t>
      </w:r>
      <w:r>
        <w:tab/>
        <w:t>-</w:t>
      </w:r>
      <w:r>
        <w:tab/>
        <w:t>13</w:t>
      </w:r>
      <w:r>
        <w:tab/>
        <w:t>4</w:t>
      </w:r>
    </w:p>
    <w:p w:rsidR="00000000" w:rsidRDefault="00CF7517">
      <w:pPr>
        <w:pStyle w:val="a3"/>
        <w:ind w:left="518"/>
      </w:pPr>
      <w:r>
        <w:rPr>
          <w:rFonts w:hint="eastAsia"/>
        </w:rPr>
        <w:t>第</w:t>
      </w:r>
      <w:r>
        <w:t>3</w:t>
      </w:r>
      <w:r>
        <w:rPr>
          <w:rFonts w:hint="eastAsia"/>
        </w:rPr>
        <w:t>条</w:t>
      </w:r>
      <w:r>
        <w:t>....................</w:t>
      </w:r>
      <w:r>
        <w:tab/>
      </w:r>
      <w:r>
        <w:tab/>
      </w:r>
      <w:r>
        <w:tab/>
        <w:t>14</w:t>
      </w:r>
      <w:r>
        <w:tab/>
      </w:r>
      <w:r>
        <w:tab/>
        <w:t>4</w:t>
      </w:r>
    </w:p>
    <w:p w:rsidR="00000000" w:rsidRDefault="00CF7517">
      <w:pPr>
        <w:pStyle w:val="a3"/>
        <w:ind w:left="518"/>
      </w:pPr>
      <w:r>
        <w:rPr>
          <w:rFonts w:hint="eastAsia"/>
        </w:rPr>
        <w:t>第</w:t>
      </w:r>
      <w:r>
        <w:t>4</w:t>
      </w:r>
      <w:r>
        <w:rPr>
          <w:rFonts w:hint="eastAsia"/>
        </w:rPr>
        <w:t>条</w:t>
      </w:r>
      <w:r>
        <w:t>.....................</w:t>
      </w:r>
      <w:r>
        <w:tab/>
      </w:r>
      <w:r>
        <w:tab/>
      </w:r>
      <w:r>
        <w:tab/>
        <w:t>15</w:t>
      </w:r>
      <w:r>
        <w:tab/>
      </w:r>
      <w:r>
        <w:tab/>
        <w:t>4</w:t>
      </w:r>
    </w:p>
    <w:p w:rsidR="00000000" w:rsidRDefault="00CF7517">
      <w:pPr>
        <w:pStyle w:val="a3"/>
        <w:ind w:left="518"/>
      </w:pPr>
      <w:r>
        <w:rPr>
          <w:rFonts w:hint="eastAsia"/>
        </w:rPr>
        <w:t>第</w:t>
      </w:r>
      <w:r>
        <w:t>5</w:t>
      </w:r>
      <w:r>
        <w:rPr>
          <w:rFonts w:hint="eastAsia"/>
        </w:rPr>
        <w:t>条</w:t>
      </w:r>
      <w:r>
        <w:t>......................</w:t>
      </w:r>
      <w:r>
        <w:tab/>
      </w:r>
      <w:r>
        <w:tab/>
        <w:t>16</w:t>
      </w:r>
      <w:r>
        <w:tab/>
        <w:t>-</w:t>
      </w:r>
      <w:r>
        <w:tab/>
        <w:t>17</w:t>
      </w:r>
      <w:r>
        <w:tab/>
        <w:t>4</w:t>
      </w:r>
    </w:p>
    <w:p w:rsidR="00000000" w:rsidRDefault="00CF7517">
      <w:pPr>
        <w:pStyle w:val="a3"/>
        <w:ind w:left="518"/>
      </w:pPr>
      <w:r>
        <w:rPr>
          <w:rFonts w:hint="eastAsia"/>
        </w:rPr>
        <w:t>第</w:t>
      </w:r>
      <w:r>
        <w:t>6</w:t>
      </w:r>
      <w:r>
        <w:rPr>
          <w:rFonts w:hint="eastAsia"/>
        </w:rPr>
        <w:t>条</w:t>
      </w:r>
      <w:r>
        <w:t>....................</w:t>
      </w:r>
      <w:r>
        <w:tab/>
      </w:r>
      <w:r>
        <w:tab/>
        <w:t>18</w:t>
      </w:r>
      <w:r>
        <w:tab/>
        <w:t>-</w:t>
      </w:r>
      <w:r>
        <w:tab/>
        <w:t>34</w:t>
      </w:r>
      <w:r>
        <w:tab/>
        <w:t>5</w:t>
      </w:r>
    </w:p>
    <w:p w:rsidR="00000000" w:rsidRDefault="00CF7517">
      <w:pPr>
        <w:pStyle w:val="a3"/>
        <w:ind w:left="518"/>
      </w:pPr>
      <w:r>
        <w:rPr>
          <w:rFonts w:hint="eastAsia"/>
        </w:rPr>
        <w:t>第</w:t>
      </w:r>
      <w:r>
        <w:t>7</w:t>
      </w:r>
      <w:r>
        <w:rPr>
          <w:rFonts w:hint="eastAsia"/>
        </w:rPr>
        <w:t>条</w:t>
      </w:r>
      <w:r>
        <w:t>.................</w:t>
      </w:r>
      <w:r>
        <w:tab/>
      </w:r>
      <w:r>
        <w:tab/>
        <w:t>35</w:t>
      </w:r>
      <w:r>
        <w:tab/>
        <w:t>-</w:t>
      </w:r>
      <w:r>
        <w:tab/>
        <w:t>72</w:t>
      </w:r>
      <w:r>
        <w:tab/>
        <w:t>8</w:t>
      </w:r>
    </w:p>
    <w:p w:rsidR="00000000" w:rsidRDefault="00CF7517">
      <w:pPr>
        <w:pStyle w:val="a3"/>
        <w:ind w:left="518"/>
      </w:pPr>
      <w:r>
        <w:rPr>
          <w:rFonts w:hint="eastAsia"/>
        </w:rPr>
        <w:t>第</w:t>
      </w:r>
      <w:r>
        <w:t>8</w:t>
      </w:r>
      <w:r>
        <w:rPr>
          <w:rFonts w:hint="eastAsia"/>
        </w:rPr>
        <w:t>条</w:t>
      </w:r>
      <w:r>
        <w:t>..</w:t>
      </w:r>
      <w:r>
        <w:t>...............</w:t>
      </w:r>
      <w:r>
        <w:tab/>
      </w:r>
      <w:r>
        <w:tab/>
        <w:t>73</w:t>
      </w:r>
      <w:r>
        <w:tab/>
        <w:t>-</w:t>
      </w:r>
      <w:r>
        <w:tab/>
        <w:t>80</w:t>
      </w:r>
      <w:r>
        <w:tab/>
        <w:t>14</w:t>
      </w:r>
    </w:p>
    <w:p w:rsidR="00000000" w:rsidRDefault="00CF7517">
      <w:pPr>
        <w:pStyle w:val="a3"/>
        <w:ind w:left="518"/>
      </w:pPr>
      <w:r>
        <w:rPr>
          <w:rFonts w:hint="eastAsia"/>
        </w:rPr>
        <w:t>第</w:t>
      </w:r>
      <w:r>
        <w:t>9</w:t>
      </w:r>
      <w:r>
        <w:rPr>
          <w:rFonts w:hint="eastAsia"/>
        </w:rPr>
        <w:t>条</w:t>
      </w:r>
      <w:r>
        <w:t>......................</w:t>
      </w:r>
      <w:r>
        <w:tab/>
      </w:r>
      <w:r>
        <w:tab/>
        <w:t>81</w:t>
      </w:r>
      <w:r>
        <w:tab/>
        <w:t>-</w:t>
      </w:r>
      <w:r>
        <w:tab/>
        <w:t>96</w:t>
      </w:r>
      <w:r>
        <w:tab/>
        <w:t>16</w:t>
      </w:r>
    </w:p>
    <w:p w:rsidR="00000000" w:rsidRDefault="00CF7517">
      <w:pPr>
        <w:pStyle w:val="a3"/>
        <w:ind w:left="518"/>
      </w:pPr>
      <w:r>
        <w:rPr>
          <w:rFonts w:hint="eastAsia"/>
        </w:rPr>
        <w:t>第</w:t>
      </w:r>
      <w:r>
        <w:t>10</w:t>
      </w:r>
      <w:r>
        <w:rPr>
          <w:rFonts w:hint="eastAsia"/>
        </w:rPr>
        <w:t>条</w:t>
      </w:r>
      <w:r>
        <w:t>...........</w:t>
      </w:r>
      <w:r>
        <w:tab/>
      </w:r>
      <w:r>
        <w:tab/>
        <w:t>97</w:t>
      </w:r>
      <w:r>
        <w:tab/>
        <w:t>-</w:t>
      </w:r>
      <w:r>
        <w:tab/>
        <w:t>125</w:t>
      </w:r>
      <w:r>
        <w:tab/>
        <w:t>19</w:t>
      </w:r>
    </w:p>
    <w:p w:rsidR="00000000" w:rsidRDefault="00CF7517">
      <w:pPr>
        <w:pStyle w:val="a3"/>
        <w:ind w:left="518"/>
      </w:pPr>
      <w:r>
        <w:rPr>
          <w:rFonts w:hint="eastAsia"/>
        </w:rPr>
        <w:t>第</w:t>
      </w:r>
      <w:r>
        <w:t>11</w:t>
      </w:r>
      <w:r>
        <w:rPr>
          <w:rFonts w:hint="eastAsia"/>
        </w:rPr>
        <w:t>条</w:t>
      </w:r>
      <w:r>
        <w:t>...............</w:t>
      </w:r>
      <w:r>
        <w:tab/>
      </w:r>
      <w:r>
        <w:tab/>
        <w:t>126</w:t>
      </w:r>
      <w:r>
        <w:tab/>
        <w:t>-</w:t>
      </w:r>
      <w:r>
        <w:tab/>
        <w:t>129</w:t>
      </w:r>
      <w:r>
        <w:tab/>
        <w:t>23</w:t>
      </w:r>
    </w:p>
    <w:p w:rsidR="00000000" w:rsidRDefault="00CF7517">
      <w:pPr>
        <w:pStyle w:val="a3"/>
        <w:ind w:left="518"/>
      </w:pPr>
      <w:r>
        <w:rPr>
          <w:rFonts w:hint="eastAsia"/>
        </w:rPr>
        <w:t>第</w:t>
      </w:r>
      <w:r>
        <w:t>12</w:t>
      </w:r>
      <w:r>
        <w:rPr>
          <w:rFonts w:hint="eastAsia"/>
        </w:rPr>
        <w:t>条</w:t>
      </w:r>
      <w:r>
        <w:t>..................</w:t>
      </w:r>
      <w:r>
        <w:tab/>
      </w:r>
      <w:r>
        <w:tab/>
        <w:t>130</w:t>
      </w:r>
      <w:r>
        <w:tab/>
        <w:t>-</w:t>
      </w:r>
      <w:r>
        <w:tab/>
        <w:t>152</w:t>
      </w:r>
      <w:r>
        <w:tab/>
        <w:t>24</w:t>
      </w:r>
    </w:p>
    <w:p w:rsidR="00000000" w:rsidRDefault="00CF7517">
      <w:pPr>
        <w:pStyle w:val="a3"/>
        <w:ind w:left="518"/>
      </w:pPr>
      <w:r>
        <w:rPr>
          <w:rFonts w:hint="eastAsia"/>
        </w:rPr>
        <w:t>第</w:t>
      </w:r>
      <w:r>
        <w:t>13</w:t>
      </w:r>
      <w:r>
        <w:rPr>
          <w:rFonts w:hint="eastAsia"/>
        </w:rPr>
        <w:t>条</w:t>
      </w:r>
      <w:r>
        <w:t>..................</w:t>
      </w:r>
      <w:r>
        <w:tab/>
      </w:r>
      <w:r>
        <w:tab/>
        <w:t>153</w:t>
      </w:r>
      <w:r>
        <w:tab/>
        <w:t>-</w:t>
      </w:r>
      <w:r>
        <w:tab/>
        <w:t>187</w:t>
      </w:r>
      <w:r>
        <w:tab/>
        <w:t>30</w:t>
      </w:r>
    </w:p>
    <w:p w:rsidR="00000000" w:rsidRDefault="00CF7517">
      <w:pPr>
        <w:pStyle w:val="a3"/>
        <w:ind w:left="518"/>
      </w:pPr>
      <w:r>
        <w:rPr>
          <w:rFonts w:hint="eastAsia"/>
        </w:rPr>
        <w:t>第</w:t>
      </w:r>
      <w:r>
        <w:t>15</w:t>
      </w:r>
      <w:r>
        <w:rPr>
          <w:rFonts w:hint="eastAsia"/>
        </w:rPr>
        <w:t>条</w:t>
      </w:r>
      <w:r>
        <w:t>.............</w:t>
      </w:r>
      <w:r>
        <w:tab/>
      </w:r>
      <w:r>
        <w:tab/>
        <w:t>188</w:t>
      </w:r>
      <w:r>
        <w:tab/>
        <w:t>-</w:t>
      </w:r>
      <w:r>
        <w:tab/>
        <w:t>254</w:t>
      </w:r>
      <w:r>
        <w:tab/>
        <w:t>36</w:t>
      </w:r>
    </w:p>
    <w:p w:rsidR="00000000" w:rsidRDefault="00CF7517">
      <w:pPr>
        <w:pStyle w:val="Heading2"/>
        <w:spacing w:line="336" w:lineRule="auto"/>
      </w:pPr>
      <w:r>
        <w:br w:type="page"/>
      </w:r>
      <w:r>
        <w:rPr>
          <w:rFonts w:hint="eastAsia"/>
        </w:rPr>
        <w:t>导</w:t>
      </w:r>
      <w:r>
        <w:t xml:space="preserve">  </w:t>
      </w:r>
      <w:r>
        <w:rPr>
          <w:rFonts w:hint="eastAsia"/>
        </w:rPr>
        <w:t>言</w:t>
      </w:r>
    </w:p>
    <w:p w:rsidR="00000000" w:rsidRDefault="00CF7517">
      <w:r>
        <w:tab/>
        <w:t xml:space="preserve">1.  </w:t>
      </w:r>
      <w:r>
        <w:rPr>
          <w:rFonts w:hint="eastAsia"/>
        </w:rPr>
        <w:t>南斯拉夫联盟共和国</w:t>
      </w:r>
      <w:r>
        <w:t>(</w:t>
      </w:r>
      <w:r>
        <w:rPr>
          <w:rFonts w:hint="eastAsia"/>
        </w:rPr>
        <w:t>南联盟</w:t>
      </w:r>
      <w:r>
        <w:t>)</w:t>
      </w:r>
      <w:r>
        <w:rPr>
          <w:rFonts w:hint="eastAsia"/>
        </w:rPr>
        <w:t>由两个成员共和国组成</w:t>
      </w:r>
      <w:r>
        <w:rPr>
          <w:rFonts w:hint="eastAsia"/>
          <w:spacing w:val="-40"/>
        </w:rPr>
        <w:t>——</w:t>
      </w:r>
      <w:r>
        <w:t xml:space="preserve"> </w:t>
      </w:r>
      <w:r>
        <w:rPr>
          <w:rFonts w:hint="eastAsia"/>
        </w:rPr>
        <w:t>塞尔维亚共和国和黑山共和国。南联盟位于欧洲东南部，地处巴尔干半岛中部，面积</w:t>
      </w:r>
      <w:r>
        <w:t>102,173</w:t>
      </w:r>
      <w:r>
        <w:rPr>
          <w:rFonts w:hint="eastAsia"/>
        </w:rPr>
        <w:t>平方公里。</w:t>
      </w:r>
    </w:p>
    <w:p w:rsidR="00000000" w:rsidRDefault="00CF7517">
      <w:r>
        <w:tab/>
        <w:t xml:space="preserve">2.  </w:t>
      </w:r>
      <w:r>
        <w:rPr>
          <w:rFonts w:hint="eastAsia"/>
        </w:rPr>
        <w:t>南联盟是多种族、多语言和多信仰的国家。人口大部分是塞尔维亚族人和黑山族人</w:t>
      </w:r>
      <w:r>
        <w:t>(67.7%)</w:t>
      </w:r>
      <w:r>
        <w:rPr>
          <w:rFonts w:hint="eastAsia"/>
        </w:rPr>
        <w:t>，少数民族、种族和宗教群体约占全部人口的三分之一</w:t>
      </w:r>
      <w:r>
        <w:t>(32.4%)</w:t>
      </w:r>
      <w:r>
        <w:rPr>
          <w:rFonts w:hint="eastAsia"/>
        </w:rPr>
        <w:t>。</w:t>
      </w:r>
    </w:p>
    <w:p w:rsidR="00000000" w:rsidRDefault="00CF7517">
      <w:r>
        <w:tab/>
        <w:t xml:space="preserve">3.  </w:t>
      </w:r>
      <w:r>
        <w:rPr>
          <w:rFonts w:hint="eastAsia"/>
        </w:rPr>
        <w:t>南联盟保障宗教信仰和宗教事务的平等和自由。南联盟没有国家宗教，因为教会与国家分离。在现有教会中，东正教是最有影响的教会，因为人口的大部分历来属于东正教会。</w:t>
      </w:r>
    </w:p>
    <w:p w:rsidR="00000000" w:rsidRDefault="00CF7517">
      <w:pPr>
        <w:spacing w:after="320"/>
        <w:textAlignment w:val="center"/>
      </w:pPr>
      <w:r>
        <w:tab/>
        <w:t xml:space="preserve">4.  </w:t>
      </w:r>
      <w:r>
        <w:rPr>
          <w:rFonts w:hint="eastAsia"/>
        </w:rPr>
        <w:t>南联盟经济制度的基本原则是：所有权不可侵</w:t>
      </w:r>
      <w:r>
        <w:rPr>
          <w:rFonts w:hint="eastAsia"/>
        </w:rPr>
        <w:t>犯，经济实体保持独立和平等，经济环境平等，实行自由市场原则。</w:t>
      </w:r>
    </w:p>
    <w:p w:rsidR="00000000" w:rsidRDefault="00CF7517">
      <w:pPr>
        <w:pStyle w:val="Heading3"/>
      </w:pPr>
      <w:r>
        <w:rPr>
          <w:rFonts w:hint="eastAsia"/>
        </w:rPr>
        <w:t>第</w:t>
      </w:r>
      <w:r>
        <w:t xml:space="preserve"> 1 </w:t>
      </w:r>
      <w:r>
        <w:rPr>
          <w:rFonts w:hint="eastAsia"/>
        </w:rPr>
        <w:t>条</w:t>
      </w:r>
    </w:p>
    <w:p w:rsidR="00000000" w:rsidRDefault="00CF7517">
      <w:r>
        <w:tab/>
        <w:t xml:space="preserve">5.  </w:t>
      </w:r>
      <w:r>
        <w:rPr>
          <w:rFonts w:hint="eastAsia"/>
        </w:rPr>
        <w:t>南联盟宪法规定，财产不可侵犯，任何人的财产不可剥夺，也不受限制，除非依法确定为了公共利益有必要这样做，但这样做必须给予公平的补偿，补偿数额不得低于市场价值</w:t>
      </w:r>
      <w:r>
        <w:t>(</w:t>
      </w:r>
      <w:r>
        <w:rPr>
          <w:rFonts w:hint="eastAsia"/>
        </w:rPr>
        <w:t>第</w:t>
      </w:r>
      <w:r>
        <w:t>69</w:t>
      </w:r>
      <w:r>
        <w:rPr>
          <w:rFonts w:hint="eastAsia"/>
        </w:rPr>
        <w:t>条第</w:t>
      </w:r>
      <w:r>
        <w:t>2</w:t>
      </w:r>
      <w:r>
        <w:rPr>
          <w:rFonts w:hint="eastAsia"/>
        </w:rPr>
        <w:t>和第</w:t>
      </w:r>
      <w:r>
        <w:t>3</w:t>
      </w:r>
      <w:r>
        <w:rPr>
          <w:rFonts w:hint="eastAsia"/>
        </w:rPr>
        <w:t>款</w:t>
      </w:r>
      <w:r>
        <w:t>)</w:t>
      </w:r>
      <w:r>
        <w:rPr>
          <w:rFonts w:hint="eastAsia"/>
        </w:rPr>
        <w:t>。</w:t>
      </w:r>
    </w:p>
    <w:p w:rsidR="00000000" w:rsidRDefault="00CF7517">
      <w:r>
        <w:tab/>
        <w:t xml:space="preserve">6.  </w:t>
      </w:r>
      <w:r>
        <w:rPr>
          <w:rFonts w:hint="eastAsia"/>
        </w:rPr>
        <w:t>法律还规定，在战争时期、即将发生战争或任何其他紧急状态期间，可以对法人和自然人拥有的财产的一部分的处置加以限制，或对其利用规定特别的办法</w:t>
      </w:r>
      <w:r>
        <w:t>(</w:t>
      </w:r>
      <w:r>
        <w:rPr>
          <w:rFonts w:hint="eastAsia"/>
        </w:rPr>
        <w:t>第</w:t>
      </w:r>
      <w:r>
        <w:t>75</w:t>
      </w:r>
      <w:r>
        <w:rPr>
          <w:rFonts w:hint="eastAsia"/>
        </w:rPr>
        <w:t>条</w:t>
      </w:r>
      <w:r>
        <w:t>)</w:t>
      </w:r>
      <w:r>
        <w:rPr>
          <w:rFonts w:hint="eastAsia"/>
        </w:rPr>
        <w:t>。</w:t>
      </w:r>
    </w:p>
    <w:p w:rsidR="00000000" w:rsidRDefault="00CF7517">
      <w:r>
        <w:tab/>
        <w:t xml:space="preserve">7.  </w:t>
      </w:r>
      <w:r>
        <w:rPr>
          <w:rFonts w:hint="eastAsia"/>
        </w:rPr>
        <w:t>南联盟的自然资源为国家所有。公共地段和市政建筑地基中的一些财产可依照法律具</w:t>
      </w:r>
      <w:r>
        <w:rPr>
          <w:rFonts w:hint="eastAsia"/>
        </w:rPr>
        <w:t>有私人或其他形式的所有权</w:t>
      </w:r>
      <w:r>
        <w:t>(</w:t>
      </w:r>
      <w:r>
        <w:rPr>
          <w:rFonts w:hint="eastAsia"/>
        </w:rPr>
        <w:t>第</w:t>
      </w:r>
      <w:r>
        <w:t>73</w:t>
      </w:r>
      <w:r>
        <w:rPr>
          <w:rFonts w:hint="eastAsia"/>
        </w:rPr>
        <w:t>条第</w:t>
      </w:r>
      <w:r>
        <w:t>3</w:t>
      </w:r>
      <w:r>
        <w:rPr>
          <w:rFonts w:hint="eastAsia"/>
        </w:rPr>
        <w:t>款</w:t>
      </w:r>
      <w:r>
        <w:t>)</w:t>
      </w:r>
      <w:r>
        <w:rPr>
          <w:rFonts w:hint="eastAsia"/>
        </w:rPr>
        <w:t>。</w:t>
      </w:r>
    </w:p>
    <w:p w:rsidR="00000000" w:rsidRDefault="00CF7517">
      <w:r>
        <w:tab/>
        <w:t xml:space="preserve">8.  </w:t>
      </w:r>
      <w:r>
        <w:rPr>
          <w:rFonts w:hint="eastAsia"/>
        </w:rPr>
        <w:t>宪法保障工作自由。企业和其他生产和服务组织按照联盟法规建立、组织以及自由和自主地合并。经济实体是独立和平等的，所有经济实体具有平等的经营条件</w:t>
      </w:r>
      <w:r>
        <w:t>(</w:t>
      </w:r>
      <w:r>
        <w:rPr>
          <w:rFonts w:hint="eastAsia"/>
        </w:rPr>
        <w:t>第</w:t>
      </w:r>
      <w:r>
        <w:t>74</w:t>
      </w:r>
      <w:r>
        <w:rPr>
          <w:rFonts w:hint="eastAsia"/>
        </w:rPr>
        <w:t>条第</w:t>
      </w:r>
      <w:r>
        <w:t>1</w:t>
      </w:r>
      <w:r>
        <w:rPr>
          <w:rFonts w:hint="eastAsia"/>
        </w:rPr>
        <w:t>款和第</w:t>
      </w:r>
      <w:r>
        <w:t>2</w:t>
      </w:r>
      <w:r>
        <w:rPr>
          <w:rFonts w:hint="eastAsia"/>
        </w:rPr>
        <w:t>款</w:t>
      </w:r>
      <w:r>
        <w:t>)</w:t>
      </w:r>
      <w:r>
        <w:rPr>
          <w:rFonts w:hint="eastAsia"/>
        </w:rPr>
        <w:t>。</w:t>
      </w:r>
    </w:p>
    <w:p w:rsidR="00000000" w:rsidRDefault="00CF7517">
      <w:pPr>
        <w:spacing w:after="320"/>
        <w:textAlignment w:val="center"/>
      </w:pPr>
      <w:r>
        <w:tab/>
        <w:t xml:space="preserve">9.  </w:t>
      </w:r>
      <w:r>
        <w:rPr>
          <w:rFonts w:hint="eastAsia"/>
        </w:rPr>
        <w:t>在经济立法领域通过的联盟法</w:t>
      </w:r>
      <w:r>
        <w:t>(</w:t>
      </w:r>
      <w:r>
        <w:rPr>
          <w:rFonts w:hint="eastAsia"/>
        </w:rPr>
        <w:t>企业法、对外贸易法、所有权</w:t>
      </w:r>
      <w:r>
        <w:rPr>
          <w:rFonts w:hint="eastAsia"/>
          <w:spacing w:val="-40"/>
        </w:rPr>
        <w:t>——</w:t>
      </w:r>
      <w:r>
        <w:t xml:space="preserve"> </w:t>
      </w:r>
      <w:r>
        <w:rPr>
          <w:rFonts w:hint="eastAsia"/>
        </w:rPr>
        <w:t>法律关系基础法、外国投资法等</w:t>
      </w:r>
      <w:r>
        <w:t>)</w:t>
      </w:r>
      <w:r>
        <w:rPr>
          <w:rFonts w:hint="eastAsia"/>
        </w:rPr>
        <w:t>提供了保障市场经济、以发展为方向以及独立工商经营，尤其是使国内法与欧洲联盟各国的立法一致的法律基础，。</w:t>
      </w:r>
    </w:p>
    <w:p w:rsidR="00000000" w:rsidRDefault="00CF7517">
      <w:pPr>
        <w:pStyle w:val="Heading3"/>
      </w:pPr>
      <w:r>
        <w:rPr>
          <w:rFonts w:hint="eastAsia"/>
        </w:rPr>
        <w:t>第</w:t>
      </w:r>
      <w:r>
        <w:t xml:space="preserve"> 2 </w:t>
      </w:r>
      <w:r>
        <w:rPr>
          <w:rFonts w:hint="eastAsia"/>
        </w:rPr>
        <w:t>条</w:t>
      </w:r>
    </w:p>
    <w:p w:rsidR="00000000" w:rsidRDefault="00CF7517">
      <w:r>
        <w:tab/>
        <w:t xml:space="preserve">10.  </w:t>
      </w:r>
      <w:r>
        <w:rPr>
          <w:rFonts w:hint="eastAsia"/>
        </w:rPr>
        <w:t>南联盟是由平等的公民和平等的成员共和国组成的主权联盟国家</w:t>
      </w:r>
      <w:r>
        <w:t>(</w:t>
      </w:r>
      <w:r>
        <w:rPr>
          <w:rFonts w:hint="eastAsia"/>
        </w:rPr>
        <w:t>第</w:t>
      </w:r>
      <w:r>
        <w:t>1</w:t>
      </w:r>
      <w:r>
        <w:rPr>
          <w:rFonts w:hint="eastAsia"/>
        </w:rPr>
        <w:t>条</w:t>
      </w:r>
      <w:r>
        <w:t>)</w:t>
      </w:r>
      <w:r>
        <w:rPr>
          <w:rFonts w:hint="eastAsia"/>
        </w:rPr>
        <w:t>。公民不论其民族、种族、性别、语言、宗教、政治和其他信仰、教育、社会出身、财产、或其它个人地位而一律平等</w:t>
      </w:r>
      <w:r>
        <w:t>(</w:t>
      </w:r>
      <w:r>
        <w:rPr>
          <w:rFonts w:hint="eastAsia"/>
        </w:rPr>
        <w:t>第</w:t>
      </w:r>
      <w:r>
        <w:t>20</w:t>
      </w:r>
      <w:r>
        <w:rPr>
          <w:rFonts w:hint="eastAsia"/>
        </w:rPr>
        <w:t>条</w:t>
      </w:r>
      <w:r>
        <w:t>)</w:t>
      </w:r>
      <w:r>
        <w:rPr>
          <w:rFonts w:hint="eastAsia"/>
        </w:rPr>
        <w:t>。</w:t>
      </w:r>
    </w:p>
    <w:p w:rsidR="00000000" w:rsidRDefault="00CF7517">
      <w:r>
        <w:tab/>
        <w:t xml:space="preserve">11.  </w:t>
      </w:r>
      <w:r>
        <w:rPr>
          <w:rFonts w:hint="eastAsia"/>
        </w:rPr>
        <w:t>法律规定，任何煽动或鼓动民族、种族、宗教或其它方面的不平等以及煽动和挑起民族、种族、宗教和其他方面的仇恨和不容忍，都是违反宪法，应依法予以惩罚，这一规定也是为了加强不歧视的一般原则。</w:t>
      </w:r>
    </w:p>
    <w:p w:rsidR="00000000" w:rsidRDefault="00CF7517">
      <w:r>
        <w:tab/>
        <w:t xml:space="preserve">12.  </w:t>
      </w:r>
      <w:r>
        <w:rPr>
          <w:rFonts w:hint="eastAsia"/>
        </w:rPr>
        <w:t>鉴于南联盟属于发展中国家，其对待临时居住或停留在本国的外国公民的态度值得注意。宪法保证外国人享有宪法、联盟法律和国际条约中所规定的自由和权利与义务</w:t>
      </w:r>
      <w:r>
        <w:t>(</w:t>
      </w:r>
      <w:r>
        <w:rPr>
          <w:rFonts w:hint="eastAsia"/>
        </w:rPr>
        <w:t>第</w:t>
      </w:r>
      <w:r>
        <w:t>66</w:t>
      </w:r>
      <w:r>
        <w:rPr>
          <w:rFonts w:hint="eastAsia"/>
        </w:rPr>
        <w:t>条</w:t>
      </w:r>
      <w:r>
        <w:t>)</w:t>
      </w:r>
      <w:r>
        <w:rPr>
          <w:rFonts w:hint="eastAsia"/>
        </w:rPr>
        <w:t>。外国人有权依照联</w:t>
      </w:r>
      <w:r>
        <w:rPr>
          <w:rFonts w:hint="eastAsia"/>
        </w:rPr>
        <w:t>盟法律获得财产权</w:t>
      </w:r>
      <w:r>
        <w:t>(</w:t>
      </w:r>
      <w:r>
        <w:rPr>
          <w:rFonts w:hint="eastAsia"/>
        </w:rPr>
        <w:t>包括获得土地财产权</w:t>
      </w:r>
      <w:r>
        <w:t>)</w:t>
      </w:r>
      <w:r>
        <w:rPr>
          <w:rFonts w:hint="eastAsia"/>
        </w:rPr>
        <w:t>以及在互利基础上进行商业经营的权利</w:t>
      </w:r>
      <w:r>
        <w:t>(</w:t>
      </w:r>
      <w:r>
        <w:rPr>
          <w:rFonts w:hint="eastAsia"/>
        </w:rPr>
        <w:t>第</w:t>
      </w:r>
      <w:r>
        <w:t>70</w:t>
      </w:r>
      <w:r>
        <w:rPr>
          <w:rFonts w:hint="eastAsia"/>
        </w:rPr>
        <w:t>条第</w:t>
      </w:r>
      <w:r>
        <w:t>1</w:t>
      </w:r>
      <w:r>
        <w:rPr>
          <w:rFonts w:hint="eastAsia"/>
        </w:rPr>
        <w:t>和第</w:t>
      </w:r>
      <w:r>
        <w:t>3</w:t>
      </w:r>
      <w:r>
        <w:rPr>
          <w:rFonts w:hint="eastAsia"/>
        </w:rPr>
        <w:t>款</w:t>
      </w:r>
      <w:r>
        <w:t>)</w:t>
      </w:r>
      <w:r>
        <w:rPr>
          <w:rFonts w:hint="eastAsia"/>
        </w:rPr>
        <w:t>。</w:t>
      </w:r>
    </w:p>
    <w:p w:rsidR="00000000" w:rsidRDefault="00CF7517">
      <w:pPr>
        <w:spacing w:after="320"/>
        <w:textAlignment w:val="center"/>
      </w:pPr>
      <w:r>
        <w:tab/>
        <w:t xml:space="preserve">13.  </w:t>
      </w:r>
      <w:r>
        <w:rPr>
          <w:rFonts w:hint="eastAsia"/>
        </w:rPr>
        <w:t>关于财产权和商业经营权，在经济立法范围内通过的联盟法规定，按照宪法所规定的互利原则，外国法人和自然人与本国法人和自然人享有平等的权利。</w:t>
      </w:r>
    </w:p>
    <w:p w:rsidR="00000000" w:rsidRDefault="00CF7517">
      <w:pPr>
        <w:pStyle w:val="Heading3"/>
      </w:pPr>
      <w:r>
        <w:rPr>
          <w:rFonts w:hint="eastAsia"/>
        </w:rPr>
        <w:t>第</w:t>
      </w:r>
      <w:r>
        <w:t xml:space="preserve"> 3 </w:t>
      </w:r>
      <w:r>
        <w:rPr>
          <w:rFonts w:hint="eastAsia"/>
        </w:rPr>
        <w:t>条</w:t>
      </w:r>
    </w:p>
    <w:p w:rsidR="00000000" w:rsidRDefault="00CF7517">
      <w:pPr>
        <w:spacing w:after="320"/>
        <w:textAlignment w:val="center"/>
      </w:pPr>
      <w:r>
        <w:tab/>
        <w:t xml:space="preserve">14.  </w:t>
      </w:r>
      <w:r>
        <w:rPr>
          <w:rFonts w:hint="eastAsia"/>
        </w:rPr>
        <w:t>请参见南联盟政府提交给消除对妇女歧视委员会第十三届会议的关于《消除对妇女一切形式歧视公约》执行情况的特别报告</w:t>
      </w:r>
      <w:r>
        <w:t>(CEDAW/CYUG/SP.1,1993</w:t>
      </w:r>
      <w:r>
        <w:rPr>
          <w:rFonts w:hint="eastAsia"/>
        </w:rPr>
        <w:t>年</w:t>
      </w:r>
      <w:r>
        <w:t>12</w:t>
      </w:r>
      <w:r>
        <w:rPr>
          <w:rFonts w:hint="eastAsia"/>
        </w:rPr>
        <w:t>月</w:t>
      </w:r>
      <w:r>
        <w:t>10</w:t>
      </w:r>
      <w:r>
        <w:rPr>
          <w:rFonts w:hint="eastAsia"/>
        </w:rPr>
        <w:t>日，第一部分，第</w:t>
      </w:r>
      <w:r>
        <w:t>1-2</w:t>
      </w:r>
      <w:r>
        <w:rPr>
          <w:rFonts w:hint="eastAsia"/>
        </w:rPr>
        <w:t>条，项目</w:t>
      </w:r>
      <w:r>
        <w:t>1)</w:t>
      </w:r>
      <w:r>
        <w:rPr>
          <w:rFonts w:hint="eastAsia"/>
        </w:rPr>
        <w:t>。</w:t>
      </w:r>
    </w:p>
    <w:p w:rsidR="00000000" w:rsidRDefault="00CF7517">
      <w:pPr>
        <w:pStyle w:val="Heading3"/>
      </w:pPr>
      <w:r>
        <w:rPr>
          <w:rFonts w:hint="eastAsia"/>
        </w:rPr>
        <w:t>第</w:t>
      </w:r>
      <w:r>
        <w:t xml:space="preserve"> 4 </w:t>
      </w:r>
      <w:r>
        <w:rPr>
          <w:rFonts w:hint="eastAsia"/>
        </w:rPr>
        <w:t>条</w:t>
      </w:r>
    </w:p>
    <w:p w:rsidR="00000000" w:rsidRDefault="00CF7517">
      <w:pPr>
        <w:spacing w:after="320"/>
        <w:textAlignment w:val="center"/>
      </w:pPr>
      <w:r>
        <w:tab/>
        <w:t xml:space="preserve">15.  </w:t>
      </w:r>
      <w:r>
        <w:rPr>
          <w:rFonts w:hint="eastAsia"/>
        </w:rPr>
        <w:t>公民按照联盟宪法</w:t>
      </w:r>
      <w:r>
        <w:rPr>
          <w:rFonts w:hint="eastAsia"/>
        </w:rPr>
        <w:t>行使人权和自由并履行义务</w:t>
      </w:r>
      <w:r>
        <w:t>(</w:t>
      </w:r>
      <w:r>
        <w:rPr>
          <w:rFonts w:hint="eastAsia"/>
        </w:rPr>
        <w:t>第</w:t>
      </w:r>
      <w:r>
        <w:t>67</w:t>
      </w:r>
      <w:r>
        <w:rPr>
          <w:rFonts w:hint="eastAsia"/>
        </w:rPr>
        <w:t>条第</w:t>
      </w:r>
      <w:r>
        <w:t>1</w:t>
      </w:r>
      <w:r>
        <w:rPr>
          <w:rFonts w:hint="eastAsia"/>
        </w:rPr>
        <w:t>款</w:t>
      </w:r>
      <w:r>
        <w:t>)</w:t>
      </w:r>
      <w:r>
        <w:rPr>
          <w:rFonts w:hint="eastAsia"/>
        </w:rPr>
        <w:t>。公民行使各种人权和自由的方式，当宪法有此规定时，或当实施这些权利和自由需要时，可由法律作出规定</w:t>
      </w:r>
      <w:r>
        <w:t>(</w:t>
      </w:r>
      <w:r>
        <w:rPr>
          <w:rFonts w:hint="eastAsia"/>
        </w:rPr>
        <w:t>第</w:t>
      </w:r>
      <w:r>
        <w:t>67</w:t>
      </w:r>
      <w:r>
        <w:rPr>
          <w:rFonts w:hint="eastAsia"/>
        </w:rPr>
        <w:t>条</w:t>
      </w:r>
      <w:r>
        <w:t>)</w:t>
      </w:r>
      <w:r>
        <w:rPr>
          <w:rFonts w:hint="eastAsia"/>
        </w:rPr>
        <w:t>。</w:t>
      </w:r>
    </w:p>
    <w:p w:rsidR="00000000" w:rsidRDefault="00CF7517">
      <w:pPr>
        <w:pStyle w:val="Heading3"/>
      </w:pPr>
      <w:r>
        <w:rPr>
          <w:rFonts w:hint="eastAsia"/>
        </w:rPr>
        <w:t>第</w:t>
      </w:r>
      <w:r>
        <w:t xml:space="preserve"> 5 </w:t>
      </w:r>
      <w:r>
        <w:rPr>
          <w:rFonts w:hint="eastAsia"/>
        </w:rPr>
        <w:t>条</w:t>
      </w:r>
    </w:p>
    <w:p w:rsidR="00000000" w:rsidRDefault="00CF7517">
      <w:r>
        <w:tab/>
        <w:t xml:space="preserve">16.  </w:t>
      </w:r>
      <w:r>
        <w:rPr>
          <w:rFonts w:hint="eastAsia"/>
        </w:rPr>
        <w:t>南联盟宪法第</w:t>
      </w:r>
      <w:r>
        <w:t>16</w:t>
      </w:r>
      <w:r>
        <w:rPr>
          <w:rFonts w:hint="eastAsia"/>
        </w:rPr>
        <w:t>条和第</w:t>
      </w:r>
      <w:r>
        <w:t>124</w:t>
      </w:r>
      <w:r>
        <w:rPr>
          <w:rFonts w:hint="eastAsia"/>
        </w:rPr>
        <w:t>条第</w:t>
      </w:r>
      <w:r>
        <w:t>2</w:t>
      </w:r>
      <w:r>
        <w:rPr>
          <w:rFonts w:hint="eastAsia"/>
        </w:rPr>
        <w:t>项的规定提供了使盟约第</w:t>
      </w:r>
      <w:r>
        <w:t>5</w:t>
      </w:r>
      <w:r>
        <w:rPr>
          <w:rFonts w:hint="eastAsia"/>
        </w:rPr>
        <w:t>条得到遵守的保障。即南联盟明确宣布，它将忠实地履行它参加的国际条约所载的义务，并且宣布这种国际条约包括普遍接受的国际法规则，是国内法律秩序的组成部分</w:t>
      </w:r>
      <w:r>
        <w:t>(</w:t>
      </w:r>
      <w:r>
        <w:rPr>
          <w:rFonts w:hint="eastAsia"/>
        </w:rPr>
        <w:t>第</w:t>
      </w:r>
      <w:r>
        <w:t>16</w:t>
      </w:r>
      <w:r>
        <w:rPr>
          <w:rFonts w:hint="eastAsia"/>
        </w:rPr>
        <w:t>条</w:t>
      </w:r>
      <w:r>
        <w:t>)</w:t>
      </w:r>
      <w:r>
        <w:rPr>
          <w:rFonts w:hint="eastAsia"/>
        </w:rPr>
        <w:t>。</w:t>
      </w:r>
    </w:p>
    <w:p w:rsidR="00000000" w:rsidRDefault="00CF7517">
      <w:pPr>
        <w:spacing w:after="240"/>
        <w:textAlignment w:val="center"/>
      </w:pPr>
      <w:r>
        <w:tab/>
        <w:t xml:space="preserve">17.  </w:t>
      </w:r>
      <w:r>
        <w:rPr>
          <w:rFonts w:hint="eastAsia"/>
        </w:rPr>
        <w:t>联盟宪法法院不仅对法律和其它法规是否符合南联盟宪法作出裁决，而且对是否符合已经批准并公布的国际条约作</w:t>
      </w:r>
      <w:r>
        <w:rPr>
          <w:rFonts w:hint="eastAsia"/>
        </w:rPr>
        <w:t>出裁决</w:t>
      </w:r>
      <w:r>
        <w:t>(</w:t>
      </w:r>
      <w:r>
        <w:rPr>
          <w:rFonts w:hint="eastAsia"/>
        </w:rPr>
        <w:t>第</w:t>
      </w:r>
      <w:r>
        <w:t>124</w:t>
      </w:r>
      <w:r>
        <w:rPr>
          <w:rFonts w:hint="eastAsia"/>
        </w:rPr>
        <w:t>条第</w:t>
      </w:r>
      <w:r>
        <w:t>1</w:t>
      </w:r>
      <w:r>
        <w:rPr>
          <w:rFonts w:hint="eastAsia"/>
        </w:rPr>
        <w:t>款第</w:t>
      </w:r>
      <w:r>
        <w:t>2</w:t>
      </w:r>
      <w:r>
        <w:rPr>
          <w:rFonts w:hint="eastAsia"/>
        </w:rPr>
        <w:t>项</w:t>
      </w:r>
      <w:r>
        <w:t>)</w:t>
      </w:r>
      <w:r>
        <w:rPr>
          <w:rFonts w:hint="eastAsia"/>
        </w:rPr>
        <w:t>，因此承认国际条约具有比国内法更强的法律效力。</w:t>
      </w:r>
    </w:p>
    <w:p w:rsidR="00000000" w:rsidRDefault="00CF7517">
      <w:pPr>
        <w:pStyle w:val="Heading3"/>
      </w:pPr>
      <w:r>
        <w:rPr>
          <w:rFonts w:hint="eastAsia"/>
        </w:rPr>
        <w:t>第</w:t>
      </w:r>
      <w:r>
        <w:t xml:space="preserve"> 6 </w:t>
      </w:r>
      <w:r>
        <w:rPr>
          <w:rFonts w:hint="eastAsia"/>
        </w:rPr>
        <w:t>条</w:t>
      </w:r>
    </w:p>
    <w:p w:rsidR="00000000" w:rsidRDefault="00CF7517">
      <w:r>
        <w:tab/>
        <w:t xml:space="preserve">18.  </w:t>
      </w:r>
      <w:r>
        <w:rPr>
          <w:rFonts w:hint="eastAsia"/>
        </w:rPr>
        <w:t>按照已获批准的劳工组织关于就业政策的第</w:t>
      </w:r>
      <w:r>
        <w:t>122</w:t>
      </w:r>
      <w:r>
        <w:rPr>
          <w:rFonts w:hint="eastAsia"/>
        </w:rPr>
        <w:t>号公约和关于就业和职业歧视问题的第</w:t>
      </w:r>
      <w:r>
        <w:t>111</w:t>
      </w:r>
      <w:r>
        <w:rPr>
          <w:rFonts w:hint="eastAsia"/>
        </w:rPr>
        <w:t>号公约以及《消除一切形式种族歧视国际公约》，南联盟及其成员共和国的立法和行政实践并不含有基于种族、宗教、族裔或任何其他背景、政治承诺、性别、社会出身、财产或其他理由的差别、排斥或优惠待遇。</w:t>
      </w:r>
    </w:p>
    <w:p w:rsidR="00000000" w:rsidRDefault="00CF7517">
      <w:r>
        <w:tab/>
        <w:t xml:space="preserve">19.  </w:t>
      </w:r>
      <w:r>
        <w:rPr>
          <w:rFonts w:hint="eastAsia"/>
        </w:rPr>
        <w:t>南联盟宪法和各成员共和国的宪法都保障工作和从事经济活动的自由，选择自己的职业以及在平等条件下就业的自由。工作自由，即在平等</w:t>
      </w:r>
      <w:r>
        <w:rPr>
          <w:rFonts w:hint="eastAsia"/>
        </w:rPr>
        <w:t>条件下就业的自由，以及保护工人不受任何形式歧视，都通过各成员共和国的就业法作出规定并予以实施。</w:t>
      </w:r>
    </w:p>
    <w:p w:rsidR="00000000" w:rsidRDefault="00CF7517">
      <w:r>
        <w:tab/>
        <w:t xml:space="preserve">20.  </w:t>
      </w:r>
      <w:r>
        <w:rPr>
          <w:rFonts w:hint="eastAsia"/>
        </w:rPr>
        <w:t>符合联盟就业法规定的一般条件和法律或雇主规定的特殊条件的人都有就业机会</w:t>
      </w:r>
      <w:r>
        <w:t>(</w:t>
      </w:r>
      <w:r>
        <w:rPr>
          <w:rFonts w:hint="eastAsia"/>
        </w:rPr>
        <w:t>就业法，第</w:t>
      </w:r>
      <w:r>
        <w:t>7</w:t>
      </w:r>
      <w:r>
        <w:rPr>
          <w:rFonts w:hint="eastAsia"/>
        </w:rPr>
        <w:t>条第</w:t>
      </w:r>
      <w:r>
        <w:t>1</w:t>
      </w:r>
      <w:r>
        <w:rPr>
          <w:rFonts w:hint="eastAsia"/>
        </w:rPr>
        <w:t>和</w:t>
      </w:r>
      <w:r>
        <w:t>2</w:t>
      </w:r>
      <w:r>
        <w:rPr>
          <w:rFonts w:hint="eastAsia"/>
        </w:rPr>
        <w:t>款</w:t>
      </w:r>
      <w:r>
        <w:t>)</w:t>
      </w:r>
      <w:r>
        <w:rPr>
          <w:rFonts w:hint="eastAsia"/>
        </w:rPr>
        <w:t>。外国人或无国籍人可按照就业法和外国人就业法所规定的条件就业。按照就业法的规定，外国人或无国籍人可在与南联盟公民相同的条件下就业，但他们须持有南联盟永久居住或临时居住许可证并且获准就业。</w:t>
      </w:r>
    </w:p>
    <w:p w:rsidR="00000000" w:rsidRDefault="00CF7517">
      <w:r>
        <w:tab/>
        <w:t xml:space="preserve">21.  </w:t>
      </w:r>
      <w:r>
        <w:rPr>
          <w:rFonts w:hint="eastAsia"/>
        </w:rPr>
        <w:t>上文提到的提交给消除对妇女歧视委员会的特别报告详细讲述了南联盟妇女的情况，这里摘引一部分。</w:t>
      </w:r>
    </w:p>
    <w:p w:rsidR="00000000" w:rsidRDefault="00CF7517">
      <w:r>
        <w:tab/>
        <w:t xml:space="preserve">22.  </w:t>
      </w:r>
      <w:r>
        <w:rPr>
          <w:rFonts w:hint="eastAsia"/>
        </w:rPr>
        <w:t>南</w:t>
      </w:r>
      <w:r>
        <w:rPr>
          <w:rFonts w:hint="eastAsia"/>
        </w:rPr>
        <w:t>联盟宪法第</w:t>
      </w:r>
      <w:r>
        <w:t>69</w:t>
      </w:r>
      <w:r>
        <w:rPr>
          <w:rFonts w:hint="eastAsia"/>
        </w:rPr>
        <w:t>条第</w:t>
      </w:r>
      <w:r>
        <w:t>1</w:t>
      </w:r>
      <w:r>
        <w:rPr>
          <w:rFonts w:hint="eastAsia"/>
        </w:rPr>
        <w:t>款保障工作和从事经济活动自由。</w:t>
      </w:r>
      <w:r>
        <w:t>1987</w:t>
      </w:r>
      <w:r>
        <w:rPr>
          <w:rFonts w:hint="eastAsia"/>
        </w:rPr>
        <w:t>年，南斯拉夫批准了劳工组织关于负有家庭责任的工人的第</w:t>
      </w:r>
      <w:r>
        <w:t>156</w:t>
      </w:r>
      <w:r>
        <w:rPr>
          <w:rFonts w:hint="eastAsia"/>
        </w:rPr>
        <w:t>号公约。</w:t>
      </w:r>
    </w:p>
    <w:p w:rsidR="00000000" w:rsidRDefault="00CF7517">
      <w:r>
        <w:tab/>
        <w:t xml:space="preserve">23.  </w:t>
      </w:r>
      <w:r>
        <w:rPr>
          <w:rFonts w:hint="eastAsia"/>
        </w:rPr>
        <w:t>没有任何法律规定对男人和妇女的工作和就业权利作出区分。联盟就业法规定了统一的就业标准，并规定最低就业年龄为</w:t>
      </w:r>
      <w:r>
        <w:t>15</w:t>
      </w:r>
      <w:r>
        <w:rPr>
          <w:rFonts w:hint="eastAsia"/>
        </w:rPr>
        <w:t>岁和健康状况应良好。特定工作的特殊就业条件由法律和一般法令规定。共和国的就业法也没有根据性别规定不同的权利。在平等条件下就业的权利得到规定，包括规定了招聘就业人员时使用平等的标准。</w:t>
      </w:r>
    </w:p>
    <w:p w:rsidR="00000000" w:rsidRDefault="00CF7517">
      <w:r>
        <w:tab/>
        <w:t xml:space="preserve">24.  </w:t>
      </w:r>
      <w:r>
        <w:rPr>
          <w:rFonts w:hint="eastAsia"/>
        </w:rPr>
        <w:t>就业总体趋势的资料表明，在过去十年里，与就业总人数相比较，妇女就业人数</w:t>
      </w:r>
      <w:r>
        <w:rPr>
          <w:rFonts w:hint="eastAsia"/>
        </w:rPr>
        <w:t>稳步增加。然而，就业的科学硕士和博士总人数中，妇女人数依然远远少于男子人数。</w:t>
      </w:r>
    </w:p>
    <w:p w:rsidR="00000000" w:rsidRDefault="00CF7517">
      <w:r>
        <w:tab/>
        <w:t>25.  1996</w:t>
      </w:r>
      <w:r>
        <w:rPr>
          <w:rFonts w:hint="eastAsia"/>
        </w:rPr>
        <w:t>年妇女失业人数占失业总人数的比例达到了</w:t>
      </w:r>
      <w:r>
        <w:t>55.1%</w:t>
      </w:r>
      <w:r>
        <w:rPr>
          <w:rFonts w:hint="eastAsia"/>
        </w:rPr>
        <w:t>。在失业妇女中，</w:t>
      </w:r>
      <w:r>
        <w:t>58.7%</w:t>
      </w:r>
      <w:r>
        <w:rPr>
          <w:rFonts w:hint="eastAsia"/>
        </w:rPr>
        <w:t>小于</w:t>
      </w:r>
      <w:r>
        <w:t>30</w:t>
      </w:r>
      <w:r>
        <w:rPr>
          <w:rFonts w:hint="eastAsia"/>
        </w:rPr>
        <w:t>岁</w:t>
      </w:r>
      <w:r>
        <w:t>(</w:t>
      </w:r>
      <w:r>
        <w:rPr>
          <w:rFonts w:hint="eastAsia"/>
        </w:rPr>
        <w:t>原则上属于首次求职者</w:t>
      </w:r>
      <w:r>
        <w:t>)</w:t>
      </w:r>
      <w:r>
        <w:rPr>
          <w:rFonts w:hint="eastAsia"/>
        </w:rPr>
        <w:t>，只有</w:t>
      </w:r>
      <w:r>
        <w:t>4.7%</w:t>
      </w:r>
      <w:r>
        <w:rPr>
          <w:rFonts w:hint="eastAsia"/>
        </w:rPr>
        <w:t>大于</w:t>
      </w:r>
      <w:r>
        <w:t>50</w:t>
      </w:r>
      <w:r>
        <w:rPr>
          <w:rFonts w:hint="eastAsia"/>
        </w:rPr>
        <w:t>岁。</w:t>
      </w:r>
    </w:p>
    <w:p w:rsidR="00000000" w:rsidRDefault="00CF7517">
      <w:r>
        <w:tab/>
        <w:t xml:space="preserve">26.  </w:t>
      </w:r>
      <w:r>
        <w:rPr>
          <w:rFonts w:hint="eastAsia"/>
        </w:rPr>
        <w:t>邻国的战争，难民的大规模流入</w:t>
      </w:r>
      <w:r>
        <w:t>(</w:t>
      </w:r>
      <w:r>
        <w:rPr>
          <w:rFonts w:hint="eastAsia"/>
        </w:rPr>
        <w:t>约</w:t>
      </w:r>
      <w:r>
        <w:t>700,000)</w:t>
      </w:r>
      <w:r>
        <w:rPr>
          <w:rFonts w:hint="eastAsia"/>
        </w:rPr>
        <w:t>，原南斯拉夫市场的瓦解以及联合国安全理事会实施的制裁，导致南联盟人民生活水平严重下降。在</w:t>
      </w:r>
      <w:r>
        <w:t>1991</w:t>
      </w:r>
      <w:r>
        <w:rPr>
          <w:spacing w:val="-40"/>
        </w:rPr>
        <w:t>-</w:t>
      </w:r>
      <w:r>
        <w:t>1997</w:t>
      </w:r>
      <w:r>
        <w:rPr>
          <w:rFonts w:hint="eastAsia"/>
        </w:rPr>
        <w:t>年期间，社会和经济遭受的可估算的损失总额超过</w:t>
      </w:r>
      <w:r>
        <w:t>945</w:t>
      </w:r>
      <w:r>
        <w:rPr>
          <w:rFonts w:hint="eastAsia"/>
        </w:rPr>
        <w:t>亿美元。由于国际制裁而遭受的损失估计总额为</w:t>
      </w:r>
      <w:r>
        <w:t>648</w:t>
      </w:r>
      <w:r>
        <w:rPr>
          <w:rFonts w:hint="eastAsia"/>
        </w:rPr>
        <w:t>亿美元，而由于</w:t>
      </w:r>
      <w:r>
        <w:rPr>
          <w:rFonts w:hint="eastAsia"/>
        </w:rPr>
        <w:t>各共和国之间关系中断引起的损失超过</w:t>
      </w:r>
      <w:r>
        <w:t>296</w:t>
      </w:r>
      <w:r>
        <w:rPr>
          <w:rFonts w:hint="eastAsia"/>
        </w:rPr>
        <w:t>亿美元。由于制裁而遭受的最大一项损失是国内生产总值，数额达</w:t>
      </w:r>
      <w:r>
        <w:t>581</w:t>
      </w:r>
      <w:r>
        <w:rPr>
          <w:rFonts w:hint="eastAsia"/>
        </w:rPr>
        <w:t>亿美元。还须加上由于国外汇款和利息收入的减少、人才外流以及国外资金无法撤回而造成的外汇收入损失</w:t>
      </w:r>
      <w:r>
        <w:t>67</w:t>
      </w:r>
      <w:r>
        <w:rPr>
          <w:rFonts w:hint="eastAsia"/>
        </w:rPr>
        <w:t>亿美元。据估计，制裁的延伸不利影响将在</w:t>
      </w:r>
      <w:r>
        <w:t>1998-2005</w:t>
      </w:r>
      <w:r>
        <w:rPr>
          <w:rFonts w:hint="eastAsia"/>
        </w:rPr>
        <w:t>年期间另外造成国内生产总值损失</w:t>
      </w:r>
      <w:r>
        <w:t>325</w:t>
      </w:r>
      <w:r>
        <w:rPr>
          <w:rFonts w:hint="eastAsia"/>
        </w:rPr>
        <w:t>亿美元。因此，联合国安全理事会制裁造成的总损失在</w:t>
      </w:r>
      <w:r>
        <w:t>1991-2005</w:t>
      </w:r>
      <w:r>
        <w:rPr>
          <w:rFonts w:hint="eastAsia"/>
        </w:rPr>
        <w:t>年期间将达到</w:t>
      </w:r>
      <w:r>
        <w:t>974</w:t>
      </w:r>
      <w:r>
        <w:rPr>
          <w:rFonts w:hint="eastAsia"/>
        </w:rPr>
        <w:t>亿美元。</w:t>
      </w:r>
      <w:r>
        <w:rPr>
          <w:rStyle w:val="FootnoteReference"/>
        </w:rPr>
        <w:footnoteReference w:customMarkFollows="1" w:id="3"/>
        <w:t>*</w:t>
      </w:r>
      <w:r>
        <w:t xml:space="preserve"> </w:t>
      </w:r>
    </w:p>
    <w:p w:rsidR="00000000" w:rsidRDefault="00CF7517">
      <w:r>
        <w:tab/>
        <w:t xml:space="preserve">27.  </w:t>
      </w:r>
      <w:r>
        <w:rPr>
          <w:rFonts w:hint="eastAsia"/>
        </w:rPr>
        <w:t>在这种情况下，大部分老百姓生活在贫困的边缘。就业人口比以前更加需要靠额外打工来维持原来的生活水准，甚至维持基</w:t>
      </w:r>
      <w:r>
        <w:rPr>
          <w:rFonts w:hint="eastAsia"/>
        </w:rPr>
        <w:t>本的生存。尤其是开工不足的企业或偶尔开工或长期停工的企业，其雇员的工资要比平时低，更是不得不这样做。另外，用于公共开支的资源大幅度减少，社会福利也相应地大幅度地减少。社会福利的范围依然未变，但其实际水平减少许多，其质量以及许多服务的资金来源都受到威胁。</w:t>
      </w:r>
    </w:p>
    <w:p w:rsidR="00000000" w:rsidRDefault="00CF7517">
      <w:r>
        <w:tab/>
        <w:t>28.  1993</w:t>
      </w:r>
      <w:r>
        <w:rPr>
          <w:rFonts w:hint="eastAsia"/>
        </w:rPr>
        <w:t>年，当经济危机达到最严重时，南联盟通过了改革南斯拉夫货币体系、实现经济复苏的纲领。这一纲领自</w:t>
      </w:r>
      <w:r>
        <w:t>1994</w:t>
      </w:r>
      <w:r>
        <w:rPr>
          <w:rFonts w:hint="eastAsia"/>
        </w:rPr>
        <w:t>年初开始实施，通过采取一系列措施以增加那些就业不足的人和登记失业的人的就业机会。有一项政策是这一纲领的基石，并且在随后的几年里不断得到补充</w:t>
      </w:r>
      <w:r>
        <w:rPr>
          <w:rFonts w:hint="eastAsia"/>
        </w:rPr>
        <w:t>，这就是，为了增加就业，首先也是最重要的是促使经济复苏，具体办法是通过所有制和结构改革，发展市场经济，尤其是强调加强服务部门和私人企业的发展。这些政策将能为公共和私人部门的失业者以及技术上多余的人员提供就业机会。</w:t>
      </w:r>
    </w:p>
    <w:p w:rsidR="00000000" w:rsidRDefault="00CF7517">
      <w:r>
        <w:tab/>
        <w:t xml:space="preserve">29.  </w:t>
      </w:r>
      <w:r>
        <w:rPr>
          <w:rFonts w:hint="eastAsia"/>
        </w:rPr>
        <w:t>经济复苏纲领和经济政策措施为南联盟的加速私有化、开放经济以及提高生产率的其他措施奠定了基础。首先是改善了企业经营的条件，并为企业裁减冗员提供了实际可能，同时解决了就业问题，为这些工人提供了企业外的维持生计渠道。</w:t>
      </w:r>
    </w:p>
    <w:p w:rsidR="00000000" w:rsidRDefault="00CF7517">
      <w:r>
        <w:tab/>
        <w:t xml:space="preserve">30.  </w:t>
      </w:r>
      <w:r>
        <w:rPr>
          <w:rFonts w:hint="eastAsia"/>
        </w:rPr>
        <w:t>技术和职业培训方案一般可分为两种：一种是在中级和高级职业培训学</w:t>
      </w:r>
      <w:r>
        <w:rPr>
          <w:rFonts w:hint="eastAsia"/>
        </w:rPr>
        <w:t>校和大学的正规学校里进行的培训方案</w:t>
      </w:r>
      <w:r>
        <w:t>(</w:t>
      </w:r>
      <w:r>
        <w:rPr>
          <w:rFonts w:hint="eastAsia"/>
        </w:rPr>
        <w:t>在完成了八年制义务教育之后</w:t>
      </w:r>
      <w:r>
        <w:t>)</w:t>
      </w:r>
      <w:r>
        <w:rPr>
          <w:rFonts w:hint="eastAsia"/>
        </w:rPr>
        <w:t>；另一种是对失业人员和在业人员进行的再培训和另外培训，使失业者能够找到工作，使在业者获得新的知识和技能以便能在职业上发展或换工作。这些方案在正规学校和大学里实施，也在专为此目的设立的机构里进行。南联盟的所有公民都有机会在平等条件下参加这些培训方案。</w:t>
      </w:r>
    </w:p>
    <w:p w:rsidR="00000000" w:rsidRDefault="00CF7517">
      <w:r>
        <w:tab/>
        <w:t>31.  1996</w:t>
      </w:r>
      <w:r>
        <w:rPr>
          <w:rFonts w:hint="eastAsia"/>
        </w:rPr>
        <w:t>年，社会</w:t>
      </w:r>
      <w:r>
        <w:t>(</w:t>
      </w:r>
      <w:r>
        <w:rPr>
          <w:rFonts w:hint="eastAsia"/>
        </w:rPr>
        <w:t>公共</w:t>
      </w:r>
      <w:r>
        <w:t>)</w:t>
      </w:r>
      <w:r>
        <w:rPr>
          <w:rFonts w:hint="eastAsia"/>
        </w:rPr>
        <w:t>部门的就业人数为</w:t>
      </w:r>
      <w:r>
        <w:t>2,075,000,</w:t>
      </w:r>
      <w:r>
        <w:rPr>
          <w:rFonts w:hint="eastAsia"/>
        </w:rPr>
        <w:t>占总人口的</w:t>
      </w:r>
      <w:r>
        <w:t>19.6%</w:t>
      </w:r>
      <w:r>
        <w:rPr>
          <w:rFonts w:hint="eastAsia"/>
        </w:rPr>
        <w:t>。此外，私人非农业部门的就业人数据估计为</w:t>
      </w:r>
      <w:r>
        <w:t>800,000(</w:t>
      </w:r>
      <w:r>
        <w:rPr>
          <w:rFonts w:hint="eastAsia"/>
        </w:rPr>
        <w:t>有不断增加的趋势</w:t>
      </w:r>
      <w:r>
        <w:t>)</w:t>
      </w:r>
      <w:r>
        <w:rPr>
          <w:rFonts w:hint="eastAsia"/>
        </w:rPr>
        <w:t>；人口中的一部分</w:t>
      </w:r>
      <w:r>
        <w:t>(</w:t>
      </w:r>
      <w:r>
        <w:rPr>
          <w:rFonts w:hint="eastAsia"/>
        </w:rPr>
        <w:t>约</w:t>
      </w:r>
      <w:r>
        <w:t>830,00</w:t>
      </w:r>
      <w:r>
        <w:t>0)</w:t>
      </w:r>
      <w:r>
        <w:rPr>
          <w:rFonts w:hint="eastAsia"/>
        </w:rPr>
        <w:t>从事私人农业活动，</w:t>
      </w:r>
      <w:r>
        <w:t>1997</w:t>
      </w:r>
      <w:r>
        <w:rPr>
          <w:rFonts w:hint="eastAsia"/>
        </w:rPr>
        <w:t>年在全部人口中所占的比例达到了</w:t>
      </w:r>
      <w:r>
        <w:t>35%</w:t>
      </w:r>
      <w:r>
        <w:rPr>
          <w:rFonts w:hint="eastAsia"/>
        </w:rPr>
        <w:t>。</w:t>
      </w:r>
    </w:p>
    <w:p w:rsidR="00000000" w:rsidRDefault="00CF7517">
      <w:r>
        <w:tab/>
        <w:t>32.  1996</w:t>
      </w:r>
      <w:r>
        <w:rPr>
          <w:rFonts w:hint="eastAsia"/>
        </w:rPr>
        <w:t>年登记失业的人数是</w:t>
      </w:r>
      <w:r>
        <w:t>819,000(1994</w:t>
      </w:r>
      <w:r>
        <w:rPr>
          <w:rFonts w:hint="eastAsia"/>
        </w:rPr>
        <w:t>年为</w:t>
      </w:r>
      <w:r>
        <w:t>720,000)</w:t>
      </w:r>
      <w:r>
        <w:rPr>
          <w:rFonts w:hint="eastAsia"/>
        </w:rPr>
        <w:t>。</w:t>
      </w:r>
    </w:p>
    <w:p w:rsidR="00000000" w:rsidRDefault="00CF7517">
      <w:r>
        <w:tab/>
        <w:t xml:space="preserve">33.  </w:t>
      </w:r>
      <w:r>
        <w:rPr>
          <w:rFonts w:hint="eastAsia"/>
        </w:rPr>
        <w:t>自</w:t>
      </w:r>
      <w:r>
        <w:t>1996</w:t>
      </w:r>
      <w:r>
        <w:rPr>
          <w:rFonts w:hint="eastAsia"/>
        </w:rPr>
        <w:t>年以来，劳动法律得到大量修订。联盟法律和共和国法律的修订主要侧重于可能妨碍南斯拉夫经济转型过程的那些部分。这些修订并不影响对工作权的行使；有些修订甚至是为了扩大在公共和私人部门就业的可能</w:t>
      </w:r>
      <w:r>
        <w:t>(</w:t>
      </w:r>
      <w:r>
        <w:rPr>
          <w:rFonts w:hint="eastAsia"/>
        </w:rPr>
        <w:t>缩短工作时间，短期和临时就业等</w:t>
      </w:r>
      <w:r>
        <w:t>)</w:t>
      </w:r>
      <w:r>
        <w:rPr>
          <w:rFonts w:hint="eastAsia"/>
        </w:rPr>
        <w:t>。</w:t>
      </w:r>
    </w:p>
    <w:p w:rsidR="00000000" w:rsidRDefault="00CF7517">
      <w:pPr>
        <w:spacing w:after="320"/>
        <w:textAlignment w:val="center"/>
      </w:pPr>
      <w:r>
        <w:tab/>
        <w:t xml:space="preserve">34.  </w:t>
      </w:r>
      <w:r>
        <w:rPr>
          <w:rFonts w:hint="eastAsia"/>
        </w:rPr>
        <w:t>在安全理事会实行制裁的情况下，南联盟经济遭受到严重打击，就业人口急剧减少，在</w:t>
      </w:r>
      <w:r>
        <w:t>1993</w:t>
      </w:r>
      <w:r>
        <w:rPr>
          <w:rFonts w:hint="eastAsia"/>
        </w:rPr>
        <w:t>年达到最严重程</w:t>
      </w:r>
      <w:r>
        <w:rPr>
          <w:rFonts w:hint="eastAsia"/>
        </w:rPr>
        <w:t>度。在这种情况下，有关国际组织或个别国家没有可能也没有表示愿意提供合作或帮助执行《盟约》第</w:t>
      </w:r>
      <w:r>
        <w:t>6</w:t>
      </w:r>
      <w:r>
        <w:rPr>
          <w:rFonts w:hint="eastAsia"/>
        </w:rPr>
        <w:t>条。制裁所影响的是全部人权中最基本的部分，即工作权和就业权，这种情况尤其阻碍了对就业者的法律保护和对最低生活水准的维持。</w:t>
      </w:r>
    </w:p>
    <w:p w:rsidR="00000000" w:rsidRDefault="00CF7517">
      <w:pPr>
        <w:pStyle w:val="Heading3"/>
      </w:pPr>
      <w:r>
        <w:rPr>
          <w:rFonts w:hint="eastAsia"/>
        </w:rPr>
        <w:t>第</w:t>
      </w:r>
      <w:r>
        <w:t xml:space="preserve"> 7 </w:t>
      </w:r>
      <w:r>
        <w:rPr>
          <w:rFonts w:hint="eastAsia"/>
        </w:rPr>
        <w:t>条</w:t>
      </w:r>
    </w:p>
    <w:p w:rsidR="00000000" w:rsidRDefault="00CF7517">
      <w:r>
        <w:tab/>
        <w:t xml:space="preserve">35.  </w:t>
      </w:r>
      <w:r>
        <w:rPr>
          <w:rFonts w:hint="eastAsia"/>
        </w:rPr>
        <w:t>作为国际劳工组织各项公约的缔约国，南联盟即使在国际社会实施严厉制裁的条件下，多多少少确保了下列公约所载的各项国际法律标准得到维持：关于确定最低工资的第</w:t>
      </w:r>
      <w:r>
        <w:t>131</w:t>
      </w:r>
      <w:r>
        <w:rPr>
          <w:rFonts w:hint="eastAsia"/>
        </w:rPr>
        <w:t>号公约，关于同工同酬的第</w:t>
      </w:r>
      <w:r>
        <w:t>100</w:t>
      </w:r>
      <w:r>
        <w:rPr>
          <w:rFonts w:hint="eastAsia"/>
        </w:rPr>
        <w:t>号公约，关于每周休息的第</w:t>
      </w:r>
      <w:r>
        <w:t>14</w:t>
      </w:r>
      <w:r>
        <w:rPr>
          <w:rFonts w:hint="eastAsia"/>
        </w:rPr>
        <w:t>号公约，关于带酬休假的第</w:t>
      </w:r>
      <w:r>
        <w:t>132</w:t>
      </w:r>
      <w:r>
        <w:rPr>
          <w:rFonts w:hint="eastAsia"/>
        </w:rPr>
        <w:t>号公约，关于劳动监察的第</w:t>
      </w:r>
      <w:r>
        <w:t>81</w:t>
      </w:r>
      <w:r>
        <w:rPr>
          <w:rFonts w:hint="eastAsia"/>
        </w:rPr>
        <w:t>号</w:t>
      </w:r>
      <w:r>
        <w:rPr>
          <w:rFonts w:hint="eastAsia"/>
        </w:rPr>
        <w:t>公约，关于</w:t>
      </w:r>
      <w:r>
        <w:t>(</w:t>
      </w:r>
      <w:r>
        <w:rPr>
          <w:rFonts w:hint="eastAsia"/>
        </w:rPr>
        <w:t>农业</w:t>
      </w:r>
      <w:r>
        <w:t>)</w:t>
      </w:r>
      <w:r>
        <w:rPr>
          <w:rFonts w:hint="eastAsia"/>
        </w:rPr>
        <w:t>劳动监察的第</w:t>
      </w:r>
      <w:r>
        <w:t>129</w:t>
      </w:r>
      <w:r>
        <w:rPr>
          <w:rFonts w:hint="eastAsia"/>
        </w:rPr>
        <w:t>号公约，关于职业安全和卫生的第</w:t>
      </w:r>
      <w:r>
        <w:t>155</w:t>
      </w:r>
      <w:r>
        <w:rPr>
          <w:rFonts w:hint="eastAsia"/>
        </w:rPr>
        <w:t>号公约。在困难的条件下，南联盟维护了基本的就业权利，并为保障工作安全做出了巨大的努力，而制裁和国际封锁的影响是特别不人道的。</w:t>
      </w:r>
    </w:p>
    <w:p w:rsidR="00000000" w:rsidRDefault="00CF7517">
      <w:r>
        <w:tab/>
        <w:t xml:space="preserve">36.  </w:t>
      </w:r>
      <w:r>
        <w:rPr>
          <w:rFonts w:hint="eastAsia"/>
        </w:rPr>
        <w:t>企业和其他工商业组织、公共服务组织以及其他法人雇员的工资，是按照符合劳动法律的集体协议支付的。所有制的特性，除国家机关以外，对支付工资的方式没有影响。国家机关、领土自治和地方自治机关的工资是按照有关法律和法令支付的。</w:t>
      </w:r>
    </w:p>
    <w:p w:rsidR="00000000" w:rsidRDefault="00CF7517">
      <w:r>
        <w:tab/>
        <w:t xml:space="preserve">37.  </w:t>
      </w:r>
      <w:r>
        <w:rPr>
          <w:rFonts w:hint="eastAsia"/>
        </w:rPr>
        <w:t>集体协议可以是一般的、部门的或与雇主签订的集体协议。一般性集体协议是为整</w:t>
      </w:r>
      <w:r>
        <w:rPr>
          <w:rFonts w:hint="eastAsia"/>
        </w:rPr>
        <w:t>个共和国签订的协议，适用于所有雇主和雇员。一般性集体协议目前在塞尔维亚和黑山实行，并计划签订一项将在南联盟全境实行的一般性集体协议。部门集体协议是为共和国境内一个或几个经济或非经济部门签订的协议，适用于特定部门的所有雇员和雇主。</w:t>
      </w:r>
    </w:p>
    <w:p w:rsidR="00000000" w:rsidRDefault="00CF7517">
      <w:r>
        <w:tab/>
        <w:t xml:space="preserve">38.  </w:t>
      </w:r>
      <w:r>
        <w:rPr>
          <w:rFonts w:hint="eastAsia"/>
        </w:rPr>
        <w:t>与雇主签订的集体协议适用于特定雇主的所有雇员。这意味着集体协议的条款也适用于未参加签署集体协议的工会的雇员和未参加签署集体协议的雇主联合会的雇主。一般协议和部门协议如果有这样的规定，也可直接适用。与雇主签订的集体协议确立的权利或有利工作条件不得低于一般或部门集体协议所确</w:t>
      </w:r>
      <w:r>
        <w:rPr>
          <w:rFonts w:hint="eastAsia"/>
        </w:rPr>
        <w:t>立者，也就是说，与雇主签订的集体协议中的劳动成本</w:t>
      </w:r>
      <w:r>
        <w:t>(</w:t>
      </w:r>
      <w:r>
        <w:rPr>
          <w:rFonts w:hint="eastAsia"/>
        </w:rPr>
        <w:t>即工资</w:t>
      </w:r>
      <w:r>
        <w:t>)</w:t>
      </w:r>
      <w:r>
        <w:rPr>
          <w:rFonts w:hint="eastAsia"/>
        </w:rPr>
        <w:t>不得低于一般或部门集体协议中的劳动成本。</w:t>
      </w:r>
    </w:p>
    <w:p w:rsidR="00000000" w:rsidRDefault="00CF7517">
      <w:r>
        <w:tab/>
        <w:t xml:space="preserve">39.  </w:t>
      </w:r>
      <w:r>
        <w:rPr>
          <w:rFonts w:hint="eastAsia"/>
        </w:rPr>
        <w:t>根据塞尔维亚共和国的一般集体协议，在谈判劳动成本和工资时，下列各点是基本原则：</w:t>
      </w:r>
    </w:p>
    <w:p w:rsidR="00000000" w:rsidRDefault="00CF7517" w:rsidP="00CF7517">
      <w:pPr>
        <w:pStyle w:val="a6"/>
        <w:numPr>
          <w:ilvl w:val="0"/>
          <w:numId w:val="1"/>
        </w:numPr>
      </w:pPr>
      <w:r>
        <w:rPr>
          <w:rFonts w:hint="eastAsia"/>
        </w:rPr>
        <w:t>雇员和其家庭按照一般发展水平所应有的生存和社会需要；</w:t>
      </w:r>
    </w:p>
    <w:p w:rsidR="00000000" w:rsidRDefault="00CF7517" w:rsidP="00CF7517">
      <w:pPr>
        <w:pStyle w:val="a6"/>
        <w:numPr>
          <w:ilvl w:val="0"/>
          <w:numId w:val="1"/>
        </w:numPr>
      </w:pPr>
      <w:r>
        <w:rPr>
          <w:rFonts w:hint="eastAsia"/>
        </w:rPr>
        <w:t>净工资在国内总产值中实际、估计和预测所占的比例；</w:t>
      </w:r>
    </w:p>
    <w:p w:rsidR="00000000" w:rsidRDefault="00CF7517" w:rsidP="00CF7517">
      <w:pPr>
        <w:pStyle w:val="a6"/>
        <w:numPr>
          <w:ilvl w:val="0"/>
          <w:numId w:val="1"/>
        </w:numPr>
      </w:pPr>
      <w:r>
        <w:rPr>
          <w:rFonts w:hint="eastAsia"/>
        </w:rPr>
        <w:t>失业率和就业政策；</w:t>
      </w:r>
    </w:p>
    <w:p w:rsidR="00000000" w:rsidRDefault="00CF7517" w:rsidP="00CF7517">
      <w:pPr>
        <w:pStyle w:val="a6"/>
        <w:numPr>
          <w:ilvl w:val="0"/>
          <w:numId w:val="1"/>
        </w:numPr>
      </w:pPr>
      <w:r>
        <w:rPr>
          <w:rFonts w:hint="eastAsia"/>
        </w:rPr>
        <w:t>共和国的一般经济发展水平与具体的活动。</w:t>
      </w:r>
    </w:p>
    <w:p w:rsidR="00000000" w:rsidRDefault="00CF7517">
      <w:r>
        <w:tab/>
        <w:t xml:space="preserve">40.  </w:t>
      </w:r>
      <w:r>
        <w:rPr>
          <w:rFonts w:hint="eastAsia"/>
        </w:rPr>
        <w:t>在与雇主签订的集体协议中确立工资的出发点是部门集体协议确立的劳动成本及下列各项指标：</w:t>
      </w:r>
    </w:p>
    <w:p w:rsidR="00000000" w:rsidRDefault="00CF7517" w:rsidP="00CF7517">
      <w:pPr>
        <w:pStyle w:val="a6"/>
        <w:numPr>
          <w:ilvl w:val="0"/>
          <w:numId w:val="1"/>
        </w:numPr>
      </w:pPr>
      <w:r>
        <w:rPr>
          <w:rFonts w:hint="eastAsia"/>
        </w:rPr>
        <w:t>实际工资水平及其与同一部门其他企业的工资的关系；</w:t>
      </w:r>
    </w:p>
    <w:p w:rsidR="00000000" w:rsidRDefault="00CF7517" w:rsidP="00CF7517">
      <w:pPr>
        <w:pStyle w:val="a6"/>
        <w:numPr>
          <w:ilvl w:val="0"/>
          <w:numId w:val="1"/>
        </w:numPr>
      </w:pPr>
      <w:r>
        <w:rPr>
          <w:rFonts w:hint="eastAsia"/>
        </w:rPr>
        <w:t>生活费用</w:t>
      </w:r>
      <w:r>
        <w:rPr>
          <w:rFonts w:hint="eastAsia"/>
        </w:rPr>
        <w:t>的增长；</w:t>
      </w:r>
    </w:p>
    <w:p w:rsidR="00000000" w:rsidRDefault="00CF7517" w:rsidP="00CF7517">
      <w:pPr>
        <w:pStyle w:val="a6"/>
        <w:numPr>
          <w:ilvl w:val="0"/>
          <w:numId w:val="1"/>
        </w:numPr>
      </w:pPr>
      <w:r>
        <w:rPr>
          <w:rFonts w:hint="eastAsia"/>
        </w:rPr>
        <w:t>经营成本中工资所占的比例；</w:t>
      </w:r>
    </w:p>
    <w:p w:rsidR="00000000" w:rsidRDefault="00CF7517" w:rsidP="00CF7517">
      <w:pPr>
        <w:pStyle w:val="a6"/>
        <w:numPr>
          <w:ilvl w:val="0"/>
          <w:numId w:val="1"/>
        </w:numPr>
      </w:pPr>
      <w:r>
        <w:rPr>
          <w:rFonts w:hint="eastAsia"/>
        </w:rPr>
        <w:t>实际的和计划的财务经营业绩。</w:t>
      </w:r>
    </w:p>
    <w:p w:rsidR="00000000" w:rsidRDefault="00CF7517">
      <w:r>
        <w:tab/>
        <w:t xml:space="preserve">41.  </w:t>
      </w:r>
      <w:r>
        <w:rPr>
          <w:rFonts w:hint="eastAsia"/>
        </w:rPr>
        <w:t>与雇主谈判确立最简单工作的劳动成本</w:t>
      </w:r>
      <w:r>
        <w:t>(</w:t>
      </w:r>
      <w:r>
        <w:rPr>
          <w:rFonts w:hint="eastAsia"/>
        </w:rPr>
        <w:t>最低工资</w:t>
      </w:r>
      <w:r>
        <w:t>)</w:t>
      </w:r>
      <w:r>
        <w:rPr>
          <w:rFonts w:hint="eastAsia"/>
        </w:rPr>
        <w:t>。除一些例外以外，最低工资不得低于部门集体协议所确立的标准。部门协议中的一般工作和与雇主的集体协议中的所有工作的劳动成本是这样计算的：最简单工作的劳动成本乘以一个比率，这个比率考虑到工作的复杂性、责任大小以及工作条件。雇员有权因工作成绩好而获得一定报酬，这部分报酬根据劳动规范和标准即集体的和个别的劳动规范和雇主确立的其他标准而确定。根据集体协议，雇员还有权按照确定的百分比增加工资，例</w:t>
      </w:r>
      <w:r>
        <w:rPr>
          <w:rFonts w:hint="eastAsia"/>
        </w:rPr>
        <w:t>如根据工作年资、法定假日期间加班、夜班、加班等因素。部门或与雇主签订的集体协议可规定雇员有权根据确立的或估计的经营效果享受企业的一部分利润。</w:t>
      </w:r>
    </w:p>
    <w:p w:rsidR="00000000" w:rsidRDefault="00CF7517">
      <w:r>
        <w:tab/>
        <w:t xml:space="preserve">42.  </w:t>
      </w:r>
      <w:r>
        <w:rPr>
          <w:rFonts w:hint="eastAsia"/>
        </w:rPr>
        <w:t>雇员还有权在下列情况的缺勤期间享受全薪报酬：</w:t>
      </w:r>
    </w:p>
    <w:p w:rsidR="00000000" w:rsidRDefault="00CF7517" w:rsidP="00CF7517">
      <w:pPr>
        <w:pStyle w:val="a6"/>
        <w:numPr>
          <w:ilvl w:val="0"/>
          <w:numId w:val="1"/>
        </w:numPr>
      </w:pPr>
      <w:r>
        <w:rPr>
          <w:rFonts w:hint="eastAsia"/>
        </w:rPr>
        <w:t>休假期间；</w:t>
      </w:r>
    </w:p>
    <w:p w:rsidR="00000000" w:rsidRDefault="00CF7517" w:rsidP="00CF7517">
      <w:pPr>
        <w:pStyle w:val="a6"/>
        <w:numPr>
          <w:ilvl w:val="0"/>
          <w:numId w:val="1"/>
        </w:numPr>
      </w:pPr>
      <w:r>
        <w:rPr>
          <w:rFonts w:hint="eastAsia"/>
        </w:rPr>
        <w:t>国家法定或宗教节日；</w:t>
      </w:r>
    </w:p>
    <w:p w:rsidR="00000000" w:rsidRDefault="00CF7517" w:rsidP="00CF7517">
      <w:pPr>
        <w:pStyle w:val="a6"/>
        <w:numPr>
          <w:ilvl w:val="0"/>
          <w:numId w:val="1"/>
        </w:numPr>
      </w:pPr>
      <w:r>
        <w:rPr>
          <w:rFonts w:hint="eastAsia"/>
        </w:rPr>
        <w:t>因工伤或职业疾病而临时缺勤期间；</w:t>
      </w:r>
    </w:p>
    <w:p w:rsidR="00000000" w:rsidRDefault="00CF7517" w:rsidP="00CF7517">
      <w:pPr>
        <w:pStyle w:val="a6"/>
        <w:numPr>
          <w:ilvl w:val="0"/>
          <w:numId w:val="1"/>
        </w:numPr>
      </w:pPr>
      <w:r>
        <w:rPr>
          <w:rFonts w:hint="eastAsia"/>
        </w:rPr>
        <w:t>带薪假；</w:t>
      </w:r>
    </w:p>
    <w:p w:rsidR="00000000" w:rsidRDefault="00CF7517" w:rsidP="00CF7517">
      <w:pPr>
        <w:pStyle w:val="a6"/>
        <w:numPr>
          <w:ilvl w:val="0"/>
          <w:numId w:val="1"/>
        </w:numPr>
      </w:pPr>
      <w:r>
        <w:rPr>
          <w:rFonts w:hint="eastAsia"/>
        </w:rPr>
        <w:t>志愿捐献血液、组织、器官等；</w:t>
      </w:r>
    </w:p>
    <w:p w:rsidR="00000000" w:rsidRDefault="00CF7517" w:rsidP="00CF7517">
      <w:pPr>
        <w:pStyle w:val="a6"/>
        <w:numPr>
          <w:ilvl w:val="0"/>
          <w:numId w:val="1"/>
        </w:numPr>
      </w:pPr>
      <w:r>
        <w:rPr>
          <w:rFonts w:hint="eastAsia"/>
        </w:rPr>
        <w:t>工作所需要的职业培训和教育；</w:t>
      </w:r>
    </w:p>
    <w:p w:rsidR="00000000" w:rsidRDefault="00CF7517" w:rsidP="00CF7517">
      <w:pPr>
        <w:pStyle w:val="a6"/>
        <w:numPr>
          <w:ilvl w:val="0"/>
          <w:numId w:val="1"/>
        </w:numPr>
      </w:pPr>
      <w:r>
        <w:rPr>
          <w:rFonts w:hint="eastAsia"/>
        </w:rPr>
        <w:t>作为成员而参加国家机关、行政机关和地方自治机关、工商会机构、雇主管理机构、工作以及工会联合会的会议；</w:t>
      </w:r>
    </w:p>
    <w:p w:rsidR="00000000" w:rsidRDefault="00CF7517" w:rsidP="00CF7517">
      <w:pPr>
        <w:pStyle w:val="a6"/>
        <w:numPr>
          <w:ilvl w:val="0"/>
          <w:numId w:val="1"/>
        </w:numPr>
      </w:pPr>
      <w:r>
        <w:rPr>
          <w:rFonts w:hint="eastAsia"/>
        </w:rPr>
        <w:t>参加工作或生产竞赛、发明展览以及其他形式的创造性工作。</w:t>
      </w:r>
    </w:p>
    <w:p w:rsidR="00000000" w:rsidRDefault="00CF7517">
      <w:r>
        <w:tab/>
        <w:t xml:space="preserve">43.  </w:t>
      </w:r>
      <w:r>
        <w:rPr>
          <w:rFonts w:hint="eastAsia"/>
        </w:rPr>
        <w:t>在下</w:t>
      </w:r>
      <w:r>
        <w:rPr>
          <w:rFonts w:hint="eastAsia"/>
        </w:rPr>
        <w:t>列情况下，对缺勤的雇员支付其平常工资的</w:t>
      </w:r>
      <w:r>
        <w:t>80%</w:t>
      </w:r>
      <w:r>
        <w:rPr>
          <w:rFonts w:hint="eastAsia"/>
        </w:rPr>
        <w:t>：</w:t>
      </w:r>
    </w:p>
    <w:p w:rsidR="00000000" w:rsidRDefault="00CF7517" w:rsidP="00CF7517">
      <w:pPr>
        <w:pStyle w:val="a6"/>
        <w:numPr>
          <w:ilvl w:val="0"/>
          <w:numId w:val="1"/>
        </w:numPr>
      </w:pPr>
      <w:r>
        <w:rPr>
          <w:rFonts w:hint="eastAsia"/>
        </w:rPr>
        <w:t>等待分配另一工作期间；</w:t>
      </w:r>
    </w:p>
    <w:p w:rsidR="00000000" w:rsidRDefault="00CF7517" w:rsidP="00CF7517">
      <w:pPr>
        <w:pStyle w:val="a6"/>
        <w:numPr>
          <w:ilvl w:val="0"/>
          <w:numId w:val="1"/>
        </w:numPr>
      </w:pPr>
      <w:r>
        <w:rPr>
          <w:rFonts w:hint="eastAsia"/>
        </w:rPr>
        <w:t>在按照养恤、残疾和医疗保险条例而等待再培训或获得另外技能期间以及在再培训或获得另外技能期间；</w:t>
      </w:r>
    </w:p>
    <w:p w:rsidR="00000000" w:rsidRDefault="00CF7517" w:rsidP="00CF7517">
      <w:pPr>
        <w:pStyle w:val="a6"/>
        <w:numPr>
          <w:ilvl w:val="0"/>
          <w:numId w:val="1"/>
        </w:numPr>
      </w:pPr>
      <w:r>
        <w:rPr>
          <w:rFonts w:hint="eastAsia"/>
        </w:rPr>
        <w:t>由有关法院或主管官员下令停工或由于工作不安全而停工。</w:t>
      </w:r>
    </w:p>
    <w:p w:rsidR="00000000" w:rsidRDefault="00CF7517">
      <w:r>
        <w:tab/>
        <w:t xml:space="preserve">44.  </w:t>
      </w:r>
      <w:r>
        <w:rPr>
          <w:rFonts w:hint="eastAsia"/>
        </w:rPr>
        <w:t>在雇员因病或因非工伤</w:t>
      </w:r>
      <w:r>
        <w:t>(</w:t>
      </w:r>
      <w:r>
        <w:rPr>
          <w:rFonts w:hint="eastAsia"/>
        </w:rPr>
        <w:t>病假</w:t>
      </w:r>
      <w:r>
        <w:t>)</w:t>
      </w:r>
      <w:r>
        <w:rPr>
          <w:rFonts w:hint="eastAsia"/>
        </w:rPr>
        <w:t>而短期缺勤时，雇主须至少向雇员支付其生病或受伤之前的那一个月工资的</w:t>
      </w:r>
      <w:r>
        <w:t>80%</w:t>
      </w:r>
      <w:r>
        <w:rPr>
          <w:rFonts w:hint="eastAsia"/>
        </w:rPr>
        <w:t>。</w:t>
      </w:r>
    </w:p>
    <w:p w:rsidR="00000000" w:rsidRDefault="00CF7517">
      <w:r>
        <w:tab/>
        <w:t xml:space="preserve">45.  </w:t>
      </w:r>
      <w:r>
        <w:rPr>
          <w:rFonts w:hint="eastAsia"/>
        </w:rPr>
        <w:t>雇主还须向雇员提供其他津贴，包括：假期津贴、退休离职或因丧失工作能力而离职津贴、雇员死亡而发给其家属的补贴、上下班交通费补贴、工作时间餐饮补贴、国内外出差每日生活津</w:t>
      </w:r>
      <w:r>
        <w:rPr>
          <w:rFonts w:hint="eastAsia"/>
        </w:rPr>
        <w:t>贴等。根据一般集体协议，雇主还可向工龄长的雇员发放奖金，按照与雇主的集体协议发放救济，发放贷款供购买冬季取暖燃料、冬季食品以及课本等。</w:t>
      </w:r>
    </w:p>
    <w:p w:rsidR="00000000" w:rsidRDefault="00CF7517">
      <w:r>
        <w:tab/>
        <w:t xml:space="preserve">46.  </w:t>
      </w:r>
      <w:r>
        <w:rPr>
          <w:rFonts w:hint="eastAsia"/>
        </w:rPr>
        <w:t>按照一般集体协议，在黑山，雇员的薪水由工资和奖金组成。工资是根据具体工作的劳动成本而确定的，而劳动成本由集体协议确定。基本劳动成本是这样计算的：最简单工作的劳动成本乘以一个系数，此系数由第一职类的</w:t>
      </w:r>
      <w:r>
        <w:t>1.00(</w:t>
      </w:r>
      <w:r>
        <w:rPr>
          <w:rFonts w:hint="eastAsia"/>
        </w:rPr>
        <w:t>无技能的工人</w:t>
      </w:r>
      <w:r>
        <w:t>)</w:t>
      </w:r>
      <w:r>
        <w:rPr>
          <w:rFonts w:hint="eastAsia"/>
        </w:rPr>
        <w:t>到职类的</w:t>
      </w:r>
      <w:r>
        <w:t>3.20(</w:t>
      </w:r>
      <w:r>
        <w:rPr>
          <w:rFonts w:hint="eastAsia"/>
        </w:rPr>
        <w:t>科学博士</w:t>
      </w:r>
      <w:r>
        <w:t>)</w:t>
      </w:r>
      <w:r>
        <w:rPr>
          <w:rFonts w:hint="eastAsia"/>
        </w:rPr>
        <w:t>。</w:t>
      </w:r>
    </w:p>
    <w:p w:rsidR="00000000" w:rsidRDefault="00CF7517">
      <w:r>
        <w:tab/>
        <w:t xml:space="preserve">47.  </w:t>
      </w:r>
      <w:r>
        <w:rPr>
          <w:rFonts w:hint="eastAsia"/>
        </w:rPr>
        <w:t>最简单工作的最低劳动成本</w:t>
      </w:r>
      <w:r>
        <w:t>(</w:t>
      </w:r>
      <w:r>
        <w:rPr>
          <w:rFonts w:hint="eastAsia"/>
        </w:rPr>
        <w:t>最低工资</w:t>
      </w:r>
      <w:r>
        <w:t>)</w:t>
      </w:r>
      <w:r>
        <w:rPr>
          <w:rFonts w:hint="eastAsia"/>
        </w:rPr>
        <w:t>是按照下列原则通过特定的方法计算出来的：</w:t>
      </w:r>
    </w:p>
    <w:p w:rsidR="00000000" w:rsidRDefault="00CF7517" w:rsidP="00CF7517">
      <w:pPr>
        <w:pStyle w:val="a0"/>
        <w:numPr>
          <w:ilvl w:val="0"/>
          <w:numId w:val="2"/>
        </w:numPr>
        <w:ind w:left="1531" w:hanging="510"/>
      </w:pPr>
      <w:r>
        <w:rPr>
          <w:rFonts w:hint="eastAsia"/>
        </w:rPr>
        <w:t>雇员及其家属的需要</w:t>
      </w:r>
      <w:r>
        <w:t>(</w:t>
      </w:r>
      <w:r>
        <w:rPr>
          <w:rFonts w:hint="eastAsia"/>
        </w:rPr>
        <w:t>平</w:t>
      </w:r>
      <w:r>
        <w:rPr>
          <w:rFonts w:hint="eastAsia"/>
        </w:rPr>
        <w:t>均四口之家所需食品的价值加上其他生活费用如衣服、鞋类、交通、医疗、卫生、教育、文化等</w:t>
      </w:r>
      <w:r>
        <w:t>)</w:t>
      </w:r>
      <w:r>
        <w:rPr>
          <w:rFonts w:hint="eastAsia"/>
        </w:rPr>
        <w:t>；</w:t>
      </w:r>
    </w:p>
    <w:p w:rsidR="00000000" w:rsidRDefault="00CF7517" w:rsidP="00CF7517">
      <w:pPr>
        <w:pStyle w:val="a0"/>
        <w:numPr>
          <w:ilvl w:val="0"/>
          <w:numId w:val="2"/>
        </w:numPr>
        <w:ind w:left="1531" w:hanging="510"/>
      </w:pPr>
      <w:r>
        <w:rPr>
          <w:rFonts w:hint="eastAsia"/>
        </w:rPr>
        <w:t>雇员及其家属的工资和其他收入；</w:t>
      </w:r>
    </w:p>
    <w:p w:rsidR="00000000" w:rsidRDefault="00CF7517" w:rsidP="00CF7517">
      <w:pPr>
        <w:pStyle w:val="a0"/>
        <w:numPr>
          <w:ilvl w:val="0"/>
          <w:numId w:val="2"/>
        </w:numPr>
        <w:ind w:left="1531" w:hanging="510"/>
      </w:pPr>
      <w:r>
        <w:rPr>
          <w:rFonts w:hint="eastAsia"/>
        </w:rPr>
        <w:t>经济因素</w:t>
      </w:r>
      <w:r>
        <w:t>(</w:t>
      </w:r>
      <w:r>
        <w:rPr>
          <w:rFonts w:hint="eastAsia"/>
        </w:rPr>
        <w:t>生产趋势和雇主支付一定水平工资的可能</w:t>
      </w:r>
      <w:r>
        <w:t>)</w:t>
      </w:r>
      <w:r>
        <w:rPr>
          <w:rFonts w:hint="eastAsia"/>
        </w:rPr>
        <w:t>；</w:t>
      </w:r>
    </w:p>
    <w:p w:rsidR="00000000" w:rsidRDefault="00CF7517" w:rsidP="00CF7517">
      <w:pPr>
        <w:pStyle w:val="a0"/>
        <w:numPr>
          <w:ilvl w:val="0"/>
          <w:numId w:val="2"/>
        </w:numPr>
        <w:ind w:left="1531" w:hanging="510"/>
      </w:pPr>
      <w:r>
        <w:rPr>
          <w:rFonts w:hint="eastAsia"/>
        </w:rPr>
        <w:t>其他重要指数和因素</w:t>
      </w:r>
      <w:r>
        <w:t>(</w:t>
      </w:r>
      <w:r>
        <w:rPr>
          <w:rFonts w:hint="eastAsia"/>
        </w:rPr>
        <w:t>生活费用、其他社会群体的生活水准等</w:t>
      </w:r>
      <w:r>
        <w:t>)</w:t>
      </w:r>
      <w:r>
        <w:rPr>
          <w:rFonts w:hint="eastAsia"/>
        </w:rPr>
        <w:t>。</w:t>
      </w:r>
    </w:p>
    <w:p w:rsidR="00000000" w:rsidRDefault="00CF7517">
      <w:r>
        <w:tab/>
        <w:t xml:space="preserve">48.  </w:t>
      </w:r>
      <w:r>
        <w:rPr>
          <w:rFonts w:hint="eastAsia"/>
        </w:rPr>
        <w:t>部门和集体协议确定一般工作和其他工作的基本劳动价格，在特定职类内，这些价格不得低于一般集体协议确定的基本劳动成本。在特殊情况下，比如在企业经营受到干扰的情况下，确定的劳动成本可比基本劳动成本低</w:t>
      </w:r>
      <w:r>
        <w:t>20%</w:t>
      </w:r>
      <w:r>
        <w:rPr>
          <w:rFonts w:hint="eastAsia"/>
        </w:rPr>
        <w:t>。</w:t>
      </w:r>
    </w:p>
    <w:p w:rsidR="00000000" w:rsidRDefault="00CF7517">
      <w:r>
        <w:tab/>
        <w:t xml:space="preserve">49.  </w:t>
      </w:r>
      <w:r>
        <w:rPr>
          <w:rFonts w:hint="eastAsia"/>
        </w:rPr>
        <w:t>工作条件比一般艰苦的特定工种</w:t>
      </w:r>
      <w:r>
        <w:t>(</w:t>
      </w:r>
      <w:r>
        <w:rPr>
          <w:rFonts w:hint="eastAsia"/>
        </w:rPr>
        <w:t>气候、噪音、振动、辐射</w:t>
      </w:r>
      <w:r>
        <w:rPr>
          <w:rFonts w:hint="eastAsia"/>
        </w:rPr>
        <w:t>、潮湿、有害气体、对生物有害的物质、劳动强度大，工作材料肮脏、工具和物品具有危险、交通工具、废物、电力、爆炸、高温、腐蚀性材料等</w:t>
      </w:r>
      <w:r>
        <w:t>)</w:t>
      </w:r>
      <w:r>
        <w:rPr>
          <w:rFonts w:hint="eastAsia"/>
        </w:rPr>
        <w:t>，雇员的工资可提高，这需要由特别的或单独的集体协议作出具体规定。</w:t>
      </w:r>
    </w:p>
    <w:p w:rsidR="00000000" w:rsidRDefault="00CF7517">
      <w:r>
        <w:tab/>
        <w:t xml:space="preserve">50.  </w:t>
      </w:r>
      <w:r>
        <w:rPr>
          <w:rFonts w:hint="eastAsia"/>
        </w:rPr>
        <w:t>工资每年按一定比例提高。雇主还必须对上夜班、加班、公共和宗教假日加班、停工在一小时以上以及在家里待令的工人增加工资。</w:t>
      </w:r>
    </w:p>
    <w:p w:rsidR="00000000" w:rsidRDefault="00CF7517">
      <w:r>
        <w:tab/>
        <w:t xml:space="preserve">51.  </w:t>
      </w:r>
      <w:r>
        <w:rPr>
          <w:rFonts w:hint="eastAsia"/>
        </w:rPr>
        <w:t>按照一般集体协议，雇主必须对下列情况下缺勤的雇员照发</w:t>
      </w:r>
      <w:r>
        <w:t>100%</w:t>
      </w:r>
      <w:r>
        <w:rPr>
          <w:rFonts w:hint="eastAsia"/>
        </w:rPr>
        <w:t>的工资：</w:t>
      </w:r>
    </w:p>
    <w:p w:rsidR="00000000" w:rsidRDefault="00CF7517" w:rsidP="00CF7517">
      <w:pPr>
        <w:pStyle w:val="a6"/>
        <w:numPr>
          <w:ilvl w:val="0"/>
          <w:numId w:val="1"/>
        </w:numPr>
      </w:pPr>
      <w:r>
        <w:rPr>
          <w:rFonts w:hint="eastAsia"/>
        </w:rPr>
        <w:t>假期和得奖休假；</w:t>
      </w:r>
    </w:p>
    <w:p w:rsidR="00000000" w:rsidRDefault="00CF7517" w:rsidP="00CF7517">
      <w:pPr>
        <w:pStyle w:val="a6"/>
        <w:numPr>
          <w:ilvl w:val="0"/>
          <w:numId w:val="1"/>
        </w:numPr>
      </w:pPr>
      <w:r>
        <w:rPr>
          <w:rFonts w:hint="eastAsia"/>
        </w:rPr>
        <w:t>法定的公共和宗教假日；</w:t>
      </w:r>
    </w:p>
    <w:p w:rsidR="00000000" w:rsidRDefault="00CF7517" w:rsidP="00CF7517">
      <w:pPr>
        <w:pStyle w:val="a6"/>
        <w:numPr>
          <w:ilvl w:val="0"/>
          <w:numId w:val="1"/>
        </w:numPr>
      </w:pPr>
      <w:r>
        <w:rPr>
          <w:rFonts w:hint="eastAsia"/>
        </w:rPr>
        <w:t>因工伤或职业病而暂时缺勤；</w:t>
      </w:r>
    </w:p>
    <w:p w:rsidR="00000000" w:rsidRDefault="00CF7517" w:rsidP="00CF7517">
      <w:pPr>
        <w:pStyle w:val="a6"/>
        <w:numPr>
          <w:ilvl w:val="0"/>
          <w:numId w:val="1"/>
        </w:numPr>
      </w:pPr>
      <w:r>
        <w:rPr>
          <w:rFonts w:hint="eastAsia"/>
        </w:rPr>
        <w:t>按照集体协议享受的带薪休假；</w:t>
      </w:r>
    </w:p>
    <w:p w:rsidR="00000000" w:rsidRDefault="00CF7517" w:rsidP="00CF7517">
      <w:pPr>
        <w:pStyle w:val="a6"/>
        <w:numPr>
          <w:ilvl w:val="0"/>
          <w:numId w:val="1"/>
        </w:numPr>
      </w:pPr>
      <w:r>
        <w:rPr>
          <w:rFonts w:hint="eastAsia"/>
        </w:rPr>
        <w:t>工作</w:t>
      </w:r>
      <w:r>
        <w:rPr>
          <w:rFonts w:hint="eastAsia"/>
        </w:rPr>
        <w:t>所需要的职业培训和技能获得；</w:t>
      </w:r>
    </w:p>
    <w:p w:rsidR="00000000" w:rsidRDefault="00CF7517" w:rsidP="00CF7517">
      <w:pPr>
        <w:pStyle w:val="a6"/>
        <w:numPr>
          <w:ilvl w:val="0"/>
          <w:numId w:val="1"/>
        </w:numPr>
      </w:pPr>
      <w:r>
        <w:rPr>
          <w:rFonts w:hint="eastAsia"/>
        </w:rPr>
        <w:t>作为成员参加工会机构、国家机关和其他机关的会议；</w:t>
      </w:r>
    </w:p>
    <w:p w:rsidR="00000000" w:rsidRDefault="00CF7517" w:rsidP="00CF7517">
      <w:pPr>
        <w:pStyle w:val="a6"/>
        <w:numPr>
          <w:ilvl w:val="0"/>
          <w:numId w:val="1"/>
        </w:numPr>
      </w:pPr>
      <w:r>
        <w:rPr>
          <w:rFonts w:hint="eastAsia"/>
        </w:rPr>
        <w:t>参加工作或生产竞赛。</w:t>
      </w:r>
    </w:p>
    <w:p w:rsidR="00000000" w:rsidRDefault="00CF7517">
      <w:r>
        <w:tab/>
        <w:t xml:space="preserve">52.  </w:t>
      </w:r>
      <w:r>
        <w:rPr>
          <w:rFonts w:hint="eastAsia"/>
        </w:rPr>
        <w:t>非雇员的过错而造成的停工，支付小时工资的</w:t>
      </w:r>
      <w:r>
        <w:t>80%</w:t>
      </w:r>
      <w:r>
        <w:rPr>
          <w:rFonts w:hint="eastAsia"/>
        </w:rPr>
        <w:t>，但雇员负有来上班的义务。</w:t>
      </w:r>
    </w:p>
    <w:p w:rsidR="00000000" w:rsidRDefault="00CF7517">
      <w:r>
        <w:tab/>
        <w:t xml:space="preserve">53.  </w:t>
      </w:r>
      <w:r>
        <w:rPr>
          <w:rFonts w:hint="eastAsia"/>
        </w:rPr>
        <w:t>在黑山，雇员因生病或因非工作原因而受伤造成的临时缺勤时的工资由医疗法律作出规定。工资数额按生病或受伤之前的三个月里的平均工资确定。如果缺勤时间超过一个月，这一基础工资随工资的上升而每月加以调整。补偿数额不低于基础工资的</w:t>
      </w:r>
      <w:r>
        <w:t>70%</w:t>
      </w:r>
      <w:r>
        <w:rPr>
          <w:rFonts w:hint="eastAsia"/>
        </w:rPr>
        <w:t>。</w:t>
      </w:r>
    </w:p>
    <w:p w:rsidR="00000000" w:rsidRDefault="00CF7517">
      <w:r>
        <w:tab/>
        <w:t xml:space="preserve">54.  </w:t>
      </w:r>
      <w:r>
        <w:rPr>
          <w:rFonts w:hint="eastAsia"/>
        </w:rPr>
        <w:t>按照一般集体协议，雇主须向雇员提供其他福利，包括：假期补贴、冬季食品和取</w:t>
      </w:r>
      <w:r>
        <w:rPr>
          <w:rFonts w:hint="eastAsia"/>
        </w:rPr>
        <w:t>暖燃料资金、退休奖金、资深人员奖、每月工作时间餐饮补贴、国内外出差每日生活津贴、外地津贴、两地分居津贴，上下班交通费补贴等。按照一般集体协议，雇主还可在雇员或其家属长期生病或生重病、进行医疗康复、购买药品或接受治疗时，在雇员家属发生死亡时，给予援助。</w:t>
      </w:r>
    </w:p>
    <w:p w:rsidR="00000000" w:rsidRDefault="00CF7517">
      <w:r>
        <w:tab/>
        <w:t xml:space="preserve">55.  </w:t>
      </w:r>
      <w:r>
        <w:rPr>
          <w:rFonts w:hint="eastAsia"/>
        </w:rPr>
        <w:t>南联盟、塞尔维亚共和国、黑山共和国的国家机关工作人员的工资支付有另外的规定，政府工作人员的工资各共和国不同。原则上，每月支付的低薪由联盟或共和国各自主管机关确定，基本工资乘以按工作复杂程度和责任大小而确定的系数。工资和其他报酬大多按照有效的一般集体</w:t>
      </w:r>
      <w:r>
        <w:rPr>
          <w:rFonts w:hint="eastAsia"/>
        </w:rPr>
        <w:t>协议而确定。</w:t>
      </w:r>
    </w:p>
    <w:p w:rsidR="00000000" w:rsidRDefault="00CF7517">
      <w:r>
        <w:tab/>
        <w:t xml:space="preserve">56.  </w:t>
      </w:r>
      <w:r>
        <w:rPr>
          <w:rFonts w:hint="eastAsia"/>
        </w:rPr>
        <w:t>联盟就业法规定雇员有权获得足以维持生活的保障工资。在塞尔维亚共和国，只有当雇主的经营被打断，他暂无力按照集体协议支付工资时才可仅支付保障工资。保障工资数额由共和国政府确定。在黑山，这一工资是最低工资的</w:t>
      </w:r>
      <w:r>
        <w:t>65%</w:t>
      </w:r>
      <w:r>
        <w:rPr>
          <w:rFonts w:hint="eastAsia"/>
        </w:rPr>
        <w:t>。目前的做法是确立低水平的保障工资，</w:t>
      </w:r>
      <w:r>
        <w:t>1997</w:t>
      </w:r>
      <w:r>
        <w:rPr>
          <w:rFonts w:hint="eastAsia"/>
        </w:rPr>
        <w:t>年</w:t>
      </w:r>
      <w:r>
        <w:t>6</w:t>
      </w:r>
      <w:r>
        <w:rPr>
          <w:rFonts w:hint="eastAsia"/>
        </w:rPr>
        <w:t>月在塞尔维亚为</w:t>
      </w:r>
      <w:r>
        <w:t>200</w:t>
      </w:r>
      <w:r>
        <w:rPr>
          <w:rFonts w:hint="eastAsia"/>
        </w:rPr>
        <w:t>第纳尔，在黑山为</w:t>
      </w:r>
      <w:r>
        <w:t>208</w:t>
      </w:r>
      <w:r>
        <w:rPr>
          <w:rFonts w:hint="eastAsia"/>
        </w:rPr>
        <w:t>第纳尔。</w:t>
      </w:r>
    </w:p>
    <w:p w:rsidR="00000000" w:rsidRDefault="00CF7517">
      <w:r>
        <w:tab/>
        <w:t xml:space="preserve">57.  </w:t>
      </w:r>
      <w:r>
        <w:rPr>
          <w:rFonts w:hint="eastAsia"/>
        </w:rPr>
        <w:t>支付保障工资的大多数企业通常不使用自己的资金进行支付，而是使用共和国的专门基金提供的优惠贷款。这些基金往往不能及时满足所有的需求，因此保障工资虽然数额较低，也往往不能及</w:t>
      </w:r>
      <w:r>
        <w:rPr>
          <w:rFonts w:hint="eastAsia"/>
        </w:rPr>
        <w:t>时提供。</w:t>
      </w:r>
    </w:p>
    <w:p w:rsidR="00000000" w:rsidRDefault="00CF7517">
      <w:r>
        <w:tab/>
        <w:t xml:space="preserve">58.  </w:t>
      </w:r>
      <w:r>
        <w:rPr>
          <w:rFonts w:hint="eastAsia"/>
        </w:rPr>
        <w:t>南联盟确保执行工作安全规定的基本法律和条例包括：南斯拉夫联盟共和国宪法，各共和国宪法，各共和国关于工作安全的法律，各共和国关于劳动监察的法律，工作安全条例，南联盟的有关标准，企业制定的专门条例以及南斯拉夫批准的关于工作安全的国际公约。所有这些条例都详细规定了与安全</w:t>
      </w:r>
      <w:r>
        <w:t>(</w:t>
      </w:r>
      <w:r>
        <w:rPr>
          <w:rFonts w:hint="eastAsia"/>
        </w:rPr>
        <w:t>技术等</w:t>
      </w:r>
      <w:r>
        <w:t>)</w:t>
      </w:r>
      <w:r>
        <w:rPr>
          <w:rFonts w:hint="eastAsia"/>
        </w:rPr>
        <w:t>和与健康安全</w:t>
      </w:r>
      <w:r>
        <w:t>(</w:t>
      </w:r>
      <w:r>
        <w:rPr>
          <w:rFonts w:hint="eastAsia"/>
        </w:rPr>
        <w:t>经常、定期、有针对性的身体检查</w:t>
      </w:r>
      <w:r>
        <w:t>)</w:t>
      </w:r>
      <w:r>
        <w:rPr>
          <w:rFonts w:hint="eastAsia"/>
        </w:rPr>
        <w:t>有关的问题。</w:t>
      </w:r>
    </w:p>
    <w:p w:rsidR="00000000" w:rsidRDefault="00CF7517">
      <w:r>
        <w:tab/>
        <w:t xml:space="preserve">59.  </w:t>
      </w:r>
      <w:r>
        <w:rPr>
          <w:rFonts w:hint="eastAsia"/>
        </w:rPr>
        <w:t>按照劳工组织第</w:t>
      </w:r>
      <w:r>
        <w:t>81</w:t>
      </w:r>
      <w:r>
        <w:rPr>
          <w:rFonts w:hint="eastAsia"/>
        </w:rPr>
        <w:t>号公约，南斯拉夫每年都提交关于工作安全情况和劳动监察的报告。最近一次报告是</w:t>
      </w:r>
      <w:r>
        <w:t>1996</w:t>
      </w:r>
      <w:r>
        <w:rPr>
          <w:rFonts w:hint="eastAsia"/>
        </w:rPr>
        <w:t>年提交的关于</w:t>
      </w:r>
      <w:r>
        <w:t>1995</w:t>
      </w:r>
      <w:r>
        <w:rPr>
          <w:rFonts w:hint="eastAsia"/>
        </w:rPr>
        <w:t>年情况的报告。</w:t>
      </w:r>
    </w:p>
    <w:p w:rsidR="00000000" w:rsidRDefault="00CF7517">
      <w:r>
        <w:tab/>
        <w:t>60.</w:t>
      </w:r>
      <w:r>
        <w:t xml:space="preserve">  </w:t>
      </w:r>
      <w:r>
        <w:rPr>
          <w:rFonts w:hint="eastAsia"/>
        </w:rPr>
        <w:t>南联盟没有免除工人群体或个人活动的国际公约规定的义务，特别是国际劳工组织第</w:t>
      </w:r>
      <w:r>
        <w:t>81</w:t>
      </w:r>
      <w:r>
        <w:rPr>
          <w:rFonts w:hint="eastAsia"/>
        </w:rPr>
        <w:t>号、</w:t>
      </w:r>
      <w:r>
        <w:t>129</w:t>
      </w:r>
      <w:r>
        <w:rPr>
          <w:rFonts w:hint="eastAsia"/>
        </w:rPr>
        <w:t>号、</w:t>
      </w:r>
      <w:r>
        <w:t>155</w:t>
      </w:r>
      <w:r>
        <w:rPr>
          <w:rFonts w:hint="eastAsia"/>
        </w:rPr>
        <w:t>号公约规定的义务。</w:t>
      </w:r>
    </w:p>
    <w:p w:rsidR="00000000" w:rsidRDefault="00CF7517">
      <w:r>
        <w:tab/>
        <w:t xml:space="preserve">61.  </w:t>
      </w:r>
      <w:r>
        <w:rPr>
          <w:rFonts w:hint="eastAsia"/>
        </w:rPr>
        <w:t>在联合国安全理事会制裁期间，南联盟很难甚至不可能进口药品、制药原材料、医疗用品、仪器及零件、工人防护用品、测量仪器及零件、医疗保健各种化验以及测试工作环境小气候所需的化学品、科学技术书籍等。这使南斯拉夫无法充分执行已经批准的国际公约在工作安全领域的许多规定以及国际人道主义法律，包括关于人权如生命权、健康权、健康和安全的工作条件权利的规定。出于上述原因，南斯拉夫的企业做出了特别</w:t>
      </w:r>
      <w:r>
        <w:rPr>
          <w:rFonts w:hint="eastAsia"/>
        </w:rPr>
        <w:t>的努力，以便至少提供最低限度的工作安全条件。</w:t>
      </w:r>
    </w:p>
    <w:p w:rsidR="00000000" w:rsidRDefault="00CF7517">
      <w:r>
        <w:tab/>
        <w:t xml:space="preserve">62.  </w:t>
      </w:r>
      <w:r>
        <w:rPr>
          <w:rFonts w:hint="eastAsia"/>
        </w:rPr>
        <w:t>南斯拉夫联盟共和国宪法保障自由选择职业和工作的权利</w:t>
      </w:r>
      <w:r>
        <w:t>(</w:t>
      </w:r>
      <w:r>
        <w:rPr>
          <w:rFonts w:hint="eastAsia"/>
        </w:rPr>
        <w:t>第</w:t>
      </w:r>
      <w:r>
        <w:t>54</w:t>
      </w:r>
      <w:r>
        <w:rPr>
          <w:rFonts w:hint="eastAsia"/>
        </w:rPr>
        <w:t>条</w:t>
      </w:r>
      <w:r>
        <w:t>)</w:t>
      </w:r>
      <w:r>
        <w:rPr>
          <w:rFonts w:hint="eastAsia"/>
        </w:rPr>
        <w:t>。塞尔维亚共和国宪法更为具体地规定每个人有权工作，并保障工作自由，自由选择职业和工作以及参加管理。每个个人可在平等的条件下谋求工作和职位。</w:t>
      </w:r>
    </w:p>
    <w:p w:rsidR="00000000" w:rsidRDefault="00CF7517">
      <w:r>
        <w:tab/>
        <w:t xml:space="preserve">63.  </w:t>
      </w:r>
      <w:r>
        <w:rPr>
          <w:rFonts w:hint="eastAsia"/>
        </w:rPr>
        <w:t>联盟就业法规定，每个工人有权并有义务按照工作需要受到培训和进修。塞尔维亚共和国就业法规定，应向年满</w:t>
      </w:r>
      <w:r>
        <w:t>15</w:t>
      </w:r>
      <w:r>
        <w:rPr>
          <w:rFonts w:hint="eastAsia"/>
        </w:rPr>
        <w:t>周岁、身体健康、符合具体工作要求的人提供就业机会。一般法令或法律规定了具体工种所要求的技能水平、知识水平和能力以及其他特别条件。</w:t>
      </w:r>
    </w:p>
    <w:p w:rsidR="00000000" w:rsidRDefault="00CF7517">
      <w:r>
        <w:tab/>
        <w:t>64.</w:t>
      </w:r>
      <w:r>
        <w:t xml:space="preserve">  </w:t>
      </w:r>
      <w:r>
        <w:rPr>
          <w:rFonts w:hint="eastAsia"/>
        </w:rPr>
        <w:t>南联盟宪法规定，雇员有权享受有限的工作时间、每日和每周的休息时间、依法即依照集体协议享受带薪年假。这些是每个人的不可剥夺的权利。</w:t>
      </w:r>
    </w:p>
    <w:p w:rsidR="00000000" w:rsidRDefault="00CF7517">
      <w:r>
        <w:tab/>
        <w:t xml:space="preserve">65.  </w:t>
      </w:r>
      <w:r>
        <w:rPr>
          <w:rFonts w:hint="eastAsia"/>
        </w:rPr>
        <w:t>联盟就业法和各共和国就业法都规定全时工每周工作时间为</w:t>
      </w:r>
      <w:r>
        <w:t>40</w:t>
      </w:r>
      <w:r>
        <w:rPr>
          <w:rFonts w:hint="eastAsia"/>
        </w:rPr>
        <w:t>小时。在法律规定的情况中，工人工作时间可低于</w:t>
      </w:r>
      <w:r>
        <w:t>40</w:t>
      </w:r>
      <w:r>
        <w:rPr>
          <w:rFonts w:hint="eastAsia"/>
        </w:rPr>
        <w:t>小时</w:t>
      </w:r>
      <w:r>
        <w:t>(</w:t>
      </w:r>
      <w:r>
        <w:rPr>
          <w:rFonts w:hint="eastAsia"/>
        </w:rPr>
        <w:t>塞尔维亚共和国就业法，第</w:t>
      </w:r>
      <w:r>
        <w:t>40</w:t>
      </w:r>
      <w:r>
        <w:rPr>
          <w:rFonts w:hint="eastAsia"/>
        </w:rPr>
        <w:t>条</w:t>
      </w:r>
      <w:r>
        <w:t>)</w:t>
      </w:r>
      <w:r>
        <w:rPr>
          <w:rFonts w:hint="eastAsia"/>
        </w:rPr>
        <w:t>。在这种情况下，从事工时较短的工种的工人可在好几个企业里就职，从而做满</w:t>
      </w:r>
      <w:r>
        <w:t>40</w:t>
      </w:r>
      <w:r>
        <w:rPr>
          <w:rFonts w:hint="eastAsia"/>
        </w:rPr>
        <w:t>小时。</w:t>
      </w:r>
    </w:p>
    <w:p w:rsidR="00000000" w:rsidRDefault="00CF7517">
      <w:r>
        <w:tab/>
        <w:t xml:space="preserve">66.  </w:t>
      </w:r>
      <w:r>
        <w:rPr>
          <w:rFonts w:hint="eastAsia"/>
        </w:rPr>
        <w:t>法律对较短工时的工作做了规定。从事极艰苦或危险工作的工人的工时依照工作对其健康或工作能力的有害影响成比例地缩短。一般法令根据集体协</w:t>
      </w:r>
      <w:r>
        <w:rPr>
          <w:rFonts w:hint="eastAsia"/>
        </w:rPr>
        <w:t>议来界定这些工作。塞尔维亚就业法第</w:t>
      </w:r>
      <w:r>
        <w:t>42</w:t>
      </w:r>
      <w:r>
        <w:rPr>
          <w:rFonts w:hint="eastAsia"/>
        </w:rPr>
        <w:t>条规定，当工作分成三班或四班进行或有夜班时，雇主可缩短工时，使之少于标准工时，如果工作技术如此要求或在集体协议界定的其他情况下需要这样做的话。工作时间，即使在这种情况下，不得少于每周</w:t>
      </w:r>
      <w:r>
        <w:t>35</w:t>
      </w:r>
      <w:r>
        <w:rPr>
          <w:rFonts w:hint="eastAsia"/>
        </w:rPr>
        <w:t>小时。工时较短的雇员的权利与正常工时的雇员相同。</w:t>
      </w:r>
    </w:p>
    <w:p w:rsidR="00000000" w:rsidRDefault="00CF7517">
      <w:r>
        <w:tab/>
        <w:t xml:space="preserve">67.  </w:t>
      </w:r>
      <w:r>
        <w:rPr>
          <w:rFonts w:hint="eastAsia"/>
        </w:rPr>
        <w:t>按照法律或集体协议规定的条件，雇员的工时可长于标准工时，但每周不得多出</w:t>
      </w:r>
      <w:r>
        <w:t>10</w:t>
      </w:r>
      <w:r>
        <w:rPr>
          <w:rFonts w:hint="eastAsia"/>
        </w:rPr>
        <w:t>小时。在发生自然灾害或法律规定的其他情况下，雇员的工作时间可多出</w:t>
      </w:r>
      <w:r>
        <w:t>10</w:t>
      </w:r>
      <w:r>
        <w:rPr>
          <w:rFonts w:hint="eastAsia"/>
        </w:rPr>
        <w:t>小时以上。工作时间超出正常工时的决定由管理人员做出。在全年工作时间内如何安排工作日，</w:t>
      </w:r>
      <w:r>
        <w:rPr>
          <w:rFonts w:hint="eastAsia"/>
        </w:rPr>
        <w:t>也由管理人员决定。</w:t>
      </w:r>
    </w:p>
    <w:p w:rsidR="00000000" w:rsidRDefault="00CF7517">
      <w:r>
        <w:tab/>
        <w:t xml:space="preserve">68.  </w:t>
      </w:r>
      <w:r>
        <w:rPr>
          <w:rFonts w:hint="eastAsia"/>
        </w:rPr>
        <w:t>国家主管机关即地方自治单位的机关可以在法律所确定的情况中确立某些活动和某些工作的时间安排以及起始和结束时间。在某些时期，企业里的工作时间可以长一些，在另外一些时期，可以短一些，少于每周</w:t>
      </w:r>
      <w:r>
        <w:t>40</w:t>
      </w:r>
      <w:r>
        <w:rPr>
          <w:rFonts w:hint="eastAsia"/>
        </w:rPr>
        <w:t>小时</w:t>
      </w:r>
      <w:r>
        <w:t>(</w:t>
      </w:r>
      <w:r>
        <w:rPr>
          <w:rFonts w:hint="eastAsia"/>
        </w:rPr>
        <w:t>工作的再分配</w:t>
      </w:r>
      <w:r>
        <w:t>)</w:t>
      </w:r>
      <w:r>
        <w:rPr>
          <w:rFonts w:hint="eastAsia"/>
        </w:rPr>
        <w:t>，如果这是工作过程和工作的组织所需要的，并且这是更好地利用工具，更合理地使用工作时间等，但工人在一年内的平均每周工作时间不得超过</w:t>
      </w:r>
      <w:r>
        <w:t>40</w:t>
      </w:r>
      <w:r>
        <w:rPr>
          <w:rFonts w:hint="eastAsia"/>
        </w:rPr>
        <w:t>小时。工作时间再分配之后，工人的每日或每周休息时间也可能相应地改变，但每日或每周的休息时间须在法定限度之内。</w:t>
      </w:r>
    </w:p>
    <w:p w:rsidR="00000000" w:rsidRDefault="00CF7517">
      <w:r>
        <w:tab/>
        <w:t xml:space="preserve">69.  </w:t>
      </w:r>
      <w:r>
        <w:rPr>
          <w:rFonts w:hint="eastAsia"/>
        </w:rPr>
        <w:t>雇员在工作日内有权</w:t>
      </w:r>
      <w:r>
        <w:rPr>
          <w:rFonts w:hint="eastAsia"/>
        </w:rPr>
        <w:t>享受</w:t>
      </w:r>
      <w:r>
        <w:t>30</w:t>
      </w:r>
      <w:r>
        <w:rPr>
          <w:rFonts w:hint="eastAsia"/>
        </w:rPr>
        <w:t>分钟的休息时间。这一时间计作工作时间。工作中的休息须妥善安排，保证不容许中断或接待客户的工作不致中断。法律也保障雇员有权在至少连续工作</w:t>
      </w:r>
      <w:r>
        <w:t>12</w:t>
      </w:r>
      <w:r>
        <w:rPr>
          <w:rFonts w:hint="eastAsia"/>
        </w:rPr>
        <w:t>小时的连续两个工作天之间每天休息一段时间。在从事季节性工作期间，雇员有权享受每天至少连续</w:t>
      </w:r>
      <w:r>
        <w:t>10</w:t>
      </w:r>
      <w:r>
        <w:rPr>
          <w:rFonts w:hint="eastAsia"/>
        </w:rPr>
        <w:t>小时的休息，小于</w:t>
      </w:r>
      <w:r>
        <w:t>18</w:t>
      </w:r>
      <w:r>
        <w:rPr>
          <w:rFonts w:hint="eastAsia"/>
        </w:rPr>
        <w:t>岁的工人有权享受至少连续</w:t>
      </w:r>
      <w:r>
        <w:t>12</w:t>
      </w:r>
      <w:r>
        <w:rPr>
          <w:rFonts w:hint="eastAsia"/>
        </w:rPr>
        <w:t>小时的休息。</w:t>
      </w:r>
    </w:p>
    <w:p w:rsidR="00000000" w:rsidRDefault="00CF7517">
      <w:r>
        <w:tab/>
        <w:t xml:space="preserve">70.  </w:t>
      </w:r>
      <w:r>
        <w:rPr>
          <w:rFonts w:hint="eastAsia"/>
        </w:rPr>
        <w:t>雇员有权享受每周一次不少于连续</w:t>
      </w:r>
      <w:r>
        <w:t>24</w:t>
      </w:r>
      <w:r>
        <w:rPr>
          <w:rFonts w:hint="eastAsia"/>
        </w:rPr>
        <w:t>小时的休息。如果他或她必须在周休日工作，则必须在下一个星期里为他或她提供一个这样的休息日。</w:t>
      </w:r>
    </w:p>
    <w:p w:rsidR="00000000" w:rsidRDefault="00CF7517">
      <w:r>
        <w:tab/>
        <w:t xml:space="preserve">71.  </w:t>
      </w:r>
      <w:r>
        <w:rPr>
          <w:rFonts w:hint="eastAsia"/>
        </w:rPr>
        <w:t>雇员有权享受一年至少</w:t>
      </w:r>
      <w:r>
        <w:t>18</w:t>
      </w:r>
      <w:r>
        <w:rPr>
          <w:rFonts w:hint="eastAsia"/>
        </w:rPr>
        <w:t>个工作日的年假。假期由主管人员即雇主根</w:t>
      </w:r>
      <w:r>
        <w:rPr>
          <w:rFonts w:hint="eastAsia"/>
        </w:rPr>
        <w:t>据法律或集体协议所确立的标准来确定。塞尔维亚共和国就业法</w:t>
      </w:r>
      <w:r>
        <w:t>(</w:t>
      </w:r>
      <w:r>
        <w:rPr>
          <w:rFonts w:hint="eastAsia"/>
        </w:rPr>
        <w:t>第</w:t>
      </w:r>
      <w:r>
        <w:t>55</w:t>
      </w:r>
      <w:r>
        <w:rPr>
          <w:rFonts w:hint="eastAsia"/>
        </w:rPr>
        <w:t>条</w:t>
      </w:r>
      <w:r>
        <w:t>)</w:t>
      </w:r>
      <w:r>
        <w:rPr>
          <w:rFonts w:hint="eastAsia"/>
        </w:rPr>
        <w:t>规定，年假可分两次使用。如果分两次使用，第一部分必须在有关日历年使用，不得少于</w:t>
      </w:r>
      <w:r>
        <w:t>12</w:t>
      </w:r>
      <w:r>
        <w:rPr>
          <w:rFonts w:hint="eastAsia"/>
        </w:rPr>
        <w:t>个工作日。第二部分最晚在下一年</w:t>
      </w:r>
      <w:r>
        <w:t>6</w:t>
      </w:r>
      <w:r>
        <w:rPr>
          <w:rFonts w:hint="eastAsia"/>
        </w:rPr>
        <w:t>月</w:t>
      </w:r>
      <w:r>
        <w:t>30</w:t>
      </w:r>
      <w:r>
        <w:rPr>
          <w:rFonts w:hint="eastAsia"/>
        </w:rPr>
        <w:t>日之前使用。工龄超过</w:t>
      </w:r>
      <w:r>
        <w:t>30</w:t>
      </w:r>
      <w:r>
        <w:rPr>
          <w:rFonts w:hint="eastAsia"/>
        </w:rPr>
        <w:t>年或已满</w:t>
      </w:r>
      <w:r>
        <w:t>55</w:t>
      </w:r>
      <w:r>
        <w:rPr>
          <w:rFonts w:hint="eastAsia"/>
        </w:rPr>
        <w:t>岁的任何雇员、工龄超过</w:t>
      </w:r>
      <w:r>
        <w:t>25</w:t>
      </w:r>
      <w:r>
        <w:rPr>
          <w:rFonts w:hint="eastAsia"/>
        </w:rPr>
        <w:t>年或年龄已满</w:t>
      </w:r>
      <w:r>
        <w:t>50</w:t>
      </w:r>
      <w:r>
        <w:rPr>
          <w:rFonts w:hint="eastAsia"/>
        </w:rPr>
        <w:t>岁的任何妇女雇员、年龄在</w:t>
      </w:r>
      <w:r>
        <w:t>18</w:t>
      </w:r>
      <w:r>
        <w:rPr>
          <w:rFonts w:hint="eastAsia"/>
        </w:rPr>
        <w:t>周岁以下的任何雇员，年假都增加</w:t>
      </w:r>
      <w:r>
        <w:t>6</w:t>
      </w:r>
      <w:r>
        <w:rPr>
          <w:rFonts w:hint="eastAsia"/>
        </w:rPr>
        <w:t>个工作日。工作时间缩短的任何雇员可享受多达</w:t>
      </w:r>
      <w:r>
        <w:t>40</w:t>
      </w:r>
      <w:r>
        <w:rPr>
          <w:rFonts w:hint="eastAsia"/>
        </w:rPr>
        <w:t>天的年假。</w:t>
      </w:r>
    </w:p>
    <w:p w:rsidR="00000000" w:rsidRDefault="00CF7517">
      <w:pPr>
        <w:spacing w:after="240"/>
        <w:textAlignment w:val="center"/>
      </w:pPr>
      <w:r>
        <w:tab/>
        <w:t xml:space="preserve">72.  </w:t>
      </w:r>
      <w:r>
        <w:rPr>
          <w:rFonts w:hint="eastAsia"/>
        </w:rPr>
        <w:t>对雇员的工作期间休息权和每日和每周休息权，不得加以剥夺。雇员不能放弃享受年假的权利，这一权利也不能被剥夺。雇员有权得</w:t>
      </w:r>
      <w:r>
        <w:rPr>
          <w:rFonts w:hint="eastAsia"/>
        </w:rPr>
        <w:t>到集体协议中所列数额的年假津贴。雇员还有权在每个日历年享受最多七天的下列带薪假：结婚、搬家、家人生孩子、参加职业考试，以及集体协议中所规定的其他情形。</w:t>
      </w:r>
    </w:p>
    <w:p w:rsidR="00000000" w:rsidRDefault="00CF7517">
      <w:pPr>
        <w:pStyle w:val="Heading3"/>
      </w:pPr>
      <w:r>
        <w:rPr>
          <w:rFonts w:hint="eastAsia"/>
        </w:rPr>
        <w:t>第</w:t>
      </w:r>
      <w:r>
        <w:t xml:space="preserve"> 8 </w:t>
      </w:r>
      <w:r>
        <w:rPr>
          <w:rFonts w:hint="eastAsia"/>
        </w:rPr>
        <w:t>条</w:t>
      </w:r>
    </w:p>
    <w:p w:rsidR="00000000" w:rsidRDefault="00CF7517">
      <w:pPr>
        <w:tabs>
          <w:tab w:val="left" w:pos="510"/>
          <w:tab w:val="left" w:pos="1021"/>
          <w:tab w:val="left" w:pos="1531"/>
          <w:tab w:val="left" w:pos="2041"/>
        </w:tabs>
      </w:pPr>
      <w:r>
        <w:tab/>
        <w:t xml:space="preserve">73.  </w:t>
      </w:r>
      <w:r>
        <w:rPr>
          <w:rFonts w:hint="eastAsia"/>
        </w:rPr>
        <w:t>根据已批准的国际劳工组织关于结社自由和保护组织权利的第</w:t>
      </w:r>
      <w:r>
        <w:t>87</w:t>
      </w:r>
      <w:r>
        <w:rPr>
          <w:rFonts w:hint="eastAsia"/>
        </w:rPr>
        <w:t>号公约和关于组织权利和集体谈判权利的第</w:t>
      </w:r>
      <w:r>
        <w:t>98</w:t>
      </w:r>
      <w:r>
        <w:rPr>
          <w:rFonts w:hint="eastAsia"/>
        </w:rPr>
        <w:t>号公约，工会组织和工会活动自由受联盟宪法和各共和国宪法以及联盟和共和国有关法律的保护。公民享有政治、工会和其他结社和活动的自由，无须有关机构批准，但须通知主管机构</w:t>
      </w:r>
      <w:r>
        <w:t>(</w:t>
      </w:r>
      <w:r>
        <w:rPr>
          <w:rFonts w:hint="eastAsia"/>
        </w:rPr>
        <w:t>南斯拉夫联盟共和国宪法第</w:t>
      </w:r>
      <w:r>
        <w:t>41</w:t>
      </w:r>
      <w:r>
        <w:rPr>
          <w:rFonts w:hint="eastAsia"/>
        </w:rPr>
        <w:t>条</w:t>
      </w:r>
      <w:r>
        <w:t>)</w:t>
      </w:r>
      <w:r>
        <w:rPr>
          <w:rFonts w:hint="eastAsia"/>
        </w:rPr>
        <w:t>。根据宪法，职业军人和警察无权参与工会活</w:t>
      </w:r>
      <w:r>
        <w:rPr>
          <w:rFonts w:hint="eastAsia"/>
        </w:rPr>
        <w:t>动</w:t>
      </w:r>
      <w:r>
        <w:t>(</w:t>
      </w:r>
      <w:r>
        <w:rPr>
          <w:rFonts w:hint="eastAsia"/>
        </w:rPr>
        <w:t>第</w:t>
      </w:r>
      <w:r>
        <w:t>42</w:t>
      </w:r>
      <w:r>
        <w:rPr>
          <w:rFonts w:hint="eastAsia"/>
        </w:rPr>
        <w:t>条第</w:t>
      </w:r>
      <w:r>
        <w:t>3</w:t>
      </w:r>
      <w:r>
        <w:rPr>
          <w:rFonts w:hint="eastAsia"/>
        </w:rPr>
        <w:t>款</w:t>
      </w:r>
      <w:r>
        <w:t>)</w:t>
      </w:r>
      <w:r>
        <w:rPr>
          <w:rFonts w:hint="eastAsia"/>
        </w:rPr>
        <w:t>。宪法还规定，设立工会的目的是保护工会会员的权利，促进他们的职业和经济利益</w:t>
      </w:r>
      <w:r>
        <w:t>(</w:t>
      </w:r>
      <w:r>
        <w:rPr>
          <w:rFonts w:hint="eastAsia"/>
        </w:rPr>
        <w:t>第</w:t>
      </w:r>
      <w:r>
        <w:t>41</w:t>
      </w:r>
      <w:r>
        <w:rPr>
          <w:rFonts w:hint="eastAsia"/>
        </w:rPr>
        <w:t>条</w:t>
      </w:r>
      <w:r>
        <w:t>)</w:t>
      </w:r>
      <w:r>
        <w:rPr>
          <w:rFonts w:hint="eastAsia"/>
        </w:rPr>
        <w:t>。宪法禁止政治、工会和其他组织从事活动，用暴力扰乱宪法秩序，破坏南斯拉夫联盟共和国的领土完整，侵犯个人和公民受法律保障的自由和权利，以及煽动民族、种族、宗教和其他不容忍和仇恨</w:t>
      </w:r>
      <w:r>
        <w:t>(</w:t>
      </w:r>
      <w:r>
        <w:rPr>
          <w:rFonts w:hint="eastAsia"/>
        </w:rPr>
        <w:t>第</w:t>
      </w:r>
      <w:r>
        <w:t>42</w:t>
      </w:r>
      <w:r>
        <w:rPr>
          <w:rFonts w:hint="eastAsia"/>
        </w:rPr>
        <w:t>条</w:t>
      </w:r>
      <w:r>
        <w:t>)</w:t>
      </w:r>
      <w:r>
        <w:rPr>
          <w:rFonts w:hint="eastAsia"/>
        </w:rPr>
        <w:t>。</w:t>
      </w:r>
    </w:p>
    <w:p w:rsidR="00000000" w:rsidRDefault="00CF7517">
      <w:pPr>
        <w:tabs>
          <w:tab w:val="left" w:pos="510"/>
          <w:tab w:val="left" w:pos="1021"/>
          <w:tab w:val="left" w:pos="1531"/>
          <w:tab w:val="left" w:pos="2041"/>
        </w:tabs>
      </w:pPr>
      <w:r>
        <w:tab/>
        <w:t xml:space="preserve">74.  </w:t>
      </w:r>
      <w:r>
        <w:rPr>
          <w:rFonts w:hint="eastAsia"/>
        </w:rPr>
        <w:t>有两类法律对工会组织和工会活动作了进一步规定。第一类是就业领域的法律</w:t>
      </w:r>
      <w:r>
        <w:t>(</w:t>
      </w:r>
      <w:r>
        <w:rPr>
          <w:rFonts w:hint="eastAsia"/>
        </w:rPr>
        <w:t>联盟和共和国法律</w:t>
      </w:r>
      <w:r>
        <w:t>)</w:t>
      </w:r>
      <w:r>
        <w:rPr>
          <w:rFonts w:hint="eastAsia"/>
        </w:rPr>
        <w:t>，涉及工会的作用问题以及工会在保护工人权利和促进工人职业及经济利益方面的具体权利和权力。关于工会在劳动领域的作用，由</w:t>
      </w:r>
      <w:r>
        <w:rPr>
          <w:rFonts w:hint="eastAsia"/>
        </w:rPr>
        <w:t>名经济部门的一般性集体协议作出较为具体的规定。第二类法律</w:t>
      </w:r>
      <w:r>
        <w:t>(</w:t>
      </w:r>
      <w:r>
        <w:rPr>
          <w:rFonts w:hint="eastAsia"/>
        </w:rPr>
        <w:t>联盟和共和国法律，取决于设立工会所在的地区</w:t>
      </w:r>
      <w:r>
        <w:t>)</w:t>
      </w:r>
      <w:r>
        <w:rPr>
          <w:rFonts w:hint="eastAsia"/>
        </w:rPr>
        <w:t>涉及工会的实际组织和工会登记问题。</w:t>
      </w:r>
    </w:p>
    <w:p w:rsidR="00000000" w:rsidRDefault="00CF7517">
      <w:pPr>
        <w:tabs>
          <w:tab w:val="left" w:pos="510"/>
          <w:tab w:val="left" w:pos="1021"/>
          <w:tab w:val="left" w:pos="1531"/>
          <w:tab w:val="left" w:pos="2041"/>
        </w:tabs>
      </w:pPr>
      <w:r>
        <w:tab/>
        <w:t xml:space="preserve">75.  </w:t>
      </w:r>
      <w:r>
        <w:rPr>
          <w:rFonts w:hint="eastAsia"/>
        </w:rPr>
        <w:t>根据收到的有关工会组织或联合会的申请，由主管部进行注册或登记。申请人除提出申请书外，还要说明目标，并提供关于名称、地址、管理机构、工会的授权代表的文件。工会组织如自行决定停止活动，或因活动违反宪法或上述法律而遭合法禁止工作，则从登记册中除名。</w:t>
      </w:r>
    </w:p>
    <w:p w:rsidR="00000000" w:rsidRDefault="00CF7517">
      <w:pPr>
        <w:tabs>
          <w:tab w:val="left" w:pos="510"/>
          <w:tab w:val="left" w:pos="1021"/>
          <w:tab w:val="left" w:pos="1531"/>
          <w:tab w:val="left" w:pos="2041"/>
        </w:tabs>
      </w:pPr>
      <w:r>
        <w:tab/>
        <w:t xml:space="preserve">76.  </w:t>
      </w:r>
      <w:r>
        <w:rPr>
          <w:rFonts w:hint="eastAsia"/>
        </w:rPr>
        <w:t>所有工会独立决定自己的事务，发展与其他国家对口组织的合作，有权依照自己的决定加入国际组织或成为其成员。工会</w:t>
      </w:r>
      <w:r>
        <w:rPr>
          <w:rFonts w:hint="eastAsia"/>
        </w:rPr>
        <w:t>自由开展活动的权利不受限制。工会工作只在违反某些宪法原则和法定工作条件时才受禁止。</w:t>
      </w:r>
    </w:p>
    <w:p w:rsidR="00000000" w:rsidRDefault="00CF7517">
      <w:pPr>
        <w:tabs>
          <w:tab w:val="left" w:pos="510"/>
          <w:tab w:val="left" w:pos="1021"/>
          <w:tab w:val="left" w:pos="1531"/>
          <w:tab w:val="left" w:pos="2041"/>
        </w:tabs>
      </w:pPr>
      <w:r>
        <w:tab/>
        <w:t xml:space="preserve">77.  </w:t>
      </w:r>
      <w:r>
        <w:rPr>
          <w:rFonts w:hint="eastAsia"/>
        </w:rPr>
        <w:t>《南斯拉夫联盟共和国宪法》规定，雇员有权罢工，以保护自由的职业和经济利益</w:t>
      </w:r>
      <w:r>
        <w:t>(</w:t>
      </w:r>
      <w:r>
        <w:rPr>
          <w:rFonts w:hint="eastAsia"/>
        </w:rPr>
        <w:t>第</w:t>
      </w:r>
      <w:r>
        <w:t>57</w:t>
      </w:r>
      <w:r>
        <w:rPr>
          <w:rFonts w:hint="eastAsia"/>
        </w:rPr>
        <w:t>条，第</w:t>
      </w:r>
      <w:r>
        <w:t>1</w:t>
      </w:r>
      <w:r>
        <w:rPr>
          <w:rFonts w:hint="eastAsia"/>
        </w:rPr>
        <w:t>款</w:t>
      </w:r>
      <w:r>
        <w:t>)</w:t>
      </w:r>
      <w:r>
        <w:rPr>
          <w:rFonts w:hint="eastAsia"/>
        </w:rPr>
        <w:t>。《罢工法》对罢工作出了详细规定。</w:t>
      </w:r>
    </w:p>
    <w:p w:rsidR="00000000" w:rsidRDefault="00CF7517">
      <w:r>
        <w:tab/>
        <w:t xml:space="preserve">78.  </w:t>
      </w:r>
      <w:r>
        <w:rPr>
          <w:rFonts w:hint="eastAsia"/>
        </w:rPr>
        <w:t>宪法规定，国家机关工作人员、职业军人和警察不享受罢工权</w:t>
      </w:r>
      <w:r>
        <w:t>(</w:t>
      </w:r>
      <w:r>
        <w:rPr>
          <w:rFonts w:hint="eastAsia"/>
        </w:rPr>
        <w:t>第</w:t>
      </w:r>
      <w:r>
        <w:t>57</w:t>
      </w:r>
      <w:r>
        <w:rPr>
          <w:rFonts w:hint="eastAsia"/>
        </w:rPr>
        <w:t>条，第</w:t>
      </w:r>
      <w:r>
        <w:t>3</w:t>
      </w:r>
      <w:r>
        <w:rPr>
          <w:rFonts w:hint="eastAsia"/>
        </w:rPr>
        <w:t>款</w:t>
      </w:r>
      <w:r>
        <w:t>)</w:t>
      </w:r>
      <w:r>
        <w:rPr>
          <w:rFonts w:hint="eastAsia"/>
        </w:rPr>
        <w:t>。宪法还规定，罢工权可因出于活动性质或公共利益的考虑而受联邦法的限制。根据这条宪法规定，《联盟罢工法》对罢工权利作了某些限制。法律规定，从事具有公众利益的活动的工作人员，或从事依其性质而言中断可能威胁人</w:t>
      </w:r>
      <w:r>
        <w:rPr>
          <w:rFonts w:hint="eastAsia"/>
        </w:rPr>
        <w:t>的生命和健康或造成大规模破坏的活动的工作人员，符合以下特殊条件时才可行使罢工权利</w:t>
      </w:r>
      <w:r>
        <w:t>(</w:t>
      </w:r>
      <w:r>
        <w:rPr>
          <w:rFonts w:hint="eastAsia"/>
        </w:rPr>
        <w:t>《罢工法》第</w:t>
      </w:r>
      <w:r>
        <w:t>9</w:t>
      </w:r>
      <w:r>
        <w:rPr>
          <w:rFonts w:hint="eastAsia"/>
        </w:rPr>
        <w:t>条第</w:t>
      </w:r>
      <w:r>
        <w:t>1</w:t>
      </w:r>
      <w:r>
        <w:rPr>
          <w:rFonts w:hint="eastAsia"/>
        </w:rPr>
        <w:t>款</w:t>
      </w:r>
      <w:r>
        <w:t>)</w:t>
      </w:r>
      <w:r>
        <w:rPr>
          <w:rFonts w:hint="eastAsia"/>
        </w:rPr>
        <w:t>：</w:t>
      </w:r>
    </w:p>
    <w:p w:rsidR="00000000" w:rsidRDefault="00CF7517" w:rsidP="00CF7517">
      <w:pPr>
        <w:pStyle w:val="a0"/>
        <w:numPr>
          <w:ilvl w:val="0"/>
          <w:numId w:val="3"/>
        </w:numPr>
        <w:ind w:left="1531" w:hanging="510"/>
      </w:pPr>
      <w:r>
        <w:rPr>
          <w:rFonts w:hint="eastAsia"/>
        </w:rPr>
        <w:t>必须提供最低限度的工作，确保人和财产的安全，并确保公民的生活和工作、其他企业的运行以及从事经济或其他活动或服务的法人或自然人的运作</w:t>
      </w:r>
      <w:r>
        <w:t>(</w:t>
      </w:r>
      <w:r>
        <w:rPr>
          <w:rFonts w:hint="eastAsia"/>
        </w:rPr>
        <w:t>《罢工法》第</w:t>
      </w:r>
      <w:r>
        <w:t>10</w:t>
      </w:r>
      <w:r>
        <w:rPr>
          <w:rFonts w:hint="eastAsia"/>
        </w:rPr>
        <w:t>条第</w:t>
      </w:r>
      <w:r>
        <w:t>1</w:t>
      </w:r>
      <w:r>
        <w:rPr>
          <w:rFonts w:hint="eastAsia"/>
        </w:rPr>
        <w:t>款</w:t>
      </w:r>
      <w:r>
        <w:t>)</w:t>
      </w:r>
      <w:r>
        <w:rPr>
          <w:rFonts w:hint="eastAsia"/>
        </w:rPr>
        <w:t>；</w:t>
      </w:r>
    </w:p>
    <w:p w:rsidR="00000000" w:rsidRDefault="00CF7517" w:rsidP="00CF7517">
      <w:pPr>
        <w:pStyle w:val="a0"/>
        <w:numPr>
          <w:ilvl w:val="0"/>
          <w:numId w:val="3"/>
        </w:numPr>
        <w:ind w:left="1531" w:hanging="510"/>
      </w:pPr>
      <w:r>
        <w:rPr>
          <w:rFonts w:hint="eastAsia"/>
        </w:rPr>
        <w:t>必须及时宣布罢工，将罢工决定送交雇主、政府主管机构或地方自治政府的主管机构</w:t>
      </w:r>
      <w:r>
        <w:t>(</w:t>
      </w:r>
      <w:r>
        <w:rPr>
          <w:rFonts w:hint="eastAsia"/>
        </w:rPr>
        <w:t>《罢工法》第</w:t>
      </w:r>
      <w:r>
        <w:t>11</w:t>
      </w:r>
      <w:r>
        <w:rPr>
          <w:rFonts w:hint="eastAsia"/>
        </w:rPr>
        <w:t>条</w:t>
      </w:r>
      <w:r>
        <w:t>)</w:t>
      </w:r>
      <w:r>
        <w:rPr>
          <w:rFonts w:hint="eastAsia"/>
        </w:rPr>
        <w:t>；</w:t>
      </w:r>
    </w:p>
    <w:p w:rsidR="00000000" w:rsidRDefault="00CF7517">
      <w:r>
        <w:tab/>
        <w:t xml:space="preserve">79.  </w:t>
      </w:r>
      <w:r>
        <w:rPr>
          <w:rFonts w:hint="eastAsia"/>
        </w:rPr>
        <w:t>具有公众利益的活动如下：</w:t>
      </w:r>
    </w:p>
    <w:p w:rsidR="00000000" w:rsidRDefault="00CF7517" w:rsidP="00CF7517">
      <w:pPr>
        <w:pStyle w:val="a6"/>
        <w:numPr>
          <w:ilvl w:val="0"/>
          <w:numId w:val="1"/>
        </w:numPr>
      </w:pPr>
      <w:r>
        <w:rPr>
          <w:rFonts w:hint="eastAsia"/>
        </w:rPr>
        <w:t>发电和输电系统、水资源管理、运输、新闻</w:t>
      </w:r>
      <w:r>
        <w:t>(</w:t>
      </w:r>
      <w:r>
        <w:rPr>
          <w:rFonts w:hint="eastAsia"/>
        </w:rPr>
        <w:t>电台和电视台</w:t>
      </w:r>
      <w:r>
        <w:t>)</w:t>
      </w:r>
      <w:r>
        <w:rPr>
          <w:rFonts w:hint="eastAsia"/>
        </w:rPr>
        <w:t>、电信业务、公用事业、主食的生产、卫生保健和兽医</w:t>
      </w:r>
      <w:r>
        <w:rPr>
          <w:rFonts w:hint="eastAsia"/>
        </w:rPr>
        <w:t>、教育、儿童的社会和社会保障；</w:t>
      </w:r>
    </w:p>
    <w:p w:rsidR="00000000" w:rsidRDefault="00CF7517" w:rsidP="00CF7517">
      <w:pPr>
        <w:pStyle w:val="a6"/>
        <w:numPr>
          <w:ilvl w:val="0"/>
          <w:numId w:val="1"/>
        </w:numPr>
      </w:pPr>
      <w:r>
        <w:rPr>
          <w:rFonts w:hint="eastAsia"/>
        </w:rPr>
        <w:t>对南斯拉夫联盟共和国的国防和安全具有特别重要意义的活动，由主管机构作出具体规定；</w:t>
      </w:r>
    </w:p>
    <w:p w:rsidR="00000000" w:rsidRDefault="00CF7517" w:rsidP="00CF7517">
      <w:pPr>
        <w:pStyle w:val="a6"/>
        <w:numPr>
          <w:ilvl w:val="0"/>
          <w:numId w:val="1"/>
        </w:numPr>
      </w:pPr>
      <w:r>
        <w:rPr>
          <w:rFonts w:hint="eastAsia"/>
        </w:rPr>
        <w:t>履行南斯拉夫的国际义务所必要的事务；</w:t>
      </w:r>
    </w:p>
    <w:p w:rsidR="00000000" w:rsidRDefault="00CF7517" w:rsidP="00CF7517">
      <w:pPr>
        <w:pStyle w:val="a6"/>
        <w:numPr>
          <w:ilvl w:val="0"/>
          <w:numId w:val="1"/>
        </w:numPr>
      </w:pPr>
      <w:r>
        <w:rPr>
          <w:rFonts w:hint="eastAsia"/>
        </w:rPr>
        <w:t>其中断可能危及人的生命和健康，或造成大规模破坏的活动，如化学工业、黑色金属和有色金属工业。</w:t>
      </w:r>
    </w:p>
    <w:p w:rsidR="00000000" w:rsidRDefault="00CF7517">
      <w:pPr>
        <w:tabs>
          <w:tab w:val="clear" w:pos="510"/>
          <w:tab w:val="left" w:pos="480"/>
        </w:tabs>
        <w:spacing w:after="320"/>
        <w:textAlignment w:val="center"/>
      </w:pPr>
      <w:r>
        <w:tab/>
        <w:t xml:space="preserve">80.  </w:t>
      </w:r>
      <w:r>
        <w:rPr>
          <w:rFonts w:hint="eastAsia"/>
        </w:rPr>
        <w:t>罢工的组织不受任何其他限制，也没有任何法律规定限制某些种类工人行使罢工权利。</w:t>
      </w:r>
    </w:p>
    <w:p w:rsidR="00000000" w:rsidRDefault="00CF7517">
      <w:pPr>
        <w:pStyle w:val="Heading3"/>
      </w:pPr>
      <w:r>
        <w:rPr>
          <w:rFonts w:hint="eastAsia"/>
        </w:rPr>
        <w:t>第</w:t>
      </w:r>
      <w:r>
        <w:t xml:space="preserve"> 9 </w:t>
      </w:r>
      <w:r>
        <w:rPr>
          <w:rFonts w:hint="eastAsia"/>
        </w:rPr>
        <w:t>条</w:t>
      </w:r>
    </w:p>
    <w:p w:rsidR="00000000" w:rsidRDefault="00CF7517">
      <w:pPr>
        <w:spacing w:after="320"/>
        <w:textAlignment w:val="center"/>
      </w:pPr>
      <w:r>
        <w:tab/>
        <w:t xml:space="preserve">81.  </w:t>
      </w:r>
      <w:r>
        <w:rPr>
          <w:rFonts w:hint="eastAsia"/>
        </w:rPr>
        <w:t>本项所列一切社会保障形式在南斯拉夫都存在。此外，养恤金和残疾保险制度还规定了残疾、身体残废和需要他人帮助和照顾者享受的各种其他权利。</w:t>
      </w:r>
    </w:p>
    <w:p w:rsidR="00000000" w:rsidRDefault="00CF7517">
      <w:pPr>
        <w:pStyle w:val="Heading4"/>
      </w:pPr>
      <w:r>
        <w:rPr>
          <w:rFonts w:hint="eastAsia"/>
        </w:rPr>
        <w:t>老年养恤金</w:t>
      </w:r>
    </w:p>
    <w:p w:rsidR="00000000" w:rsidRDefault="00CF7517">
      <w:r>
        <w:tab/>
        <w:t>82.</w:t>
      </w:r>
      <w:r>
        <w:t xml:space="preserve">  </w:t>
      </w:r>
      <w:r>
        <w:rPr>
          <w:rFonts w:hint="eastAsia"/>
        </w:rPr>
        <w:t>领受人</w:t>
      </w:r>
      <w:r>
        <w:t xml:space="preserve">(a) </w:t>
      </w:r>
      <w:r>
        <w:rPr>
          <w:rFonts w:hint="eastAsia"/>
        </w:rPr>
        <w:t>年满</w:t>
      </w:r>
      <w:r>
        <w:t>60</w:t>
      </w:r>
      <w:r>
        <w:rPr>
          <w:rFonts w:hint="eastAsia"/>
        </w:rPr>
        <w:t>岁</w:t>
      </w:r>
      <w:r>
        <w:t>(</w:t>
      </w:r>
      <w:r>
        <w:rPr>
          <w:rFonts w:hint="eastAsia"/>
        </w:rPr>
        <w:t>妇女</w:t>
      </w:r>
      <w:r>
        <w:t>55</w:t>
      </w:r>
      <w:r>
        <w:rPr>
          <w:rFonts w:hint="eastAsia"/>
        </w:rPr>
        <w:t>岁</w:t>
      </w:r>
      <w:r>
        <w:t>)</w:t>
      </w:r>
      <w:r>
        <w:rPr>
          <w:rFonts w:hint="eastAsia"/>
        </w:rPr>
        <w:t>、应计养恤金工龄</w:t>
      </w:r>
      <w:r>
        <w:t>20</w:t>
      </w:r>
      <w:r>
        <w:rPr>
          <w:rFonts w:hint="eastAsia"/>
        </w:rPr>
        <w:t>年，</w:t>
      </w:r>
      <w:r>
        <w:t xml:space="preserve">(b) </w:t>
      </w:r>
      <w:r>
        <w:rPr>
          <w:rFonts w:hint="eastAsia"/>
        </w:rPr>
        <w:t>年满</w:t>
      </w:r>
      <w:r>
        <w:t>65</w:t>
      </w:r>
      <w:r>
        <w:rPr>
          <w:rFonts w:hint="eastAsia"/>
        </w:rPr>
        <w:t>岁</w:t>
      </w:r>
      <w:r>
        <w:t>(</w:t>
      </w:r>
      <w:r>
        <w:rPr>
          <w:rFonts w:hint="eastAsia"/>
        </w:rPr>
        <w:t>妇女</w:t>
      </w:r>
      <w:r>
        <w:t>60</w:t>
      </w:r>
      <w:r>
        <w:rPr>
          <w:rFonts w:hint="eastAsia"/>
        </w:rPr>
        <w:t>岁</w:t>
      </w:r>
      <w:r>
        <w:t>)</w:t>
      </w:r>
      <w:r>
        <w:rPr>
          <w:rFonts w:hint="eastAsia"/>
        </w:rPr>
        <w:t>、应计养恤金工龄至少</w:t>
      </w:r>
      <w:r>
        <w:t>15</w:t>
      </w:r>
      <w:r>
        <w:rPr>
          <w:rFonts w:hint="eastAsia"/>
        </w:rPr>
        <w:t>年，</w:t>
      </w:r>
      <w:r>
        <w:t xml:space="preserve">(c) </w:t>
      </w:r>
      <w:r>
        <w:rPr>
          <w:rFonts w:hint="eastAsia"/>
        </w:rPr>
        <w:t>年龄至少</w:t>
      </w:r>
      <w:r>
        <w:t>50</w:t>
      </w:r>
      <w:r>
        <w:rPr>
          <w:rFonts w:hint="eastAsia"/>
        </w:rPr>
        <w:t>岁、应计养恤金工龄</w:t>
      </w:r>
      <w:r>
        <w:t>40</w:t>
      </w:r>
      <w:r>
        <w:rPr>
          <w:rFonts w:hint="eastAsia"/>
        </w:rPr>
        <w:t>年</w:t>
      </w:r>
      <w:r>
        <w:t>(</w:t>
      </w:r>
      <w:r>
        <w:rPr>
          <w:rFonts w:hint="eastAsia"/>
        </w:rPr>
        <w:t>妇女</w:t>
      </w:r>
      <w:r>
        <w:t>35</w:t>
      </w:r>
      <w:r>
        <w:rPr>
          <w:rFonts w:hint="eastAsia"/>
        </w:rPr>
        <w:t>年</w:t>
      </w:r>
      <w:r>
        <w:t>)</w:t>
      </w:r>
      <w:r>
        <w:rPr>
          <w:rFonts w:hint="eastAsia"/>
        </w:rPr>
        <w:t>的，有权领取老年养恤金。</w:t>
      </w:r>
    </w:p>
    <w:p w:rsidR="00000000" w:rsidRDefault="00CF7517">
      <w:r>
        <w:tab/>
        <w:t xml:space="preserve">83.  </w:t>
      </w:r>
      <w:r>
        <w:rPr>
          <w:rFonts w:hint="eastAsia"/>
        </w:rPr>
        <w:t>领受人从事艰难、危险或有害身体的工作，或从事到一定年龄以后不能再胜任的工作，根据法律规定的条件，计算缴款期时，可以享受某些优惠，并视情况，可以在法定年龄之前领取养恤金，但必须在</w:t>
      </w:r>
      <w:r>
        <w:t>50</w:t>
      </w:r>
      <w:r>
        <w:rPr>
          <w:rFonts w:hint="eastAsia"/>
        </w:rPr>
        <w:t>岁以后。</w:t>
      </w:r>
    </w:p>
    <w:p w:rsidR="00000000" w:rsidRDefault="00CF7517">
      <w:pPr>
        <w:spacing w:after="320"/>
        <w:textAlignment w:val="center"/>
      </w:pPr>
      <w:r>
        <w:tab/>
        <w:t xml:space="preserve">84.  </w:t>
      </w:r>
      <w:r>
        <w:rPr>
          <w:rFonts w:hint="eastAsia"/>
        </w:rPr>
        <w:t>老年养恤金是按从平均月工资得出的养恤金基数或连续</w:t>
      </w:r>
      <w:r>
        <w:t>10</w:t>
      </w:r>
      <w:r>
        <w:rPr>
          <w:rFonts w:hint="eastAsia"/>
        </w:rPr>
        <w:t>个保险年份通行的保险基数</w:t>
      </w:r>
      <w:r>
        <w:t>(</w:t>
      </w:r>
      <w:r>
        <w:rPr>
          <w:rFonts w:hint="eastAsia"/>
        </w:rPr>
        <w:t>取最有利于</w:t>
      </w:r>
      <w:r>
        <w:rPr>
          <w:rFonts w:hint="eastAsia"/>
        </w:rPr>
        <w:t>领受人者</w:t>
      </w:r>
      <w:r>
        <w:t>)</w:t>
      </w:r>
      <w:r>
        <w:rPr>
          <w:rFonts w:hint="eastAsia"/>
        </w:rPr>
        <w:t>的某一百分比计算的。工资</w:t>
      </w:r>
      <w:r>
        <w:t>(</w:t>
      </w:r>
      <w:r>
        <w:rPr>
          <w:rFonts w:hint="eastAsia"/>
        </w:rPr>
        <w:t>或以前年份的保险基数</w:t>
      </w:r>
      <w:r>
        <w:t>)</w:t>
      </w:r>
      <w:r>
        <w:rPr>
          <w:rFonts w:hint="eastAsia"/>
        </w:rPr>
        <w:t>按有权享受养恤金年份前最后一个日历年共和国境内雇员的平均工资来评估。老年养恤金的百分比取决于应计养恤金工龄的长短，但必须不低于养恤金基数的</w:t>
      </w:r>
      <w:r>
        <w:t>35%(</w:t>
      </w:r>
      <w:r>
        <w:rPr>
          <w:rFonts w:hint="eastAsia"/>
        </w:rPr>
        <w:t>男子</w:t>
      </w:r>
      <w:r>
        <w:t>)</w:t>
      </w:r>
      <w:r>
        <w:rPr>
          <w:rFonts w:hint="eastAsia"/>
        </w:rPr>
        <w:t>或</w:t>
      </w:r>
      <w:r>
        <w:t>40%(</w:t>
      </w:r>
      <w:r>
        <w:rPr>
          <w:rFonts w:hint="eastAsia"/>
        </w:rPr>
        <w:t>妇女</w:t>
      </w:r>
      <w:r>
        <w:t>)</w:t>
      </w:r>
      <w:r>
        <w:rPr>
          <w:rFonts w:hint="eastAsia"/>
        </w:rPr>
        <w:t>，不高于养恤金基数的</w:t>
      </w:r>
      <w:r>
        <w:t>85%</w:t>
      </w:r>
      <w:r>
        <w:rPr>
          <w:rFonts w:hint="eastAsia"/>
        </w:rPr>
        <w:t>。由此确定的养恤金在一年过程中按共和国境内雇员的平均工资加以调整。</w:t>
      </w:r>
    </w:p>
    <w:p w:rsidR="00000000" w:rsidRDefault="00CF7517">
      <w:pPr>
        <w:pStyle w:val="Heading4"/>
      </w:pPr>
      <w:r>
        <w:rPr>
          <w:rFonts w:hint="eastAsia"/>
        </w:rPr>
        <w:t>残疾者的权利</w:t>
      </w:r>
    </w:p>
    <w:p w:rsidR="00000000" w:rsidRDefault="00CF7517">
      <w:r>
        <w:tab/>
        <w:t xml:space="preserve">85.  </w:t>
      </w:r>
      <w:r>
        <w:rPr>
          <w:rFonts w:hint="eastAsia"/>
        </w:rPr>
        <w:t>领受人工作能力降低或丧失，有权领取残疾津贴。领受人身体残疾的概念是，身体状况无法通过治疗或疗养而康复，工作能力从而永久丧失或受损，不能继续工作。工作能力降低的概念是，</w:t>
      </w:r>
      <w:r>
        <w:rPr>
          <w:rFonts w:hint="eastAsia"/>
        </w:rPr>
        <w:t>领受人在正常工作时间内不能在不损害健康的情况下再从事残废前所从事的工作。领受人虽然已被确定为工作能力降低，但仍可以在不损害健康的情况下，经过或不经过再培训或补充培训，在另一工作地点全时工作。这样的领受人有权调转到另一工作岗位，也就是说，享有适当就业权、必要时再培训和补充培训权，还享有与行使这些权利有关的适当金钱补偿权。给予金钱补偿，是代替因残疾而不再能领取的工资。</w:t>
      </w:r>
    </w:p>
    <w:p w:rsidR="00000000" w:rsidRDefault="00CF7517">
      <w:r>
        <w:tab/>
        <w:t xml:space="preserve">86.  </w:t>
      </w:r>
      <w:r>
        <w:rPr>
          <w:rFonts w:hint="eastAsia"/>
        </w:rPr>
        <w:t>永久丧失工作能力的概念是，领受人完全、永久地丧失能力，不能再从事本职或任何其他适当的工作，亦无法通过再培训和补充培训全时从事另一项工</w:t>
      </w:r>
      <w:r>
        <w:rPr>
          <w:rFonts w:hint="eastAsia"/>
        </w:rPr>
        <w:t>作。工作能力丧失或降低的领受人，因年龄大，无法再学习从事另一适当工作的技能，如符合下述条件，有权领取残疾津贴：</w:t>
      </w:r>
    </w:p>
    <w:p w:rsidR="00000000" w:rsidRDefault="00CF7517" w:rsidP="00CF7517">
      <w:pPr>
        <w:pStyle w:val="a0"/>
        <w:numPr>
          <w:ilvl w:val="0"/>
          <w:numId w:val="4"/>
        </w:numPr>
        <w:ind w:left="1531" w:hanging="510"/>
      </w:pPr>
      <w:r>
        <w:rPr>
          <w:rFonts w:hint="eastAsia"/>
        </w:rPr>
        <w:t>残废系工伤或职业病所致，无论应计养恤金工龄长短；</w:t>
      </w:r>
    </w:p>
    <w:p w:rsidR="00000000" w:rsidRDefault="00CF7517" w:rsidP="00CF7517">
      <w:pPr>
        <w:pStyle w:val="a0"/>
        <w:numPr>
          <w:ilvl w:val="0"/>
          <w:numId w:val="4"/>
        </w:numPr>
        <w:ind w:left="1531" w:hanging="510"/>
      </w:pPr>
      <w:r>
        <w:rPr>
          <w:rFonts w:hint="eastAsia"/>
        </w:rPr>
        <w:t>如果残疾是工作时间以外的伤害或疾病造成的，但其工龄的三分之一是应计养恤金工龄。应计养恤金工龄是以领受人年满</w:t>
      </w:r>
      <w:r>
        <w:t>20</w:t>
      </w:r>
      <w:r>
        <w:rPr>
          <w:rFonts w:hint="eastAsia"/>
        </w:rPr>
        <w:t>岁之日至残疾开始之日期间的年数来计算，高中毕业生从</w:t>
      </w:r>
      <w:r>
        <w:t>23</w:t>
      </w:r>
      <w:r>
        <w:rPr>
          <w:rFonts w:hint="eastAsia"/>
        </w:rPr>
        <w:t>岁算起，大学毕业生从</w:t>
      </w:r>
      <w:r>
        <w:t>26</w:t>
      </w:r>
      <w:r>
        <w:rPr>
          <w:rFonts w:hint="eastAsia"/>
        </w:rPr>
        <w:t>岁算起。</w:t>
      </w:r>
    </w:p>
    <w:p w:rsidR="00000000" w:rsidRDefault="00CF7517">
      <w:pPr>
        <w:spacing w:after="320"/>
        <w:textAlignment w:val="center"/>
      </w:pPr>
      <w:r>
        <w:tab/>
        <w:t xml:space="preserve">87.  </w:t>
      </w:r>
      <w:r>
        <w:rPr>
          <w:rFonts w:hint="eastAsia"/>
        </w:rPr>
        <w:t>残疾养恤金按老年养恤金的同样办法计算，但不得少于养恤金基数的</w:t>
      </w:r>
      <w:r>
        <w:t>45%(</w:t>
      </w:r>
      <w:r>
        <w:rPr>
          <w:rFonts w:hint="eastAsia"/>
        </w:rPr>
        <w:t>男子</w:t>
      </w:r>
      <w:r>
        <w:t>)</w:t>
      </w:r>
      <w:r>
        <w:rPr>
          <w:rFonts w:hint="eastAsia"/>
        </w:rPr>
        <w:t>、或</w:t>
      </w:r>
      <w:r>
        <w:t>55%(</w:t>
      </w:r>
      <w:r>
        <w:rPr>
          <w:rFonts w:hint="eastAsia"/>
        </w:rPr>
        <w:t>妇女</w:t>
      </w:r>
      <w:r>
        <w:t>)</w:t>
      </w:r>
      <w:r>
        <w:rPr>
          <w:rFonts w:hint="eastAsia"/>
        </w:rPr>
        <w:t>。如果有关残疾是由工伤或职业病所致，则相当于</w:t>
      </w:r>
      <w:r>
        <w:t>85</w:t>
      </w:r>
      <w:r>
        <w:t>%</w:t>
      </w:r>
      <w:r>
        <w:rPr>
          <w:rFonts w:hint="eastAsia"/>
        </w:rPr>
        <w:t>。</w:t>
      </w:r>
    </w:p>
    <w:p w:rsidR="00000000" w:rsidRDefault="00CF7517">
      <w:pPr>
        <w:pStyle w:val="Heading4"/>
      </w:pPr>
      <w:r>
        <w:rPr>
          <w:rFonts w:hint="eastAsia"/>
        </w:rPr>
        <w:t>家属养恤金</w:t>
      </w:r>
    </w:p>
    <w:p w:rsidR="00000000" w:rsidRDefault="00CF7517">
      <w:r>
        <w:tab/>
        <w:t xml:space="preserve">88.  </w:t>
      </w:r>
      <w:r>
        <w:rPr>
          <w:rFonts w:hint="eastAsia"/>
        </w:rPr>
        <w:t>以下家庭成员有权领取家属养恤金：配偶、子女</w:t>
      </w:r>
      <w:r>
        <w:t>(</w:t>
      </w:r>
      <w:r>
        <w:rPr>
          <w:rFonts w:hint="eastAsia"/>
        </w:rPr>
        <w:t>婚生或非婚生或收养子女、领受人或权利享受人、孙子孙女、兄弟和姊妹、由领受人抚养的无父母或父母一方或双方完全无工作能力的儿童</w:t>
      </w:r>
      <w:r>
        <w:t>)</w:t>
      </w:r>
      <w:r>
        <w:rPr>
          <w:rFonts w:hint="eastAsia"/>
        </w:rPr>
        <w:t>、领受人或权利享受人赡养的父母、</w:t>
      </w:r>
      <w:r>
        <w:t>(</w:t>
      </w:r>
      <w:r>
        <w:rPr>
          <w:rFonts w:hint="eastAsia"/>
        </w:rPr>
        <w:t>父亲和母亲、继父和继母、领养父母</w:t>
      </w:r>
      <w:r>
        <w:t>)</w:t>
      </w:r>
      <w:r>
        <w:rPr>
          <w:rFonts w:hint="eastAsia"/>
        </w:rPr>
        <w:t>。前配偶如果获得法院判决，享有被抚养权的，也可领取家属养恤金。</w:t>
      </w:r>
    </w:p>
    <w:p w:rsidR="00000000" w:rsidRDefault="00CF7517">
      <w:r>
        <w:tab/>
        <w:t xml:space="preserve">89.  </w:t>
      </w:r>
      <w:r>
        <w:rPr>
          <w:rFonts w:hint="eastAsia"/>
        </w:rPr>
        <w:t>已缴纳养恤金至少</w:t>
      </w:r>
      <w:r>
        <w:t>5</w:t>
      </w:r>
      <w:r>
        <w:rPr>
          <w:rFonts w:hint="eastAsia"/>
        </w:rPr>
        <w:t>年，或应计养恤金工龄至少</w:t>
      </w:r>
      <w:r>
        <w:t>10</w:t>
      </w:r>
      <w:r>
        <w:rPr>
          <w:rFonts w:hint="eastAsia"/>
        </w:rPr>
        <w:t>年，或符合享受老年或残疾养恤金条件的已故领受人的家庭成员有权领取家属养恤金；老年养恤金或残疾养恤金的已故领受人或已故的因尚有</w:t>
      </w:r>
      <w:r>
        <w:rPr>
          <w:rFonts w:hint="eastAsia"/>
        </w:rPr>
        <w:t>工作能力而享受残废者权利的人的家庭成员也有权领取家属津贴。如果领受人因工伤或职业病死亡，无论其应计养恤金工龄长短，其家庭成员都有权领取家属养恤金。</w:t>
      </w:r>
    </w:p>
    <w:p w:rsidR="00000000" w:rsidRDefault="00CF7517">
      <w:r>
        <w:tab/>
        <w:t xml:space="preserve">90.  </w:t>
      </w:r>
      <w:r>
        <w:rPr>
          <w:rFonts w:hint="eastAsia"/>
        </w:rPr>
        <w:t>要领取家属养恤金，家庭成员必须符合一些特殊要求。寡妇享受家属养恤金的条件是：丈夫去世前满</w:t>
      </w:r>
      <w:r>
        <w:t>45</w:t>
      </w:r>
      <w:r>
        <w:rPr>
          <w:rFonts w:hint="eastAsia"/>
        </w:rPr>
        <w:t>岁；配偶去世前或去世一年内丧失工作能力；配偶去世后，留给她一个或更多个有权享受家属养恤金的子女并且她作为寡妇需要对这些子女履行父母义务。如果她在配偶去世时未满</w:t>
      </w:r>
      <w:r>
        <w:t>45</w:t>
      </w:r>
      <w:r>
        <w:rPr>
          <w:rFonts w:hint="eastAsia"/>
        </w:rPr>
        <w:t>岁，但已满</w:t>
      </w:r>
      <w:r>
        <w:t>40</w:t>
      </w:r>
      <w:r>
        <w:rPr>
          <w:rFonts w:hint="eastAsia"/>
        </w:rPr>
        <w:t>岁，那么到</w:t>
      </w:r>
      <w:r>
        <w:t>45</w:t>
      </w:r>
      <w:r>
        <w:rPr>
          <w:rFonts w:hint="eastAsia"/>
        </w:rPr>
        <w:t>岁时可以领取养恤金。</w:t>
      </w:r>
    </w:p>
    <w:p w:rsidR="00000000" w:rsidRDefault="00CF7517">
      <w:pPr>
        <w:spacing w:line="312" w:lineRule="auto"/>
      </w:pPr>
      <w:r>
        <w:tab/>
        <w:t xml:space="preserve">91.  </w:t>
      </w:r>
      <w:r>
        <w:rPr>
          <w:rFonts w:hint="eastAsia"/>
        </w:rPr>
        <w:t>家属养恤金按领受人去世时可以或已经领</w:t>
      </w:r>
      <w:r>
        <w:rPr>
          <w:rFonts w:hint="eastAsia"/>
        </w:rPr>
        <w:t>取的老年或残疾养恤金的某一百分比来确定。数额取决于有权享受该养恤金的家庭成员人数：</w:t>
      </w:r>
    </w:p>
    <w:p w:rsidR="00000000" w:rsidRDefault="00CF7517">
      <w:pPr>
        <w:pStyle w:val="a5"/>
        <w:spacing w:line="312" w:lineRule="auto"/>
        <w:ind w:left="1546"/>
      </w:pPr>
      <w:r>
        <w:t>(a)</w:t>
      </w:r>
      <w:r>
        <w:tab/>
      </w:r>
      <w:r>
        <w:rPr>
          <w:rFonts w:hint="eastAsia"/>
        </w:rPr>
        <w:t>如果养恤金只由领受人的直接亲属或只由领受人的旁系亲属享受：</w:t>
      </w:r>
    </w:p>
    <w:p w:rsidR="00000000" w:rsidRDefault="00CF7517" w:rsidP="00CF7517">
      <w:pPr>
        <w:pStyle w:val="a6"/>
        <w:numPr>
          <w:ilvl w:val="0"/>
          <w:numId w:val="1"/>
        </w:numPr>
        <w:spacing w:line="312" w:lineRule="auto"/>
        <w:ind w:left="2064"/>
      </w:pPr>
      <w:r>
        <w:rPr>
          <w:rFonts w:hint="eastAsia"/>
        </w:rPr>
        <w:t>一名成员为</w:t>
      </w:r>
      <w:r>
        <w:t>70%</w:t>
      </w:r>
      <w:r>
        <w:rPr>
          <w:rFonts w:hint="eastAsia"/>
        </w:rPr>
        <w:t>；</w:t>
      </w:r>
    </w:p>
    <w:p w:rsidR="00000000" w:rsidRDefault="00CF7517" w:rsidP="00CF7517">
      <w:pPr>
        <w:pStyle w:val="a6"/>
        <w:numPr>
          <w:ilvl w:val="0"/>
          <w:numId w:val="1"/>
        </w:numPr>
        <w:spacing w:line="312" w:lineRule="auto"/>
        <w:ind w:left="2064"/>
      </w:pPr>
      <w:r>
        <w:rPr>
          <w:rFonts w:hint="eastAsia"/>
        </w:rPr>
        <w:t>二名成员为</w:t>
      </w:r>
      <w:r>
        <w:t>80%</w:t>
      </w:r>
      <w:r>
        <w:rPr>
          <w:rFonts w:hint="eastAsia"/>
        </w:rPr>
        <w:t>；</w:t>
      </w:r>
    </w:p>
    <w:p w:rsidR="00000000" w:rsidRDefault="00CF7517" w:rsidP="00CF7517">
      <w:pPr>
        <w:pStyle w:val="a6"/>
        <w:numPr>
          <w:ilvl w:val="0"/>
          <w:numId w:val="1"/>
        </w:numPr>
        <w:spacing w:line="312" w:lineRule="auto"/>
        <w:ind w:left="2064"/>
      </w:pPr>
      <w:r>
        <w:rPr>
          <w:rFonts w:hint="eastAsia"/>
        </w:rPr>
        <w:t>三名成员为</w:t>
      </w:r>
      <w:r>
        <w:t>90%</w:t>
      </w:r>
      <w:r>
        <w:rPr>
          <w:rFonts w:hint="eastAsia"/>
        </w:rPr>
        <w:t>；</w:t>
      </w:r>
    </w:p>
    <w:p w:rsidR="00000000" w:rsidRDefault="00CF7517" w:rsidP="00CF7517">
      <w:pPr>
        <w:pStyle w:val="a6"/>
        <w:numPr>
          <w:ilvl w:val="0"/>
          <w:numId w:val="1"/>
        </w:numPr>
        <w:spacing w:line="312" w:lineRule="auto"/>
        <w:ind w:left="2064"/>
      </w:pPr>
      <w:r>
        <w:rPr>
          <w:rFonts w:hint="eastAsia"/>
        </w:rPr>
        <w:t>四名或更多名成员为</w:t>
      </w:r>
      <w:r>
        <w:t>100%</w:t>
      </w:r>
      <w:r>
        <w:rPr>
          <w:rFonts w:hint="eastAsia"/>
        </w:rPr>
        <w:t>；</w:t>
      </w:r>
    </w:p>
    <w:p w:rsidR="00000000" w:rsidRDefault="00CF7517">
      <w:pPr>
        <w:pStyle w:val="a5"/>
        <w:spacing w:line="312" w:lineRule="auto"/>
        <w:ind w:left="1548"/>
        <w:textAlignment w:val="center"/>
      </w:pPr>
      <w:r>
        <w:t>(b)</w:t>
      </w:r>
      <w:r>
        <w:tab/>
      </w:r>
      <w:r>
        <w:rPr>
          <w:rFonts w:hint="eastAsia"/>
        </w:rPr>
        <w:t>如果已故领受人的直系亲属和旁系亲属都有权享受家属养恤金，那么直系亲属将领取</w:t>
      </w:r>
      <w:r>
        <w:t>(a)</w:t>
      </w:r>
      <w:r>
        <w:rPr>
          <w:rFonts w:hint="eastAsia"/>
        </w:rPr>
        <w:t>项所列的百分比，旁系亲属则领取死者老年或残疾养恤金的余额。</w:t>
      </w:r>
    </w:p>
    <w:p w:rsidR="00000000" w:rsidRDefault="00CF7517">
      <w:pPr>
        <w:spacing w:after="240" w:line="312" w:lineRule="auto"/>
        <w:textAlignment w:val="center"/>
      </w:pPr>
      <w:r>
        <w:rPr>
          <w:rFonts w:hint="eastAsia"/>
        </w:rPr>
        <w:t>如果家属养恤金由三名或四名家庭成员或孤儿享受，家属养恤金数额不得低于已故领受人养恤金基数的</w:t>
      </w:r>
      <w:r>
        <w:t>40%</w:t>
      </w:r>
      <w:r>
        <w:rPr>
          <w:rFonts w:hint="eastAsia"/>
        </w:rPr>
        <w:t>。</w:t>
      </w:r>
    </w:p>
    <w:p w:rsidR="00000000" w:rsidRDefault="00CF7517">
      <w:pPr>
        <w:pStyle w:val="Heading4"/>
        <w:spacing w:line="312" w:lineRule="auto"/>
      </w:pPr>
      <w:r>
        <w:rPr>
          <w:rFonts w:hint="eastAsia"/>
        </w:rPr>
        <w:t>对身体伤残的现金津贴</w:t>
      </w:r>
    </w:p>
    <w:p w:rsidR="00000000" w:rsidRDefault="00CF7517">
      <w:pPr>
        <w:spacing w:after="320" w:line="312" w:lineRule="auto"/>
        <w:textAlignment w:val="center"/>
      </w:pPr>
      <w:r>
        <w:tab/>
        <w:t xml:space="preserve">92.  </w:t>
      </w:r>
      <w:r>
        <w:rPr>
          <w:rFonts w:hint="eastAsia"/>
        </w:rPr>
        <w:t>领受人因工伤或职业疾病，身体的某些器官或部位丧失、遭到严重伤害或丧失能力，难以从事正常活动，自己料理生活有困难，有权领取伤残现金津贴。数额取决于伤残的程度，但不得低于</w:t>
      </w:r>
      <w:r>
        <w:t>30%</w:t>
      </w:r>
      <w:r>
        <w:rPr>
          <w:rFonts w:hint="eastAsia"/>
        </w:rPr>
        <w:t>。现金津贴为前一年共和国境内雇员平均工资的某一百分比。</w:t>
      </w:r>
    </w:p>
    <w:p w:rsidR="00000000" w:rsidRDefault="00CF7517">
      <w:pPr>
        <w:pStyle w:val="Heading4"/>
        <w:spacing w:line="312" w:lineRule="auto"/>
      </w:pPr>
      <w:r>
        <w:rPr>
          <w:rFonts w:hint="eastAsia"/>
        </w:rPr>
        <w:t>得到他人协助和照料的权利</w:t>
      </w:r>
    </w:p>
    <w:p w:rsidR="00000000" w:rsidRDefault="00CF7517">
      <w:pPr>
        <w:spacing w:after="320" w:line="312" w:lineRule="auto"/>
        <w:textAlignment w:val="center"/>
      </w:pPr>
      <w:r>
        <w:tab/>
        <w:t xml:space="preserve">93.  </w:t>
      </w:r>
      <w:r>
        <w:rPr>
          <w:rFonts w:hint="eastAsia"/>
        </w:rPr>
        <w:t>由于伤残或疾病的性质和严重程度，必要时需要他人协助和照料，根据共和国养恤金和残疾保险法有权依尚有的工作能力领取这一用途的现金补贴。现金补贴按前一年共和国境内向雇员支付的平均月工资的某一百分比来确定。</w:t>
      </w:r>
    </w:p>
    <w:p w:rsidR="00000000" w:rsidRDefault="00CF7517">
      <w:pPr>
        <w:pStyle w:val="Heading4"/>
        <w:spacing w:line="312" w:lineRule="auto"/>
      </w:pPr>
      <w:r>
        <w:rPr>
          <w:rFonts w:hint="eastAsia"/>
        </w:rPr>
        <w:t>组织和经费来源</w:t>
      </w:r>
    </w:p>
    <w:p w:rsidR="00000000" w:rsidRDefault="00CF7517">
      <w:pPr>
        <w:spacing w:line="312" w:lineRule="auto"/>
      </w:pPr>
      <w:r>
        <w:tab/>
        <w:t xml:space="preserve">94.  </w:t>
      </w:r>
      <w:r>
        <w:rPr>
          <w:rFonts w:hint="eastAsia"/>
        </w:rPr>
        <w:t>强制养</w:t>
      </w:r>
      <w:r>
        <w:rPr>
          <w:rFonts w:hint="eastAsia"/>
        </w:rPr>
        <w:t>恤金和残疾保险制度覆盖所有雇员、自营职业者和农民。雇员的养恤基金和残疾保险基金由领受人和雇主的缴款提供，自营职业者和农民的这类基金由领受人的缴款提供。缴款数额每年参照养恤基金和残疾保险基金依现行条例发放津贴的预期支出确定一次</w:t>
      </w:r>
      <w:r>
        <w:t>(</w:t>
      </w:r>
      <w:r>
        <w:rPr>
          <w:rFonts w:hint="eastAsia"/>
        </w:rPr>
        <w:t>量入为出</w:t>
      </w:r>
      <w:r>
        <w:t>)</w:t>
      </w:r>
      <w:r>
        <w:rPr>
          <w:rFonts w:hint="eastAsia"/>
        </w:rPr>
        <w:t>。</w:t>
      </w:r>
    </w:p>
    <w:p w:rsidR="00000000" w:rsidRDefault="00CF7517">
      <w:r>
        <w:tab/>
        <w:t xml:space="preserve">95.  </w:t>
      </w:r>
      <w:r>
        <w:rPr>
          <w:rFonts w:hint="eastAsia"/>
        </w:rPr>
        <w:t>除由共和国养恤基金和残疾保险基金负责的强制养恤金和残疾保险外，法律还规定了为强制保险未覆盖人员或希望得到额外保险人员提供自愿养恤金和残疾保险的可能性。自愿保险除了由现有基金提供外，也可由其他法人提供。不过，自愿养恤金和残疾保险尚未实施。</w:t>
      </w:r>
    </w:p>
    <w:p w:rsidR="00000000" w:rsidRDefault="00CF7517">
      <w:pPr>
        <w:spacing w:after="320"/>
        <w:textAlignment w:val="center"/>
      </w:pPr>
      <w:r>
        <w:tab/>
        <w:t xml:space="preserve">96.  </w:t>
      </w:r>
      <w:r>
        <w:rPr>
          <w:rFonts w:hint="eastAsia"/>
        </w:rPr>
        <w:t>养恤金和残</w:t>
      </w:r>
      <w:r>
        <w:rPr>
          <w:rFonts w:hint="eastAsia"/>
        </w:rPr>
        <w:t>疾保险覆盖从事有收入就业的所有人</w:t>
      </w:r>
      <w:r>
        <w:t>(</w:t>
      </w:r>
      <w:r>
        <w:rPr>
          <w:rFonts w:hint="eastAsia"/>
        </w:rPr>
        <w:t>及其家属</w:t>
      </w:r>
      <w:r>
        <w:t>)</w:t>
      </w:r>
      <w:r>
        <w:rPr>
          <w:rFonts w:hint="eastAsia"/>
        </w:rPr>
        <w:t>。妇女享有特别保护，可根据较优惠的条件得到养恤金和残疾保险权利</w:t>
      </w:r>
      <w:r>
        <w:t>(</w:t>
      </w:r>
      <w:r>
        <w:rPr>
          <w:rFonts w:hint="eastAsia"/>
        </w:rPr>
        <w:t>妇女的年龄限制低</w:t>
      </w:r>
      <w:r>
        <w:t>5</w:t>
      </w:r>
      <w:r>
        <w:rPr>
          <w:rFonts w:hint="eastAsia"/>
        </w:rPr>
        <w:t>岁</w:t>
      </w:r>
      <w:r>
        <w:t>)</w:t>
      </w:r>
      <w:r>
        <w:rPr>
          <w:rFonts w:hint="eastAsia"/>
        </w:rPr>
        <w:t>，妇女受益人的人数多于男子</w:t>
      </w:r>
      <w:r>
        <w:t>(</w:t>
      </w:r>
      <w:r>
        <w:rPr>
          <w:rFonts w:hint="eastAsia"/>
        </w:rPr>
        <w:t>相同工龄妇女所占的比例高于男子</w:t>
      </w:r>
      <w:r>
        <w:t>)</w:t>
      </w:r>
      <w:r>
        <w:rPr>
          <w:rFonts w:hint="eastAsia"/>
        </w:rPr>
        <w:t>。</w:t>
      </w:r>
    </w:p>
    <w:p w:rsidR="00000000" w:rsidRDefault="00CF7517">
      <w:pPr>
        <w:pStyle w:val="Heading3"/>
      </w:pPr>
      <w:r>
        <w:rPr>
          <w:rFonts w:hint="eastAsia"/>
        </w:rPr>
        <w:t>第</w:t>
      </w:r>
      <w:r>
        <w:t xml:space="preserve"> 10 </w:t>
      </w:r>
      <w:r>
        <w:rPr>
          <w:rFonts w:hint="eastAsia"/>
        </w:rPr>
        <w:t>条</w:t>
      </w:r>
    </w:p>
    <w:p w:rsidR="00000000" w:rsidRDefault="00CF7517">
      <w:r>
        <w:tab/>
        <w:t xml:space="preserve">97.  </w:t>
      </w:r>
      <w:r>
        <w:rPr>
          <w:rFonts w:hint="eastAsia"/>
        </w:rPr>
        <w:t>南斯拉夫联盟共和国和成员共和国的法律条例对家庭没有统一的定义。</w:t>
      </w:r>
    </w:p>
    <w:p w:rsidR="00000000" w:rsidRDefault="00CF7517">
      <w:r>
        <w:tab/>
        <w:t xml:space="preserve">98.  </w:t>
      </w:r>
      <w:r>
        <w:rPr>
          <w:rFonts w:hint="eastAsia"/>
        </w:rPr>
        <w:t>门的内哥罗家庭法所下的家庭定义是，一个由父母和子女以及其他有相互权利和义务的亲属组成的生活集体。</w:t>
      </w:r>
    </w:p>
    <w:p w:rsidR="00000000" w:rsidRDefault="00CF7517">
      <w:r>
        <w:tab/>
        <w:t xml:space="preserve">99.  </w:t>
      </w:r>
      <w:r>
        <w:rPr>
          <w:rFonts w:hint="eastAsia"/>
        </w:rPr>
        <w:t>作为婚姻和家庭关系的主要法律的《塞尔维亚婚姻和家庭关系法》没有关于家庭的明文定义。然而，根据有关家庭的条款</w:t>
      </w:r>
      <w:r>
        <w:rPr>
          <w:rFonts w:hint="eastAsia"/>
        </w:rPr>
        <w:t>，可以认为法律对家庭作狭义的解释，即家庭是由配偶两人组成的集体或由父母和子女组成的集体，因为家庭权利只赋予他们。只有在某些财产关系</w:t>
      </w:r>
      <w:r>
        <w:t>(</w:t>
      </w:r>
      <w:r>
        <w:rPr>
          <w:rFonts w:hint="eastAsia"/>
        </w:rPr>
        <w:t>赡养</w:t>
      </w:r>
      <w:r>
        <w:t>)</w:t>
      </w:r>
      <w:r>
        <w:rPr>
          <w:rFonts w:hint="eastAsia"/>
        </w:rPr>
        <w:t>问题上，才对家庭作广义的解释，有关赡养的义务延伸到所有直系和旁系亲属。成年与未成年兄弟姊妹之间以及继父母与非亲生子女之间存在不同程度的赡养义务。</w:t>
      </w:r>
    </w:p>
    <w:p w:rsidR="00000000" w:rsidRDefault="00CF7517">
      <w:r>
        <w:tab/>
        <w:t xml:space="preserve">100.  </w:t>
      </w:r>
      <w:r>
        <w:rPr>
          <w:rFonts w:hint="eastAsia"/>
        </w:rPr>
        <w:t>根据《塞尔维亚儿童社会抚养法》，家庭由生活在一起的配偶或不同性别的两个人、子女</w:t>
      </w:r>
      <w:r>
        <w:t>(</w:t>
      </w:r>
      <w:r>
        <w:rPr>
          <w:rFonts w:hint="eastAsia"/>
        </w:rPr>
        <w:t>婚生或非婚生、收养和非亲生子女</w:t>
      </w:r>
      <w:r>
        <w:t>)</w:t>
      </w:r>
      <w:r>
        <w:rPr>
          <w:rFonts w:hint="eastAsia"/>
        </w:rPr>
        <w:t>、直系亲属和二等亲内的旁系亲属组成。</w:t>
      </w:r>
    </w:p>
    <w:p w:rsidR="00000000" w:rsidRDefault="00CF7517">
      <w:r>
        <w:tab/>
        <w:t xml:space="preserve">101.  </w:t>
      </w:r>
      <w:r>
        <w:rPr>
          <w:rFonts w:hint="eastAsia"/>
        </w:rPr>
        <w:t>《塞尔维亚社会抚养和社会保障法》对家庭作了以下定义</w:t>
      </w:r>
      <w:r>
        <w:rPr>
          <w:rFonts w:hint="eastAsia"/>
        </w:rPr>
        <w:t>：从行使得到物质支持权利的角度出发，家庭可解释为生活在一起的配偶或不同性别的两个人、子女</w:t>
      </w:r>
      <w:r>
        <w:t>(</w:t>
      </w:r>
      <w:r>
        <w:rPr>
          <w:rFonts w:hint="eastAsia"/>
        </w:rPr>
        <w:t>婚生或非婚生、收养和非亲生子女</w:t>
      </w:r>
      <w:r>
        <w:t>)</w:t>
      </w:r>
      <w:r>
        <w:rPr>
          <w:rFonts w:hint="eastAsia"/>
        </w:rPr>
        <w:t>、直系亲属和二等亲内的旁系亲属。例外情况是，没有收入的子女虽然不与父母生活在一起，但结婚或有自己的家庭之前，可被认为是其父母家庭的成员，但以</w:t>
      </w:r>
      <w:r>
        <w:t>27</w:t>
      </w:r>
      <w:r>
        <w:rPr>
          <w:rFonts w:hint="eastAsia"/>
        </w:rPr>
        <w:t>岁为限。配偶</w:t>
      </w:r>
      <w:r>
        <w:t>(</w:t>
      </w:r>
      <w:r>
        <w:rPr>
          <w:rFonts w:hint="eastAsia"/>
        </w:rPr>
        <w:t>无论居住何处</w:t>
      </w:r>
      <w:r>
        <w:t>)</w:t>
      </w:r>
      <w:r>
        <w:rPr>
          <w:rFonts w:hint="eastAsia"/>
        </w:rPr>
        <w:t>以及不能工作的孩子父母和上学的子女，也视为家庭成员。</w:t>
      </w:r>
    </w:p>
    <w:p w:rsidR="00000000" w:rsidRDefault="00CF7517">
      <w:r>
        <w:tab/>
        <w:t xml:space="preserve">102.  </w:t>
      </w:r>
      <w:r>
        <w:rPr>
          <w:rFonts w:hint="eastAsia"/>
        </w:rPr>
        <w:t>根据《门的内哥罗家庭法》和《塞尔维亚婚姻和家庭关系法》，年满</w:t>
      </w:r>
      <w:r>
        <w:t>18</w:t>
      </w:r>
      <w:r>
        <w:rPr>
          <w:rFonts w:hint="eastAsia"/>
        </w:rPr>
        <w:t>岁为成人。</w:t>
      </w:r>
      <w:r>
        <w:t>16</w:t>
      </w:r>
      <w:r>
        <w:rPr>
          <w:rFonts w:hint="eastAsia"/>
        </w:rPr>
        <w:t>岁以上的未成年人如得到法庭许可，可缔结婚姻。成年或虽未成年但已结婚，即获</w:t>
      </w:r>
      <w:r>
        <w:rPr>
          <w:rFonts w:hint="eastAsia"/>
        </w:rPr>
        <w:t>得充分就业能力。</w:t>
      </w:r>
    </w:p>
    <w:p w:rsidR="00000000" w:rsidRDefault="00CF7517">
      <w:r>
        <w:tab/>
        <w:t xml:space="preserve">103.  </w:t>
      </w:r>
      <w:r>
        <w:rPr>
          <w:rFonts w:hint="eastAsia"/>
        </w:rPr>
        <w:t>年满</w:t>
      </w:r>
      <w:r>
        <w:t>14</w:t>
      </w:r>
      <w:r>
        <w:rPr>
          <w:rFonts w:hint="eastAsia"/>
        </w:rPr>
        <w:t>岁的儿童可以独立进行合法交易，但除不大重要的交易外，交易要生效，须得父母或收养家庭的许可，才能处置或抵押该儿童财产。儿童满</w:t>
      </w:r>
      <w:r>
        <w:t>15</w:t>
      </w:r>
      <w:r>
        <w:rPr>
          <w:rFonts w:hint="eastAsia"/>
        </w:rPr>
        <w:t>岁，可以独立就业和支配自己从劳动得到的收入和财产，但有义务拿出部分收入负担自己的生活和教育。</w:t>
      </w:r>
    </w:p>
    <w:p w:rsidR="00000000" w:rsidRDefault="00CF7517">
      <w:r>
        <w:tab/>
        <w:t xml:space="preserve">104.  </w:t>
      </w:r>
      <w:r>
        <w:rPr>
          <w:rFonts w:hint="eastAsia"/>
        </w:rPr>
        <w:t>年满</w:t>
      </w:r>
      <w:r>
        <w:t>16</w:t>
      </w:r>
      <w:r>
        <w:rPr>
          <w:rFonts w:hint="eastAsia"/>
        </w:rPr>
        <w:t>岁，拥有立遗嘱的能力。</w:t>
      </w:r>
    </w:p>
    <w:p w:rsidR="00000000" w:rsidRDefault="00CF7517">
      <w:pPr>
        <w:tabs>
          <w:tab w:val="left" w:pos="510"/>
          <w:tab w:val="left" w:pos="1021"/>
          <w:tab w:val="left" w:pos="1531"/>
          <w:tab w:val="left" w:pos="2041"/>
        </w:tabs>
      </w:pPr>
      <w:r>
        <w:tab/>
        <w:t xml:space="preserve">105.  </w:t>
      </w:r>
      <w:r>
        <w:rPr>
          <w:rFonts w:hint="eastAsia"/>
        </w:rPr>
        <w:t>根据南斯拉夫联盟共和国宪法和成员国宪法的规定，家庭享有特别的保护。婚姻和婚姻中的法律关系由法律作出规定。依照南斯拉夫法规，男人和女人有权在自愿的前提下，在主管当局面前缔结合法婚姻。未经男女完全</w:t>
      </w:r>
      <w:r>
        <w:rPr>
          <w:rFonts w:hint="eastAsia"/>
        </w:rPr>
        <w:t>自由同意缔结的婚姻被认为无效。实际上，确保男女行使在完全自由同意的情况下缔结婚姻的权利没有任何问题。南斯拉夫联盟共和国宪法规定个人有权自由决定生育子女。根据共和国法律，只能为保护个人健康对这项权利施加限制。父母有权利和义务照顾家庭、抚养子女，子女有义务照料需要帮助的父母。</w:t>
      </w:r>
    </w:p>
    <w:p w:rsidR="00000000" w:rsidRDefault="00CF7517">
      <w:pPr>
        <w:tabs>
          <w:tab w:val="left" w:pos="510"/>
          <w:tab w:val="left" w:pos="1021"/>
          <w:tab w:val="left" w:pos="1531"/>
          <w:tab w:val="left" w:pos="2041"/>
        </w:tabs>
      </w:pPr>
      <w:r>
        <w:tab/>
        <w:t xml:space="preserve">106.  </w:t>
      </w:r>
      <w:r>
        <w:rPr>
          <w:rFonts w:hint="eastAsia"/>
        </w:rPr>
        <w:t>为了便利于建立家庭和协助年轻夫妇，已采取了各种不同措施，其中包括各种服务和津贴。此外，南斯拉夫联盟共和国还采取了各种各样的措施，以维护、加强和保护家庭，例如：</w:t>
      </w:r>
    </w:p>
    <w:p w:rsidR="00000000" w:rsidRDefault="00CF7517" w:rsidP="00CF7517">
      <w:pPr>
        <w:pStyle w:val="a6"/>
        <w:numPr>
          <w:ilvl w:val="0"/>
          <w:numId w:val="1"/>
        </w:numPr>
      </w:pPr>
      <w:r>
        <w:rPr>
          <w:rFonts w:hint="eastAsia"/>
        </w:rPr>
        <w:t>正常产假和为照顾有严重健康问题的五岁以下儿童的延长产假期间的工资</w:t>
      </w:r>
      <w:r>
        <w:rPr>
          <w:rFonts w:hint="eastAsia"/>
        </w:rPr>
        <w:t>补助。倘若母亲无法照顾新生儿</w:t>
      </w:r>
      <w:r>
        <w:t>(</w:t>
      </w:r>
      <w:r>
        <w:rPr>
          <w:rFonts w:hint="eastAsia"/>
        </w:rPr>
        <w:t>母亲死亡或遗弃婴儿</w:t>
      </w:r>
      <w:r>
        <w:t>)</w:t>
      </w:r>
      <w:r>
        <w:rPr>
          <w:rFonts w:hint="eastAsia"/>
        </w:rPr>
        <w:t>，父亲或养父母或其他照顾该儿童的个人可以行使这一权利；</w:t>
      </w:r>
    </w:p>
    <w:p w:rsidR="00000000" w:rsidRDefault="00CF7517" w:rsidP="00CF7517">
      <w:pPr>
        <w:pStyle w:val="a6"/>
        <w:numPr>
          <w:ilvl w:val="0"/>
          <w:numId w:val="1"/>
        </w:numPr>
      </w:pPr>
      <w:r>
        <w:rPr>
          <w:rFonts w:hint="eastAsia"/>
        </w:rPr>
        <w:t>生育津贴，每一母亲如不在产假期间领取工资补贴，可以享受生育津贴。实际上这意味着，每一失业母亲在子女</w:t>
      </w:r>
      <w:r>
        <w:t>1</w:t>
      </w:r>
      <w:r>
        <w:rPr>
          <w:rFonts w:hint="eastAsia"/>
        </w:rPr>
        <w:t>岁之前都可领取这笔津贴；</w:t>
      </w:r>
    </w:p>
    <w:p w:rsidR="00000000" w:rsidRDefault="00CF7517" w:rsidP="00CF7517">
      <w:pPr>
        <w:pStyle w:val="a6"/>
        <w:numPr>
          <w:ilvl w:val="0"/>
          <w:numId w:val="1"/>
        </w:numPr>
      </w:pPr>
      <w:r>
        <w:rPr>
          <w:rFonts w:hint="eastAsia"/>
        </w:rPr>
        <w:t>每个新生儿家庭都可得到购买新生儿用品的资助；</w:t>
      </w:r>
    </w:p>
    <w:p w:rsidR="00000000" w:rsidRDefault="00CF7517" w:rsidP="00CF7517">
      <w:pPr>
        <w:pStyle w:val="a6"/>
        <w:numPr>
          <w:ilvl w:val="0"/>
          <w:numId w:val="1"/>
        </w:numPr>
      </w:pPr>
      <w:r>
        <w:rPr>
          <w:rFonts w:hint="eastAsia"/>
        </w:rPr>
        <w:t>儿童休息和娱乐，以及学生餐厅提供用餐；</w:t>
      </w:r>
    </w:p>
    <w:p w:rsidR="00000000" w:rsidRDefault="00CF7517" w:rsidP="00CF7517">
      <w:pPr>
        <w:pStyle w:val="a6"/>
        <w:numPr>
          <w:ilvl w:val="0"/>
          <w:numId w:val="1"/>
        </w:numPr>
      </w:pPr>
      <w:r>
        <w:rPr>
          <w:rFonts w:hint="eastAsia"/>
        </w:rPr>
        <w:t>儿童津贴，每个家庭的前三个子女，如果接受正规教育，并符合法律规定的某些其他条件，在</w:t>
      </w:r>
      <w:r>
        <w:t>19</w:t>
      </w:r>
      <w:r>
        <w:rPr>
          <w:rFonts w:hint="eastAsia"/>
        </w:rPr>
        <w:t>岁之前都享有这一权利。根据《门的内哥罗社会抚养儿童法》，所有儿童，包括生活在门的内哥罗的外国儿童</w:t>
      </w:r>
      <w:r>
        <w:t>18</w:t>
      </w:r>
      <w:r>
        <w:rPr>
          <w:rFonts w:hint="eastAsia"/>
        </w:rPr>
        <w:t>岁前都享</w:t>
      </w:r>
      <w:r>
        <w:rPr>
          <w:rFonts w:hint="eastAsia"/>
        </w:rPr>
        <w:t>有儿童津贴权利。根据《塞尔维亚社会抚养儿童法》，领取儿童津贴权利取决于家庭的物质条件，也就是说只有低收入家庭享受这项权利。例外情况是，有三个子女的所有家庭，无论家庭物质条件如何</w:t>
      </w:r>
      <w:r>
        <w:t>(</w:t>
      </w:r>
      <w:r>
        <w:rPr>
          <w:rFonts w:hint="eastAsia"/>
        </w:rPr>
        <w:t>收入标准</w:t>
      </w:r>
      <w:r>
        <w:t>)</w:t>
      </w:r>
      <w:r>
        <w:rPr>
          <w:rFonts w:hint="eastAsia"/>
        </w:rPr>
        <w:t>，都可得到第三个孩子享有的这一津贴。儿童津贴的数额视儿童的年龄、教育水平和心理生理状况而定；</w:t>
      </w:r>
    </w:p>
    <w:p w:rsidR="00000000" w:rsidRDefault="00CF7517" w:rsidP="00CF7517">
      <w:pPr>
        <w:pStyle w:val="a6"/>
        <w:numPr>
          <w:ilvl w:val="0"/>
          <w:numId w:val="1"/>
        </w:numPr>
      </w:pPr>
      <w:r>
        <w:rPr>
          <w:rFonts w:hint="eastAsia"/>
        </w:rPr>
        <w:t>为居住条件困难的家庭的子女安排在学前班住宿。国家负担的住宿费用最多可达</w:t>
      </w:r>
      <w:r>
        <w:t>80%</w:t>
      </w:r>
      <w:r>
        <w:rPr>
          <w:rFonts w:hint="eastAsia"/>
        </w:rPr>
        <w:t>。</w:t>
      </w:r>
    </w:p>
    <w:p w:rsidR="00000000" w:rsidRDefault="00CF7517">
      <w:r>
        <w:tab/>
        <w:t xml:space="preserve">107.  </w:t>
      </w:r>
      <w:r>
        <w:rPr>
          <w:rFonts w:hint="eastAsia"/>
        </w:rPr>
        <w:t>除了这些权利外，还提供其他权利和其他社会抚养儿童形式，如：一次性补贴；贷款；家庭法律关系咨询服务</w:t>
      </w:r>
      <w:r>
        <w:t>(</w:t>
      </w:r>
      <w:r>
        <w:rPr>
          <w:rFonts w:hint="eastAsia"/>
        </w:rPr>
        <w:t>重点是防止侵权和保护婚姻和家庭，也提供</w:t>
      </w:r>
      <w:r>
        <w:rPr>
          <w:rFonts w:hint="eastAsia"/>
        </w:rPr>
        <w:t>改善不良家庭关系的心理治疗</w:t>
      </w:r>
      <w:r>
        <w:t>)</w:t>
      </w:r>
      <w:r>
        <w:rPr>
          <w:rFonts w:hint="eastAsia"/>
        </w:rPr>
        <w:t>；支付教科书和文具费用；被抚养人免税，等等。</w:t>
      </w:r>
    </w:p>
    <w:p w:rsidR="00000000" w:rsidRDefault="00CF7517">
      <w:r>
        <w:tab/>
        <w:t xml:space="preserve">108.  </w:t>
      </w:r>
      <w:r>
        <w:rPr>
          <w:rFonts w:hint="eastAsia"/>
        </w:rPr>
        <w:t>没有任何人口群体因种族、宗教信仰、民族、族裔和社会出身而被禁止行使上述权利。行使这些权利的唯一差别是家庭的物质条件。需要社会帮助的家庭，都从社会集体获得帮助和照顾。确定政府津贴时，大家庭受到承认。</w:t>
      </w:r>
    </w:p>
    <w:p w:rsidR="00000000" w:rsidRDefault="00CF7517">
      <w:r>
        <w:tab/>
        <w:t xml:space="preserve">109.  </w:t>
      </w:r>
      <w:r>
        <w:rPr>
          <w:rFonts w:hint="eastAsia"/>
        </w:rPr>
        <w:t>从实施人口和健康政策的观点出发，特别重视生育问题和防止妇女因生育而受到歧视。</w:t>
      </w:r>
    </w:p>
    <w:p w:rsidR="00000000" w:rsidRDefault="00CF7517">
      <w:r>
        <w:tab/>
        <w:t xml:space="preserve">110.  </w:t>
      </w:r>
      <w:r>
        <w:rPr>
          <w:rFonts w:hint="eastAsia"/>
        </w:rPr>
        <w:t>南斯拉夫联盟共和国是以下国际劳工组织公约的签署国：关于保护生育的第</w:t>
      </w:r>
      <w:r>
        <w:t>103</w:t>
      </w:r>
      <w:r>
        <w:rPr>
          <w:rFonts w:hint="eastAsia"/>
        </w:rPr>
        <w:t>号公约；关于有家庭责任的工人的第</w:t>
      </w:r>
      <w:r>
        <w:t>156</w:t>
      </w:r>
      <w:r>
        <w:rPr>
          <w:rFonts w:hint="eastAsia"/>
        </w:rPr>
        <w:t>号公约；关</w:t>
      </w:r>
      <w:r>
        <w:rPr>
          <w:rFonts w:hint="eastAsia"/>
        </w:rPr>
        <w:t>于终止雇佣的第</w:t>
      </w:r>
      <w:r>
        <w:t>158</w:t>
      </w:r>
      <w:r>
        <w:rPr>
          <w:rFonts w:hint="eastAsia"/>
        </w:rPr>
        <w:t>号公约；关于妇女井下作业的第</w:t>
      </w:r>
      <w:r>
        <w:t>45</w:t>
      </w:r>
      <w:r>
        <w:rPr>
          <w:rFonts w:hint="eastAsia"/>
        </w:rPr>
        <w:t>号公约；关于</w:t>
      </w:r>
      <w:r>
        <w:t>(</w:t>
      </w:r>
      <w:r>
        <w:rPr>
          <w:rFonts w:hint="eastAsia"/>
        </w:rPr>
        <w:t>妇女</w:t>
      </w:r>
      <w:r>
        <w:t>)</w:t>
      </w:r>
      <w:r>
        <w:rPr>
          <w:rFonts w:hint="eastAsia"/>
        </w:rPr>
        <w:t>夜间工作的第</w:t>
      </w:r>
      <w:r>
        <w:t>89</w:t>
      </w:r>
      <w:r>
        <w:rPr>
          <w:rFonts w:hint="eastAsia"/>
        </w:rPr>
        <w:t>号公约。</w:t>
      </w:r>
    </w:p>
    <w:p w:rsidR="00000000" w:rsidRDefault="00CF7517">
      <w:r>
        <w:tab/>
        <w:t xml:space="preserve">111.  </w:t>
      </w:r>
      <w:r>
        <w:rPr>
          <w:rFonts w:hint="eastAsia"/>
        </w:rPr>
        <w:t>南斯拉夫联盟共和国宪法向所有公民提供同等的保护，保护他们不受任何形式的歧视，包括基于家庭义务的歧视。塞尔维亚共和国宪法第</w:t>
      </w:r>
      <w:r>
        <w:t>28</w:t>
      </w:r>
      <w:r>
        <w:rPr>
          <w:rFonts w:hint="eastAsia"/>
        </w:rPr>
        <w:t>条和第</w:t>
      </w:r>
      <w:r>
        <w:t>29</w:t>
      </w:r>
      <w:r>
        <w:rPr>
          <w:rFonts w:hint="eastAsia"/>
        </w:rPr>
        <w:t>条还规定对母亲、儿童和家庭给予特别的保护。</w:t>
      </w:r>
    </w:p>
    <w:p w:rsidR="00000000" w:rsidRDefault="00CF7517">
      <w:r>
        <w:tab/>
        <w:t xml:space="preserve">112.  </w:t>
      </w:r>
      <w:r>
        <w:rPr>
          <w:rFonts w:hint="eastAsia"/>
        </w:rPr>
        <w:t>成员共和国就业法以及儿童和社会抚养法，对照顾孕妇和年轻母亲的问题作了详细规定。</w:t>
      </w:r>
    </w:p>
    <w:p w:rsidR="00000000" w:rsidRDefault="00CF7517">
      <w:r>
        <w:tab/>
        <w:t xml:space="preserve">113.  </w:t>
      </w:r>
      <w:r>
        <w:rPr>
          <w:rFonts w:hint="eastAsia"/>
        </w:rPr>
        <w:t>只能援引法律规定的理由终止工人的雇用。由于法律没有将怀孕、产假或婚姻状况列为终止雇用的理由，基于这些理由的解雇是非</w:t>
      </w:r>
      <w:r>
        <w:rPr>
          <w:rFonts w:hint="eastAsia"/>
        </w:rPr>
        <w:t>法的。在非法终止雇用的情况下，工人有权向其企业和通过法律程序要求复职或得到损失赔偿。</w:t>
      </w:r>
    </w:p>
    <w:p w:rsidR="00000000" w:rsidRDefault="00CF7517">
      <w:r>
        <w:tab/>
        <w:t xml:space="preserve">114.  </w:t>
      </w:r>
      <w:r>
        <w:rPr>
          <w:rFonts w:hint="eastAsia"/>
        </w:rPr>
        <w:t>根据联邦基本就业法，妇女有权享受带薪产假，不得少于</w:t>
      </w:r>
      <w:r>
        <w:t>270</w:t>
      </w:r>
      <w:r>
        <w:rPr>
          <w:rFonts w:hint="eastAsia"/>
        </w:rPr>
        <w:t>天。在实施制裁之前，有些单位准予年轻母亲最多为</w:t>
      </w:r>
      <w:r>
        <w:t>2</w:t>
      </w:r>
      <w:r>
        <w:rPr>
          <w:rFonts w:hint="eastAsia"/>
        </w:rPr>
        <w:t>年的产假，因为它们的财政情况允许它们这样做，这样做对母亲及其子女十分有好处。在制裁期间，妇女因担心遭解雇或经济原因而不能充分利用她们的法定产假。出于健康的考虑，产假从生产前</w:t>
      </w:r>
      <w:r>
        <w:t>28</w:t>
      </w:r>
      <w:r>
        <w:rPr>
          <w:rFonts w:hint="eastAsia"/>
        </w:rPr>
        <w:t>天开始。</w:t>
      </w:r>
    </w:p>
    <w:p w:rsidR="00000000" w:rsidRDefault="00CF7517">
      <w:r>
        <w:tab/>
        <w:t xml:space="preserve">115.  </w:t>
      </w:r>
      <w:r>
        <w:rPr>
          <w:rFonts w:hint="eastAsia"/>
        </w:rPr>
        <w:t>产假结束后，如果主管医生认为，婴儿因健康原因需要照顾，女工有权做半工，直到婴儿</w:t>
      </w:r>
      <w:r>
        <w:t>3</w:t>
      </w:r>
      <w:r>
        <w:rPr>
          <w:rFonts w:hint="eastAsia"/>
        </w:rPr>
        <w:t>岁。有严重缺陷儿童的父母之一</w:t>
      </w:r>
      <w:r>
        <w:rPr>
          <w:rFonts w:hint="eastAsia"/>
        </w:rPr>
        <w:t>可以做半工。在这些情况下，缩短的工作时间被认为是全时。在母亲死亡、遗弃儿童、或出于合法的理由无法利用产假，儿童的父亲可以使用产假。</w:t>
      </w:r>
    </w:p>
    <w:p w:rsidR="00000000" w:rsidRDefault="00CF7517">
      <w:r>
        <w:tab/>
        <w:t xml:space="preserve">116.  </w:t>
      </w:r>
      <w:r>
        <w:rPr>
          <w:rFonts w:hint="eastAsia"/>
        </w:rPr>
        <w:t>如果妇女生下死胎或新生儿在产假未满前死亡，她有权将产假延长一段医生认为她恢复健康所需的时间，至少</w:t>
      </w:r>
      <w:r>
        <w:t>45</w:t>
      </w:r>
      <w:r>
        <w:rPr>
          <w:rFonts w:hint="eastAsia"/>
        </w:rPr>
        <w:t>天，这一期间她有权享受所有产假待遇。</w:t>
      </w:r>
    </w:p>
    <w:p w:rsidR="00000000" w:rsidRDefault="00CF7517">
      <w:r>
        <w:tab/>
        <w:t xml:space="preserve">117.  </w:t>
      </w:r>
      <w:r>
        <w:rPr>
          <w:rFonts w:hint="eastAsia"/>
        </w:rPr>
        <w:t>产假期间的补贴相当于她在产假期间正常工作可能得到的报酬。在产假过程中，女工有权享受她全时工作时可得到的同等数额的医疗、养恤金和残疾保险金和其他社会权利。</w:t>
      </w:r>
    </w:p>
    <w:p w:rsidR="00000000" w:rsidRDefault="00CF7517">
      <w:r>
        <w:tab/>
        <w:t xml:space="preserve">118.  </w:t>
      </w:r>
      <w:r>
        <w:rPr>
          <w:rFonts w:hint="eastAsia"/>
        </w:rPr>
        <w:t>没有任何妇女群体被排除在家庭保护制度之外。</w:t>
      </w:r>
    </w:p>
    <w:p w:rsidR="00000000" w:rsidRDefault="00CF7517">
      <w:r>
        <w:tab/>
      </w:r>
      <w:r>
        <w:t xml:space="preserve">119.  </w:t>
      </w:r>
      <w:r>
        <w:rPr>
          <w:rFonts w:hint="eastAsia"/>
        </w:rPr>
        <w:t>南斯拉夫联盟共和国宪法和成员共和国宪法禁止对人的任何形式的剥削。儿童和青年受到保障南斯拉夫公民个人尊严和社会安全的法律规定的保护。刑事司法制度特别保护儿童和青年不受忽视和虐待。</w:t>
      </w:r>
    </w:p>
    <w:p w:rsidR="00000000" w:rsidRDefault="00CF7517">
      <w:r>
        <w:tab/>
        <w:t xml:space="preserve">120.  </w:t>
      </w:r>
      <w:r>
        <w:rPr>
          <w:rFonts w:hint="eastAsia"/>
        </w:rPr>
        <w:t>根据现行国内条例，</w:t>
      </w:r>
      <w:r>
        <w:t>15</w:t>
      </w:r>
      <w:r>
        <w:rPr>
          <w:rFonts w:hint="eastAsia"/>
        </w:rPr>
        <w:t>岁以下的人不得从事主要是重体力的劳动、地下和水下作业，也就是可能有害其生命和健康的工作。</w:t>
      </w:r>
      <w:r>
        <w:t>15</w:t>
      </w:r>
      <w:r>
        <w:rPr>
          <w:rFonts w:hint="eastAsia"/>
        </w:rPr>
        <w:t>岁以下儿童可以就业，但这种情况十分罕见，因中等学校提供</w:t>
      </w:r>
      <w:r>
        <w:t>18</w:t>
      </w:r>
      <w:r>
        <w:rPr>
          <w:rFonts w:hint="eastAsia"/>
        </w:rPr>
        <w:t>岁以后就业的能力资格。不过，有些年青儿童在</w:t>
      </w:r>
      <w:r>
        <w:t>18</w:t>
      </w:r>
      <w:r>
        <w:rPr>
          <w:rFonts w:hint="eastAsia"/>
        </w:rPr>
        <w:t>岁之前工作，通常是农村家庭，从事适合自己年龄的工作。</w:t>
      </w:r>
    </w:p>
    <w:p w:rsidR="00000000" w:rsidRDefault="00CF7517">
      <w:r>
        <w:tab/>
        <w:t xml:space="preserve">121.  </w:t>
      </w:r>
      <w:r>
        <w:rPr>
          <w:rFonts w:hint="eastAsia"/>
        </w:rPr>
        <w:t>在南斯拉夫联盟共和国，</w:t>
      </w:r>
      <w:r>
        <w:rPr>
          <w:rFonts w:hint="eastAsia"/>
        </w:rPr>
        <w:t>儿童在工作场所向来不受虐待</w:t>
      </w:r>
      <w:r>
        <w:t>(</w:t>
      </w:r>
      <w:r>
        <w:rPr>
          <w:rFonts w:hint="eastAsia"/>
        </w:rPr>
        <w:t>就文化、社会和民族性而言，此种虐待在我们的社会中不存在</w:t>
      </w:r>
      <w:r>
        <w:t>)</w:t>
      </w:r>
      <w:r>
        <w:rPr>
          <w:rFonts w:hint="eastAsia"/>
        </w:rPr>
        <w:t>。个别群体和民族社区</w:t>
      </w:r>
      <w:r>
        <w:t>(</w:t>
      </w:r>
      <w:r>
        <w:rPr>
          <w:rFonts w:hint="eastAsia"/>
        </w:rPr>
        <w:t>如吉普赛人</w:t>
      </w:r>
      <w:r>
        <w:t>)</w:t>
      </w:r>
      <w:r>
        <w:rPr>
          <w:rFonts w:hint="eastAsia"/>
        </w:rPr>
        <w:t>或贫困阶层在一定程度上利用童工。</w:t>
      </w:r>
    </w:p>
    <w:p w:rsidR="00000000" w:rsidRDefault="00CF7517">
      <w:r>
        <w:tab/>
        <w:t xml:space="preserve">122.  </w:t>
      </w:r>
      <w:r>
        <w:rPr>
          <w:rFonts w:hint="eastAsia"/>
        </w:rPr>
        <w:t>如果儿童工作，他们的工资与成人工资相同，也取决于从事某项工作的技能和经验。</w:t>
      </w:r>
      <w:r>
        <w:t>18</w:t>
      </w:r>
      <w:r>
        <w:rPr>
          <w:rFonts w:hint="eastAsia"/>
        </w:rPr>
        <w:t>岁以下的人不得在</w:t>
      </w:r>
      <w:r>
        <w:t>22</w:t>
      </w:r>
      <w:r>
        <w:rPr>
          <w:rFonts w:hint="eastAsia"/>
        </w:rPr>
        <w:t>时至早</w:t>
      </w:r>
      <w:r>
        <w:t>6</w:t>
      </w:r>
      <w:r>
        <w:rPr>
          <w:rFonts w:hint="eastAsia"/>
        </w:rPr>
        <w:t>时之内工作，也不得做超过全时的工作的时数。法律规定了在工作场所对</w:t>
      </w:r>
      <w:r>
        <w:t>18</w:t>
      </w:r>
      <w:r>
        <w:rPr>
          <w:rFonts w:hint="eastAsia"/>
        </w:rPr>
        <w:t>岁以下雇员和就业妇女的特别保护。</w:t>
      </w:r>
    </w:p>
    <w:p w:rsidR="00000000" w:rsidRDefault="00CF7517">
      <w:r>
        <w:tab/>
        <w:t xml:space="preserve">123.  </w:t>
      </w:r>
      <w:r>
        <w:rPr>
          <w:rFonts w:hint="eastAsia"/>
        </w:rPr>
        <w:t>南斯拉夫联盟共和国宪法和成员共和国宪法、有关法律规定、以及其他保护和协助儿童的措施和确保儿童身心健康发展的措施，适用于所有儿</w:t>
      </w:r>
      <w:r>
        <w:rPr>
          <w:rFonts w:hint="eastAsia"/>
        </w:rPr>
        <w:t>童，不因出生、家庭背景、社会出身和其他因素而有任何歧视。在社会抚养儿童制度中，得不到父母照顾的儿童、身心发育不健全的儿童和家庭关系不和谐家庭的儿童，享受特别的保护。几乎所有城市都有“社会工作中心”，向这类儿童提供他们需要的各种形式的照顾，因为他们的父母出于各种原因不履行他们作父母的权利和义务，或不按儿童的利益来履行这些权利和义务。不同的原因需要不同的措施和照顾形式。</w:t>
      </w:r>
    </w:p>
    <w:p w:rsidR="00000000" w:rsidRDefault="00CF7517">
      <w:r>
        <w:tab/>
        <w:t xml:space="preserve">124.  </w:t>
      </w:r>
      <w:r>
        <w:rPr>
          <w:rFonts w:hint="eastAsia"/>
        </w:rPr>
        <w:t>发育上稍有缺陷的儿童和青年享有受教育和适当就业权利，有严重缺陷的儿童有权得到特别的康复和培训。也就是说，人人享有医疗、教育、职业</w:t>
      </w:r>
      <w:r>
        <w:rPr>
          <w:rFonts w:hint="eastAsia"/>
        </w:rPr>
        <w:t>和社会康复机会。总体而言，医疗质量有所提高</w:t>
      </w:r>
      <w:r>
        <w:t>(</w:t>
      </w:r>
      <w:r>
        <w:rPr>
          <w:rFonts w:hint="eastAsia"/>
        </w:rPr>
        <w:t>早期诊断、适当的医疗和康复、现代的治病手段</w:t>
      </w:r>
      <w:r>
        <w:t>)</w:t>
      </w:r>
      <w:r>
        <w:rPr>
          <w:rFonts w:hint="eastAsia"/>
        </w:rPr>
        <w:t>，在这方面进行了大量的投资。然而，这类青年的融合，特别是充分就业，还存在许多问题。</w:t>
      </w:r>
    </w:p>
    <w:p w:rsidR="00000000" w:rsidRDefault="00CF7517">
      <w:pPr>
        <w:spacing w:after="240"/>
        <w:textAlignment w:val="center"/>
      </w:pPr>
      <w:r>
        <w:tab/>
        <w:t xml:space="preserve">125.  </w:t>
      </w:r>
      <w:r>
        <w:rPr>
          <w:rFonts w:hint="eastAsia"/>
        </w:rPr>
        <w:t>为保护家庭关系破裂家庭的儿童采取了各种措施，目的是向这些青少年提供协助和照顾，对他们进行监督，对他们进行职业培训和发展他们的责任感，以便确保他们的正常成长和适当发展。对这类儿童的最有效保护形式是将他们安置在收容被忽视儿童和青年的机构中。</w:t>
      </w:r>
    </w:p>
    <w:p w:rsidR="00000000" w:rsidRDefault="00CF7517">
      <w:pPr>
        <w:pStyle w:val="Heading3"/>
        <w:rPr>
          <w:u w:val="none"/>
        </w:rPr>
      </w:pPr>
      <w:r>
        <w:rPr>
          <w:rFonts w:hint="eastAsia"/>
        </w:rPr>
        <w:t>第</w:t>
      </w:r>
      <w:r>
        <w:t xml:space="preserve"> 11 </w:t>
      </w:r>
      <w:r>
        <w:rPr>
          <w:rFonts w:hint="eastAsia"/>
        </w:rPr>
        <w:t>条</w:t>
      </w:r>
      <w:r>
        <w:rPr>
          <w:u w:val="none"/>
        </w:rPr>
        <w:t xml:space="preserve"> </w:t>
      </w:r>
      <w:r>
        <w:rPr>
          <w:rStyle w:val="FootnoteReference"/>
          <w:u w:val="none"/>
        </w:rPr>
        <w:footnoteReference w:customMarkFollows="1" w:id="4"/>
        <w:t>*</w:t>
      </w:r>
      <w:r>
        <w:rPr>
          <w:u w:val="none"/>
        </w:rPr>
        <w:t xml:space="preserve"> </w:t>
      </w:r>
    </w:p>
    <w:p w:rsidR="00000000" w:rsidRDefault="00CF7517">
      <w:r>
        <w:tab/>
        <w:t xml:space="preserve">126.  </w:t>
      </w:r>
      <w:r>
        <w:rPr>
          <w:rFonts w:hint="eastAsia"/>
        </w:rPr>
        <w:t>根据《联邦统计局家庭消费调查》的数据对南斯拉夫联盟共和</w:t>
      </w:r>
      <w:r>
        <w:rPr>
          <w:rFonts w:hint="eastAsia"/>
        </w:rPr>
        <w:t>国的不平等和贫困情况所作的分析，表明</w:t>
      </w:r>
      <w:r>
        <w:t>1995</w:t>
      </w:r>
      <w:r>
        <w:rPr>
          <w:rFonts w:hint="eastAsia"/>
        </w:rPr>
        <w:t>年，</w:t>
      </w:r>
      <w:r>
        <w:t>28.9%</w:t>
      </w:r>
      <w:r>
        <w:rPr>
          <w:rFonts w:hint="eastAsia"/>
        </w:rPr>
        <w:t>的居民，即近</w:t>
      </w:r>
      <w:r>
        <w:t>300</w:t>
      </w:r>
      <w:r>
        <w:rPr>
          <w:rFonts w:hint="eastAsia"/>
        </w:rPr>
        <w:t>万人生活贫困，即在最低标准的正常营养方面未能满足自己的需求。根据社会经济人口类别对贫困作的分析表明，几乎没有一类人口在审查所涉期间不受到贫困的影响的。受影响最严重的是受雇于工业和采矿业的工人家庭：</w:t>
      </w:r>
      <w:r>
        <w:t>1995</w:t>
      </w:r>
      <w:r>
        <w:rPr>
          <w:rFonts w:hint="eastAsia"/>
        </w:rPr>
        <w:t>年，这类人口中有</w:t>
      </w:r>
      <w:r>
        <w:t>38%</w:t>
      </w:r>
      <w:r>
        <w:rPr>
          <w:rFonts w:hint="eastAsia"/>
        </w:rPr>
        <w:t>生活贫困。</w:t>
      </w:r>
    </w:p>
    <w:p w:rsidR="00000000" w:rsidRDefault="00CF7517">
      <w:r>
        <w:tab/>
        <w:t xml:space="preserve">127.  </w:t>
      </w:r>
      <w:r>
        <w:rPr>
          <w:rFonts w:hint="eastAsia"/>
        </w:rPr>
        <w:t>贫困也巨大地冲击着有子女的家庭，特别是城市的有子女家庭，</w:t>
      </w:r>
      <w:r>
        <w:t>1995</w:t>
      </w:r>
      <w:r>
        <w:rPr>
          <w:rFonts w:hint="eastAsia"/>
        </w:rPr>
        <w:t>年这类家庭中有</w:t>
      </w:r>
      <w:r>
        <w:t>37.81%</w:t>
      </w:r>
      <w:r>
        <w:rPr>
          <w:rFonts w:hint="eastAsia"/>
        </w:rPr>
        <w:t>生活贫困。这一时期，对下列家庭来说日子尤为难过：没有土地收入的矿工和产业工人</w:t>
      </w:r>
      <w:r>
        <w:t>(</w:t>
      </w:r>
      <w:r>
        <w:rPr>
          <w:rFonts w:hint="eastAsia"/>
        </w:rPr>
        <w:t>贫困率为</w:t>
      </w:r>
      <w:r>
        <w:t>44.3</w:t>
      </w:r>
      <w:r>
        <w:t>3%)</w:t>
      </w:r>
      <w:r>
        <w:rPr>
          <w:rFonts w:hint="eastAsia"/>
        </w:rPr>
        <w:t>、多子女的城市贫困家庭、有心理或身体缺陷成员的家庭、没有亲属而自己又无法谋生的成年人或老年人、只有最起码的养恤金的领取养恤金者、为前南斯拉夫战争地区来的难民家庭提供住宿的城市家庭等等。</w:t>
      </w:r>
    </w:p>
    <w:p w:rsidR="00000000" w:rsidRDefault="00CF7517">
      <w:r>
        <w:tab/>
        <w:t xml:space="preserve">128.  </w:t>
      </w:r>
      <w:r>
        <w:rPr>
          <w:rFonts w:hint="eastAsia"/>
        </w:rPr>
        <w:t>南斯拉夫家庭收入和支出分类细目的变化表明，正常就业的稳定收入比例减少，粮食和住宿费用增加，这意味着大多数家庭可花在文化、教育和其他非物质需要上的余钱不多。</w:t>
      </w:r>
    </w:p>
    <w:p w:rsidR="00000000" w:rsidRDefault="00CF7517">
      <w:pPr>
        <w:spacing w:after="320"/>
        <w:textAlignment w:val="center"/>
      </w:pPr>
      <w:r>
        <w:tab/>
        <w:t xml:space="preserve">129.  </w:t>
      </w:r>
      <w:r>
        <w:rPr>
          <w:rFonts w:hint="eastAsia"/>
        </w:rPr>
        <w:t>支出结构中最主要的是粮食支出，所占的平均比例在上升，</w:t>
      </w:r>
      <w:r>
        <w:t>1995</w:t>
      </w:r>
      <w:r>
        <w:rPr>
          <w:rFonts w:hint="eastAsia"/>
        </w:rPr>
        <w:t>年为</w:t>
      </w:r>
      <w:r>
        <w:t>48.4%</w:t>
      </w:r>
      <w:r>
        <w:rPr>
          <w:rFonts w:hint="eastAsia"/>
        </w:rPr>
        <w:t>。在贫困人口中，这个比重由</w:t>
      </w:r>
      <w:r>
        <w:t>43%</w:t>
      </w:r>
      <w:r>
        <w:rPr>
          <w:rFonts w:hint="eastAsia"/>
        </w:rPr>
        <w:t>增加到了</w:t>
      </w:r>
      <w:r>
        <w:t>59.2%</w:t>
      </w:r>
      <w:r>
        <w:rPr>
          <w:rFonts w:hint="eastAsia"/>
        </w:rPr>
        <w:t>。贫困家庭还</w:t>
      </w:r>
      <w:r>
        <w:rPr>
          <w:rFonts w:hint="eastAsia"/>
        </w:rPr>
        <w:t>将另外</w:t>
      </w:r>
      <w:r>
        <w:t>15%</w:t>
      </w:r>
      <w:r>
        <w:rPr>
          <w:rFonts w:hint="eastAsia"/>
        </w:rPr>
        <w:t>的收入花在住宿上，这意味着他们将高达</w:t>
      </w:r>
      <w:r>
        <w:t>3/4</w:t>
      </w:r>
      <w:r>
        <w:rPr>
          <w:rFonts w:hint="eastAsia"/>
        </w:rPr>
        <w:t>的收入花费在不良和不充分的食物以及往往是不足的住房方面。</w:t>
      </w:r>
    </w:p>
    <w:p w:rsidR="00000000" w:rsidRDefault="00CF7517">
      <w:pPr>
        <w:pStyle w:val="Heading3"/>
      </w:pPr>
      <w:r>
        <w:rPr>
          <w:rFonts w:hint="eastAsia"/>
        </w:rPr>
        <w:t>第</w:t>
      </w:r>
      <w:r>
        <w:t xml:space="preserve"> 12 </w:t>
      </w:r>
      <w:r>
        <w:rPr>
          <w:rFonts w:hint="eastAsia"/>
        </w:rPr>
        <w:t>条</w:t>
      </w:r>
    </w:p>
    <w:p w:rsidR="00000000" w:rsidRDefault="00CF7517">
      <w:r>
        <w:tab/>
        <w:t>130.  1995</w:t>
      </w:r>
      <w:r>
        <w:rPr>
          <w:rFonts w:hint="eastAsia"/>
        </w:rPr>
        <w:t>年，</w:t>
      </w:r>
      <w:r>
        <w:t>45%</w:t>
      </w:r>
      <w:r>
        <w:rPr>
          <w:rFonts w:hint="eastAsia"/>
        </w:rPr>
        <w:t>的疾病和外伤均由开业医生医治</w:t>
      </w:r>
      <w:r>
        <w:t>(</w:t>
      </w:r>
      <w:r>
        <w:rPr>
          <w:rFonts w:hint="eastAsia"/>
        </w:rPr>
        <w:t>这个数字比</w:t>
      </w:r>
      <w:r>
        <w:t>1994</w:t>
      </w:r>
      <w:r>
        <w:rPr>
          <w:rFonts w:hint="eastAsia"/>
        </w:rPr>
        <w:t>年高出</w:t>
      </w:r>
      <w:r>
        <w:t>15.6%)</w:t>
      </w:r>
      <w:r>
        <w:rPr>
          <w:rFonts w:hint="eastAsia"/>
        </w:rPr>
        <w:t>，它们最常见的有急性呼吸道疾病、高血压、骨骼和肌肉疾病、神经系统混乱、人格混乱和其他心理疾病。在社会医学领域特别严重的是：糖尿病、心肌缺血、精神病、恶性疾病和酗酒综合症。</w:t>
      </w:r>
    </w:p>
    <w:p w:rsidR="00000000" w:rsidRDefault="00CF7517">
      <w:r>
        <w:tab/>
        <w:t xml:space="preserve">131.  </w:t>
      </w:r>
      <w:r>
        <w:rPr>
          <w:rFonts w:hint="eastAsia"/>
        </w:rPr>
        <w:t>儿童、青少年和妇女是最脆弱的群体，他们在健康方面的问题主要是：发病率和死亡率起了变化。学龄前儿童的主要</w:t>
      </w:r>
      <w:r>
        <w:rPr>
          <w:rFonts w:hint="eastAsia"/>
        </w:rPr>
        <w:t>疾病是急性呼吸道感染、皮肤和皮下组织感染、缺铁引起的贫血、消化系统传染病</w:t>
      </w:r>
      <w:r>
        <w:t>(</w:t>
      </w:r>
      <w:r>
        <w:rPr>
          <w:rFonts w:hint="eastAsia"/>
        </w:rPr>
        <w:t>腹泻</w:t>
      </w:r>
      <w:r>
        <w:t>)</w:t>
      </w:r>
      <w:r>
        <w:rPr>
          <w:rFonts w:hint="eastAsia"/>
        </w:rPr>
        <w:t>；学龄期儿童除了上述疾病外还主要有：受伤、精神混乱和人格混乱。</w:t>
      </w:r>
    </w:p>
    <w:p w:rsidR="00000000" w:rsidRDefault="00CF7517">
      <w:r>
        <w:tab/>
        <w:t xml:space="preserve">132.  </w:t>
      </w:r>
      <w:r>
        <w:rPr>
          <w:rFonts w:hint="eastAsia"/>
        </w:rPr>
        <w:t>急性呼吸道感染是报告所涉期间的一个重要健康问题，在儿童初级保健的病历总数中占</w:t>
      </w:r>
      <w:r>
        <w:t>2/3</w:t>
      </w:r>
      <w:r>
        <w:rPr>
          <w:rFonts w:hint="eastAsia"/>
        </w:rPr>
        <w:t>至</w:t>
      </w:r>
      <w:r>
        <w:t>3/4</w:t>
      </w:r>
      <w:r>
        <w:rPr>
          <w:rFonts w:hint="eastAsia"/>
        </w:rPr>
        <w:t>。由于药品缺乏，这些疾病得不到充分的治疗或者根本得不到治疗；由于儿童免疫力下降，这些疾病就变成慢性病，常常出现并发症，肺炎是最严重的一种。儿童的恶性疾病和糖尿病在增加。儿童营养不足和贫血的人数也在增加。</w:t>
      </w:r>
    </w:p>
    <w:p w:rsidR="00000000" w:rsidRDefault="00CF7517">
      <w:r>
        <w:tab/>
        <w:t xml:space="preserve">133.  </w:t>
      </w:r>
      <w:r>
        <w:rPr>
          <w:rFonts w:hint="eastAsia"/>
        </w:rPr>
        <w:t>对青少年和学生每年一度的体检表明下列疾病的百分</w:t>
      </w:r>
      <w:r>
        <w:rPr>
          <w:rFonts w:hint="eastAsia"/>
        </w:rPr>
        <w:t>比大幅度上升：贫血、营养不足的学生脊椎变形、皮肤病和精神病、酗酒、抽烟和滥用麻醉品，特别是死亡率大幅度上升</w:t>
      </w:r>
      <w:r>
        <w:t>(</w:t>
      </w:r>
      <w:r>
        <w:rPr>
          <w:rFonts w:hint="eastAsia"/>
        </w:rPr>
        <w:t>因事故、他杀或自杀</w:t>
      </w:r>
      <w:r>
        <w:t>)</w:t>
      </w:r>
      <w:r>
        <w:rPr>
          <w:rFonts w:hint="eastAsia"/>
        </w:rPr>
        <w:t>。</w:t>
      </w:r>
    </w:p>
    <w:p w:rsidR="00000000" w:rsidRDefault="00CF7517">
      <w:r>
        <w:tab/>
        <w:t xml:space="preserve">134.  </w:t>
      </w:r>
      <w:r>
        <w:rPr>
          <w:rFonts w:hint="eastAsia"/>
        </w:rPr>
        <w:t>妇女保健服务部门登记的最常见的疾病类别是：生殖和泌尿系统疾病、怀孕、分娩和产后期间并发症、传染病和寄生虫病、肿瘤、内分泌疾病、饮食以及代谢和免疫混乱造成的疾病。这些疾病与妇女的不经常检查和治疗直接有关</w:t>
      </w:r>
      <w:r>
        <w:t>(</w:t>
      </w:r>
      <w:r>
        <w:rPr>
          <w:rFonts w:hint="eastAsia"/>
        </w:rPr>
        <w:t>在整个制裁期间，社区卫生中心防治方面的医疗检查范围缩小，药品短缺，入院治疗的人数减少，最后是化验室、</w:t>
      </w:r>
      <w:r>
        <w:t>X</w:t>
      </w:r>
      <w:r>
        <w:rPr>
          <w:rFonts w:hint="eastAsia"/>
        </w:rPr>
        <w:t>光和其他诊断的减少</w:t>
      </w:r>
      <w:r>
        <w:t>)</w:t>
      </w:r>
      <w:r>
        <w:rPr>
          <w:rFonts w:hint="eastAsia"/>
        </w:rPr>
        <w:t>。</w:t>
      </w:r>
    </w:p>
    <w:p w:rsidR="00000000" w:rsidRDefault="00CF7517">
      <w:r>
        <w:tab/>
        <w:t xml:space="preserve">135.  </w:t>
      </w:r>
      <w:r>
        <w:rPr>
          <w:rFonts w:hint="eastAsia"/>
        </w:rPr>
        <w:t>上升特别快的是，因怀孕、</w:t>
      </w:r>
      <w:r>
        <w:rPr>
          <w:rFonts w:hint="eastAsia"/>
        </w:rPr>
        <w:t>分娩和产后期间并发症引起的疾病，这种情况表现在新生儿体重轻的比例高</w:t>
      </w:r>
      <w:r>
        <w:t>(1995</w:t>
      </w:r>
      <w:r>
        <w:rPr>
          <w:rFonts w:hint="eastAsia"/>
        </w:rPr>
        <w:t>年为</w:t>
      </w:r>
      <w:r>
        <w:t>9.7%)</w:t>
      </w:r>
      <w:r>
        <w:rPr>
          <w:rFonts w:hint="eastAsia"/>
        </w:rPr>
        <w:t>，孕妇和新母亲的健康状况恶化。国内各大妇科中心均报告有流产危险的孕妇、早产、胎儿生长缓慢、剖腹产发生率等等的数量在增加。在乳房或其他生殖器官恶性疾病方面，早期诊断的数量大幅度下降，同时患肿瘤妇女的死亡率上升。对社会和医学产生较大影响的妇女健康问题是：人工流产</w:t>
      </w:r>
      <w:r>
        <w:t>(</w:t>
      </w:r>
      <w:r>
        <w:rPr>
          <w:rFonts w:hint="eastAsia"/>
        </w:rPr>
        <w:t>比分娩数量多</w:t>
      </w:r>
      <w:r>
        <w:t>30%</w:t>
      </w:r>
      <w:r>
        <w:rPr>
          <w:rFonts w:hint="eastAsia"/>
        </w:rPr>
        <w:t>，部分原因是基本避孕药具短缺</w:t>
      </w:r>
      <w:r>
        <w:t>)</w:t>
      </w:r>
      <w:r>
        <w:rPr>
          <w:rFonts w:hint="eastAsia"/>
        </w:rPr>
        <w:t>、不育症和比较常见的怀孕期间患贫血。</w:t>
      </w:r>
    </w:p>
    <w:p w:rsidR="00000000" w:rsidRDefault="00CF7517">
      <w:r>
        <w:tab/>
        <w:t xml:space="preserve">136.  </w:t>
      </w:r>
      <w:r>
        <w:rPr>
          <w:rFonts w:hint="eastAsia"/>
        </w:rPr>
        <w:t>在</w:t>
      </w:r>
      <w:r>
        <w:t>65</w:t>
      </w:r>
      <w:r>
        <w:rPr>
          <w:rFonts w:hint="eastAsia"/>
        </w:rPr>
        <w:t>岁以上的人口类别中，主要疾病是具有较大的社会医疗意义的慢</w:t>
      </w:r>
      <w:r>
        <w:rPr>
          <w:rFonts w:hint="eastAsia"/>
        </w:rPr>
        <w:t>性和大规模疾病，特别是心脏病、脑病和肺病、恶性肿瘤、糖尿病并发症、受伤和事故。</w:t>
      </w:r>
    </w:p>
    <w:p w:rsidR="00000000" w:rsidRDefault="00CF7517">
      <w:r>
        <w:tab/>
        <w:t xml:space="preserve">137.  </w:t>
      </w:r>
      <w:r>
        <w:rPr>
          <w:rFonts w:hint="eastAsia"/>
        </w:rPr>
        <w:t>南斯拉夫联盟共和国的保健政策，特别是初级保健政策根据的是平等、全面和人人可以享受的原则，是前南斯拉夫经过长时期的发展后制订的。当时被看作是高度社会化保健的一个例子，</w:t>
      </w:r>
      <w:r>
        <w:rPr>
          <w:rStyle w:val="FootnoteReference"/>
        </w:rPr>
        <w:footnoteReference w:customMarkFollows="1" w:id="5"/>
        <w:t>*</w:t>
      </w:r>
      <w:r>
        <w:t xml:space="preserve"> </w:t>
      </w:r>
      <w:r>
        <w:rPr>
          <w:rFonts w:hint="eastAsia"/>
        </w:rPr>
        <w:t>它向大多数人口提供全面的保健，有多方面的有利影响，以下列明的指示数对此作说明。</w:t>
      </w:r>
    </w:p>
    <w:p w:rsidR="00000000" w:rsidRDefault="00CF7517">
      <w:r>
        <w:tab/>
        <w:t xml:space="preserve">138.  </w:t>
      </w:r>
      <w:r>
        <w:rPr>
          <w:rFonts w:hint="eastAsia"/>
        </w:rPr>
        <w:t>塞尔维亚共和国和黑山共和国在保健方面的法律规定了有关提供初级保健的下列措施：</w:t>
      </w:r>
    </w:p>
    <w:p w:rsidR="00000000" w:rsidRDefault="00CF7517" w:rsidP="00CF7517">
      <w:pPr>
        <w:pStyle w:val="a0"/>
        <w:numPr>
          <w:ilvl w:val="0"/>
          <w:numId w:val="5"/>
        </w:numPr>
        <w:ind w:left="1531" w:hanging="510"/>
      </w:pPr>
      <w:r>
        <w:rPr>
          <w:rFonts w:hint="eastAsia"/>
        </w:rPr>
        <w:t>保证所有公民有权获得保健，其中包括在所有保健机构得到预防、诊断、治疗和康复方面</w:t>
      </w:r>
      <w:r>
        <w:rPr>
          <w:rFonts w:hint="eastAsia"/>
        </w:rPr>
        <w:t>的服务，药品和矫形器械的供给；</w:t>
      </w:r>
    </w:p>
    <w:p w:rsidR="00000000" w:rsidRDefault="00CF7517" w:rsidP="00CF7517">
      <w:pPr>
        <w:pStyle w:val="a0"/>
        <w:numPr>
          <w:ilvl w:val="0"/>
          <w:numId w:val="5"/>
        </w:numPr>
        <w:ind w:left="1531" w:hanging="510"/>
      </w:pPr>
      <w:r>
        <w:rPr>
          <w:rFonts w:hint="eastAsia"/>
        </w:rPr>
        <w:t>根据共和国议会通过的关于保健机构网络的决定，在所有城市</w:t>
      </w:r>
      <w:r>
        <w:t>(</w:t>
      </w:r>
      <w:r>
        <w:rPr>
          <w:rFonts w:hint="eastAsia"/>
        </w:rPr>
        <w:t>塞尔维亚</w:t>
      </w:r>
      <w:r>
        <w:t>190</w:t>
      </w:r>
      <w:r>
        <w:rPr>
          <w:rFonts w:hint="eastAsia"/>
        </w:rPr>
        <w:t>个，黑山</w:t>
      </w:r>
      <w:r>
        <w:t>21</w:t>
      </w:r>
      <w:r>
        <w:rPr>
          <w:rFonts w:hint="eastAsia"/>
        </w:rPr>
        <w:t>个</w:t>
      </w:r>
      <w:r>
        <w:t>)</w:t>
      </w:r>
      <w:r>
        <w:rPr>
          <w:rFonts w:hint="eastAsia"/>
        </w:rPr>
        <w:t>设立了社区保健中心，在下列领域提供保健服务：卫生教育、儿童保健、妇女保健、常规医疗、牙齿保健、实验室和</w:t>
      </w:r>
      <w:r>
        <w:t>X</w:t>
      </w:r>
      <w:r>
        <w:rPr>
          <w:rFonts w:hint="eastAsia"/>
        </w:rPr>
        <w:t>光诊断、上门治疗和照顾、急诊、医疗用品、按照居民人数实行卫生和流行病防护、防止肺结核、治疗肿瘤、理疗和康复、职业病医疗。社区保健中心还设立了外地卫生站</w:t>
      </w:r>
      <w:r>
        <w:t>(</w:t>
      </w:r>
      <w:r>
        <w:rPr>
          <w:rFonts w:hint="eastAsia"/>
        </w:rPr>
        <w:t>为</w:t>
      </w:r>
      <w:r>
        <w:t>3,000</w:t>
      </w:r>
      <w:r>
        <w:rPr>
          <w:rFonts w:hint="eastAsia"/>
        </w:rPr>
        <w:t>名居民设立保健单位和为</w:t>
      </w:r>
      <w:r>
        <w:t>1,000</w:t>
      </w:r>
      <w:r>
        <w:rPr>
          <w:rFonts w:hint="eastAsia"/>
        </w:rPr>
        <w:t>名居民设立门诊部</w:t>
      </w:r>
      <w:r>
        <w:t>)</w:t>
      </w:r>
      <w:r>
        <w:rPr>
          <w:rFonts w:hint="eastAsia"/>
        </w:rPr>
        <w:t>；</w:t>
      </w:r>
    </w:p>
    <w:p w:rsidR="00000000" w:rsidRDefault="00CF7517" w:rsidP="00CF7517">
      <w:pPr>
        <w:pStyle w:val="a0"/>
        <w:numPr>
          <w:ilvl w:val="0"/>
          <w:numId w:val="5"/>
        </w:numPr>
        <w:ind w:left="1531" w:hanging="510"/>
      </w:pPr>
      <w:r>
        <w:rPr>
          <w:rFonts w:hint="eastAsia"/>
        </w:rPr>
        <w:t>在共和国一级通过强制性医疗保险筹集的资金用于保证提供保健方面物质条件的标</w:t>
      </w:r>
      <w:r>
        <w:rPr>
          <w:rFonts w:hint="eastAsia"/>
        </w:rPr>
        <w:t>准化，这与保健机构网络一起使所有公民能够在几近一致的条件下实行和使用保健；</w:t>
      </w:r>
    </w:p>
    <w:p w:rsidR="00000000" w:rsidRDefault="00CF7517" w:rsidP="00CF7517">
      <w:pPr>
        <w:pStyle w:val="a0"/>
        <w:numPr>
          <w:ilvl w:val="0"/>
          <w:numId w:val="5"/>
        </w:numPr>
        <w:ind w:left="1531" w:hanging="510"/>
      </w:pPr>
      <w:r>
        <w:rPr>
          <w:rFonts w:hint="eastAsia"/>
        </w:rPr>
        <w:t>两个共和国的政府通过或即将通过下列方面的具体方案：母婴保健</w:t>
      </w:r>
      <w:r>
        <w:t>(</w:t>
      </w:r>
      <w:r>
        <w:rPr>
          <w:rFonts w:hint="eastAsia"/>
        </w:rPr>
        <w:t>关于妇女、儿童、学童和学生保健的法令，塞尔维亚共和国政府于</w:t>
      </w:r>
      <w:r>
        <w:t>1995</w:t>
      </w:r>
      <w:r>
        <w:rPr>
          <w:rFonts w:hint="eastAsia"/>
        </w:rPr>
        <w:t>年</w:t>
      </w:r>
      <w:r>
        <w:t>11</w:t>
      </w:r>
      <w:r>
        <w:rPr>
          <w:rFonts w:hint="eastAsia"/>
        </w:rPr>
        <w:t>月通过</w:t>
      </w:r>
      <w:r>
        <w:t>)</w:t>
      </w:r>
      <w:r>
        <w:rPr>
          <w:rFonts w:hint="eastAsia"/>
        </w:rPr>
        <w:t>、防止传染病和病症、防止心血管疾病、预防性牙齿保健、医疗用品、防止慢性肾脏疾病等等。</w:t>
      </w:r>
    </w:p>
    <w:p w:rsidR="00000000" w:rsidRDefault="00CF7517">
      <w:r>
        <w:tab/>
        <w:t xml:space="preserve">139.  </w:t>
      </w:r>
      <w:r>
        <w:rPr>
          <w:rFonts w:hint="eastAsia"/>
        </w:rPr>
        <w:t>初级保健是这项卫生政策的重要部分，并与“</w:t>
      </w:r>
      <w:r>
        <w:t>2000</w:t>
      </w:r>
      <w:r>
        <w:rPr>
          <w:rFonts w:hint="eastAsia"/>
        </w:rPr>
        <w:t>年前人人健康”的战略一致。提供初级保健的措施主要针对加强卫生、防病教育活动、在人们生活和工作的社区和市一级推行的卫生和传染病政策。这些措施由社区中心</w:t>
      </w:r>
      <w:r>
        <w:rPr>
          <w:rFonts w:hint="eastAsia"/>
        </w:rPr>
        <w:t>与它们的门诊部和咨询部门、保健站和村门诊所一起执行。重点放在脆弱群体</w:t>
      </w:r>
      <w:r>
        <w:rPr>
          <w:rFonts w:hint="eastAsia"/>
          <w:spacing w:val="-40"/>
        </w:rPr>
        <w:t>——</w:t>
      </w:r>
      <w:r>
        <w:t xml:space="preserve"> </w:t>
      </w:r>
      <w:r>
        <w:rPr>
          <w:rFonts w:hint="eastAsia"/>
        </w:rPr>
        <w:t>儿童、妇女、老年人、残疾人，这大大改善了他们的健康，另外一个重点是加速发展这些服务，特别是在欠发达地区加快发展这些服务。</w:t>
      </w:r>
    </w:p>
    <w:p w:rsidR="00000000" w:rsidRDefault="00CF7517">
      <w:r>
        <w:tab/>
        <w:t xml:space="preserve">140.  </w:t>
      </w:r>
      <w:r>
        <w:rPr>
          <w:rFonts w:hint="eastAsia"/>
        </w:rPr>
        <w:t>保健经费来自医疗保险缴款，缴款是从投保人和雇主发放的工资、从公司盈利、从农民的土地收入以及公民的其他收入中扣除。贫困者由社区预算支付。</w:t>
      </w:r>
      <w:r>
        <w:t>1994</w:t>
      </w:r>
      <w:r>
        <w:rPr>
          <w:rFonts w:hint="eastAsia"/>
        </w:rPr>
        <w:t>年，专门用于保健的总额为社会产值的</w:t>
      </w:r>
      <w:r>
        <w:t>9.75%</w:t>
      </w:r>
      <w:r>
        <w:rPr>
          <w:rFonts w:hint="eastAsia"/>
        </w:rPr>
        <w:t>，即人均收入</w:t>
      </w:r>
      <w:r>
        <w:t>1,000</w:t>
      </w:r>
      <w:r>
        <w:rPr>
          <w:rFonts w:hint="eastAsia"/>
        </w:rPr>
        <w:t>美元时的人均</w:t>
      </w:r>
      <w:r>
        <w:t>104</w:t>
      </w:r>
      <w:r>
        <w:rPr>
          <w:rFonts w:hint="eastAsia"/>
        </w:rPr>
        <w:t>美元。</w:t>
      </w:r>
    </w:p>
    <w:p w:rsidR="00000000" w:rsidRDefault="00CF7517">
      <w:r>
        <w:tab/>
        <w:t xml:space="preserve">141.  </w:t>
      </w:r>
      <w:r>
        <w:rPr>
          <w:rFonts w:hint="eastAsia"/>
        </w:rPr>
        <w:t>医疗保险和保健的提供，受到国内经济困难的影响，因联合国</w:t>
      </w:r>
      <w:r>
        <w:rPr>
          <w:rFonts w:hint="eastAsia"/>
        </w:rPr>
        <w:t>安全理事会的制裁而更加严重，致使整个社会情况恶化，生活水准下降，人口的健康状况恶化。国内人口对保健服务的需求日益增加，而又需要对大量特别脆弱的难民以及没有参加保健基金的其他保健服务使用者提供治疗，这就使得这种需求大上加大。</w:t>
      </w:r>
    </w:p>
    <w:p w:rsidR="00000000" w:rsidRDefault="00CF7517">
      <w:r>
        <w:tab/>
        <w:t xml:space="preserve">142.  </w:t>
      </w:r>
      <w:r>
        <w:rPr>
          <w:rFonts w:hint="eastAsia"/>
        </w:rPr>
        <w:t>近几年来，私营部门开始在保健系统内发展。使用私人医生服务的病人自己付钱，因为尽管法律规定能够将这两个部门联系起来，但医疗保险对私人医生的服务不报销，医疗保险系统缺乏合作，影响了病人及私人保健部门的进一步发展。这反映于：卫生服务重叠，病人增加费用。医疗保险只与私人药店挂钩，对</w:t>
      </w:r>
      <w:r>
        <w:rPr>
          <w:rFonts w:hint="eastAsia"/>
        </w:rPr>
        <w:t>按处方开出的药品予以报销。但是，由于医疗保险系统没有及时予以报销，因此私人药店在与该系统签订合同方面犹豫不决。</w:t>
      </w:r>
    </w:p>
    <w:p w:rsidR="00000000" w:rsidRDefault="00CF7517">
      <w:r>
        <w:tab/>
        <w:t xml:space="preserve">143.  </w:t>
      </w:r>
      <w:r>
        <w:rPr>
          <w:rFonts w:hint="eastAsia"/>
        </w:rPr>
        <w:t>南斯拉夫联盟共和国人口的健康状况指示数为</w:t>
      </w:r>
      <w:r>
        <w:t>(</w:t>
      </w:r>
      <w:r>
        <w:rPr>
          <w:rFonts w:hint="eastAsia"/>
        </w:rPr>
        <w:t>根据世界卫生组织的定义</w:t>
      </w:r>
      <w:r>
        <w:t>)</w:t>
      </w:r>
      <w:r>
        <w:rPr>
          <w:rFonts w:hint="eastAsia"/>
        </w:rPr>
        <w:t>：</w:t>
      </w:r>
    </w:p>
    <w:p w:rsidR="00000000" w:rsidRDefault="00CF7517">
      <w:pPr>
        <w:jc w:val="left"/>
      </w:pPr>
      <w:r>
        <w:tab/>
      </w:r>
      <w:r>
        <w:tab/>
        <w:t xml:space="preserve">(a)  </w:t>
      </w:r>
      <w:r>
        <w:rPr>
          <w:rFonts w:hint="eastAsia"/>
        </w:rPr>
        <w:t>婴儿死亡率：</w:t>
      </w:r>
    </w:p>
    <w:tbl>
      <w:tblPr>
        <w:tblW w:w="0" w:type="auto"/>
        <w:tblInd w:w="1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01"/>
        <w:gridCol w:w="1276"/>
        <w:gridCol w:w="1276"/>
        <w:gridCol w:w="1276"/>
        <w:gridCol w:w="1276"/>
      </w:tblGrid>
      <w:tr w:rsidR="00000000">
        <w:tblPrEx>
          <w:tblCellMar>
            <w:top w:w="0" w:type="dxa"/>
            <w:bottom w:w="0" w:type="dxa"/>
          </w:tblCellMar>
        </w:tblPrEx>
        <w:tc>
          <w:tcPr>
            <w:tcW w:w="3201" w:type="dxa"/>
          </w:tcPr>
          <w:p w:rsidR="00000000" w:rsidRDefault="00CF7517">
            <w:pPr>
              <w:spacing w:before="60"/>
              <w:rPr>
                <w:sz w:val="21"/>
              </w:rPr>
            </w:pPr>
          </w:p>
        </w:tc>
        <w:tc>
          <w:tcPr>
            <w:tcW w:w="1276" w:type="dxa"/>
          </w:tcPr>
          <w:p w:rsidR="00000000" w:rsidRDefault="00CF7517">
            <w:pPr>
              <w:spacing w:before="60"/>
              <w:jc w:val="center"/>
              <w:rPr>
                <w:sz w:val="21"/>
              </w:rPr>
            </w:pPr>
            <w:r>
              <w:rPr>
                <w:sz w:val="21"/>
              </w:rPr>
              <w:t>1993</w:t>
            </w:r>
          </w:p>
        </w:tc>
        <w:tc>
          <w:tcPr>
            <w:tcW w:w="1276" w:type="dxa"/>
          </w:tcPr>
          <w:p w:rsidR="00000000" w:rsidRDefault="00CF7517">
            <w:pPr>
              <w:spacing w:before="60"/>
              <w:jc w:val="center"/>
              <w:rPr>
                <w:sz w:val="21"/>
              </w:rPr>
            </w:pPr>
            <w:r>
              <w:rPr>
                <w:sz w:val="21"/>
              </w:rPr>
              <w:t>1994</w:t>
            </w:r>
          </w:p>
        </w:tc>
        <w:tc>
          <w:tcPr>
            <w:tcW w:w="1276" w:type="dxa"/>
          </w:tcPr>
          <w:p w:rsidR="00000000" w:rsidRDefault="00CF7517">
            <w:pPr>
              <w:spacing w:before="60"/>
              <w:jc w:val="center"/>
              <w:rPr>
                <w:sz w:val="21"/>
              </w:rPr>
            </w:pPr>
            <w:r>
              <w:rPr>
                <w:sz w:val="21"/>
              </w:rPr>
              <w:t>1995</w:t>
            </w:r>
          </w:p>
        </w:tc>
        <w:tc>
          <w:tcPr>
            <w:tcW w:w="1276" w:type="dxa"/>
          </w:tcPr>
          <w:p w:rsidR="00000000" w:rsidRDefault="00CF7517">
            <w:pPr>
              <w:spacing w:before="60"/>
              <w:jc w:val="center"/>
              <w:rPr>
                <w:sz w:val="21"/>
              </w:rPr>
            </w:pPr>
            <w:r>
              <w:rPr>
                <w:sz w:val="21"/>
              </w:rPr>
              <w:t>1996</w:t>
            </w:r>
          </w:p>
        </w:tc>
      </w:tr>
      <w:tr w:rsidR="00000000">
        <w:tblPrEx>
          <w:tblCellMar>
            <w:top w:w="0" w:type="dxa"/>
            <w:bottom w:w="0" w:type="dxa"/>
          </w:tblCellMar>
        </w:tblPrEx>
        <w:tc>
          <w:tcPr>
            <w:tcW w:w="3201" w:type="dxa"/>
          </w:tcPr>
          <w:p w:rsidR="00000000" w:rsidRDefault="00CF7517">
            <w:pPr>
              <w:spacing w:before="60"/>
              <w:ind w:firstLine="120"/>
              <w:rPr>
                <w:sz w:val="21"/>
              </w:rPr>
            </w:pPr>
            <w:r>
              <w:rPr>
                <w:rFonts w:hint="eastAsia"/>
                <w:sz w:val="21"/>
              </w:rPr>
              <w:t>南斯拉夫联盟共和国</w:t>
            </w:r>
          </w:p>
        </w:tc>
        <w:tc>
          <w:tcPr>
            <w:tcW w:w="1276" w:type="dxa"/>
          </w:tcPr>
          <w:p w:rsidR="00000000" w:rsidRDefault="00CF7517">
            <w:pPr>
              <w:spacing w:before="60"/>
              <w:jc w:val="center"/>
              <w:rPr>
                <w:sz w:val="21"/>
              </w:rPr>
            </w:pPr>
            <w:r>
              <w:rPr>
                <w:sz w:val="21"/>
              </w:rPr>
              <w:t>21.9</w:t>
            </w:r>
          </w:p>
        </w:tc>
        <w:tc>
          <w:tcPr>
            <w:tcW w:w="1276" w:type="dxa"/>
          </w:tcPr>
          <w:p w:rsidR="00000000" w:rsidRDefault="00CF7517">
            <w:pPr>
              <w:spacing w:before="60"/>
              <w:jc w:val="center"/>
              <w:rPr>
                <w:sz w:val="21"/>
              </w:rPr>
            </w:pPr>
            <w:r>
              <w:rPr>
                <w:sz w:val="21"/>
              </w:rPr>
              <w:t>18.4</w:t>
            </w:r>
          </w:p>
        </w:tc>
        <w:tc>
          <w:tcPr>
            <w:tcW w:w="1276" w:type="dxa"/>
          </w:tcPr>
          <w:p w:rsidR="00000000" w:rsidRDefault="00CF7517">
            <w:pPr>
              <w:spacing w:before="60"/>
              <w:jc w:val="center"/>
              <w:rPr>
                <w:sz w:val="21"/>
              </w:rPr>
            </w:pPr>
            <w:r>
              <w:rPr>
                <w:sz w:val="21"/>
              </w:rPr>
              <w:t>16.8</w:t>
            </w:r>
          </w:p>
        </w:tc>
        <w:tc>
          <w:tcPr>
            <w:tcW w:w="1276" w:type="dxa"/>
          </w:tcPr>
          <w:p w:rsidR="00000000" w:rsidRDefault="00CF7517">
            <w:pPr>
              <w:spacing w:before="60"/>
              <w:jc w:val="center"/>
              <w:rPr>
                <w:sz w:val="21"/>
              </w:rPr>
            </w:pPr>
            <w:r>
              <w:rPr>
                <w:sz w:val="21"/>
              </w:rPr>
              <w:t>15.0</w:t>
            </w:r>
          </w:p>
        </w:tc>
      </w:tr>
      <w:tr w:rsidR="00000000">
        <w:tblPrEx>
          <w:tblCellMar>
            <w:top w:w="0" w:type="dxa"/>
            <w:bottom w:w="0" w:type="dxa"/>
          </w:tblCellMar>
        </w:tblPrEx>
        <w:tc>
          <w:tcPr>
            <w:tcW w:w="3201" w:type="dxa"/>
          </w:tcPr>
          <w:p w:rsidR="00000000" w:rsidRDefault="00CF7517">
            <w:pPr>
              <w:spacing w:before="60"/>
              <w:ind w:firstLine="120"/>
              <w:rPr>
                <w:sz w:val="21"/>
              </w:rPr>
            </w:pPr>
            <w:r>
              <w:rPr>
                <w:rFonts w:hint="eastAsia"/>
                <w:sz w:val="21"/>
              </w:rPr>
              <w:t>塞尔维亚共和国</w:t>
            </w:r>
          </w:p>
        </w:tc>
        <w:tc>
          <w:tcPr>
            <w:tcW w:w="1276" w:type="dxa"/>
          </w:tcPr>
          <w:p w:rsidR="00000000" w:rsidRDefault="00CF7517">
            <w:pPr>
              <w:spacing w:before="60"/>
              <w:jc w:val="center"/>
              <w:rPr>
                <w:sz w:val="21"/>
              </w:rPr>
            </w:pPr>
          </w:p>
        </w:tc>
        <w:tc>
          <w:tcPr>
            <w:tcW w:w="1276" w:type="dxa"/>
          </w:tcPr>
          <w:p w:rsidR="00000000" w:rsidRDefault="00CF7517">
            <w:pPr>
              <w:spacing w:before="60"/>
              <w:jc w:val="center"/>
              <w:rPr>
                <w:sz w:val="21"/>
              </w:rPr>
            </w:pPr>
          </w:p>
        </w:tc>
        <w:tc>
          <w:tcPr>
            <w:tcW w:w="1276" w:type="dxa"/>
          </w:tcPr>
          <w:p w:rsidR="00000000" w:rsidRDefault="00CF7517">
            <w:pPr>
              <w:spacing w:before="60"/>
              <w:jc w:val="center"/>
              <w:rPr>
                <w:sz w:val="21"/>
              </w:rPr>
            </w:pPr>
          </w:p>
        </w:tc>
        <w:tc>
          <w:tcPr>
            <w:tcW w:w="1276" w:type="dxa"/>
          </w:tcPr>
          <w:p w:rsidR="00000000" w:rsidRDefault="00CF7517">
            <w:pPr>
              <w:spacing w:before="60"/>
              <w:jc w:val="center"/>
              <w:rPr>
                <w:sz w:val="21"/>
              </w:rPr>
            </w:pPr>
          </w:p>
        </w:tc>
      </w:tr>
      <w:tr w:rsidR="00000000">
        <w:tblPrEx>
          <w:tblCellMar>
            <w:top w:w="0" w:type="dxa"/>
            <w:bottom w:w="0" w:type="dxa"/>
          </w:tblCellMar>
        </w:tblPrEx>
        <w:tc>
          <w:tcPr>
            <w:tcW w:w="3201" w:type="dxa"/>
          </w:tcPr>
          <w:p w:rsidR="00000000" w:rsidRDefault="00CF7517">
            <w:pPr>
              <w:spacing w:before="60"/>
              <w:ind w:firstLine="120"/>
              <w:rPr>
                <w:sz w:val="21"/>
              </w:rPr>
            </w:pPr>
            <w:r>
              <w:rPr>
                <w:rFonts w:hint="eastAsia"/>
                <w:sz w:val="21"/>
              </w:rPr>
              <w:t>塞尔维亚中部</w:t>
            </w:r>
          </w:p>
        </w:tc>
        <w:tc>
          <w:tcPr>
            <w:tcW w:w="1276" w:type="dxa"/>
          </w:tcPr>
          <w:p w:rsidR="00000000" w:rsidRDefault="00CF7517">
            <w:pPr>
              <w:spacing w:before="60"/>
              <w:jc w:val="center"/>
              <w:rPr>
                <w:sz w:val="21"/>
              </w:rPr>
            </w:pPr>
            <w:r>
              <w:rPr>
                <w:sz w:val="21"/>
              </w:rPr>
              <w:t>17.3</w:t>
            </w:r>
          </w:p>
        </w:tc>
        <w:tc>
          <w:tcPr>
            <w:tcW w:w="1276" w:type="dxa"/>
          </w:tcPr>
          <w:p w:rsidR="00000000" w:rsidRDefault="00CF7517">
            <w:pPr>
              <w:spacing w:before="60"/>
              <w:jc w:val="center"/>
              <w:rPr>
                <w:sz w:val="21"/>
              </w:rPr>
            </w:pPr>
            <w:r>
              <w:rPr>
                <w:sz w:val="21"/>
              </w:rPr>
              <w:t>15.7</w:t>
            </w:r>
          </w:p>
        </w:tc>
        <w:tc>
          <w:tcPr>
            <w:tcW w:w="1276" w:type="dxa"/>
          </w:tcPr>
          <w:p w:rsidR="00000000" w:rsidRDefault="00CF7517">
            <w:pPr>
              <w:spacing w:before="60"/>
              <w:jc w:val="center"/>
              <w:rPr>
                <w:sz w:val="21"/>
              </w:rPr>
            </w:pPr>
            <w:r>
              <w:rPr>
                <w:sz w:val="21"/>
              </w:rPr>
              <w:t>15.0</w:t>
            </w:r>
          </w:p>
        </w:tc>
        <w:tc>
          <w:tcPr>
            <w:tcW w:w="1276" w:type="dxa"/>
          </w:tcPr>
          <w:p w:rsidR="00000000" w:rsidRDefault="00CF7517">
            <w:pPr>
              <w:spacing w:before="60"/>
              <w:jc w:val="center"/>
              <w:rPr>
                <w:sz w:val="21"/>
              </w:rPr>
            </w:pPr>
            <w:r>
              <w:rPr>
                <w:sz w:val="21"/>
              </w:rPr>
              <w:t>15.3</w:t>
            </w:r>
          </w:p>
        </w:tc>
      </w:tr>
      <w:tr w:rsidR="00000000">
        <w:tblPrEx>
          <w:tblCellMar>
            <w:top w:w="0" w:type="dxa"/>
            <w:bottom w:w="0" w:type="dxa"/>
          </w:tblCellMar>
        </w:tblPrEx>
        <w:tc>
          <w:tcPr>
            <w:tcW w:w="3201" w:type="dxa"/>
          </w:tcPr>
          <w:p w:rsidR="00000000" w:rsidRDefault="00CF7517">
            <w:pPr>
              <w:spacing w:before="60"/>
              <w:ind w:firstLine="120"/>
              <w:rPr>
                <w:sz w:val="21"/>
              </w:rPr>
            </w:pPr>
            <w:r>
              <w:rPr>
                <w:rFonts w:hint="eastAsia"/>
                <w:sz w:val="21"/>
              </w:rPr>
              <w:t>伏伊伏丁那</w:t>
            </w:r>
          </w:p>
        </w:tc>
        <w:tc>
          <w:tcPr>
            <w:tcW w:w="1276" w:type="dxa"/>
          </w:tcPr>
          <w:p w:rsidR="00000000" w:rsidRDefault="00CF7517">
            <w:pPr>
              <w:spacing w:before="60"/>
              <w:jc w:val="center"/>
              <w:rPr>
                <w:sz w:val="21"/>
              </w:rPr>
            </w:pPr>
            <w:r>
              <w:rPr>
                <w:sz w:val="21"/>
              </w:rPr>
              <w:t>15.0</w:t>
            </w:r>
          </w:p>
        </w:tc>
        <w:tc>
          <w:tcPr>
            <w:tcW w:w="1276" w:type="dxa"/>
          </w:tcPr>
          <w:p w:rsidR="00000000" w:rsidRDefault="00CF7517">
            <w:pPr>
              <w:spacing w:before="60"/>
              <w:jc w:val="center"/>
              <w:rPr>
                <w:sz w:val="21"/>
              </w:rPr>
            </w:pPr>
            <w:r>
              <w:rPr>
                <w:sz w:val="21"/>
              </w:rPr>
              <w:t>14.4</w:t>
            </w:r>
          </w:p>
        </w:tc>
        <w:tc>
          <w:tcPr>
            <w:tcW w:w="1276" w:type="dxa"/>
          </w:tcPr>
          <w:p w:rsidR="00000000" w:rsidRDefault="00CF7517">
            <w:pPr>
              <w:spacing w:before="60"/>
              <w:jc w:val="center"/>
              <w:rPr>
                <w:sz w:val="21"/>
              </w:rPr>
            </w:pPr>
            <w:r>
              <w:rPr>
                <w:sz w:val="21"/>
              </w:rPr>
              <w:t>10.6</w:t>
            </w:r>
          </w:p>
        </w:tc>
        <w:tc>
          <w:tcPr>
            <w:tcW w:w="1276" w:type="dxa"/>
          </w:tcPr>
          <w:p w:rsidR="00000000" w:rsidRDefault="00CF7517">
            <w:pPr>
              <w:spacing w:before="60"/>
              <w:jc w:val="center"/>
              <w:rPr>
                <w:sz w:val="21"/>
              </w:rPr>
            </w:pPr>
            <w:r>
              <w:rPr>
                <w:sz w:val="21"/>
              </w:rPr>
              <w:t>12.8</w:t>
            </w:r>
          </w:p>
        </w:tc>
      </w:tr>
      <w:tr w:rsidR="00000000">
        <w:tblPrEx>
          <w:tblCellMar>
            <w:top w:w="0" w:type="dxa"/>
            <w:bottom w:w="0" w:type="dxa"/>
          </w:tblCellMar>
        </w:tblPrEx>
        <w:tc>
          <w:tcPr>
            <w:tcW w:w="3201" w:type="dxa"/>
          </w:tcPr>
          <w:p w:rsidR="00000000" w:rsidRDefault="00CF7517">
            <w:pPr>
              <w:spacing w:before="60"/>
              <w:ind w:firstLine="120"/>
              <w:rPr>
                <w:sz w:val="21"/>
              </w:rPr>
            </w:pPr>
            <w:r>
              <w:rPr>
                <w:rFonts w:hint="eastAsia"/>
                <w:sz w:val="21"/>
              </w:rPr>
              <w:t>科索沃和梅托希亚</w:t>
            </w:r>
          </w:p>
        </w:tc>
        <w:tc>
          <w:tcPr>
            <w:tcW w:w="1276" w:type="dxa"/>
          </w:tcPr>
          <w:p w:rsidR="00000000" w:rsidRDefault="00CF7517">
            <w:pPr>
              <w:spacing w:before="60"/>
              <w:jc w:val="center"/>
              <w:rPr>
                <w:sz w:val="21"/>
              </w:rPr>
            </w:pPr>
            <w:r>
              <w:rPr>
                <w:sz w:val="21"/>
              </w:rPr>
              <w:t>33.3</w:t>
            </w:r>
          </w:p>
        </w:tc>
        <w:tc>
          <w:tcPr>
            <w:tcW w:w="1276" w:type="dxa"/>
          </w:tcPr>
          <w:p w:rsidR="00000000" w:rsidRDefault="00CF7517">
            <w:pPr>
              <w:spacing w:before="60"/>
              <w:jc w:val="center"/>
              <w:rPr>
                <w:sz w:val="21"/>
              </w:rPr>
            </w:pPr>
            <w:r>
              <w:rPr>
                <w:sz w:val="21"/>
              </w:rPr>
              <w:t>24.9</w:t>
            </w:r>
          </w:p>
        </w:tc>
        <w:tc>
          <w:tcPr>
            <w:tcW w:w="1276" w:type="dxa"/>
          </w:tcPr>
          <w:p w:rsidR="00000000" w:rsidRDefault="00CF7517">
            <w:pPr>
              <w:spacing w:before="60"/>
              <w:jc w:val="center"/>
              <w:rPr>
                <w:sz w:val="21"/>
              </w:rPr>
            </w:pPr>
            <w:r>
              <w:rPr>
                <w:sz w:val="21"/>
              </w:rPr>
              <w:t>23.6</w:t>
            </w:r>
          </w:p>
        </w:tc>
        <w:tc>
          <w:tcPr>
            <w:tcW w:w="1276" w:type="dxa"/>
          </w:tcPr>
          <w:p w:rsidR="00000000" w:rsidRDefault="00CF7517">
            <w:pPr>
              <w:spacing w:before="60"/>
              <w:jc w:val="center"/>
              <w:rPr>
                <w:sz w:val="21"/>
              </w:rPr>
            </w:pPr>
            <w:r>
              <w:rPr>
                <w:sz w:val="21"/>
              </w:rPr>
              <w:t>15.9</w:t>
            </w:r>
          </w:p>
        </w:tc>
      </w:tr>
      <w:tr w:rsidR="00000000">
        <w:tblPrEx>
          <w:tblCellMar>
            <w:top w:w="0" w:type="dxa"/>
            <w:bottom w:w="0" w:type="dxa"/>
          </w:tblCellMar>
        </w:tblPrEx>
        <w:tc>
          <w:tcPr>
            <w:tcW w:w="3201" w:type="dxa"/>
          </w:tcPr>
          <w:p w:rsidR="00000000" w:rsidRDefault="00CF7517">
            <w:pPr>
              <w:spacing w:before="60"/>
              <w:ind w:firstLine="120"/>
              <w:rPr>
                <w:sz w:val="21"/>
              </w:rPr>
            </w:pPr>
            <w:r>
              <w:rPr>
                <w:rFonts w:hint="eastAsia"/>
                <w:sz w:val="21"/>
              </w:rPr>
              <w:t>黑山共和国</w:t>
            </w:r>
          </w:p>
        </w:tc>
        <w:tc>
          <w:tcPr>
            <w:tcW w:w="1276" w:type="dxa"/>
          </w:tcPr>
          <w:p w:rsidR="00000000" w:rsidRDefault="00CF7517">
            <w:pPr>
              <w:spacing w:before="60"/>
              <w:jc w:val="center"/>
              <w:rPr>
                <w:sz w:val="21"/>
              </w:rPr>
            </w:pPr>
            <w:r>
              <w:rPr>
                <w:sz w:val="21"/>
              </w:rPr>
              <w:t>15.0</w:t>
            </w:r>
          </w:p>
        </w:tc>
        <w:tc>
          <w:tcPr>
            <w:tcW w:w="1276" w:type="dxa"/>
          </w:tcPr>
          <w:p w:rsidR="00000000" w:rsidRDefault="00CF7517">
            <w:pPr>
              <w:spacing w:before="60"/>
              <w:jc w:val="center"/>
              <w:rPr>
                <w:sz w:val="21"/>
              </w:rPr>
            </w:pPr>
            <w:r>
              <w:rPr>
                <w:sz w:val="21"/>
              </w:rPr>
              <w:t>15.4</w:t>
            </w:r>
          </w:p>
        </w:tc>
        <w:tc>
          <w:tcPr>
            <w:tcW w:w="1276" w:type="dxa"/>
          </w:tcPr>
          <w:p w:rsidR="00000000" w:rsidRDefault="00CF7517">
            <w:pPr>
              <w:spacing w:before="60"/>
              <w:jc w:val="center"/>
              <w:rPr>
                <w:sz w:val="21"/>
              </w:rPr>
            </w:pPr>
            <w:r>
              <w:rPr>
                <w:sz w:val="21"/>
              </w:rPr>
              <w:t>12.1</w:t>
            </w:r>
          </w:p>
        </w:tc>
        <w:tc>
          <w:tcPr>
            <w:tcW w:w="1276" w:type="dxa"/>
          </w:tcPr>
          <w:p w:rsidR="00000000" w:rsidRDefault="00CF7517">
            <w:pPr>
              <w:spacing w:before="60"/>
              <w:jc w:val="center"/>
              <w:rPr>
                <w:sz w:val="21"/>
              </w:rPr>
            </w:pPr>
            <w:r>
              <w:rPr>
                <w:sz w:val="21"/>
              </w:rPr>
              <w:t>14.0</w:t>
            </w:r>
          </w:p>
        </w:tc>
      </w:tr>
    </w:tbl>
    <w:p w:rsidR="00000000" w:rsidRDefault="00CF7517">
      <w:pPr>
        <w:spacing w:before="360"/>
        <w:rPr>
          <w:rFonts w:ascii="长城楷体" w:eastAsia="长城楷体"/>
        </w:rPr>
      </w:pPr>
      <w:r>
        <w:rPr>
          <w:rFonts w:ascii="长城楷体" w:eastAsia="长城楷体"/>
        </w:rPr>
        <w:tab/>
      </w:r>
      <w:r>
        <w:rPr>
          <w:rFonts w:ascii="长城楷体" w:eastAsia="长城楷体"/>
        </w:rPr>
        <w:tab/>
      </w:r>
      <w:r>
        <w:rPr>
          <w:rFonts w:ascii="长城楷体" w:eastAsia="长城楷体" w:hint="eastAsia"/>
          <w:u w:val="single"/>
        </w:rPr>
        <w:t>资料来源</w:t>
      </w:r>
      <w:r>
        <w:rPr>
          <w:rFonts w:ascii="长城楷体" w:eastAsia="长城楷体" w:hint="eastAsia"/>
        </w:rPr>
        <w:t>：联盟统计局。</w:t>
      </w:r>
    </w:p>
    <w:p w:rsidR="00000000" w:rsidRDefault="00CF7517">
      <w:pPr>
        <w:spacing w:before="360"/>
      </w:pPr>
    </w:p>
    <w:p w:rsidR="00000000" w:rsidRDefault="00CF7517">
      <w:pPr>
        <w:pStyle w:val="a5"/>
        <w:ind w:left="1546"/>
      </w:pPr>
      <w:r>
        <w:t xml:space="preserve">(b)  </w:t>
      </w:r>
      <w:r>
        <w:rPr>
          <w:rFonts w:hint="eastAsia"/>
        </w:rPr>
        <w:t>享有安全水和适足的卫生设施</w:t>
      </w:r>
      <w:r>
        <w:t xml:space="preserve"> </w:t>
      </w:r>
      <w:r>
        <w:rPr>
          <w:rStyle w:val="FootnoteReference"/>
        </w:rPr>
        <w:footnoteReference w:customMarkFollows="1" w:id="6"/>
        <w:t>*</w:t>
      </w:r>
      <w:r>
        <w:t xml:space="preserve"> </w:t>
      </w:r>
      <w:r>
        <w:rPr>
          <w:rFonts w:hint="eastAsia"/>
        </w:rPr>
        <w:t>。下水道的发展落后于供水系统的发展。进入供水网络，并没有保证用水安全，因为有很高比例的供水系统含有微生物和化学品污染物</w:t>
      </w:r>
      <w:r>
        <w:t>(</w:t>
      </w:r>
      <w:r>
        <w:rPr>
          <w:rFonts w:hint="eastAsia"/>
        </w:rPr>
        <w:t>分别为</w:t>
      </w:r>
      <w:r>
        <w:t>50%</w:t>
      </w:r>
      <w:r>
        <w:rPr>
          <w:rFonts w:hint="eastAsia"/>
        </w:rPr>
        <w:t>和</w:t>
      </w:r>
      <w:r>
        <w:t>37.5%)(1996</w:t>
      </w:r>
      <w:r>
        <w:rPr>
          <w:rFonts w:hint="eastAsia"/>
        </w:rPr>
        <w:t>年的数据</w:t>
      </w:r>
      <w:r>
        <w:t>)</w:t>
      </w:r>
      <w:r>
        <w:rPr>
          <w:rFonts w:hint="eastAsia"/>
        </w:rPr>
        <w:t>；</w:t>
      </w:r>
    </w:p>
    <w:p w:rsidR="00000000" w:rsidRDefault="00CF7517">
      <w:pPr>
        <w:pStyle w:val="a5"/>
        <w:ind w:left="1546"/>
      </w:pPr>
      <w:r>
        <w:t>(c)  1990-1995</w:t>
      </w:r>
      <w:r>
        <w:rPr>
          <w:rFonts w:hint="eastAsia"/>
        </w:rPr>
        <w:t>年期间强制免疫接种的儿童覆盖率不尽人意</w:t>
      </w:r>
      <w:r>
        <w:t>(</w:t>
      </w:r>
      <w:r>
        <w:rPr>
          <w:rFonts w:hint="eastAsia"/>
        </w:rPr>
        <w:t>低于</w:t>
      </w:r>
      <w:r>
        <w:t>95%)</w:t>
      </w:r>
      <w:r>
        <w:rPr>
          <w:rFonts w:hint="eastAsia"/>
        </w:rPr>
        <w:t>，尽管整个期间保持在同一水平上：</w:t>
      </w:r>
    </w:p>
    <w:tbl>
      <w:tblPr>
        <w:tblW w:w="0" w:type="auto"/>
        <w:tblInd w:w="1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60"/>
        <w:gridCol w:w="1116"/>
        <w:gridCol w:w="1116"/>
        <w:gridCol w:w="1116"/>
        <w:gridCol w:w="1116"/>
      </w:tblGrid>
      <w:tr w:rsidR="00000000">
        <w:tblPrEx>
          <w:tblCellMar>
            <w:top w:w="0" w:type="dxa"/>
            <w:bottom w:w="0" w:type="dxa"/>
          </w:tblCellMar>
        </w:tblPrEx>
        <w:tc>
          <w:tcPr>
            <w:tcW w:w="3360" w:type="dxa"/>
          </w:tcPr>
          <w:p w:rsidR="00000000" w:rsidRDefault="00CF7517">
            <w:pPr>
              <w:spacing w:before="120"/>
              <w:rPr>
                <w:sz w:val="21"/>
              </w:rPr>
            </w:pPr>
          </w:p>
        </w:tc>
        <w:tc>
          <w:tcPr>
            <w:tcW w:w="1116" w:type="dxa"/>
          </w:tcPr>
          <w:p w:rsidR="00000000" w:rsidRDefault="00CF7517">
            <w:pPr>
              <w:spacing w:before="120"/>
              <w:jc w:val="center"/>
              <w:rPr>
                <w:sz w:val="21"/>
              </w:rPr>
            </w:pPr>
            <w:r>
              <w:rPr>
                <w:sz w:val="21"/>
              </w:rPr>
              <w:t>1993</w:t>
            </w:r>
          </w:p>
        </w:tc>
        <w:tc>
          <w:tcPr>
            <w:tcW w:w="1116" w:type="dxa"/>
          </w:tcPr>
          <w:p w:rsidR="00000000" w:rsidRDefault="00CF7517">
            <w:pPr>
              <w:spacing w:before="120"/>
              <w:jc w:val="center"/>
              <w:rPr>
                <w:sz w:val="21"/>
              </w:rPr>
            </w:pPr>
            <w:r>
              <w:rPr>
                <w:sz w:val="21"/>
              </w:rPr>
              <w:t>1994</w:t>
            </w:r>
          </w:p>
        </w:tc>
        <w:tc>
          <w:tcPr>
            <w:tcW w:w="1116" w:type="dxa"/>
          </w:tcPr>
          <w:p w:rsidR="00000000" w:rsidRDefault="00CF7517">
            <w:pPr>
              <w:spacing w:before="120"/>
              <w:jc w:val="center"/>
              <w:rPr>
                <w:sz w:val="21"/>
              </w:rPr>
            </w:pPr>
            <w:r>
              <w:rPr>
                <w:sz w:val="21"/>
              </w:rPr>
              <w:t>1995</w:t>
            </w:r>
          </w:p>
        </w:tc>
        <w:tc>
          <w:tcPr>
            <w:tcW w:w="1116" w:type="dxa"/>
          </w:tcPr>
          <w:p w:rsidR="00000000" w:rsidRDefault="00CF7517">
            <w:pPr>
              <w:spacing w:before="120"/>
              <w:jc w:val="center"/>
              <w:rPr>
                <w:sz w:val="21"/>
              </w:rPr>
            </w:pPr>
            <w:r>
              <w:rPr>
                <w:sz w:val="21"/>
              </w:rPr>
              <w:t>1996</w:t>
            </w:r>
          </w:p>
        </w:tc>
      </w:tr>
      <w:tr w:rsidR="00000000">
        <w:tblPrEx>
          <w:tblCellMar>
            <w:top w:w="0" w:type="dxa"/>
            <w:bottom w:w="0" w:type="dxa"/>
          </w:tblCellMar>
        </w:tblPrEx>
        <w:tc>
          <w:tcPr>
            <w:tcW w:w="3360" w:type="dxa"/>
          </w:tcPr>
          <w:p w:rsidR="00000000" w:rsidRDefault="00CF7517">
            <w:pPr>
              <w:spacing w:before="120"/>
              <w:ind w:firstLine="92"/>
              <w:rPr>
                <w:sz w:val="21"/>
              </w:rPr>
            </w:pPr>
            <w:r>
              <w:rPr>
                <w:rFonts w:hint="eastAsia"/>
                <w:sz w:val="21"/>
              </w:rPr>
              <w:t>百日咳、白喉、破伤风混合菌苗</w:t>
            </w:r>
          </w:p>
        </w:tc>
        <w:tc>
          <w:tcPr>
            <w:tcW w:w="1116" w:type="dxa"/>
          </w:tcPr>
          <w:p w:rsidR="00000000" w:rsidRDefault="00CF7517">
            <w:pPr>
              <w:spacing w:before="120"/>
              <w:jc w:val="center"/>
              <w:rPr>
                <w:sz w:val="21"/>
              </w:rPr>
            </w:pPr>
            <w:r>
              <w:rPr>
                <w:sz w:val="21"/>
              </w:rPr>
              <w:t>84.6%</w:t>
            </w:r>
          </w:p>
        </w:tc>
        <w:tc>
          <w:tcPr>
            <w:tcW w:w="1116" w:type="dxa"/>
          </w:tcPr>
          <w:p w:rsidR="00000000" w:rsidRDefault="00CF7517">
            <w:pPr>
              <w:spacing w:before="120"/>
              <w:jc w:val="center"/>
              <w:rPr>
                <w:sz w:val="21"/>
              </w:rPr>
            </w:pPr>
            <w:r>
              <w:rPr>
                <w:sz w:val="21"/>
              </w:rPr>
              <w:t>8</w:t>
            </w:r>
            <w:r>
              <w:rPr>
                <w:sz w:val="21"/>
              </w:rPr>
              <w:t>4.9%</w:t>
            </w:r>
          </w:p>
        </w:tc>
        <w:tc>
          <w:tcPr>
            <w:tcW w:w="1116" w:type="dxa"/>
          </w:tcPr>
          <w:p w:rsidR="00000000" w:rsidRDefault="00CF7517">
            <w:pPr>
              <w:spacing w:before="120"/>
              <w:jc w:val="center"/>
              <w:rPr>
                <w:sz w:val="21"/>
              </w:rPr>
            </w:pPr>
            <w:r>
              <w:rPr>
                <w:sz w:val="21"/>
              </w:rPr>
              <w:t>84.9%</w:t>
            </w:r>
          </w:p>
        </w:tc>
        <w:tc>
          <w:tcPr>
            <w:tcW w:w="1116" w:type="dxa"/>
          </w:tcPr>
          <w:p w:rsidR="00000000" w:rsidRDefault="00CF7517">
            <w:pPr>
              <w:spacing w:before="120"/>
              <w:jc w:val="center"/>
              <w:rPr>
                <w:sz w:val="21"/>
              </w:rPr>
            </w:pPr>
            <w:r>
              <w:rPr>
                <w:sz w:val="21"/>
              </w:rPr>
              <w:t>91.1%</w:t>
            </w:r>
          </w:p>
        </w:tc>
      </w:tr>
      <w:tr w:rsidR="00000000">
        <w:tblPrEx>
          <w:tblCellMar>
            <w:top w:w="0" w:type="dxa"/>
            <w:bottom w:w="0" w:type="dxa"/>
          </w:tblCellMar>
        </w:tblPrEx>
        <w:tc>
          <w:tcPr>
            <w:tcW w:w="3360" w:type="dxa"/>
          </w:tcPr>
          <w:p w:rsidR="00000000" w:rsidRDefault="00CF7517">
            <w:pPr>
              <w:spacing w:before="120"/>
              <w:ind w:firstLine="92"/>
              <w:rPr>
                <w:sz w:val="21"/>
              </w:rPr>
            </w:pPr>
            <w:r>
              <w:rPr>
                <w:rFonts w:hint="eastAsia"/>
                <w:sz w:val="21"/>
              </w:rPr>
              <w:t>麻</w:t>
            </w:r>
            <w:r>
              <w:rPr>
                <w:sz w:val="21"/>
              </w:rPr>
              <w:t xml:space="preserve"> </w:t>
            </w:r>
            <w:r>
              <w:rPr>
                <w:rFonts w:hint="eastAsia"/>
                <w:sz w:val="21"/>
              </w:rPr>
              <w:t>疹</w:t>
            </w:r>
          </w:p>
        </w:tc>
        <w:tc>
          <w:tcPr>
            <w:tcW w:w="1116" w:type="dxa"/>
          </w:tcPr>
          <w:p w:rsidR="00000000" w:rsidRDefault="00CF7517">
            <w:pPr>
              <w:spacing w:before="120"/>
              <w:jc w:val="center"/>
              <w:rPr>
                <w:sz w:val="21"/>
              </w:rPr>
            </w:pPr>
            <w:r>
              <w:rPr>
                <w:sz w:val="21"/>
              </w:rPr>
              <w:t>84.9%</w:t>
            </w:r>
          </w:p>
        </w:tc>
        <w:tc>
          <w:tcPr>
            <w:tcW w:w="1116" w:type="dxa"/>
          </w:tcPr>
          <w:p w:rsidR="00000000" w:rsidRDefault="00CF7517">
            <w:pPr>
              <w:spacing w:before="120"/>
              <w:jc w:val="center"/>
              <w:rPr>
                <w:sz w:val="21"/>
              </w:rPr>
            </w:pPr>
            <w:r>
              <w:rPr>
                <w:sz w:val="21"/>
              </w:rPr>
              <w:t>80.8%</w:t>
            </w:r>
          </w:p>
        </w:tc>
        <w:tc>
          <w:tcPr>
            <w:tcW w:w="1116" w:type="dxa"/>
          </w:tcPr>
          <w:p w:rsidR="00000000" w:rsidRDefault="00CF7517">
            <w:pPr>
              <w:spacing w:before="120"/>
              <w:jc w:val="center"/>
              <w:rPr>
                <w:sz w:val="21"/>
              </w:rPr>
            </w:pPr>
            <w:r>
              <w:rPr>
                <w:sz w:val="21"/>
              </w:rPr>
              <w:t>86.0%</w:t>
            </w:r>
          </w:p>
        </w:tc>
        <w:tc>
          <w:tcPr>
            <w:tcW w:w="1116" w:type="dxa"/>
          </w:tcPr>
          <w:p w:rsidR="00000000" w:rsidRDefault="00CF7517">
            <w:pPr>
              <w:spacing w:before="120"/>
              <w:jc w:val="center"/>
              <w:rPr>
                <w:sz w:val="21"/>
              </w:rPr>
            </w:pPr>
            <w:r>
              <w:rPr>
                <w:sz w:val="21"/>
              </w:rPr>
              <w:t>90.0%</w:t>
            </w:r>
          </w:p>
        </w:tc>
      </w:tr>
      <w:tr w:rsidR="00000000">
        <w:tblPrEx>
          <w:tblCellMar>
            <w:top w:w="0" w:type="dxa"/>
            <w:bottom w:w="0" w:type="dxa"/>
          </w:tblCellMar>
        </w:tblPrEx>
        <w:tc>
          <w:tcPr>
            <w:tcW w:w="3360" w:type="dxa"/>
          </w:tcPr>
          <w:p w:rsidR="00000000" w:rsidRDefault="00CF7517">
            <w:pPr>
              <w:spacing w:before="120"/>
              <w:ind w:firstLine="92"/>
              <w:rPr>
                <w:sz w:val="21"/>
              </w:rPr>
            </w:pPr>
            <w:r>
              <w:rPr>
                <w:rFonts w:hint="eastAsia"/>
                <w:sz w:val="21"/>
              </w:rPr>
              <w:t>小儿麻痹证</w:t>
            </w:r>
          </w:p>
        </w:tc>
        <w:tc>
          <w:tcPr>
            <w:tcW w:w="1116" w:type="dxa"/>
          </w:tcPr>
          <w:p w:rsidR="00000000" w:rsidRDefault="00CF7517">
            <w:pPr>
              <w:spacing w:before="120"/>
              <w:jc w:val="center"/>
              <w:rPr>
                <w:sz w:val="21"/>
              </w:rPr>
            </w:pPr>
            <w:r>
              <w:rPr>
                <w:sz w:val="21"/>
              </w:rPr>
              <w:t>82.5%</w:t>
            </w:r>
          </w:p>
        </w:tc>
        <w:tc>
          <w:tcPr>
            <w:tcW w:w="1116" w:type="dxa"/>
          </w:tcPr>
          <w:p w:rsidR="00000000" w:rsidRDefault="00CF7517">
            <w:pPr>
              <w:spacing w:before="120"/>
              <w:jc w:val="center"/>
              <w:rPr>
                <w:sz w:val="21"/>
              </w:rPr>
            </w:pPr>
            <w:r>
              <w:rPr>
                <w:sz w:val="21"/>
              </w:rPr>
              <w:t>84.3%</w:t>
            </w:r>
          </w:p>
        </w:tc>
        <w:tc>
          <w:tcPr>
            <w:tcW w:w="1116" w:type="dxa"/>
          </w:tcPr>
          <w:p w:rsidR="00000000" w:rsidRDefault="00CF7517">
            <w:pPr>
              <w:spacing w:before="120"/>
              <w:jc w:val="center"/>
              <w:rPr>
                <w:sz w:val="21"/>
              </w:rPr>
            </w:pPr>
            <w:r>
              <w:rPr>
                <w:sz w:val="21"/>
              </w:rPr>
              <w:t>84.3%</w:t>
            </w:r>
          </w:p>
        </w:tc>
        <w:tc>
          <w:tcPr>
            <w:tcW w:w="1116" w:type="dxa"/>
          </w:tcPr>
          <w:p w:rsidR="00000000" w:rsidRDefault="00CF7517">
            <w:pPr>
              <w:spacing w:before="120"/>
              <w:jc w:val="center"/>
              <w:rPr>
                <w:sz w:val="21"/>
              </w:rPr>
            </w:pPr>
            <w:r>
              <w:rPr>
                <w:sz w:val="21"/>
              </w:rPr>
              <w:t>91.1%</w:t>
            </w:r>
          </w:p>
        </w:tc>
      </w:tr>
      <w:tr w:rsidR="00000000">
        <w:tblPrEx>
          <w:tblCellMar>
            <w:top w:w="0" w:type="dxa"/>
            <w:bottom w:w="0" w:type="dxa"/>
          </w:tblCellMar>
        </w:tblPrEx>
        <w:tc>
          <w:tcPr>
            <w:tcW w:w="3360" w:type="dxa"/>
          </w:tcPr>
          <w:p w:rsidR="00000000" w:rsidRDefault="00CF7517">
            <w:pPr>
              <w:spacing w:before="120"/>
              <w:ind w:firstLine="92"/>
              <w:rPr>
                <w:sz w:val="21"/>
              </w:rPr>
            </w:pPr>
            <w:r>
              <w:rPr>
                <w:rFonts w:hint="eastAsia"/>
                <w:sz w:val="21"/>
              </w:rPr>
              <w:t>卡介苗</w:t>
            </w:r>
          </w:p>
        </w:tc>
        <w:tc>
          <w:tcPr>
            <w:tcW w:w="1116" w:type="dxa"/>
          </w:tcPr>
          <w:p w:rsidR="00000000" w:rsidRDefault="00CF7517">
            <w:pPr>
              <w:spacing w:before="120"/>
              <w:jc w:val="center"/>
              <w:rPr>
                <w:sz w:val="21"/>
              </w:rPr>
            </w:pPr>
            <w:r>
              <w:rPr>
                <w:sz w:val="21"/>
              </w:rPr>
              <w:t>76.7%</w:t>
            </w:r>
          </w:p>
        </w:tc>
        <w:tc>
          <w:tcPr>
            <w:tcW w:w="1116" w:type="dxa"/>
          </w:tcPr>
          <w:p w:rsidR="00000000" w:rsidRDefault="00CF7517">
            <w:pPr>
              <w:spacing w:before="120"/>
              <w:jc w:val="center"/>
              <w:rPr>
                <w:sz w:val="21"/>
              </w:rPr>
            </w:pPr>
            <w:r>
              <w:rPr>
                <w:sz w:val="21"/>
              </w:rPr>
              <w:t>70.7%</w:t>
            </w:r>
          </w:p>
        </w:tc>
        <w:tc>
          <w:tcPr>
            <w:tcW w:w="1116" w:type="dxa"/>
          </w:tcPr>
          <w:p w:rsidR="00000000" w:rsidRDefault="00CF7517">
            <w:pPr>
              <w:spacing w:before="120"/>
              <w:jc w:val="center"/>
              <w:rPr>
                <w:sz w:val="21"/>
              </w:rPr>
            </w:pPr>
            <w:r>
              <w:rPr>
                <w:sz w:val="21"/>
              </w:rPr>
              <w:t>70.8%</w:t>
            </w:r>
          </w:p>
        </w:tc>
        <w:tc>
          <w:tcPr>
            <w:tcW w:w="1116" w:type="dxa"/>
          </w:tcPr>
          <w:p w:rsidR="00000000" w:rsidRDefault="00CF7517">
            <w:pPr>
              <w:spacing w:before="120"/>
              <w:jc w:val="center"/>
              <w:rPr>
                <w:sz w:val="21"/>
              </w:rPr>
            </w:pPr>
            <w:r>
              <w:rPr>
                <w:sz w:val="21"/>
              </w:rPr>
              <w:t>83.8%</w:t>
            </w:r>
          </w:p>
        </w:tc>
      </w:tr>
    </w:tbl>
    <w:p w:rsidR="00000000" w:rsidRDefault="00CF7517"/>
    <w:p w:rsidR="00000000" w:rsidRDefault="00CF7517">
      <w:pPr>
        <w:pStyle w:val="a5"/>
        <w:ind w:left="1546"/>
      </w:pPr>
      <w:r>
        <w:t>(d)  1993</w:t>
      </w:r>
      <w:r>
        <w:rPr>
          <w:rFonts w:hint="eastAsia"/>
        </w:rPr>
        <w:t>年，男子的预期寿命为</w:t>
      </w:r>
      <w:r>
        <w:t>69.9</w:t>
      </w:r>
      <w:r>
        <w:rPr>
          <w:rFonts w:hint="eastAsia"/>
        </w:rPr>
        <w:t>岁，妇女为</w:t>
      </w:r>
      <w:r>
        <w:t>74.7</w:t>
      </w:r>
      <w:r>
        <w:rPr>
          <w:rFonts w:hint="eastAsia"/>
        </w:rPr>
        <w:t>岁；</w:t>
      </w:r>
    </w:p>
    <w:p w:rsidR="00000000" w:rsidRDefault="00CF7517">
      <w:pPr>
        <w:pStyle w:val="a5"/>
        <w:ind w:left="1546"/>
      </w:pPr>
      <w:r>
        <w:t xml:space="preserve">(e)  </w:t>
      </w:r>
      <w:r>
        <w:rPr>
          <w:rFonts w:hint="eastAsia"/>
        </w:rPr>
        <w:t>在国内所有城市设立了妇女诊所，妇女与医生的比例为每</w:t>
      </w:r>
      <w:r>
        <w:t>6,880</w:t>
      </w:r>
      <w:r>
        <w:rPr>
          <w:rFonts w:hint="eastAsia"/>
        </w:rPr>
        <w:t>名</w:t>
      </w:r>
      <w:r>
        <w:t>15</w:t>
      </w:r>
      <w:r>
        <w:rPr>
          <w:rFonts w:hint="eastAsia"/>
        </w:rPr>
        <w:t>岁以上妇女一名医生</w:t>
      </w:r>
      <w:r>
        <w:t>(</w:t>
      </w:r>
      <w:r>
        <w:rPr>
          <w:rFonts w:hint="eastAsia"/>
        </w:rPr>
        <w:t>比例最低的为</w:t>
      </w:r>
      <w:r>
        <w:t>5,800</w:t>
      </w:r>
      <w:r>
        <w:rPr>
          <w:rFonts w:hint="eastAsia"/>
        </w:rPr>
        <w:t>名妇女</w:t>
      </w:r>
      <w:r>
        <w:t>)</w:t>
      </w:r>
      <w:r>
        <w:rPr>
          <w:rFonts w:hint="eastAsia"/>
        </w:rPr>
        <w:t>，每</w:t>
      </w:r>
      <w:r>
        <w:t>3,798</w:t>
      </w:r>
      <w:r>
        <w:rPr>
          <w:rFonts w:hint="eastAsia"/>
        </w:rPr>
        <w:t>名</w:t>
      </w:r>
      <w:r>
        <w:t>15</w:t>
      </w:r>
      <w:r>
        <w:rPr>
          <w:rFonts w:hint="eastAsia"/>
        </w:rPr>
        <w:t>岁以上妇女有一名妇科护士。由专业人员接生的分娩百分比，</w:t>
      </w:r>
      <w:r>
        <w:t>1995</w:t>
      </w:r>
      <w:r>
        <w:rPr>
          <w:rFonts w:hint="eastAsia"/>
        </w:rPr>
        <w:t>年为</w:t>
      </w:r>
      <w:r>
        <w:t>92.2%(</w:t>
      </w:r>
      <w:r>
        <w:rPr>
          <w:rFonts w:hint="eastAsia"/>
        </w:rPr>
        <w:t>最</w:t>
      </w:r>
      <w:r>
        <w:rPr>
          <w:rFonts w:hint="eastAsia"/>
        </w:rPr>
        <w:t>高的是伏伊伏丁那</w:t>
      </w:r>
      <w:r>
        <w:t>99.7%</w:t>
      </w:r>
      <w:r>
        <w:rPr>
          <w:rFonts w:hint="eastAsia"/>
        </w:rPr>
        <w:t>，最低的是科索沃和梅托希亚</w:t>
      </w:r>
      <w:r>
        <w:t>76%)</w:t>
      </w:r>
      <w:r>
        <w:rPr>
          <w:rFonts w:hint="eastAsia"/>
        </w:rPr>
        <w:t>；</w:t>
      </w:r>
    </w:p>
    <w:p w:rsidR="00000000" w:rsidRDefault="00CF7517">
      <w:pPr>
        <w:pStyle w:val="a5"/>
        <w:ind w:left="1546"/>
      </w:pPr>
      <w:r>
        <w:t xml:space="preserve">(f)  </w:t>
      </w:r>
      <w:r>
        <w:rPr>
          <w:rFonts w:hint="eastAsia"/>
        </w:rPr>
        <w:t>享有保健服务的婴儿百分比。在所有城市设立了儿童诊所</w:t>
      </w:r>
      <w:r>
        <w:t>(</w:t>
      </w:r>
      <w:r>
        <w:rPr>
          <w:rFonts w:hint="eastAsia"/>
        </w:rPr>
        <w:t>平均每</w:t>
      </w:r>
      <w:r>
        <w:t>1,086</w:t>
      </w:r>
      <w:r>
        <w:rPr>
          <w:rFonts w:hint="eastAsia"/>
        </w:rPr>
        <w:t>名学前儿童有一名医生，但从</w:t>
      </w:r>
      <w:r>
        <w:t>724</w:t>
      </w:r>
      <w:r>
        <w:rPr>
          <w:rFonts w:hint="eastAsia"/>
        </w:rPr>
        <w:t>名学前儿童到</w:t>
      </w:r>
      <w:r>
        <w:t>4,090</w:t>
      </w:r>
      <w:r>
        <w:rPr>
          <w:rFonts w:hint="eastAsia"/>
        </w:rPr>
        <w:t>名学前儿童不等，每</w:t>
      </w:r>
      <w:r>
        <w:t>666</w:t>
      </w:r>
      <w:r>
        <w:rPr>
          <w:rFonts w:hint="eastAsia"/>
        </w:rPr>
        <w:t>名学前儿童有一名护士</w:t>
      </w:r>
      <w:r>
        <w:t>)</w:t>
      </w:r>
      <w:r>
        <w:rPr>
          <w:rFonts w:hint="eastAsia"/>
        </w:rPr>
        <w:t>。</w:t>
      </w:r>
    </w:p>
    <w:p w:rsidR="00000000" w:rsidRDefault="00CF7517">
      <w:r>
        <w:tab/>
        <w:t xml:space="preserve">144.  </w:t>
      </w:r>
      <w:r>
        <w:rPr>
          <w:rFonts w:hint="eastAsia"/>
        </w:rPr>
        <w:t>《南斯拉夫联盟共和国宪法》保障所有公民在平等条件下享有身心健康的权利，不管他们的民族、种族、性别、语言、宗教、教育和社会状况。在卫生条例方面，主办和提供保健的基本原则以预防、诊断</w:t>
      </w:r>
      <w:r>
        <w:t>/</w:t>
      </w:r>
      <w:r>
        <w:rPr>
          <w:rFonts w:hint="eastAsia"/>
        </w:rPr>
        <w:t>治疗和康复措施的统一为基础，还包括综合、可获得、一致、持续、有效、低成本</w:t>
      </w:r>
      <w:r>
        <w:rPr>
          <w:rFonts w:hint="eastAsia"/>
        </w:rPr>
        <w:t>高效益和新颖等原则，这已经取得成就。关于保健的联盟条例规定：保护人口免患威胁整个国家的传染性疾病的一般性和具体措施；食品和公用物品必须要达到的卫生安全条件；防致电离辐射的环境保护；生产和贩运麻醉品以及预防和控制吸毒成瘾方面的预防性和其他措施；药品和毒药贸易以及外国人保健方面的条件。</w:t>
      </w:r>
    </w:p>
    <w:p w:rsidR="00000000" w:rsidRDefault="00CF7517">
      <w:r>
        <w:tab/>
        <w:t xml:space="preserve">145.  </w:t>
      </w:r>
      <w:r>
        <w:rPr>
          <w:rFonts w:hint="eastAsia"/>
        </w:rPr>
        <w:t>在报告所涉期间，就战略而言，国家政策没有变化。相反，由于通过了一系列的法律以及方案和计划，保健系统得到了改善和加强，即使在制裁期间，保健服务也能够运行。</w:t>
      </w:r>
    </w:p>
    <w:p w:rsidR="00000000" w:rsidRDefault="00CF7517">
      <w:r>
        <w:tab/>
        <w:t xml:space="preserve">146.  </w:t>
      </w:r>
      <w:r>
        <w:rPr>
          <w:rFonts w:hint="eastAsia"/>
        </w:rPr>
        <w:t>从确定的卫生问题以及“</w:t>
      </w:r>
      <w:r>
        <w:t>2000</w:t>
      </w:r>
      <w:r>
        <w:rPr>
          <w:rFonts w:hint="eastAsia"/>
        </w:rPr>
        <w:t>年前人人健康”的</w:t>
      </w:r>
      <w:r>
        <w:rPr>
          <w:rFonts w:hint="eastAsia"/>
        </w:rPr>
        <w:t>战略出发，医疗保险和保健方面通过的法律以及方案和计划对下列措施和目标作了量性规定：</w:t>
      </w:r>
    </w:p>
    <w:p w:rsidR="00000000" w:rsidRDefault="00CF7517" w:rsidP="00CF7517">
      <w:pPr>
        <w:pStyle w:val="a6"/>
        <w:numPr>
          <w:ilvl w:val="0"/>
          <w:numId w:val="1"/>
        </w:numPr>
      </w:pPr>
      <w:r>
        <w:rPr>
          <w:rFonts w:hint="eastAsia"/>
        </w:rPr>
        <w:t>缩小各类人口的健康状况在国内某些地区和区域之间存在的区别；</w:t>
      </w:r>
    </w:p>
    <w:p w:rsidR="00000000" w:rsidRDefault="00CF7517" w:rsidP="00CF7517">
      <w:pPr>
        <w:pStyle w:val="a6"/>
        <w:numPr>
          <w:ilvl w:val="0"/>
          <w:numId w:val="1"/>
        </w:numPr>
      </w:pPr>
      <w:r>
        <w:rPr>
          <w:rFonts w:hint="eastAsia"/>
        </w:rPr>
        <w:t>根除在预防方面有最新和有效的保护和免疫手段的传染病；</w:t>
      </w:r>
    </w:p>
    <w:p w:rsidR="00000000" w:rsidRDefault="00CF7517" w:rsidP="00CF7517">
      <w:pPr>
        <w:pStyle w:val="a6"/>
        <w:numPr>
          <w:ilvl w:val="0"/>
          <w:numId w:val="1"/>
        </w:numPr>
      </w:pPr>
      <w:r>
        <w:rPr>
          <w:rFonts w:hint="eastAsia"/>
        </w:rPr>
        <w:t>减少婴儿死亡率、心脏冠状动脉疾病和恶性疾病的死亡率以及交通、在家里或上班时的事故死亡人数；</w:t>
      </w:r>
    </w:p>
    <w:p w:rsidR="00000000" w:rsidRDefault="00CF7517" w:rsidP="00CF7517">
      <w:pPr>
        <w:pStyle w:val="a6"/>
        <w:numPr>
          <w:ilvl w:val="0"/>
          <w:numId w:val="1"/>
        </w:numPr>
      </w:pPr>
      <w:r>
        <w:rPr>
          <w:rFonts w:hint="eastAsia"/>
        </w:rPr>
        <w:t>加强家庭和社会群体在发展和维持健康的生活方式中的作用：教育和动员人民增强与保持健康；改善饮食习惯，促进不吸烟的习惯，加强体育锻炼和努力使身心松驰；减少对健康有害的习惯</w:t>
      </w:r>
      <w:r>
        <w:t>(</w:t>
      </w:r>
      <w:r>
        <w:rPr>
          <w:rFonts w:hint="eastAsia"/>
        </w:rPr>
        <w:t>酗酒、滥用医药和药物、驾车蛮撞、暴力行为等等</w:t>
      </w:r>
      <w:r>
        <w:t>)</w:t>
      </w:r>
      <w:r>
        <w:rPr>
          <w:rFonts w:hint="eastAsia"/>
        </w:rPr>
        <w:t>；</w:t>
      </w:r>
    </w:p>
    <w:p w:rsidR="00000000" w:rsidRDefault="00CF7517" w:rsidP="00CF7517">
      <w:pPr>
        <w:pStyle w:val="a6"/>
        <w:numPr>
          <w:ilvl w:val="0"/>
          <w:numId w:val="1"/>
        </w:numPr>
      </w:pPr>
      <w:r>
        <w:rPr>
          <w:rFonts w:hint="eastAsia"/>
        </w:rPr>
        <w:t>保护</w:t>
      </w:r>
      <w:r>
        <w:rPr>
          <w:rFonts w:hint="eastAsia"/>
        </w:rPr>
        <w:t>生活和工作的环境；提供安全的饮用水、食物和公用物品；防护环境免受公认的空气污染之害；消除处理危险物质时对健康的威胁；保护环境以防发生职业病；</w:t>
      </w:r>
    </w:p>
    <w:p w:rsidR="00000000" w:rsidRDefault="00CF7517" w:rsidP="00CF7517">
      <w:pPr>
        <w:pStyle w:val="a6"/>
        <w:numPr>
          <w:ilvl w:val="0"/>
          <w:numId w:val="1"/>
        </w:numPr>
      </w:pPr>
      <w:r>
        <w:rPr>
          <w:rFonts w:hint="eastAsia"/>
        </w:rPr>
        <w:t>发展以全体居民的初级保健和强制医疗保险为基础的保健制度；</w:t>
      </w:r>
    </w:p>
    <w:p w:rsidR="00000000" w:rsidRDefault="00CF7517" w:rsidP="00CF7517">
      <w:pPr>
        <w:pStyle w:val="a6"/>
        <w:numPr>
          <w:ilvl w:val="0"/>
          <w:numId w:val="1"/>
        </w:numPr>
      </w:pPr>
      <w:r>
        <w:rPr>
          <w:rFonts w:hint="eastAsia"/>
        </w:rPr>
        <w:t>建立和落实向公民提供保健并测量这种保健的质量的机制；</w:t>
      </w:r>
    </w:p>
    <w:p w:rsidR="00000000" w:rsidRDefault="00CF7517" w:rsidP="00CF7517">
      <w:pPr>
        <w:pStyle w:val="a6"/>
        <w:numPr>
          <w:ilvl w:val="0"/>
          <w:numId w:val="1"/>
        </w:numPr>
      </w:pPr>
      <w:r>
        <w:rPr>
          <w:rFonts w:hint="eastAsia"/>
        </w:rPr>
        <w:t>建立和落实旨在协调初级保健所有参与者的活动的机制；</w:t>
      </w:r>
    </w:p>
    <w:p w:rsidR="00000000" w:rsidRDefault="00CF7517" w:rsidP="00CF7517">
      <w:pPr>
        <w:pStyle w:val="a6"/>
        <w:numPr>
          <w:ilvl w:val="0"/>
          <w:numId w:val="1"/>
        </w:numPr>
      </w:pPr>
      <w:r>
        <w:rPr>
          <w:rFonts w:hint="eastAsia"/>
        </w:rPr>
        <w:t>所有地区和区域得到同等的初级保健服务和资金；</w:t>
      </w:r>
    </w:p>
    <w:p w:rsidR="00000000" w:rsidRDefault="00CF7517" w:rsidP="00CF7517">
      <w:pPr>
        <w:pStyle w:val="a6"/>
        <w:numPr>
          <w:ilvl w:val="0"/>
          <w:numId w:val="1"/>
        </w:numPr>
      </w:pPr>
      <w:r>
        <w:rPr>
          <w:rFonts w:hint="eastAsia"/>
        </w:rPr>
        <w:t>对保健工作人员作规划、培训和使用，特别要将重点放在初级保健的需求和要求上；</w:t>
      </w:r>
    </w:p>
    <w:p w:rsidR="00000000" w:rsidRDefault="00CF7517" w:rsidP="00CF7517">
      <w:pPr>
        <w:pStyle w:val="a6"/>
        <w:numPr>
          <w:ilvl w:val="0"/>
          <w:numId w:val="1"/>
        </w:numPr>
      </w:pPr>
      <w:r>
        <w:rPr>
          <w:rFonts w:hint="eastAsia"/>
        </w:rPr>
        <w:t>制订和落实有助于实现全国保健目标、促进和发展初级保健以及新的医疗保险和服务制度的研究</w:t>
      </w:r>
      <w:r>
        <w:rPr>
          <w:rFonts w:hint="eastAsia"/>
        </w:rPr>
        <w:t>项目。</w:t>
      </w:r>
    </w:p>
    <w:p w:rsidR="00000000" w:rsidRDefault="00CF7517">
      <w:r>
        <w:tab/>
        <w:t xml:space="preserve">147.  </w:t>
      </w:r>
      <w:r>
        <w:rPr>
          <w:rFonts w:hint="eastAsia"/>
        </w:rPr>
        <w:t>每</w:t>
      </w:r>
      <w:r>
        <w:t>6</w:t>
      </w:r>
      <w:r>
        <w:rPr>
          <w:rFonts w:hint="eastAsia"/>
        </w:rPr>
        <w:t>个月对保健机构提供的服务范围和质量以及与医疗保险部门签订的有关合同作一次检查；对保健机构和医疗保险部门的收支情况作一次监测和审查，并依法根据保健机构和医疗保险财务管理情况确定医疗保险分摊率；系统全面地落实改善和维持较易得病人口类别的健康状况的所有预防措施和检查机制。</w:t>
      </w:r>
    </w:p>
    <w:p w:rsidR="00000000" w:rsidRDefault="00CF7517">
      <w:r>
        <w:tab/>
        <w:t xml:space="preserve">148.  </w:t>
      </w:r>
      <w:r>
        <w:rPr>
          <w:rFonts w:hint="eastAsia"/>
        </w:rPr>
        <w:t>在制裁前，下列疾病已被根除：沙眼、伤寒、传染性梅毒、虐疾和白喉。传染病的发病和死亡率有所降低。婴儿死亡率稳步下降。</w:t>
      </w:r>
    </w:p>
    <w:p w:rsidR="00000000" w:rsidRDefault="00CF7517">
      <w:r>
        <w:tab/>
        <w:t xml:space="preserve">149.  </w:t>
      </w:r>
      <w:r>
        <w:rPr>
          <w:rFonts w:hint="eastAsia"/>
        </w:rPr>
        <w:t>怀孕、分娩和育儿期间妇女的健康状况受到系统的监测；新生儿在出生时、在家里和</w:t>
      </w:r>
      <w:r>
        <w:rPr>
          <w:rFonts w:hint="eastAsia"/>
        </w:rPr>
        <w:t>在门诊所几乎每个月作系统检查；免疫接种是义务性的，还通过组织模范厨房等等来推销营养品。</w:t>
      </w:r>
    </w:p>
    <w:p w:rsidR="00000000" w:rsidRDefault="00CF7517">
      <w:r>
        <w:tab/>
        <w:t xml:space="preserve">150.  </w:t>
      </w:r>
      <w:r>
        <w:rPr>
          <w:rFonts w:hint="eastAsia"/>
        </w:rPr>
        <w:t>两个共和国议会通过了一些关于保护环境的法律，规定了许多措施和活动以及如果不落实这些措施要实行的制裁。这些法律是制订具体方案的基础。</w:t>
      </w:r>
    </w:p>
    <w:p w:rsidR="00000000" w:rsidRDefault="00CF7517">
      <w:r>
        <w:tab/>
        <w:t xml:space="preserve">151.  </w:t>
      </w:r>
      <w:r>
        <w:rPr>
          <w:rFonts w:hint="eastAsia"/>
        </w:rPr>
        <w:t>关于保健的共和国法律规定，保健权包括使用几乎所有保健机构的一切预防、诊断、治疗和康复服务。</w:t>
      </w:r>
    </w:p>
    <w:p w:rsidR="00000000" w:rsidRDefault="00CF7517">
      <w:pPr>
        <w:spacing w:after="320"/>
        <w:textAlignment w:val="center"/>
      </w:pPr>
      <w:r>
        <w:tab/>
        <w:t xml:space="preserve">152.  </w:t>
      </w:r>
      <w:r>
        <w:rPr>
          <w:rFonts w:hint="eastAsia"/>
        </w:rPr>
        <w:t>制裁前，整个人口，特别是个别人口类别的健康状况一直在改善，婴儿死亡率和死胎数量一直在下降，生活和工作环境的条件一直在改善。然而，现在的主要问题是，非保健部门的</w:t>
      </w:r>
      <w:r>
        <w:rPr>
          <w:rFonts w:hint="eastAsia"/>
        </w:rPr>
        <w:t>机构和实体没有充分参与消除和解决卫生服务没有多大影响力的问题。</w:t>
      </w:r>
    </w:p>
    <w:p w:rsidR="00000000" w:rsidRDefault="00CF7517">
      <w:pPr>
        <w:pStyle w:val="Heading3"/>
      </w:pPr>
      <w:r>
        <w:rPr>
          <w:rFonts w:hint="eastAsia"/>
        </w:rPr>
        <w:t>第</w:t>
      </w:r>
      <w:r>
        <w:t xml:space="preserve"> 13 </w:t>
      </w:r>
      <w:r>
        <w:rPr>
          <w:rFonts w:hint="eastAsia"/>
        </w:rPr>
        <w:t>条</w:t>
      </w:r>
    </w:p>
    <w:p w:rsidR="00000000" w:rsidRDefault="00CF7517">
      <w:r>
        <w:tab/>
        <w:t xml:space="preserve">153.  </w:t>
      </w:r>
      <w:r>
        <w:rPr>
          <w:rFonts w:hint="eastAsia"/>
        </w:rPr>
        <w:t>南斯拉夫联盟共和国的小学教育是义务免费的。它得到《南斯拉夫联盟共和国宪法》的保障，关于小学的共和国法律对此作了更加具体的规定。</w:t>
      </w:r>
    </w:p>
    <w:p w:rsidR="00000000" w:rsidRDefault="00CF7517">
      <w:r>
        <w:tab/>
        <w:t xml:space="preserve">154.  </w:t>
      </w:r>
      <w:r>
        <w:rPr>
          <w:rFonts w:hint="eastAsia"/>
        </w:rPr>
        <w:t>小学</w:t>
      </w:r>
      <w:r>
        <w:t>(4,439</w:t>
      </w:r>
      <w:r>
        <w:rPr>
          <w:rFonts w:hint="eastAsia"/>
        </w:rPr>
        <w:t>所</w:t>
      </w:r>
      <w:r>
        <w:t>)</w:t>
      </w:r>
      <w:r>
        <w:rPr>
          <w:rFonts w:hint="eastAsia"/>
        </w:rPr>
        <w:t>网络覆盖了有关年龄的所有儿童，即</w:t>
      </w:r>
      <w:r>
        <w:t>903,088</w:t>
      </w:r>
      <w:r>
        <w:rPr>
          <w:rFonts w:hint="eastAsia"/>
        </w:rPr>
        <w:t>名学生。有</w:t>
      </w:r>
      <w:r>
        <w:t>233</w:t>
      </w:r>
      <w:r>
        <w:rPr>
          <w:rFonts w:hint="eastAsia"/>
        </w:rPr>
        <w:t>所小学</w:t>
      </w:r>
      <w:r>
        <w:t>(</w:t>
      </w:r>
      <w:r>
        <w:rPr>
          <w:rFonts w:hint="eastAsia"/>
        </w:rPr>
        <w:t>或者正规小学中的班级</w:t>
      </w:r>
      <w:r>
        <w:t>)</w:t>
      </w:r>
      <w:r>
        <w:rPr>
          <w:rFonts w:hint="eastAsia"/>
        </w:rPr>
        <w:t>向残疾儿童提供教育。有</w:t>
      </w:r>
      <w:r>
        <w:t>8,287</w:t>
      </w:r>
      <w:r>
        <w:rPr>
          <w:rFonts w:hint="eastAsia"/>
        </w:rPr>
        <w:t>名学生入学。估计的数字是，南斯拉夫联盟共和国小学教育所覆盖的儿童约</w:t>
      </w:r>
      <w:r>
        <w:t>95%</w:t>
      </w:r>
      <w:r>
        <w:rPr>
          <w:rFonts w:hint="eastAsia"/>
        </w:rPr>
        <w:t>，但完成小学教育的比例各不相同</w:t>
      </w:r>
      <w:r>
        <w:t>(</w:t>
      </w:r>
      <w:r>
        <w:rPr>
          <w:rFonts w:hint="eastAsia"/>
        </w:rPr>
        <w:t>科索沃和梅托希亚是</w:t>
      </w:r>
      <w:r>
        <w:t>86%</w:t>
      </w:r>
      <w:r>
        <w:rPr>
          <w:rFonts w:hint="eastAsia"/>
        </w:rPr>
        <w:t>，黑山</w:t>
      </w:r>
      <w:r>
        <w:rPr>
          <w:rFonts w:hint="eastAsia"/>
        </w:rPr>
        <w:t>是</w:t>
      </w:r>
      <w:r>
        <w:t>88%</w:t>
      </w:r>
      <w:r>
        <w:rPr>
          <w:rFonts w:hint="eastAsia"/>
        </w:rPr>
        <w:t>，中部塞尔维亚是</w:t>
      </w:r>
      <w:r>
        <w:t>90%</w:t>
      </w:r>
      <w:r>
        <w:rPr>
          <w:rFonts w:hint="eastAsia"/>
        </w:rPr>
        <w:t>，而伏伊伏丁那则是</w:t>
      </w:r>
      <w:r>
        <w:t>96%)</w:t>
      </w:r>
      <w:r>
        <w:rPr>
          <w:rFonts w:hint="eastAsia"/>
        </w:rPr>
        <w:t>。</w:t>
      </w:r>
    </w:p>
    <w:p w:rsidR="00000000" w:rsidRDefault="00CF7517">
      <w:r>
        <w:tab/>
        <w:t xml:space="preserve">155.  </w:t>
      </w:r>
      <w:r>
        <w:rPr>
          <w:rFonts w:hint="eastAsia"/>
        </w:rPr>
        <w:t>关于在中学教育的共和国法律规定，公民有下列权利：二年、三年或四年的正规中学教育；有特殊能力和天赋学生的全日制中学教育；以少数民族语言教学的正规中学教育，即双语教育；学习特别出色的学生的平行中学教育；在学生家</w:t>
      </w:r>
      <w:r>
        <w:t>(</w:t>
      </w:r>
      <w:r>
        <w:rPr>
          <w:rFonts w:hint="eastAsia"/>
        </w:rPr>
        <w:t>被忽视的儿童的家</w:t>
      </w:r>
      <w:r>
        <w:t>)</w:t>
      </w:r>
      <w:r>
        <w:rPr>
          <w:rFonts w:hint="eastAsia"/>
        </w:rPr>
        <w:t>教学。所有学生，凡上完小学</w:t>
      </w:r>
      <w:r>
        <w:t>8</w:t>
      </w:r>
      <w:r>
        <w:rPr>
          <w:rFonts w:hint="eastAsia"/>
        </w:rPr>
        <w:t>年级的，可以上中学，包括技术和职业中学。正规的中学教育，对全日制学生是免费的，非全日上学的学生不到学校上课，自费考试。</w:t>
      </w:r>
      <w:r>
        <w:t>564</w:t>
      </w:r>
      <w:r>
        <w:rPr>
          <w:rFonts w:hint="eastAsia"/>
        </w:rPr>
        <w:t>所中学的中学教育覆盖了小学毕业生的</w:t>
      </w:r>
      <w:r>
        <w:t>91%</w:t>
      </w:r>
      <w:r>
        <w:rPr>
          <w:rFonts w:hint="eastAsia"/>
        </w:rPr>
        <w:t>以上，即愿意继续接受</w:t>
      </w:r>
      <w:r>
        <w:rPr>
          <w:rFonts w:hint="eastAsia"/>
        </w:rPr>
        <w:t>中学教育的所有学生。上中学不是强制性的，所有宗教、民族和不同性别的人都可以上。中学毕业率略低于小学，达</w:t>
      </w:r>
      <w:r>
        <w:t>75%</w:t>
      </w:r>
      <w:r>
        <w:rPr>
          <w:rFonts w:hint="eastAsia"/>
        </w:rPr>
        <w:t>，即入学人数的</w:t>
      </w:r>
      <w:r>
        <w:t>25%</w:t>
      </w:r>
      <w:r>
        <w:rPr>
          <w:rFonts w:hint="eastAsia"/>
        </w:rPr>
        <w:t>中途退学。</w:t>
      </w:r>
    </w:p>
    <w:p w:rsidR="00000000" w:rsidRDefault="00CF7517">
      <w:r>
        <w:tab/>
        <w:t xml:space="preserve">156.  </w:t>
      </w:r>
      <w:r>
        <w:rPr>
          <w:rFonts w:hint="eastAsia"/>
        </w:rPr>
        <w:t>中学毕业生，凡达到合格入学分数的，均可以接受高等教育</w:t>
      </w:r>
      <w:r>
        <w:t>(2</w:t>
      </w:r>
      <w:r>
        <w:rPr>
          <w:rFonts w:hint="eastAsia"/>
        </w:rPr>
        <w:t>年制的中学后学校和学院</w:t>
      </w:r>
      <w:r>
        <w:t>)</w:t>
      </w:r>
      <w:r>
        <w:rPr>
          <w:rFonts w:hint="eastAsia"/>
        </w:rPr>
        <w:t>。在</w:t>
      </w:r>
      <w:r>
        <w:t>1996/97</w:t>
      </w:r>
      <w:r>
        <w:rPr>
          <w:rFonts w:hint="eastAsia"/>
        </w:rPr>
        <w:t>学年，塞尔维亚共和国各大学总共招生</w:t>
      </w:r>
      <w:r>
        <w:t>130,235</w:t>
      </w:r>
      <w:r>
        <w:rPr>
          <w:rFonts w:hint="eastAsia"/>
        </w:rPr>
        <w:t>名，黑山共和国总共招生</w:t>
      </w:r>
      <w:r>
        <w:t>5,532</w:t>
      </w:r>
      <w:r>
        <w:rPr>
          <w:rFonts w:hint="eastAsia"/>
        </w:rPr>
        <w:t>名。约</w:t>
      </w:r>
      <w:r>
        <w:t>60%</w:t>
      </w:r>
      <w:r>
        <w:rPr>
          <w:rFonts w:hint="eastAsia"/>
        </w:rPr>
        <w:t>的学生由预算支付学费，其余的自付学费。南斯拉夫联盟共和国的学生人数中还加上塞尔维亚各大学招收的总共</w:t>
      </w:r>
      <w:r>
        <w:t>1,144</w:t>
      </w:r>
      <w:r>
        <w:rPr>
          <w:rFonts w:hint="eastAsia"/>
        </w:rPr>
        <w:t>名外国学生。</w:t>
      </w:r>
    </w:p>
    <w:p w:rsidR="00000000" w:rsidRDefault="00CF7517">
      <w:r>
        <w:tab/>
        <w:t xml:space="preserve">157.  </w:t>
      </w:r>
      <w:r>
        <w:rPr>
          <w:rFonts w:hint="eastAsia"/>
        </w:rPr>
        <w:t>在黑山共和国，非全日上学的学生在</w:t>
      </w:r>
      <w:r>
        <w:rPr>
          <w:rFonts w:hint="eastAsia"/>
        </w:rPr>
        <w:t>中学所受的教育和全日制学生一样，因此不必执行成人教育的特殊制度，因为全日制和非全日制学生在中学教育法下有平等的权利和义务。这意味着，所有感兴趣的公民均可以作为非全日制学生接受中学教育。</w:t>
      </w:r>
    </w:p>
    <w:p w:rsidR="00000000" w:rsidRDefault="00CF7517">
      <w:r>
        <w:tab/>
        <w:t xml:space="preserve">158.  </w:t>
      </w:r>
      <w:r>
        <w:rPr>
          <w:rFonts w:hint="eastAsia"/>
        </w:rPr>
        <w:t>在塞尔维亚共和国，</w:t>
      </w:r>
      <w:r>
        <w:t>15</w:t>
      </w:r>
      <w:r>
        <w:rPr>
          <w:rFonts w:hint="eastAsia"/>
        </w:rPr>
        <w:t>岁以上的人，凡未被小学招入的，均在专门的成人学校，即成人教育班接受小学教育。成人教育根据教育部通过的成人课程进行。成人通过上学或考试获得小学教育。他们的教育是分级的，从一年级到八年级，持续四年。塞尔维亚共和国教育部通过了成人小学教育的特别课程，共和国全境均采用这一课程。</w:t>
      </w:r>
    </w:p>
    <w:p w:rsidR="00000000" w:rsidRDefault="00CF7517">
      <w:r>
        <w:tab/>
        <w:t xml:space="preserve">159.  </w:t>
      </w:r>
      <w:r>
        <w:rPr>
          <w:rFonts w:hint="eastAsia"/>
        </w:rPr>
        <w:t>经费</w:t>
      </w:r>
      <w:r>
        <w:rPr>
          <w:rFonts w:hint="eastAsia"/>
        </w:rPr>
        <w:t>由共和国预算提供，经费的管理由学校规章确定。每个市均有文盲和小学教育未完成的人的记录。劳工市场局记录上门找工作的文盲，它们也发起教文盲如何读写的制度。即使最简单的工作，如果未完成小学教育，也不能申请，因此开展了为使那些超过小学教育年龄太多、但尚未完成小学教育的人能完成小学教育的特别活动。</w:t>
      </w:r>
    </w:p>
    <w:p w:rsidR="00000000" w:rsidRDefault="00CF7517">
      <w:r>
        <w:tab/>
        <w:t xml:space="preserve">160.  </w:t>
      </w:r>
      <w:r>
        <w:rPr>
          <w:rFonts w:hint="eastAsia"/>
        </w:rPr>
        <w:t>前南斯拉夫的解体、社会政治和经济制度的改变，特别是对南斯拉夫联盟共和国实行制裁，在过去一段时期影响了教育的社会和经济条件。约有</w:t>
      </w:r>
      <w:r>
        <w:t>700,000</w:t>
      </w:r>
      <w:r>
        <w:rPr>
          <w:rFonts w:hint="eastAsia"/>
        </w:rPr>
        <w:t>名来自克罗地亚以及波斯尼亚和黑塞哥维那的难民在前南斯拉夫联盟共和国避</w:t>
      </w:r>
      <w:r>
        <w:rPr>
          <w:rFonts w:hint="eastAsia"/>
        </w:rPr>
        <w:t>难。其中</w:t>
      </w:r>
      <w:r>
        <w:t>18</w:t>
      </w:r>
      <w:r>
        <w:rPr>
          <w:rFonts w:hint="eastAsia"/>
        </w:rPr>
        <w:t>岁以下的儿童有</w:t>
      </w:r>
      <w:r>
        <w:t>215,000</w:t>
      </w:r>
      <w:r>
        <w:rPr>
          <w:rFonts w:hint="eastAsia"/>
        </w:rPr>
        <w:t>多名。接纳难民的家庭情况也非常困难，因为他们本身也面临贫困。难民中间境况特别困难的是儿童，特别是失去父母的儿童或者只跟父母一方或双亲都没有只身流亡的儿童。约</w:t>
      </w:r>
      <w:r>
        <w:t>55,000</w:t>
      </w:r>
      <w:r>
        <w:rPr>
          <w:rFonts w:hint="eastAsia"/>
        </w:rPr>
        <w:t>名难民小学生和中学生被招入南斯拉夫联盟共和国的中小学。</w:t>
      </w:r>
    </w:p>
    <w:p w:rsidR="00000000" w:rsidRDefault="00CF7517">
      <w:r>
        <w:tab/>
        <w:t xml:space="preserve">161.  </w:t>
      </w:r>
      <w:r>
        <w:rPr>
          <w:rFonts w:hint="eastAsia"/>
        </w:rPr>
        <w:t>在这种情况下，教育遇到了严重的物质问题。由于社会产品和为某些社会活动出资的公共基金大幅度减少，因此为教育拨出的资金按实际价值计也减少了。这影响了教学人员的水准，学校经常开支的覆盖率，特别是教具的购置和教学进程的现代化。由于最大部分的教</w:t>
      </w:r>
      <w:r>
        <w:rPr>
          <w:rFonts w:hint="eastAsia"/>
        </w:rPr>
        <w:t>育经费是由共和国预算提供，其次是由市政预算提供，因此教育义务的履行情况在很大程度上取决于上述资金来源。由于经费不足，因此特别注意支付正规学校活动的支出</w:t>
      </w:r>
      <w:r>
        <w:t>(</w:t>
      </w:r>
      <w:r>
        <w:rPr>
          <w:rFonts w:hint="eastAsia"/>
        </w:rPr>
        <w:t>教员工资、教材费用、学校取暖费等等</w:t>
      </w:r>
      <w:r>
        <w:t>)</w:t>
      </w:r>
      <w:r>
        <w:rPr>
          <w:rFonts w:hint="eastAsia"/>
        </w:rPr>
        <w:t>，而设备购置、新教学技术以及新的教育投资等方面的支出被削减。</w:t>
      </w:r>
    </w:p>
    <w:p w:rsidR="00000000" w:rsidRDefault="00CF7517">
      <w:r>
        <w:tab/>
        <w:t xml:space="preserve">162.  </w:t>
      </w:r>
      <w:r>
        <w:rPr>
          <w:rFonts w:hint="eastAsia"/>
        </w:rPr>
        <w:t>在</w:t>
      </w:r>
      <w:r>
        <w:t>1994</w:t>
      </w:r>
      <w:r>
        <w:rPr>
          <w:rFonts w:hint="eastAsia"/>
        </w:rPr>
        <w:t>年遏制通货膨胀、采取全国性经济复苏政策和安全理事会的制裁解除</w:t>
      </w:r>
      <w:r>
        <w:t>(1995</w:t>
      </w:r>
      <w:r>
        <w:rPr>
          <w:rFonts w:hint="eastAsia"/>
        </w:rPr>
        <w:t>年</w:t>
      </w:r>
      <w:r>
        <w:t>11</w:t>
      </w:r>
      <w:r>
        <w:rPr>
          <w:rFonts w:hint="eastAsia"/>
        </w:rPr>
        <w:t>月</w:t>
      </w:r>
      <w:r>
        <w:t>22</w:t>
      </w:r>
      <w:r>
        <w:rPr>
          <w:rFonts w:hint="eastAsia"/>
        </w:rPr>
        <w:t>日</w:t>
      </w:r>
      <w:r>
        <w:t>)</w:t>
      </w:r>
      <w:r>
        <w:rPr>
          <w:rFonts w:hint="eastAsia"/>
        </w:rPr>
        <w:t>后，教育方面的经济状况在某种程度上保持稳定，但稳定在低于教育系统实际需要的水平。这就是这期间的教育成果虽然被评定为在给定条件下是令人满意的，但实际上落后</w:t>
      </w:r>
      <w:r>
        <w:rPr>
          <w:rFonts w:hint="eastAsia"/>
        </w:rPr>
        <w:t>于教育系统实际潜力的原因。</w:t>
      </w:r>
    </w:p>
    <w:p w:rsidR="00000000" w:rsidRDefault="00CF7517">
      <w:r>
        <w:tab/>
        <w:t xml:space="preserve">163.  </w:t>
      </w:r>
      <w:r>
        <w:rPr>
          <w:rFonts w:hint="eastAsia"/>
        </w:rPr>
        <w:t>黑山共和国目前正在按政府的方案进行教育制度的改革。改革从小学入手，将扩大到中学。持续时间</w:t>
      </w:r>
      <w:r>
        <w:t>5</w:t>
      </w:r>
      <w:r>
        <w:rPr>
          <w:rFonts w:hint="eastAsia"/>
        </w:rPr>
        <w:t>至</w:t>
      </w:r>
      <w:r>
        <w:t>6</w:t>
      </w:r>
      <w:r>
        <w:rPr>
          <w:rFonts w:hint="eastAsia"/>
        </w:rPr>
        <w:t>年。</w:t>
      </w:r>
    </w:p>
    <w:p w:rsidR="00000000" w:rsidRDefault="00CF7517">
      <w:r>
        <w:tab/>
        <w:t xml:space="preserve">164.  </w:t>
      </w:r>
      <w:r>
        <w:rPr>
          <w:rFonts w:hint="eastAsia"/>
        </w:rPr>
        <w:t>塞尔维亚共和国今后一段时期的发展，特别是经济、技术、科学和其他领域的变革，要求教育发展与社会需求进一步协调，要求对</w:t>
      </w:r>
      <w:r>
        <w:t>2000</w:t>
      </w:r>
      <w:r>
        <w:rPr>
          <w:rFonts w:hint="eastAsia"/>
        </w:rPr>
        <w:t>年前共和国教育发展的概念和政策作界定。教育面临的新的挑战首先是：必须要为教育确定新目标，特别是在人格发展以及个人与环境的联系方面的目标。</w:t>
      </w:r>
    </w:p>
    <w:p w:rsidR="00000000" w:rsidRDefault="00CF7517">
      <w:r>
        <w:tab/>
        <w:t xml:space="preserve">165.  </w:t>
      </w:r>
      <w:r>
        <w:rPr>
          <w:rFonts w:hint="eastAsia"/>
        </w:rPr>
        <w:t>学前教育的目标是为扩大学龄前儿童覆盖面创造和改善条件。推动关于学前儿童教育工作和教</w:t>
      </w:r>
      <w:r>
        <w:rPr>
          <w:rFonts w:hint="eastAsia"/>
        </w:rPr>
        <w:t>学活动方面的方案，可以创造更好的机会，建立学前教育与小学教育之间的联系。</w:t>
      </w:r>
    </w:p>
    <w:p w:rsidR="00000000" w:rsidRDefault="00CF7517">
      <w:r>
        <w:tab/>
        <w:t xml:space="preserve">166.  </w:t>
      </w:r>
      <w:r>
        <w:rPr>
          <w:rFonts w:hint="eastAsia"/>
        </w:rPr>
        <w:t>至于小学教育，将继续减少课程，特别是头四年级的课程，以保证课程与学生年龄和能力相适应，并与当代小学教育的需求相符，也要保证课程的方向是改进效果，加强师生的积极参与。在进一步发展小学教育中，将采取措施，控制消极现象，处理被忽视的儿童的问题；将促进学校对预防这种现象的作用，同时在儿童和青少年的教育和教学工作方面与家庭合作。</w:t>
      </w:r>
    </w:p>
    <w:p w:rsidR="00000000" w:rsidRDefault="00CF7517">
      <w:r>
        <w:tab/>
        <w:t xml:space="preserve">167.  </w:t>
      </w:r>
      <w:r>
        <w:rPr>
          <w:rFonts w:hint="eastAsia"/>
        </w:rPr>
        <w:t>将特别注意教师的教育和进修，因为教学方法的质量和现代化有赖于他们。特别重要的是，增加对学</w:t>
      </w:r>
      <w:r>
        <w:rPr>
          <w:rFonts w:hint="eastAsia"/>
        </w:rPr>
        <w:t>校设备和教育技术现代化的投资。</w:t>
      </w:r>
    </w:p>
    <w:p w:rsidR="00000000" w:rsidRDefault="00CF7517">
      <w:r>
        <w:tab/>
        <w:t xml:space="preserve">168.  </w:t>
      </w:r>
      <w:r>
        <w:rPr>
          <w:rFonts w:hint="eastAsia"/>
        </w:rPr>
        <w:t>在中学教育中，将继续努力调整中学网络及其能力，使之为整个社会的发展培训必要的人力资源。在这方面的打算是，中学招收所有读完小学的学生，同时也遵守对某些类别的学校招生数的规定。目标是在学生人数和学校组织、班级或教育小组的学生人数以及职业培训和实践的条件方面保持教学水准。某些学校和某几种职业培训的课程将予重新考虑，以保证它们得到更新，使学生得到更好的准备以及培训。课程的革新，特别是职业学校的课程革新，是改善中学教育的一项长期任务和重要先决条件。保证做到这一点的一个途径</w:t>
      </w:r>
      <w:r>
        <w:rPr>
          <w:rFonts w:hint="eastAsia"/>
        </w:rPr>
        <w:t>，是在中学里实行选修课程，使课程容易适应于社会需求和学生的兴趣。</w:t>
      </w:r>
    </w:p>
    <w:p w:rsidR="00000000" w:rsidRDefault="00CF7517">
      <w:r>
        <w:tab/>
        <w:t xml:space="preserve">169.  </w:t>
      </w:r>
      <w:r>
        <w:rPr>
          <w:rFonts w:hint="eastAsia"/>
        </w:rPr>
        <w:t>将按照社会经济发展的需要和可能性，创造各种必要条件，加紧发展高等教育，更直接地将教育和科学落实在实践中，提高高等教育的总体标准。</w:t>
      </w:r>
    </w:p>
    <w:p w:rsidR="00000000" w:rsidRDefault="00CF7517">
      <w:r>
        <w:tab/>
        <w:t xml:space="preserve">170.  </w:t>
      </w:r>
      <w:r>
        <w:rPr>
          <w:rFonts w:hint="eastAsia"/>
        </w:rPr>
        <w:t>教育经费由政府收入或私营部门提供。国家各级教育机构，从幼儿园到大学和研究院，其经费是从政府收入中支出的，私人院校是由私营部门出资的。</w:t>
      </w:r>
    </w:p>
    <w:p w:rsidR="00000000" w:rsidRDefault="00CF7517">
      <w:r>
        <w:tab/>
        <w:t xml:space="preserve">171.  </w:t>
      </w:r>
      <w:r>
        <w:rPr>
          <w:rFonts w:hint="eastAsia"/>
        </w:rPr>
        <w:t>共和国政府收入和市政预算是教育经费的最大最重要来源。除政府收入外，有些中学从非全日制学生的学费中得到一些收入，学院和中学后学校从得不到预算经</w:t>
      </w:r>
      <w:r>
        <w:rPr>
          <w:rFonts w:hint="eastAsia"/>
        </w:rPr>
        <w:t>费的学生所缴的学费中获得收入。这些机构获得的收入中还有住宿学生所缴的膳宿费用。学生服务及其住房主要由共和国预算供资，但学生住宿舍的膳宿费用不包括在内。</w:t>
      </w:r>
    </w:p>
    <w:p w:rsidR="00000000" w:rsidRDefault="00CF7517">
      <w:r>
        <w:tab/>
        <w:t xml:space="preserve">172.  </w:t>
      </w:r>
      <w:r>
        <w:rPr>
          <w:rFonts w:hint="eastAsia"/>
        </w:rPr>
        <w:t>中小学经费来自政府收入，即从共和国和市政预算中拨款。教学人员的工资和进修由共和国预算出资，中小学的部分维修费和投资也由共和国预算出资。中小学的经常性材料费以及部分维修建筑费由市政预算出资。塞尔维亚共和国预算中教育所占份额在</w:t>
      </w:r>
      <w:r>
        <w:t>1995</w:t>
      </w:r>
      <w:r>
        <w:rPr>
          <w:rFonts w:hint="eastAsia"/>
        </w:rPr>
        <w:t>年只有</w:t>
      </w:r>
      <w:r>
        <w:t>28.29%</w:t>
      </w:r>
      <w:r>
        <w:rPr>
          <w:rFonts w:hint="eastAsia"/>
        </w:rPr>
        <w:t>，而黑山则达到近</w:t>
      </w:r>
      <w:r>
        <w:t>40%</w:t>
      </w:r>
      <w:r>
        <w:rPr>
          <w:rFonts w:hint="eastAsia"/>
        </w:rPr>
        <w:t>。</w:t>
      </w:r>
    </w:p>
    <w:p w:rsidR="00000000" w:rsidRDefault="00CF7517">
      <w:r>
        <w:tab/>
        <w:t xml:space="preserve">173.  </w:t>
      </w:r>
      <w:r>
        <w:rPr>
          <w:rFonts w:hint="eastAsia"/>
        </w:rPr>
        <w:t>由于前一段时间工作条件困难，教育方面的最大部分支出花在经常</w:t>
      </w:r>
      <w:r>
        <w:rPr>
          <w:rFonts w:hint="eastAsia"/>
        </w:rPr>
        <w:t>性费用上。</w:t>
      </w:r>
      <w:r>
        <w:t>1995</w:t>
      </w:r>
      <w:r>
        <w:rPr>
          <w:rFonts w:hint="eastAsia"/>
        </w:rPr>
        <w:t>年，拨给教育的经费总额中有</w:t>
      </w:r>
      <w:r>
        <w:t>95.28%</w:t>
      </w:r>
      <w:r>
        <w:rPr>
          <w:rFonts w:hint="eastAsia"/>
        </w:rPr>
        <w:t>花在教育机构的工资和经常性材料费上，只有</w:t>
      </w:r>
      <w:r>
        <w:t>4.72%</w:t>
      </w:r>
      <w:r>
        <w:rPr>
          <w:rFonts w:hint="eastAsia"/>
        </w:rPr>
        <w:t>花在投资上。相当一部分的经费拨给保健、文化中心、出版活动、体育和类似的中小学生的活动。</w:t>
      </w:r>
      <w:r>
        <w:t>1995</w:t>
      </w:r>
      <w:r>
        <w:rPr>
          <w:rFonts w:hint="eastAsia"/>
        </w:rPr>
        <w:t>年，国家提供</w:t>
      </w:r>
      <w:r>
        <w:t>85.81%</w:t>
      </w:r>
      <w:r>
        <w:rPr>
          <w:rFonts w:hint="eastAsia"/>
        </w:rPr>
        <w:t>的教育经费。其余的来自私人收入</w:t>
      </w:r>
      <w:r>
        <w:t>(</w:t>
      </w:r>
      <w:r>
        <w:rPr>
          <w:rFonts w:hint="eastAsia"/>
        </w:rPr>
        <w:t>学费</w:t>
      </w:r>
      <w:r>
        <w:t>)</w:t>
      </w:r>
      <w:r>
        <w:rPr>
          <w:rFonts w:hint="eastAsia"/>
        </w:rPr>
        <w:t>。</w:t>
      </w:r>
    </w:p>
    <w:p w:rsidR="00000000" w:rsidRDefault="00CF7517">
      <w:r>
        <w:tab/>
        <w:t xml:space="preserve">174.  </w:t>
      </w:r>
      <w:r>
        <w:rPr>
          <w:rFonts w:hint="eastAsia"/>
        </w:rPr>
        <w:t>《南斯拉夫联盟共和国宪法》和法律保证公民不管姓别、社会背景等等，都能平等获得教育。在接受教育方面，没有性别歧视。所有的学校都是男女同校。同样，学生的社会背景或学校选址方面也没有区别对待。这就是说，同样的法律、课程和规则适用于城乡地区</w:t>
      </w:r>
      <w:r>
        <w:rPr>
          <w:rFonts w:hint="eastAsia"/>
        </w:rPr>
        <w:t>的所有学校。为农村学校发起的活动首先是为了协助这些学校获得更好的设备，能够利用现代化教具，并使师生获得教育发展和改善方面的必要信息。</w:t>
      </w:r>
    </w:p>
    <w:p w:rsidR="00000000" w:rsidRDefault="00CF7517">
      <w:r>
        <w:tab/>
        <w:t xml:space="preserve">175.  </w:t>
      </w:r>
      <w:r>
        <w:rPr>
          <w:rFonts w:hint="eastAsia"/>
        </w:rPr>
        <w:t>中小学生的助学金制度是由另一项法律规定的，适用于所有年轻人。助学金发放的一个基本标准，是中小学生的物质状况。为智商和天赋高的学生设有特别的奖学金，适用于他们的最重要标准是他们的才能和成绩。</w:t>
      </w:r>
    </w:p>
    <w:p w:rsidR="00000000" w:rsidRDefault="00CF7517">
      <w:r>
        <w:tab/>
        <w:t xml:space="preserve">176.  </w:t>
      </w:r>
      <w:r>
        <w:rPr>
          <w:rFonts w:hint="eastAsia"/>
        </w:rPr>
        <w:t>课程确定教育目标、任务和内容；教育期限；学生入学年龄；一个班级的学生数等等。对于残疾学生，可以找到有同一种残疾的儿童可以获得学前和中小学教育的特殊学校。南斯拉夫</w:t>
      </w:r>
      <w:r>
        <w:rPr>
          <w:rFonts w:hint="eastAsia"/>
        </w:rPr>
        <w:t>联盟共和国几乎所有残疾儿童都能得到小学教育。难民儿童与出生于南斯拉夫联盟共和国的儿童一样得到同等的待遇，有同等的机会接受教育。</w:t>
      </w:r>
    </w:p>
    <w:p w:rsidR="00000000" w:rsidRDefault="00CF7517">
      <w:r>
        <w:tab/>
        <w:t xml:space="preserve">177.  </w:t>
      </w:r>
      <w:r>
        <w:rPr>
          <w:rFonts w:hint="eastAsia"/>
        </w:rPr>
        <w:t>少数民族在他们所居住的地区正式使用自己的语言和文字。《宪法》规定，属于少数民族的人有权接受母语教育。另外有关于儿童社会保护、小学、中学、中学后学校、大学的法律以及关于中小学生的服务及其住房的法律较详细地阐述和规定少数民族语言教育的权利。对属于少数民族的人的教育以下列语言按照适用的法律作安排：阿尔巴尼亚语、匈牙利语、斯洛伐克语、罗马尼亚语、鲁塞尼亚语、保加利亚语、土耳其</w:t>
      </w:r>
      <w:r>
        <w:rPr>
          <w:rFonts w:hint="eastAsia"/>
        </w:rPr>
        <w:t>语，在黑山是阿尔巴尼亚语。在有法律条件以少数民族语言开展教育的社区，教学用它们的语言安排；在不同民族合居的社区，也可以安排双语教学。因此，目前在塞尔维亚共和国，对属于少数民族的人的教学以三种方式安排：</w:t>
      </w:r>
      <w:r>
        <w:t xml:space="preserve">(1) </w:t>
      </w:r>
      <w:r>
        <w:rPr>
          <w:rFonts w:hint="eastAsia"/>
        </w:rPr>
        <w:t>用母语；</w:t>
      </w:r>
      <w:r>
        <w:t xml:space="preserve">(2) </w:t>
      </w:r>
      <w:r>
        <w:rPr>
          <w:rFonts w:hint="eastAsia"/>
        </w:rPr>
        <w:t>用两种语言；</w:t>
      </w:r>
      <w:r>
        <w:t xml:space="preserve">(3) </w:t>
      </w:r>
      <w:r>
        <w:rPr>
          <w:rFonts w:hint="eastAsia"/>
        </w:rPr>
        <w:t>用塞尔维亚语，母语和民族文化另外学习。如果学生不够，或者正规学校</w:t>
      </w:r>
      <w:r>
        <w:t>/</w:t>
      </w:r>
      <w:r>
        <w:rPr>
          <w:rFonts w:hint="eastAsia"/>
        </w:rPr>
        <w:t>班级没有适当的条件，则在特殊学校或特殊班级中安排这种形式的教学。</w:t>
      </w:r>
    </w:p>
    <w:p w:rsidR="00000000" w:rsidRDefault="00CF7517">
      <w:r>
        <w:tab/>
        <w:t xml:space="preserve">178.  </w:t>
      </w:r>
      <w:r>
        <w:rPr>
          <w:rFonts w:hint="eastAsia"/>
        </w:rPr>
        <w:t>在学前机构，父母表明他们喜欢哪一种少数民族语言的教育。这些机构的教育活动按自己的条例进行，学校将学生所学的语言方面的情况通</w:t>
      </w:r>
      <w:r>
        <w:rPr>
          <w:rFonts w:hint="eastAsia"/>
        </w:rPr>
        <w:t>知家长。落实《少数民族语言教育方案原则》的方式和条件由教育部长规定了。这些原则是塞尔维亚学前儿童综合方案的一个组成部分，其依据是关于少数民族在教育和文化方面的权利的国际文书以及《儿童权利公约》和欧洲委员会的建议。学前机构的少数民族语言教育方案由在有关语言方面获得适当学位的教育者执行，如果没有获得适当的学位，那么他或她则必须在有关的中学后学校或院校参加这种语言的考试。</w:t>
      </w:r>
    </w:p>
    <w:p w:rsidR="00000000" w:rsidRDefault="00CF7517">
      <w:r>
        <w:tab/>
        <w:t xml:space="preserve">179.  </w:t>
      </w:r>
      <w:r>
        <w:rPr>
          <w:rFonts w:hint="eastAsia"/>
        </w:rPr>
        <w:t>法律规定，属于少数民族的人的小学课程，如果在一年级至少有</w:t>
      </w:r>
      <w:r>
        <w:t>15</w:t>
      </w:r>
      <w:r>
        <w:rPr>
          <w:rFonts w:hint="eastAsia"/>
        </w:rPr>
        <w:t>名学生入学，那么则按他们的母语或用双语教授。如果学生数不足</w:t>
      </w:r>
      <w:r>
        <w:t>15</w:t>
      </w:r>
      <w:r>
        <w:rPr>
          <w:rFonts w:hint="eastAsia"/>
        </w:rPr>
        <w:t>人，学</w:t>
      </w:r>
      <w:r>
        <w:rPr>
          <w:rFonts w:hint="eastAsia"/>
        </w:rPr>
        <w:t>校也可以经教育部长的允许，用一种少数民族语言教课，但是，教育部长规定教授双语课的方式。在用少数民族语言教学的学校，学生每星期上二次塞尔维亚语课。塞尔维亚语还可以作为另一门学科教授，从小学一年级开始。在用塞尔维亚语教学的班级，属于少数民族的学生可以学习自己的母语以及他们的民族文化</w:t>
      </w:r>
      <w:r>
        <w:t>(</w:t>
      </w:r>
      <w:r>
        <w:rPr>
          <w:rFonts w:hint="eastAsia"/>
        </w:rPr>
        <w:t>每周二节课</w:t>
      </w:r>
      <w:r>
        <w:t>)</w:t>
      </w:r>
      <w:r>
        <w:rPr>
          <w:rFonts w:hint="eastAsia"/>
        </w:rPr>
        <w:t>。母语和母语文学的教授，也可以从小学一年级起，另作一个科目安排。学习母语和母语文化的同时，也学习民族文化、艺术和历史。</w:t>
      </w:r>
    </w:p>
    <w:p w:rsidR="00000000" w:rsidRDefault="00CF7517">
      <w:r>
        <w:tab/>
        <w:t xml:space="preserve">180.  </w:t>
      </w:r>
      <w:r>
        <w:rPr>
          <w:rFonts w:hint="eastAsia"/>
        </w:rPr>
        <w:t>如果教学条件</w:t>
      </w:r>
      <w:r>
        <w:t>(</w:t>
      </w:r>
      <w:r>
        <w:rPr>
          <w:rFonts w:hint="eastAsia"/>
        </w:rPr>
        <w:t>如场所、组织、人员等等</w:t>
      </w:r>
      <w:r>
        <w:t>)</w:t>
      </w:r>
      <w:r>
        <w:rPr>
          <w:rFonts w:hint="eastAsia"/>
        </w:rPr>
        <w:t>允许，并有足够数量的学生希望学习母语，那么可以用</w:t>
      </w:r>
      <w:r>
        <w:rPr>
          <w:rFonts w:hint="eastAsia"/>
        </w:rPr>
        <w:t>少数民族语言进行中学教育。《中学法》设想的一个重要的前提条件是法定学生数。中学的教学，可以用某一少数民族的语言或者用两种语言进行，如果至少有</w:t>
      </w:r>
      <w:r>
        <w:t>15</w:t>
      </w:r>
      <w:r>
        <w:rPr>
          <w:rFonts w:hint="eastAsia"/>
        </w:rPr>
        <w:t>名学生这样决定。学校也可以为班内较少的学生安排少数民族语言的教学，但要经过教育部长的批准，而且要有基本的教学条件。中学教育有下列少数民族语言的教学安排：塞尔维亚共和国有阿尔巴尼亚语、罗马尼亚语、土耳其语、鲁塞尼亚语和斯洛伐克语，在黑山有阿尔巴尼亚语。如果保加利亚少数民族成员愿意，他们的儿童也可以得到双语教育。</w:t>
      </w:r>
    </w:p>
    <w:p w:rsidR="00000000" w:rsidRDefault="00CF7517">
      <w:r>
        <w:tab/>
        <w:t xml:space="preserve">181.  </w:t>
      </w:r>
      <w:r>
        <w:rPr>
          <w:rFonts w:hint="eastAsia"/>
        </w:rPr>
        <w:t>《中学法》允许属于少数民族的人用他们在小学</w:t>
      </w:r>
      <w:r>
        <w:rPr>
          <w:rFonts w:hint="eastAsia"/>
        </w:rPr>
        <w:t>所学的语言参加中学一年级的入学考试。</w:t>
      </w:r>
    </w:p>
    <w:p w:rsidR="00000000" w:rsidRDefault="00CF7517">
      <w:r>
        <w:tab/>
        <w:t xml:space="preserve">182.  </w:t>
      </w:r>
      <w:r>
        <w:rPr>
          <w:rFonts w:hint="eastAsia"/>
        </w:rPr>
        <w:t>南斯拉夫联盟共和国的所有公民，不管他们属何民族，均可以按照法律和其他条例在学院或大学中学习。申请入大学的人必须要达到的基本条件由关于学院和大学教育的法律规定，这些机构的章程对此有较详细的规定。根据《学院法》和《大学法》，学院、学校或大学可以用少数民族的语言教学。这种决定必须得到共和国政府的批准。塞尔维亚各大学安排对要在双语学校或班里工作的教师的必要培训。</w:t>
      </w:r>
    </w:p>
    <w:p w:rsidR="00000000" w:rsidRDefault="00CF7517">
      <w:r>
        <w:tab/>
        <w:t xml:space="preserve">183.  </w:t>
      </w:r>
      <w:r>
        <w:rPr>
          <w:rFonts w:hint="eastAsia"/>
        </w:rPr>
        <w:t>教育制度的变化以及教育方面的总体情况，决定了教师在教育过程各阶段的地位、作用和参与情况。</w:t>
      </w:r>
      <w:r>
        <w:rPr>
          <w:rFonts w:hint="eastAsia"/>
        </w:rPr>
        <w:t>物质工作条件困难，教具缺乏，学生人数多，包括难民，工资低，在过去几年里对教师们造成了一些问题。有些教师离开学校，寻找工资较高的工作。塞尔维亚的中小学都特别严重缺乏数学、英语、信息学、音乐、艺术、计算机等等方面的教职人员。在这期间，一些年轻的助教和大学教授辞职，因此大学也缺乏年轻教师。</w:t>
      </w:r>
    </w:p>
    <w:p w:rsidR="00000000" w:rsidRDefault="00CF7517">
      <w:r>
        <w:tab/>
        <w:t xml:space="preserve">184.  </w:t>
      </w:r>
      <w:r>
        <w:rPr>
          <w:rFonts w:hint="eastAsia"/>
        </w:rPr>
        <w:t>大多数学校</w:t>
      </w:r>
      <w:r>
        <w:t>(99%)</w:t>
      </w:r>
      <w:r>
        <w:rPr>
          <w:rFonts w:hint="eastAsia"/>
        </w:rPr>
        <w:t>为公立学校。法律也设想创立私立学校。《儿童社会保护法》允许创立私立的学前机构。它们必须达到与公立机构同样的条件。自然人可以根据《小学法》设想的条件创立初级音乐和芭蕾舞学校。教育部确定私立学校是</w:t>
      </w:r>
      <w:r>
        <w:rPr>
          <w:rFonts w:hint="eastAsia"/>
        </w:rPr>
        <w:t>否达到了所有的条件以及何时可以开始工作。如果校舍、设备、教职人员等等方面的所有法律条件已达到，自然人也可以创立中学。教育部对所有这些学校进行了行政和职业监督。《两年制中学后学校法》和《大学法》均设想设立私立大学，但要经共和国政府批准。设立私立大学的条件与公立机构的条件相同。</w:t>
      </w:r>
    </w:p>
    <w:p w:rsidR="00000000" w:rsidRDefault="00CF7517">
      <w:r>
        <w:tab/>
        <w:t xml:space="preserve">185.  </w:t>
      </w:r>
      <w:r>
        <w:rPr>
          <w:rFonts w:hint="eastAsia"/>
        </w:rPr>
        <w:t>关于教育系统的法律中与教育机构的运作和教学本身有关的、，适用于国立机构的所有规定也适用于私立学校和私立大学。</w:t>
      </w:r>
    </w:p>
    <w:p w:rsidR="00000000" w:rsidRDefault="00CF7517">
      <w:r>
        <w:tab/>
        <w:t xml:space="preserve">186.  </w:t>
      </w:r>
      <w:r>
        <w:rPr>
          <w:rFonts w:hint="eastAsia"/>
        </w:rPr>
        <w:t>就管理而言，学校创办者选择学校董事会董事和校长以及大学理事会的一半成员。贝尔格莱德有一所私立中学，</w:t>
      </w:r>
      <w:r>
        <w:rPr>
          <w:rFonts w:hint="eastAsia"/>
        </w:rPr>
        <w:t>约有</w:t>
      </w:r>
      <w:r>
        <w:t>100</w:t>
      </w:r>
      <w:r>
        <w:rPr>
          <w:rFonts w:hint="eastAsia"/>
        </w:rPr>
        <w:t>名学生。还有二所两年制私立中学后学校，三所学院，一所大学，有</w:t>
      </w:r>
      <w:r>
        <w:t>234</w:t>
      </w:r>
      <w:r>
        <w:rPr>
          <w:rFonts w:hint="eastAsia"/>
        </w:rPr>
        <w:t>名学生</w:t>
      </w:r>
      <w:r>
        <w:t>(1995-96</w:t>
      </w:r>
      <w:r>
        <w:rPr>
          <w:rFonts w:hint="eastAsia"/>
        </w:rPr>
        <w:t>年的数据</w:t>
      </w:r>
      <w:r>
        <w:t>)</w:t>
      </w:r>
      <w:r>
        <w:rPr>
          <w:rFonts w:hint="eastAsia"/>
        </w:rPr>
        <w:t>。私立中学采用与国立中学同样的课程。经教育部批准后，大学采用了自己的课程。</w:t>
      </w:r>
    </w:p>
    <w:p w:rsidR="00000000" w:rsidRDefault="00CF7517">
      <w:r>
        <w:tab/>
        <w:t xml:space="preserve">187.  </w:t>
      </w:r>
      <w:r>
        <w:rPr>
          <w:rFonts w:hint="eastAsia"/>
        </w:rPr>
        <w:t>中学一年级招生人数和大学入学人数方面的决定由这些机构的创办者和管理机关独立作出。</w:t>
      </w:r>
    </w:p>
    <w:p w:rsidR="00000000" w:rsidRDefault="00CF7517"/>
    <w:p w:rsidR="00000000" w:rsidRDefault="00CF7517">
      <w:pPr>
        <w:pStyle w:val="Heading3"/>
      </w:pPr>
      <w:r>
        <w:rPr>
          <w:rFonts w:hint="eastAsia"/>
        </w:rPr>
        <w:t>第</w:t>
      </w:r>
      <w:r>
        <w:t xml:space="preserve"> 15 </w:t>
      </w:r>
      <w:r>
        <w:rPr>
          <w:rFonts w:hint="eastAsia"/>
        </w:rPr>
        <w:t>条</w:t>
      </w:r>
    </w:p>
    <w:p w:rsidR="00000000" w:rsidRDefault="00CF7517">
      <w:r>
        <w:tab/>
        <w:t xml:space="preserve">188.  </w:t>
      </w:r>
      <w:r>
        <w:rPr>
          <w:rFonts w:hint="eastAsia"/>
        </w:rPr>
        <w:t>南斯拉夫联盟共和国有必要在科技发展领域确定一些政策，通过和落实联盟法、其它规章和一般性条例。根据这一原则，联盟政府通过了一项决议</w:t>
      </w:r>
      <w:r>
        <w:t>(1993</w:t>
      </w:r>
      <w:r>
        <w:rPr>
          <w:rFonts w:hint="eastAsia"/>
        </w:rPr>
        <w:t>年</w:t>
      </w:r>
      <w:r>
        <w:t>)</w:t>
      </w:r>
      <w:r>
        <w:rPr>
          <w:rFonts w:hint="eastAsia"/>
        </w:rPr>
        <w:t>，其中规定了：科技发展的目标、原则和方案；在财政和其它方面对</w:t>
      </w:r>
      <w:r>
        <w:rPr>
          <w:rFonts w:hint="eastAsia"/>
        </w:rPr>
        <w:t>落实科技发展政策的奖励；咨询机构和其它团体以及数据库；对科技发展政策落实情况和国家科学研究制度的评估；科技发展政策的规划和监测；与成员共和国的合作。</w:t>
      </w:r>
    </w:p>
    <w:p w:rsidR="00000000" w:rsidRDefault="00CF7517">
      <w:r>
        <w:tab/>
        <w:t xml:space="preserve">189.  </w:t>
      </w:r>
      <w:r>
        <w:rPr>
          <w:rFonts w:hint="eastAsia"/>
        </w:rPr>
        <w:t>根据科技发展政策，南斯拉夫联盟共和国《科技发展融资法》于</w:t>
      </w:r>
      <w:r>
        <w:t>1993</w:t>
      </w:r>
      <w:r>
        <w:rPr>
          <w:rFonts w:hint="eastAsia"/>
        </w:rPr>
        <w:t>年通过，对联盟科技发展资产的提供和目的及其使用的条件和方式、监测和执行科技活动以及结果的评估和应用等问题作了规定。该法在落实科技发展政策方面设想了四类方案，即：科技研究员方案、公共研究基础设施建立方案、人员培训和组织基础设施方案以及国际科技合作方案。</w:t>
      </w:r>
    </w:p>
    <w:p w:rsidR="00000000" w:rsidRDefault="00CF7517">
      <w:r>
        <w:tab/>
        <w:t xml:space="preserve">190.  </w:t>
      </w:r>
      <w:r>
        <w:rPr>
          <w:rFonts w:hint="eastAsia"/>
        </w:rPr>
        <w:t>联盟一级的科技发展</w:t>
      </w:r>
      <w:r>
        <w:rPr>
          <w:rFonts w:hint="eastAsia"/>
        </w:rPr>
        <w:t>融资在法律意义上与欧共体一样。但实际上，这一制度尽管已运作了三年多，仍然没有最后定下来，所有的组成部分也没有达到同样的发展程度。联盟政府科技发展政策设想的咨询体制机制也没有充分发展。</w:t>
      </w:r>
    </w:p>
    <w:p w:rsidR="00000000" w:rsidRDefault="00CF7517">
      <w:r>
        <w:tab/>
        <w:t xml:space="preserve">191.  </w:t>
      </w:r>
      <w:r>
        <w:rPr>
          <w:rFonts w:hint="eastAsia"/>
        </w:rPr>
        <w:t>应该指出，除了科学</w:t>
      </w:r>
      <w:r>
        <w:t>/</w:t>
      </w:r>
      <w:r>
        <w:rPr>
          <w:rFonts w:hint="eastAsia"/>
        </w:rPr>
        <w:t>专业能力标准外，规章本身及其应用从未承认过联盟科技发展活动预算资产拨款的其它标准。资金的分配以能力以及提议的活动对联盟政府科技发展政策的重要性为基础，不管申请人的民族、政治和区域渊源。</w:t>
      </w:r>
    </w:p>
    <w:p w:rsidR="00000000" w:rsidRDefault="00CF7517">
      <w:r>
        <w:tab/>
        <w:t xml:space="preserve">192.  </w:t>
      </w:r>
      <w:r>
        <w:rPr>
          <w:rFonts w:hint="eastAsia"/>
        </w:rPr>
        <w:t>这项制度从一开始就遇到了极其不利的财政情况，严重阻碍了它的发展和完成。</w:t>
      </w:r>
    </w:p>
    <w:p w:rsidR="00000000" w:rsidRDefault="00CF7517">
      <w:r>
        <w:tab/>
        <w:t xml:space="preserve">193.  </w:t>
      </w:r>
      <w:r>
        <w:rPr>
          <w:rFonts w:hint="eastAsia"/>
        </w:rPr>
        <w:t>科技发展</w:t>
      </w:r>
      <w:r>
        <w:rPr>
          <w:rFonts w:hint="eastAsia"/>
        </w:rPr>
        <w:t>制度的一个特殊部分是传播有关所取得的成果和使用这种成果的可能性的资料，这些成果是联盟共和国的财产，被认为是公物。资金短缺，造成这部分系统的工作人员的短缺，以及落实研究项目的延误</w:t>
      </w:r>
      <w:r>
        <w:t>(</w:t>
      </w:r>
      <w:r>
        <w:rPr>
          <w:rFonts w:hint="eastAsia"/>
        </w:rPr>
        <w:t>也因资金短缺所致</w:t>
      </w:r>
      <w:r>
        <w:t>)</w:t>
      </w:r>
      <w:r>
        <w:rPr>
          <w:rFonts w:hint="eastAsia"/>
        </w:rPr>
        <w:t>，都是这部分系统发展水平低的原因。</w:t>
      </w:r>
    </w:p>
    <w:p w:rsidR="00000000" w:rsidRDefault="00CF7517">
      <w:r>
        <w:tab/>
        <w:t xml:space="preserve">194.  </w:t>
      </w:r>
      <w:r>
        <w:rPr>
          <w:rFonts w:hint="eastAsia"/>
        </w:rPr>
        <w:t>成员共和国的宪法保证艺术和科学作品创造和出版以及科技发现的自由，创造者的精神权利和产权得到保障。《宪法》规定，国家必须支持和促进教育、科学、文化和艺术的发展，保护科学、文化和艺术价值。《联盟宪法》</w:t>
      </w:r>
      <w:r>
        <w:t>(</w:t>
      </w:r>
      <w:r>
        <w:rPr>
          <w:rFonts w:hint="eastAsia"/>
        </w:rPr>
        <w:t>第</w:t>
      </w:r>
      <w:r>
        <w:t>53</w:t>
      </w:r>
      <w:r>
        <w:rPr>
          <w:rFonts w:hint="eastAsia"/>
        </w:rPr>
        <w:t>条</w:t>
      </w:r>
      <w:r>
        <w:t>)</w:t>
      </w:r>
      <w:r>
        <w:rPr>
          <w:rFonts w:hint="eastAsia"/>
        </w:rPr>
        <w:t>保障科学和艺术作品作者的精神权利和物质权利，并规定行使和保</w:t>
      </w:r>
      <w:r>
        <w:rPr>
          <w:rFonts w:hint="eastAsia"/>
        </w:rPr>
        <w:t>护这些权利的方式由联盟法管制。因此，文学、科学和艺术作品作者的精神和物质权利由《版权法》管制，发明者的精神和物质权利由《专利法》管制，工业创造者的精神和物质权利由《模型和样品法》管制。</w:t>
      </w:r>
      <w:r>
        <w:t>1996</w:t>
      </w:r>
      <w:r>
        <w:rPr>
          <w:rFonts w:hint="eastAsia"/>
        </w:rPr>
        <w:t>年</w:t>
      </w:r>
      <w:r>
        <w:t>9</w:t>
      </w:r>
      <w:r>
        <w:rPr>
          <w:rFonts w:hint="eastAsia"/>
        </w:rPr>
        <w:t>月，联盟政府通过了《版权及有关权利法案》，使这些权利与最新的国际规章</w:t>
      </w:r>
      <w:r>
        <w:t>(</w:t>
      </w:r>
      <w:r>
        <w:rPr>
          <w:rFonts w:hint="eastAsia"/>
        </w:rPr>
        <w:t>《知识产权的贸易方面协议》、欧盟条例和世界知识产权组织的建议</w:t>
      </w:r>
      <w:r>
        <w:t>)</w:t>
      </w:r>
      <w:r>
        <w:rPr>
          <w:rFonts w:hint="eastAsia"/>
        </w:rPr>
        <w:t>保持一致。联盟议会即将通过这项法案。该法律设想更有效地保护软件、数据库和信息技术方面的其它知识及权利。</w:t>
      </w:r>
    </w:p>
    <w:p w:rsidR="00000000" w:rsidRDefault="00CF7517">
      <w:r>
        <w:tab/>
        <w:t xml:space="preserve">195.  </w:t>
      </w:r>
      <w:r>
        <w:rPr>
          <w:rFonts w:hint="eastAsia"/>
        </w:rPr>
        <w:t>南联盟是下列国际公约的成员：</w:t>
      </w:r>
    </w:p>
    <w:p w:rsidR="00000000" w:rsidRDefault="00CF7517">
      <w:pPr>
        <w:ind w:left="1036"/>
      </w:pPr>
      <w:r>
        <w:tab/>
      </w:r>
      <w:r>
        <w:rPr>
          <w:rFonts w:hint="eastAsia"/>
        </w:rPr>
        <w:t>版权领域</w:t>
      </w:r>
      <w:r>
        <w:rPr>
          <w:rFonts w:hint="eastAsia"/>
          <w:spacing w:val="-40"/>
        </w:rPr>
        <w:t>——</w:t>
      </w:r>
      <w:r>
        <w:t xml:space="preserve"> </w:t>
      </w:r>
      <w:r>
        <w:rPr>
          <w:rFonts w:hint="eastAsia"/>
        </w:rPr>
        <w:t>《</w:t>
      </w:r>
      <w:r>
        <w:t>1886</w:t>
      </w:r>
      <w:r>
        <w:rPr>
          <w:rFonts w:hint="eastAsia"/>
        </w:rPr>
        <w:t>年保护文学</w:t>
      </w:r>
      <w:r>
        <w:rPr>
          <w:rFonts w:hint="eastAsia"/>
        </w:rPr>
        <w:t>艺术作品伯尔尼公约》和《</w:t>
      </w:r>
      <w:r>
        <w:t>1952</w:t>
      </w:r>
      <w:r>
        <w:rPr>
          <w:rFonts w:hint="eastAsia"/>
        </w:rPr>
        <w:t>年世界产权公约》；</w:t>
      </w:r>
    </w:p>
    <w:p w:rsidR="00000000" w:rsidRDefault="00CF7517">
      <w:pPr>
        <w:ind w:left="1036"/>
      </w:pPr>
      <w:r>
        <w:tab/>
      </w:r>
      <w:r>
        <w:rPr>
          <w:rFonts w:hint="eastAsia"/>
        </w:rPr>
        <w:t>发明者权利领域</w:t>
      </w:r>
      <w:r>
        <w:rPr>
          <w:rFonts w:hint="eastAsia"/>
          <w:spacing w:val="-40"/>
        </w:rPr>
        <w:t>——</w:t>
      </w:r>
      <w:r>
        <w:t xml:space="preserve"> </w:t>
      </w:r>
      <w:r>
        <w:rPr>
          <w:rFonts w:hint="eastAsia"/>
        </w:rPr>
        <w:t>《</w:t>
      </w:r>
      <w:r>
        <w:t>1883</w:t>
      </w:r>
      <w:r>
        <w:rPr>
          <w:rFonts w:hint="eastAsia"/>
        </w:rPr>
        <w:t>年保护工业产权巴黎公约》和《</w:t>
      </w:r>
      <w:r>
        <w:t>1970</w:t>
      </w:r>
      <w:r>
        <w:rPr>
          <w:rFonts w:hint="eastAsia"/>
        </w:rPr>
        <w:t>年专利合作条约》；</w:t>
      </w:r>
    </w:p>
    <w:p w:rsidR="00000000" w:rsidRDefault="00CF7517">
      <w:pPr>
        <w:ind w:left="1036"/>
      </w:pPr>
      <w:r>
        <w:tab/>
      </w:r>
      <w:r>
        <w:rPr>
          <w:rFonts w:hint="eastAsia"/>
        </w:rPr>
        <w:t>模型与样品保护领域</w:t>
      </w:r>
      <w:r>
        <w:rPr>
          <w:rFonts w:hint="eastAsia"/>
          <w:spacing w:val="-40"/>
        </w:rPr>
        <w:t>——</w:t>
      </w:r>
      <w:r>
        <w:t xml:space="preserve"> </w:t>
      </w:r>
      <w:r>
        <w:rPr>
          <w:rFonts w:hint="eastAsia"/>
        </w:rPr>
        <w:t>《</w:t>
      </w:r>
      <w:r>
        <w:t>1925</w:t>
      </w:r>
      <w:r>
        <w:rPr>
          <w:rFonts w:hint="eastAsia"/>
        </w:rPr>
        <w:t>年工业品外观设计国际保存海牙协定》。</w:t>
      </w:r>
    </w:p>
    <w:p w:rsidR="00000000" w:rsidRDefault="00CF7517">
      <w:r>
        <w:tab/>
        <w:t xml:space="preserve">196.  </w:t>
      </w:r>
      <w:r>
        <w:rPr>
          <w:rFonts w:hint="eastAsia"/>
        </w:rPr>
        <w:t>在作者权利和工业产权的保护方面，其它国家的公民根据国际合同和互惠原则享有与南斯拉夫公民同样的权利。南联盟是《巴黎公约》和《伯尔尼公约》的签署国，因此这两项公约签署国的所有公民享有同等待遇。互惠原则适用于其它国家的公民。</w:t>
      </w:r>
    </w:p>
    <w:p w:rsidR="00000000" w:rsidRDefault="00CF7517">
      <w:r>
        <w:tab/>
        <w:t xml:space="preserve">197.  </w:t>
      </w:r>
      <w:r>
        <w:rPr>
          <w:rFonts w:hint="eastAsia"/>
        </w:rPr>
        <w:t>在南斯拉夫科技信息系统的发展方面作出了努力，因为这</w:t>
      </w:r>
      <w:r>
        <w:rPr>
          <w:rFonts w:hint="eastAsia"/>
        </w:rPr>
        <w:t>是研究人员和南斯拉夫经济所必需的基础结构。这一基础结构包括连接各大学和各科学研究组织并与全世界类似网络和系统联系的单一计算机网络。</w:t>
      </w:r>
    </w:p>
    <w:p w:rsidR="00000000" w:rsidRDefault="00CF7517">
      <w:r>
        <w:tab/>
        <w:t xml:space="preserve">198.  </w:t>
      </w:r>
      <w:r>
        <w:rPr>
          <w:rFonts w:hint="eastAsia"/>
        </w:rPr>
        <w:t>联盟政府为进一步发展信息学制订了一项包括</w:t>
      </w:r>
      <w:r>
        <w:t>60</w:t>
      </w:r>
      <w:r>
        <w:rPr>
          <w:rFonts w:hint="eastAsia"/>
        </w:rPr>
        <w:t>项措施的战略，除其他外将有助于建立国家信息基础结构和战略信息系统，向所有人提供信息服务，保护文化和民族特性，保证言论自由、通讯、安全和保护隐私的权利。</w:t>
      </w:r>
    </w:p>
    <w:p w:rsidR="00000000" w:rsidRDefault="00CF7517">
      <w:r>
        <w:tab/>
        <w:t xml:space="preserve">199.  </w:t>
      </w:r>
      <w:r>
        <w:rPr>
          <w:rFonts w:hint="eastAsia"/>
        </w:rPr>
        <w:t>文化问题属于成员共和国的职权范围。不象其他领域通常只有一项或几乎没有基本法律，文化领域有若干所谓的基本法律。</w:t>
      </w:r>
    </w:p>
    <w:p w:rsidR="00000000" w:rsidRDefault="00CF7517">
      <w:r>
        <w:tab/>
        <w:t xml:space="preserve">200.  </w:t>
      </w:r>
      <w:r>
        <w:rPr>
          <w:rFonts w:hint="eastAsia"/>
        </w:rPr>
        <w:t>在塞尔维亚共和国，《文化公益事务</w:t>
      </w:r>
      <w:r>
        <w:rPr>
          <w:rFonts w:hint="eastAsia"/>
        </w:rPr>
        <w:t>法》具有</w:t>
      </w:r>
      <w:r>
        <w:t>22</w:t>
      </w:r>
      <w:r>
        <w:rPr>
          <w:rFonts w:hint="eastAsia"/>
        </w:rPr>
        <w:t>个细目。该法列出了最重要文化机构、共和国资助的若干文化活动或部分活动、各种文化庆典、少数民族文化、国际文化合作、向青年艺术家提供的援助、盲人的出版活动。还有些活动通过私人，按市场法则、当地自治原则、赞助、捐赠等方式，或者通过公民协会、少数民族文化教育组织等形式来举行。立法者希望对那些对社会具有特别重要性的文化领域作出全面的规定，并授权文化部管理这些领域。</w:t>
      </w:r>
    </w:p>
    <w:p w:rsidR="00000000" w:rsidRDefault="00CF7517">
      <w:r>
        <w:tab/>
        <w:t xml:space="preserve">201.  </w:t>
      </w:r>
      <w:r>
        <w:rPr>
          <w:rFonts w:hint="eastAsia"/>
        </w:rPr>
        <w:t>我们仅举几项法律。根据</w:t>
      </w:r>
      <w:r>
        <w:t>1994</w:t>
      </w:r>
      <w:r>
        <w:rPr>
          <w:rFonts w:hint="eastAsia"/>
        </w:rPr>
        <w:t>年的《图书管理员法》，这项活动是一个单一的系统，包括当地图书馆出借书籍、单一的图书馆登记册、图书保</w:t>
      </w:r>
      <w:r>
        <w:rPr>
          <w:rFonts w:hint="eastAsia"/>
        </w:rPr>
        <w:t>护规则、图书馆工作条件、接受监督图书馆工作的专门知识。特别注意旧书的保存和修复、专业和主题目录的汇编以及电子数据处理。</w:t>
      </w:r>
    </w:p>
    <w:p w:rsidR="00000000" w:rsidRDefault="00CF7517">
      <w:r>
        <w:tab/>
        <w:t xml:space="preserve">202.  </w:t>
      </w:r>
      <w:r>
        <w:rPr>
          <w:rFonts w:hint="eastAsia"/>
        </w:rPr>
        <w:t>根据</w:t>
      </w:r>
      <w:r>
        <w:t>1994</w:t>
      </w:r>
      <w:r>
        <w:rPr>
          <w:rFonts w:hint="eastAsia"/>
        </w:rPr>
        <w:t>年的《文化财产法》，对文化财产的保护有类似的规定。该法按传统的民法承认动产和不动产。文化不动产大多是中世纪的寺院，分三级保护：教科文组织清单上的首要文化财产、特别重要的文化财产和很重要的文化财产。</w:t>
      </w:r>
    </w:p>
    <w:p w:rsidR="00000000" w:rsidRDefault="00CF7517">
      <w:r>
        <w:tab/>
        <w:t>203.  1991</w:t>
      </w:r>
      <w:r>
        <w:rPr>
          <w:rFonts w:hint="eastAsia"/>
        </w:rPr>
        <w:t>年《电影摄影法》对电影的摄制、推销和上映作了全面的规定。它规定了国内电影摄制的条件。合制享有与塞尔维亚电影同样的利益。也规定了影视俱乐部的地位和保</w:t>
      </w:r>
      <w:r>
        <w:rPr>
          <w:rFonts w:hint="eastAsia"/>
        </w:rPr>
        <w:t>护外国影片不被盗印的问题。</w:t>
      </w:r>
    </w:p>
    <w:p w:rsidR="00000000" w:rsidRDefault="00CF7517">
      <w:r>
        <w:tab/>
        <w:t xml:space="preserve">204.  </w:t>
      </w:r>
      <w:r>
        <w:rPr>
          <w:rFonts w:hint="eastAsia"/>
        </w:rPr>
        <w:t>《捐赠、基金和资金法》根据的是关于使用私人财产没有限制和每个公民有权建立基金的宪法规定。该法规定了基金用于人道主义、科学或文化目的必须要达到的条件。</w:t>
      </w:r>
    </w:p>
    <w:p w:rsidR="00000000" w:rsidRDefault="00CF7517">
      <w:r>
        <w:tab/>
        <w:t xml:space="preserve">205.  </w:t>
      </w:r>
      <w:r>
        <w:rPr>
          <w:rFonts w:hint="eastAsia"/>
        </w:rPr>
        <w:t>出版由《出版法》管制。法人和自然人都可以参加出版业。根据这项法律，出版商必须向国立图书馆送去完整的长条校样，以建立单一的目录。书籍免交销售税。塞尔维亚共和国文化部不断为图书馆购置主要的艺术文化著作供资。</w:t>
      </w:r>
    </w:p>
    <w:p w:rsidR="00000000" w:rsidRDefault="00CF7517">
      <w:r>
        <w:tab/>
        <w:t xml:space="preserve">206.  </w:t>
      </w:r>
      <w:r>
        <w:rPr>
          <w:rFonts w:hint="eastAsia"/>
        </w:rPr>
        <w:t>黑山共和国的文化部门由下列法律管制：《社会事务法》、《图书馆法》、《博物馆事务法》、《捐</w:t>
      </w:r>
      <w:r>
        <w:rPr>
          <w:rFonts w:hint="eastAsia"/>
        </w:rPr>
        <w:t>赠、资金和基金法》、《保护文化遗迹法》、《档案法》、《出版法》、《电影摄影法》、《独立艺术家法》、《遗迹、历史事件和人物法》。</w:t>
      </w:r>
    </w:p>
    <w:p w:rsidR="00000000" w:rsidRDefault="00CF7517">
      <w:r>
        <w:tab/>
        <w:t>207.  1996</w:t>
      </w:r>
      <w:r>
        <w:rPr>
          <w:rFonts w:hint="eastAsia"/>
        </w:rPr>
        <w:t>年，南联盟拨给文化方面的预算为</w:t>
      </w:r>
      <w:r>
        <w:t>2.04%</w:t>
      </w:r>
      <w:r>
        <w:rPr>
          <w:rFonts w:hint="eastAsia"/>
        </w:rPr>
        <w:t>。</w:t>
      </w:r>
      <w:r>
        <w:t>1997</w:t>
      </w:r>
      <w:r>
        <w:rPr>
          <w:rFonts w:hint="eastAsia"/>
        </w:rPr>
        <w:t>年，塞尔维亚共和国文化部为保护</w:t>
      </w:r>
      <w:r>
        <w:t>91</w:t>
      </w:r>
      <w:r>
        <w:rPr>
          <w:rFonts w:hint="eastAsia"/>
        </w:rPr>
        <w:t>件文化不动产提供资金，这些文化财产中有下列寺院：</w:t>
      </w:r>
      <w:r>
        <w:t>Kalenic</w:t>
      </w:r>
      <w:r>
        <w:rPr>
          <w:rFonts w:hint="eastAsia"/>
        </w:rPr>
        <w:t>、</w:t>
      </w:r>
      <w:r>
        <w:t>Sopocani</w:t>
      </w:r>
      <w:r>
        <w:rPr>
          <w:rFonts w:hint="eastAsia"/>
        </w:rPr>
        <w:t>、</w:t>
      </w:r>
      <w:r>
        <w:t>Gracanica</w:t>
      </w:r>
      <w:r>
        <w:rPr>
          <w:rFonts w:hint="eastAsia"/>
        </w:rPr>
        <w:t>、</w:t>
      </w:r>
      <w:r>
        <w:t>Decani</w:t>
      </w:r>
      <w:r>
        <w:rPr>
          <w:rFonts w:hint="eastAsia"/>
        </w:rPr>
        <w:t>、</w:t>
      </w:r>
      <w:r>
        <w:t>Pec Patriarchy</w:t>
      </w:r>
      <w:r>
        <w:rPr>
          <w:rFonts w:hint="eastAsia"/>
        </w:rPr>
        <w:t>、</w:t>
      </w:r>
      <w:r>
        <w:t>Fruska Gora</w:t>
      </w:r>
      <w:r>
        <w:rPr>
          <w:rFonts w:hint="eastAsia"/>
        </w:rPr>
        <w:t>等等；它帮助为</w:t>
      </w:r>
      <w:r>
        <w:t>12</w:t>
      </w:r>
      <w:r>
        <w:rPr>
          <w:rFonts w:hint="eastAsia"/>
        </w:rPr>
        <w:t>部电影融资，为</w:t>
      </w:r>
      <w:r>
        <w:t>180</w:t>
      </w:r>
      <w:r>
        <w:rPr>
          <w:rFonts w:hint="eastAsia"/>
        </w:rPr>
        <w:t>个图书馆购买了</w:t>
      </w:r>
      <w:r>
        <w:t>300</w:t>
      </w:r>
      <w:r>
        <w:rPr>
          <w:rFonts w:hint="eastAsia"/>
        </w:rPr>
        <w:t>多部主要文学著作，为</w:t>
      </w:r>
      <w:r>
        <w:t>26</w:t>
      </w:r>
      <w:r>
        <w:rPr>
          <w:rFonts w:hint="eastAsia"/>
        </w:rPr>
        <w:t>份艺术杂志合作供资，为一些文</w:t>
      </w:r>
      <w:r>
        <w:rPr>
          <w:rFonts w:hint="eastAsia"/>
        </w:rPr>
        <w:t>化活动供资。文化部为</w:t>
      </w:r>
      <w:r>
        <w:t>150</w:t>
      </w:r>
      <w:r>
        <w:rPr>
          <w:rFonts w:hint="eastAsia"/>
        </w:rPr>
        <w:t>名青年艺术家到其他国家或旅行深造提供短期赠款；</w:t>
      </w:r>
      <w:r>
        <w:t>90</w:t>
      </w:r>
      <w:r>
        <w:rPr>
          <w:rFonts w:hint="eastAsia"/>
        </w:rPr>
        <w:t>多名艺术家参加国际竞赛得到资助；</w:t>
      </w:r>
      <w:r>
        <w:t>300</w:t>
      </w:r>
      <w:r>
        <w:rPr>
          <w:rFonts w:hint="eastAsia"/>
        </w:rPr>
        <w:t>多名画家得到鼓励在家乡以外的地方展出；购买了</w:t>
      </w:r>
      <w:r>
        <w:t>250</w:t>
      </w:r>
      <w:r>
        <w:rPr>
          <w:rFonts w:hint="eastAsia"/>
        </w:rPr>
        <w:t>多件艺术作品作为博物馆收藏等等。</w:t>
      </w:r>
    </w:p>
    <w:p w:rsidR="00000000" w:rsidRDefault="00CF7517">
      <w:r>
        <w:tab/>
        <w:t xml:space="preserve">208.  </w:t>
      </w:r>
      <w:r>
        <w:rPr>
          <w:rFonts w:hint="eastAsia"/>
        </w:rPr>
        <w:t>南联盟文化机构网络由若干主要团体组成。</w:t>
      </w:r>
    </w:p>
    <w:p w:rsidR="00000000" w:rsidRDefault="00CF7517">
      <w:r>
        <w:tab/>
        <w:t xml:space="preserve">209.  </w:t>
      </w:r>
      <w:r>
        <w:rPr>
          <w:rFonts w:hint="eastAsia"/>
        </w:rPr>
        <w:t>塞尔维亚共和国有</w:t>
      </w:r>
      <w:r>
        <w:t>123</w:t>
      </w:r>
      <w:r>
        <w:rPr>
          <w:rFonts w:hint="eastAsia"/>
        </w:rPr>
        <w:t>个博物馆，馆藏物品</w:t>
      </w:r>
      <w:r>
        <w:t>300</w:t>
      </w:r>
      <w:r>
        <w:rPr>
          <w:rFonts w:hint="eastAsia"/>
        </w:rPr>
        <w:t>万件，但只展出了</w:t>
      </w:r>
      <w:r>
        <w:t>115,000</w:t>
      </w:r>
      <w:r>
        <w:rPr>
          <w:rFonts w:hint="eastAsia"/>
        </w:rPr>
        <w:t>件</w:t>
      </w:r>
      <w:r>
        <w:t>(3.8%)</w:t>
      </w:r>
      <w:r>
        <w:rPr>
          <w:rFonts w:hint="eastAsia"/>
        </w:rPr>
        <w:t>。约</w:t>
      </w:r>
      <w:r>
        <w:t>15</w:t>
      </w:r>
      <w:r>
        <w:rPr>
          <w:rFonts w:hint="eastAsia"/>
        </w:rPr>
        <w:t>个专业研究所，有</w:t>
      </w:r>
      <w:r>
        <w:t>400</w:t>
      </w:r>
      <w:r>
        <w:rPr>
          <w:rFonts w:hint="eastAsia"/>
        </w:rPr>
        <w:t>名工作人员从事保护文化遗迹</w:t>
      </w:r>
      <w:r>
        <w:t>(2,787</w:t>
      </w:r>
      <w:r>
        <w:rPr>
          <w:rFonts w:hint="eastAsia"/>
        </w:rPr>
        <w:t>件</w:t>
      </w:r>
      <w:r>
        <w:t>)</w:t>
      </w:r>
      <w:r>
        <w:rPr>
          <w:rFonts w:hint="eastAsia"/>
        </w:rPr>
        <w:t>的工作。有</w:t>
      </w:r>
      <w:r>
        <w:t>185</w:t>
      </w:r>
      <w:r>
        <w:rPr>
          <w:rFonts w:hint="eastAsia"/>
        </w:rPr>
        <w:t>个机构，</w:t>
      </w:r>
      <w:r>
        <w:t>2,700</w:t>
      </w:r>
      <w:r>
        <w:rPr>
          <w:rFonts w:hint="eastAsia"/>
        </w:rPr>
        <w:t>多名工作人员从事保护领域的工作。监督所有这类机构工</w:t>
      </w:r>
      <w:r>
        <w:rPr>
          <w:rFonts w:hint="eastAsia"/>
        </w:rPr>
        <w:t>作的主要机构有：贝尔格莱德国立博物馆、塞尔维亚档案馆和共和国保护文化遗迹研究所。</w:t>
      </w:r>
    </w:p>
    <w:p w:rsidR="00000000" w:rsidRDefault="00CF7517">
      <w:r>
        <w:tab/>
        <w:t xml:space="preserve">210.  </w:t>
      </w:r>
      <w:r>
        <w:rPr>
          <w:rFonts w:hint="eastAsia"/>
        </w:rPr>
        <w:t>黑山共和国有</w:t>
      </w:r>
      <w:r>
        <w:t>17</w:t>
      </w:r>
      <w:r>
        <w:rPr>
          <w:rFonts w:hint="eastAsia"/>
        </w:rPr>
        <w:t>所博物馆。登记物品</w:t>
      </w:r>
      <w:r>
        <w:t>500,000</w:t>
      </w:r>
      <w:r>
        <w:rPr>
          <w:rFonts w:hint="eastAsia"/>
        </w:rPr>
        <w:t>多件，但只有</w:t>
      </w:r>
      <w:r>
        <w:t>2%</w:t>
      </w:r>
      <w:r>
        <w:rPr>
          <w:rFonts w:hint="eastAsia"/>
        </w:rPr>
        <w:t>展出。博物馆的主要机构是采蒂涅的黑山国立博物馆；保护文化遗迹的主要机构是共和国文化遗迹保护研究所，也在采蒂涅。有</w:t>
      </w:r>
      <w:r>
        <w:t>367</w:t>
      </w:r>
      <w:r>
        <w:rPr>
          <w:rFonts w:hint="eastAsia"/>
        </w:rPr>
        <w:t>个文化遗迹，其中</w:t>
      </w:r>
      <w:r>
        <w:t>530</w:t>
      </w:r>
      <w:r>
        <w:rPr>
          <w:rFonts w:hint="eastAsia"/>
        </w:rPr>
        <w:t>个作了登记。采蒂涅的黑山国立档案馆是一个行政组织，覆盖黑山共和国的整个档案网络。</w:t>
      </w:r>
    </w:p>
    <w:p w:rsidR="00000000" w:rsidRDefault="00CF7517">
      <w:r>
        <w:tab/>
        <w:t xml:space="preserve">211.  </w:t>
      </w:r>
      <w:r>
        <w:rPr>
          <w:rFonts w:hint="eastAsia"/>
        </w:rPr>
        <w:t>第二个重要的团体是国立学院和大学图书馆、专业和综合图书馆。塞尔维亚共有</w:t>
      </w:r>
      <w:r>
        <w:t>460</w:t>
      </w:r>
      <w:r>
        <w:rPr>
          <w:rFonts w:hint="eastAsia"/>
        </w:rPr>
        <w:t>所这种图书馆：</w:t>
      </w:r>
      <w:r>
        <w:t>2</w:t>
      </w:r>
      <w:r>
        <w:rPr>
          <w:rFonts w:hint="eastAsia"/>
        </w:rPr>
        <w:t>所国立图书馆，</w:t>
      </w:r>
      <w:r>
        <w:t>166</w:t>
      </w:r>
      <w:r>
        <w:rPr>
          <w:rFonts w:hint="eastAsia"/>
        </w:rPr>
        <w:t>所学</w:t>
      </w:r>
      <w:r>
        <w:rPr>
          <w:rFonts w:hint="eastAsia"/>
        </w:rPr>
        <w:t>院和大学图书馆、</w:t>
      </w:r>
      <w:r>
        <w:t>297</w:t>
      </w:r>
      <w:r>
        <w:rPr>
          <w:rFonts w:hint="eastAsia"/>
        </w:rPr>
        <w:t>所专业图书馆、</w:t>
      </w:r>
      <w:r>
        <w:t>10</w:t>
      </w:r>
      <w:r>
        <w:rPr>
          <w:rFonts w:hint="eastAsia"/>
        </w:rPr>
        <w:t>所综合图书馆。总共藏书有</w:t>
      </w:r>
      <w:r>
        <w:t>10,631,000</w:t>
      </w:r>
      <w:r>
        <w:rPr>
          <w:rFonts w:hint="eastAsia"/>
        </w:rPr>
        <w:t>卷。</w:t>
      </w:r>
      <w:r>
        <w:t>49</w:t>
      </w:r>
      <w:r>
        <w:rPr>
          <w:rFonts w:hint="eastAsia"/>
        </w:rPr>
        <w:t>座学院和大学图书馆和</w:t>
      </w:r>
      <w:r>
        <w:t>39</w:t>
      </w:r>
      <w:r>
        <w:rPr>
          <w:rFonts w:hint="eastAsia"/>
        </w:rPr>
        <w:t>座专业图书馆向公众开放。还有一个广泛的国立图书馆网络，共有</w:t>
      </w:r>
      <w:r>
        <w:t>904</w:t>
      </w:r>
      <w:r>
        <w:rPr>
          <w:rFonts w:hint="eastAsia"/>
        </w:rPr>
        <w:t>所，工作人员</w:t>
      </w:r>
      <w:r>
        <w:t>1,635</w:t>
      </w:r>
      <w:r>
        <w:rPr>
          <w:rFonts w:hint="eastAsia"/>
        </w:rPr>
        <w:t>名，其中</w:t>
      </w:r>
      <w:r>
        <w:t>1,204</w:t>
      </w:r>
      <w:r>
        <w:rPr>
          <w:rFonts w:hint="eastAsia"/>
        </w:rPr>
        <w:t>名</w:t>
      </w:r>
      <w:r>
        <w:t>(73.6%)</w:t>
      </w:r>
      <w:r>
        <w:rPr>
          <w:rFonts w:hint="eastAsia"/>
        </w:rPr>
        <w:t>为专业图书馆管理员。这些图书馆藏有</w:t>
      </w:r>
      <w:r>
        <w:t>14,724,000</w:t>
      </w:r>
      <w:r>
        <w:rPr>
          <w:rFonts w:hint="eastAsia"/>
        </w:rPr>
        <w:t>卷书籍。黑山共和国有</w:t>
      </w:r>
      <w:r>
        <w:t>44</w:t>
      </w:r>
      <w:r>
        <w:rPr>
          <w:rFonts w:hint="eastAsia"/>
        </w:rPr>
        <w:t>所图书馆，一所国立图书馆，</w:t>
      </w:r>
      <w:r>
        <w:t>3</w:t>
      </w:r>
      <w:r>
        <w:rPr>
          <w:rFonts w:hint="eastAsia"/>
        </w:rPr>
        <w:t>所大学图书馆，</w:t>
      </w:r>
      <w:r>
        <w:t>20</w:t>
      </w:r>
      <w:r>
        <w:rPr>
          <w:rFonts w:hint="eastAsia"/>
        </w:rPr>
        <w:t>所专业图书馆，</w:t>
      </w:r>
      <w:r>
        <w:t>20</w:t>
      </w:r>
      <w:r>
        <w:rPr>
          <w:rFonts w:hint="eastAsia"/>
        </w:rPr>
        <w:t>所综合图书馆。</w:t>
      </w:r>
    </w:p>
    <w:p w:rsidR="00000000" w:rsidRDefault="00CF7517">
      <w:r>
        <w:tab/>
        <w:t xml:space="preserve">212.  </w:t>
      </w:r>
      <w:r>
        <w:rPr>
          <w:rFonts w:hint="eastAsia"/>
        </w:rPr>
        <w:t>下一个重要的文化机构群体是专业剧院。根据</w:t>
      </w:r>
      <w:r>
        <w:t>1994/95</w:t>
      </w:r>
      <w:r>
        <w:rPr>
          <w:rFonts w:hint="eastAsia"/>
        </w:rPr>
        <w:t>年的数据，塞尔维亚有</w:t>
      </w:r>
      <w:r>
        <w:t>36</w:t>
      </w:r>
      <w:r>
        <w:rPr>
          <w:rFonts w:hint="eastAsia"/>
        </w:rPr>
        <w:t>个专业剧团</w:t>
      </w:r>
      <w:r>
        <w:rPr>
          <w:rFonts w:hint="eastAsia"/>
          <w:spacing w:val="-40"/>
        </w:rPr>
        <w:t>——</w:t>
      </w:r>
      <w:r>
        <w:t xml:space="preserve"> </w:t>
      </w:r>
      <w:r>
        <w:rPr>
          <w:rFonts w:hint="eastAsia"/>
        </w:rPr>
        <w:t>塞尔维亚本</w:t>
      </w:r>
      <w:r>
        <w:rPr>
          <w:rFonts w:hint="eastAsia"/>
        </w:rPr>
        <w:t>部</w:t>
      </w:r>
      <w:r>
        <w:t>25</w:t>
      </w:r>
      <w:r>
        <w:rPr>
          <w:rFonts w:hint="eastAsia"/>
        </w:rPr>
        <w:t>个，伏伊伏丁那</w:t>
      </w:r>
      <w:r>
        <w:t>8</w:t>
      </w:r>
      <w:r>
        <w:rPr>
          <w:rFonts w:hint="eastAsia"/>
        </w:rPr>
        <w:t>个，科索沃和梅托希亚省</w:t>
      </w:r>
      <w:r>
        <w:t>3</w:t>
      </w:r>
      <w:r>
        <w:rPr>
          <w:rFonts w:hint="eastAsia"/>
        </w:rPr>
        <w:t>个。最著名的有：诺维萨德的塞尔维亚国立剧团以及尼什、克拉古耶瓦茨、乌日采、扎耶查尔、莱斯科瓦茨、皮罗特、克鲁塞瓦茨、普里斯蒂那、苏博缔察、贾科维察等地的剧团。塞尔维亚还有</w:t>
      </w:r>
      <w:r>
        <w:t>9</w:t>
      </w:r>
      <w:r>
        <w:rPr>
          <w:rFonts w:hint="eastAsia"/>
        </w:rPr>
        <w:t>个儿童剧院</w:t>
      </w:r>
      <w:r>
        <w:rPr>
          <w:rFonts w:hint="eastAsia"/>
          <w:spacing w:val="-40"/>
        </w:rPr>
        <w:t>——</w:t>
      </w:r>
      <w:r>
        <w:t xml:space="preserve"> 6</w:t>
      </w:r>
      <w:r>
        <w:rPr>
          <w:rFonts w:hint="eastAsia"/>
        </w:rPr>
        <w:t>个在塞尔维亚本部，</w:t>
      </w:r>
      <w:r>
        <w:t>3</w:t>
      </w:r>
      <w:r>
        <w:rPr>
          <w:rFonts w:hint="eastAsia"/>
        </w:rPr>
        <w:t>个在伏伊伏丁那。但是，塞尔维亚的戏剧生活中，还有</w:t>
      </w:r>
      <w:r>
        <w:t>44</w:t>
      </w:r>
      <w:r>
        <w:rPr>
          <w:rFonts w:hint="eastAsia"/>
        </w:rPr>
        <w:t>个业余剧团，其中有些具有悠久的良好传统。只有</w:t>
      </w:r>
      <w:r>
        <w:t>90</w:t>
      </w:r>
      <w:r>
        <w:rPr>
          <w:rFonts w:hint="eastAsia"/>
        </w:rPr>
        <w:t>名专业人员在业余剧团中工作。</w:t>
      </w:r>
    </w:p>
    <w:p w:rsidR="00000000" w:rsidRDefault="00CF7517">
      <w:r>
        <w:tab/>
        <w:t xml:space="preserve">213.  </w:t>
      </w:r>
      <w:r>
        <w:rPr>
          <w:rFonts w:hint="eastAsia"/>
        </w:rPr>
        <w:t>塞尔维亚的音乐生活中拥有</w:t>
      </w:r>
      <w:r>
        <w:t>16</w:t>
      </w:r>
      <w:r>
        <w:rPr>
          <w:rFonts w:hint="eastAsia"/>
        </w:rPr>
        <w:t>个管弦乐队。还有一些大合唱团，有的全部为女声，有的是男女混合，如著名的</w:t>
      </w:r>
      <w:r>
        <w:t>Collegi</w:t>
      </w:r>
      <w:r>
        <w:t>um Musicum Choir</w:t>
      </w:r>
      <w:r>
        <w:rPr>
          <w:rFonts w:hint="eastAsia"/>
        </w:rPr>
        <w:t>。</w:t>
      </w:r>
    </w:p>
    <w:p w:rsidR="00000000" w:rsidRDefault="00CF7517">
      <w:r>
        <w:tab/>
        <w:t xml:space="preserve">214.  </w:t>
      </w:r>
      <w:r>
        <w:rPr>
          <w:rFonts w:hint="eastAsia"/>
        </w:rPr>
        <w:t>文化艺术和文化教育协会是塞尔维亚共和国文化，特别是音乐生活的一个不可分割的组成部分</w:t>
      </w:r>
      <w:r>
        <w:t>(</w:t>
      </w:r>
      <w:r>
        <w:rPr>
          <w:rFonts w:hint="eastAsia"/>
        </w:rPr>
        <w:t>有</w:t>
      </w:r>
      <w:r>
        <w:t>303</w:t>
      </w:r>
      <w:r>
        <w:rPr>
          <w:rFonts w:hint="eastAsia"/>
        </w:rPr>
        <w:t>个协会，</w:t>
      </w:r>
      <w:r>
        <w:t>3,900</w:t>
      </w:r>
      <w:r>
        <w:rPr>
          <w:rFonts w:hint="eastAsia"/>
        </w:rPr>
        <w:t>名成员；</w:t>
      </w:r>
      <w:r>
        <w:t>97.4%</w:t>
      </w:r>
      <w:r>
        <w:rPr>
          <w:rFonts w:hint="eastAsia"/>
        </w:rPr>
        <w:t>积极参加这些协会</w:t>
      </w:r>
      <w:r>
        <w:t>)</w:t>
      </w:r>
      <w:r>
        <w:rPr>
          <w:rFonts w:hint="eastAsia"/>
        </w:rPr>
        <w:t>。这些协会有</w:t>
      </w:r>
      <w:r>
        <w:t>1,724</w:t>
      </w:r>
      <w:r>
        <w:rPr>
          <w:rFonts w:hint="eastAsia"/>
        </w:rPr>
        <w:t>个部门：</w:t>
      </w:r>
      <w:r>
        <w:t>503</w:t>
      </w:r>
      <w:r>
        <w:rPr>
          <w:rFonts w:hint="eastAsia"/>
        </w:rPr>
        <w:t>个是民间舞蹈，</w:t>
      </w:r>
      <w:r>
        <w:t>290</w:t>
      </w:r>
      <w:r>
        <w:rPr>
          <w:rFonts w:hint="eastAsia"/>
        </w:rPr>
        <w:t>个为民歌，</w:t>
      </w:r>
      <w:r>
        <w:t>197</w:t>
      </w:r>
      <w:r>
        <w:rPr>
          <w:rFonts w:hint="eastAsia"/>
        </w:rPr>
        <w:t>个为器乐，</w:t>
      </w:r>
      <w:r>
        <w:t>136</w:t>
      </w:r>
      <w:r>
        <w:rPr>
          <w:rFonts w:hint="eastAsia"/>
        </w:rPr>
        <w:t>个为诗歌朗诵，</w:t>
      </w:r>
      <w:r>
        <w:t>135</w:t>
      </w:r>
      <w:r>
        <w:rPr>
          <w:rFonts w:hint="eastAsia"/>
        </w:rPr>
        <w:t>个为戏剧创作。</w:t>
      </w:r>
    </w:p>
    <w:p w:rsidR="00000000" w:rsidRDefault="00CF7517">
      <w:r>
        <w:tab/>
        <w:t xml:space="preserve">215.  </w:t>
      </w:r>
      <w:r>
        <w:rPr>
          <w:rFonts w:hint="eastAsia"/>
        </w:rPr>
        <w:t>黑山共和国有</w:t>
      </w:r>
      <w:r>
        <w:t>3</w:t>
      </w:r>
      <w:r>
        <w:rPr>
          <w:rFonts w:hint="eastAsia"/>
        </w:rPr>
        <w:t>个专业剧团：黑山国家剧团、“</w:t>
      </w:r>
      <w:r>
        <w:t>Zetski dom</w:t>
      </w:r>
      <w:r>
        <w:rPr>
          <w:rFonts w:hint="eastAsia"/>
        </w:rPr>
        <w:t>”皇家剧院和儿童剧团，儿童剧团不拥有自己的剧院。在新海尔采格有一家业余剧团，整个黑山有</w:t>
      </w:r>
      <w:r>
        <w:t>10</w:t>
      </w:r>
      <w:r>
        <w:rPr>
          <w:rFonts w:hint="eastAsia"/>
        </w:rPr>
        <w:t>个左右的业余剧团。黑山最著</w:t>
      </w:r>
      <w:r>
        <w:rPr>
          <w:rFonts w:hint="eastAsia"/>
        </w:rPr>
        <w:t>名的音乐机构是黑山广播电视台的交响乐团，该共和国有</w:t>
      </w:r>
      <w:r>
        <w:t>28</w:t>
      </w:r>
      <w:r>
        <w:rPr>
          <w:rFonts w:hint="eastAsia"/>
        </w:rPr>
        <w:t>个文化艺术协会。</w:t>
      </w:r>
    </w:p>
    <w:p w:rsidR="00000000" w:rsidRDefault="00CF7517">
      <w:r>
        <w:tab/>
        <w:t xml:space="preserve">216.  </w:t>
      </w:r>
      <w:r>
        <w:rPr>
          <w:rFonts w:hint="eastAsia"/>
        </w:rPr>
        <w:t>塞尔维亚共和国有</w:t>
      </w:r>
      <w:r>
        <w:t>119</w:t>
      </w:r>
      <w:r>
        <w:rPr>
          <w:rFonts w:hint="eastAsia"/>
        </w:rPr>
        <w:t>所电影院：塞尔维亚本部有</w:t>
      </w:r>
      <w:r>
        <w:t>89</w:t>
      </w:r>
      <w:r>
        <w:rPr>
          <w:rFonts w:hint="eastAsia"/>
        </w:rPr>
        <w:t>所</w:t>
      </w:r>
      <w:r>
        <w:t>(74.7%)</w:t>
      </w:r>
      <w:r>
        <w:rPr>
          <w:rFonts w:hint="eastAsia"/>
        </w:rPr>
        <w:t>，伏伊伏丁那有</w:t>
      </w:r>
      <w:r>
        <w:t>20</w:t>
      </w:r>
      <w:r>
        <w:rPr>
          <w:rFonts w:hint="eastAsia"/>
        </w:rPr>
        <w:t>所</w:t>
      </w:r>
      <w:r>
        <w:t>(16.8%)</w:t>
      </w:r>
      <w:r>
        <w:rPr>
          <w:rFonts w:hint="eastAsia"/>
        </w:rPr>
        <w:t>，科索沃和梅托希亚省有</w:t>
      </w:r>
      <w:r>
        <w:t>10</w:t>
      </w:r>
      <w:r>
        <w:rPr>
          <w:rFonts w:hint="eastAsia"/>
        </w:rPr>
        <w:t>所</w:t>
      </w:r>
      <w:r>
        <w:t>(8.5%)</w:t>
      </w:r>
      <w:r>
        <w:rPr>
          <w:rFonts w:hint="eastAsia"/>
        </w:rPr>
        <w:t>。黑山共和国有</w:t>
      </w:r>
      <w:r>
        <w:t>22</w:t>
      </w:r>
      <w:r>
        <w:rPr>
          <w:rFonts w:hint="eastAsia"/>
        </w:rPr>
        <w:t>所电影院。</w:t>
      </w:r>
    </w:p>
    <w:p w:rsidR="00000000" w:rsidRDefault="00CF7517">
      <w:r>
        <w:tab/>
        <w:t xml:space="preserve">217.  </w:t>
      </w:r>
      <w:r>
        <w:rPr>
          <w:rFonts w:hint="eastAsia"/>
        </w:rPr>
        <w:t>要更好地了解南联盟在文化方面的潜力，就必须要谈到广播电视台。南联盟有</w:t>
      </w:r>
      <w:r>
        <w:t>108</w:t>
      </w:r>
      <w:r>
        <w:rPr>
          <w:rFonts w:hint="eastAsia"/>
        </w:rPr>
        <w:t>个注册广播站</w:t>
      </w:r>
      <w:r>
        <w:t>(186</w:t>
      </w:r>
      <w:r>
        <w:rPr>
          <w:rFonts w:hint="eastAsia"/>
        </w:rPr>
        <w:t>个广播站申请了许可证</w:t>
      </w:r>
      <w:r>
        <w:t>)</w:t>
      </w:r>
      <w:r>
        <w:rPr>
          <w:rFonts w:hint="eastAsia"/>
        </w:rPr>
        <w:t>，播出</w:t>
      </w:r>
      <w:r>
        <w:t>444,000</w:t>
      </w:r>
      <w:r>
        <w:rPr>
          <w:rFonts w:hint="eastAsia"/>
        </w:rPr>
        <w:t>小时的广播节目。音乐节目占</w:t>
      </w:r>
      <w:r>
        <w:t>191,000</w:t>
      </w:r>
      <w:r>
        <w:rPr>
          <w:rFonts w:hint="eastAsia"/>
        </w:rPr>
        <w:t>小时，文化艺术节目占</w:t>
      </w:r>
      <w:r>
        <w:t>19,000</w:t>
      </w:r>
      <w:r>
        <w:rPr>
          <w:rFonts w:hint="eastAsia"/>
        </w:rPr>
        <w:t>小时。有</w:t>
      </w:r>
      <w:r>
        <w:t>23</w:t>
      </w:r>
      <w:r>
        <w:rPr>
          <w:rFonts w:hint="eastAsia"/>
        </w:rPr>
        <w:t>个注册电视台，</w:t>
      </w:r>
      <w:r>
        <w:t>19</w:t>
      </w:r>
      <w:r>
        <w:rPr>
          <w:rFonts w:hint="eastAsia"/>
        </w:rPr>
        <w:t>个在</w:t>
      </w:r>
      <w:r>
        <w:rPr>
          <w:rFonts w:hint="eastAsia"/>
        </w:rPr>
        <w:t>塞尔维亚，</w:t>
      </w:r>
      <w:r>
        <w:t>4</w:t>
      </w:r>
      <w:r>
        <w:rPr>
          <w:rFonts w:hint="eastAsia"/>
        </w:rPr>
        <w:t>个在黑山。它们播放节目的时数为</w:t>
      </w:r>
      <w:r>
        <w:t>59,318</w:t>
      </w:r>
      <w:r>
        <w:rPr>
          <w:rFonts w:hint="eastAsia"/>
        </w:rPr>
        <w:t>小时。电影和连续剧占</w:t>
      </w:r>
      <w:r>
        <w:t>12,682</w:t>
      </w:r>
      <w:r>
        <w:rPr>
          <w:rFonts w:hint="eastAsia"/>
        </w:rPr>
        <w:t>小时，音乐节目占</w:t>
      </w:r>
      <w:r>
        <w:t>8,104</w:t>
      </w:r>
      <w:r>
        <w:rPr>
          <w:rFonts w:hint="eastAsia"/>
        </w:rPr>
        <w:t>小时。除了注册电视台外，还有约</w:t>
      </w:r>
      <w:r>
        <w:t>70</w:t>
      </w:r>
      <w:r>
        <w:rPr>
          <w:rFonts w:hint="eastAsia"/>
        </w:rPr>
        <w:t>个电视台仍然在取得合法地位的过程中，但得到临时许可播放节目。</w:t>
      </w:r>
    </w:p>
    <w:p w:rsidR="00000000" w:rsidRDefault="00CF7517">
      <w:r>
        <w:tab/>
        <w:t xml:space="preserve">218.  </w:t>
      </w:r>
      <w:r>
        <w:rPr>
          <w:rFonts w:hint="eastAsia"/>
        </w:rPr>
        <w:t>最后，还有一个称为人民大学或工人大学的特殊文化机构团体。它们举办一些活动，其中有一个目前非常受欢迎的机构</w:t>
      </w:r>
      <w:r>
        <w:rPr>
          <w:rFonts w:hint="eastAsia"/>
          <w:spacing w:val="-40"/>
        </w:rPr>
        <w:t>——</w:t>
      </w:r>
      <w:r>
        <w:t xml:space="preserve"> </w:t>
      </w:r>
      <w:r>
        <w:rPr>
          <w:rFonts w:hint="eastAsia"/>
        </w:rPr>
        <w:t>文化俱乐部或文化中心。塞尔维亚有</w:t>
      </w:r>
      <w:r>
        <w:t>761</w:t>
      </w:r>
      <w:r>
        <w:rPr>
          <w:rFonts w:hint="eastAsia"/>
        </w:rPr>
        <w:t>个这样的机构。</w:t>
      </w:r>
      <w:r>
        <w:t>379</w:t>
      </w:r>
      <w:r>
        <w:rPr>
          <w:rFonts w:hint="eastAsia"/>
        </w:rPr>
        <w:t>个文化俱乐部</w:t>
      </w:r>
      <w:r>
        <w:t>(49.8%)</w:t>
      </w:r>
      <w:r>
        <w:rPr>
          <w:rFonts w:hint="eastAsia"/>
        </w:rPr>
        <w:t>，</w:t>
      </w:r>
      <w:r>
        <w:t>133</w:t>
      </w:r>
      <w:r>
        <w:rPr>
          <w:rFonts w:hint="eastAsia"/>
        </w:rPr>
        <w:t>个文化中心</w:t>
      </w:r>
      <w:r>
        <w:t>(17.5%)</w:t>
      </w:r>
      <w:r>
        <w:rPr>
          <w:rFonts w:hint="eastAsia"/>
        </w:rPr>
        <w:t>，</w:t>
      </w:r>
      <w:r>
        <w:t>100</w:t>
      </w:r>
      <w:r>
        <w:rPr>
          <w:rFonts w:hint="eastAsia"/>
        </w:rPr>
        <w:t>个人民大学</w:t>
      </w:r>
      <w:r>
        <w:t>(13.1%)</w:t>
      </w:r>
      <w:r>
        <w:rPr>
          <w:rFonts w:hint="eastAsia"/>
        </w:rPr>
        <w:t>。大小城镇的文化中心从事各种活动</w:t>
      </w:r>
      <w:r>
        <w:rPr>
          <w:rFonts w:hint="eastAsia"/>
        </w:rPr>
        <w:t>，包括出版活动</w:t>
      </w:r>
      <w:r>
        <w:t>(</w:t>
      </w:r>
      <w:r>
        <w:rPr>
          <w:rFonts w:hint="eastAsia"/>
        </w:rPr>
        <w:t>如塞尔维亚的</w:t>
      </w:r>
      <w:r>
        <w:t>Pozarevac</w:t>
      </w:r>
      <w:r>
        <w:rPr>
          <w:rFonts w:hint="eastAsia"/>
        </w:rPr>
        <w:t>、</w:t>
      </w:r>
      <w:r>
        <w:t>Vranje</w:t>
      </w:r>
      <w:r>
        <w:rPr>
          <w:rFonts w:hint="eastAsia"/>
        </w:rPr>
        <w:t>、</w:t>
      </w:r>
      <w:r>
        <w:t>Loznica</w:t>
      </w:r>
      <w:r>
        <w:rPr>
          <w:rFonts w:hint="eastAsia"/>
        </w:rPr>
        <w:t>、</w:t>
      </w:r>
      <w:r>
        <w:t>Vajevo</w:t>
      </w:r>
      <w:r>
        <w:rPr>
          <w:rFonts w:hint="eastAsia"/>
        </w:rPr>
        <w:t>和其它城镇</w:t>
      </w:r>
      <w:r>
        <w:t>)</w:t>
      </w:r>
      <w:r>
        <w:rPr>
          <w:rFonts w:hint="eastAsia"/>
        </w:rPr>
        <w:t>。波德格里察有一所人民大学。</w:t>
      </w:r>
    </w:p>
    <w:p w:rsidR="00000000" w:rsidRDefault="00CF7517">
      <w:r>
        <w:tab/>
        <w:t xml:space="preserve">219.  </w:t>
      </w:r>
      <w:r>
        <w:rPr>
          <w:rFonts w:hint="eastAsia"/>
        </w:rPr>
        <w:t>私人发起的文化活动最近在南联盟越来越流行：除了传统的大量私人画廊外，还设立了几个私人发行制作公司；私人出版商出版当代南斯拉夫作家的书籍以及大量的翻译作品，过去六年里在出版业务中占了相当大的部分。但是，由私人发起的文化活动在建立大量广播和电视台站中最为活跃，其中有些台站这时已停业，但大多数生存了下来，扩大了文化娱乐节目。</w:t>
      </w:r>
    </w:p>
    <w:p w:rsidR="00000000" w:rsidRDefault="00CF7517">
      <w:r>
        <w:tab/>
        <w:t xml:space="preserve">220.  </w:t>
      </w:r>
      <w:r>
        <w:rPr>
          <w:rFonts w:hint="eastAsia"/>
        </w:rPr>
        <w:t>除文化机构外，南联盟还经常举办</w:t>
      </w:r>
      <w:r>
        <w:rPr>
          <w:rFonts w:hint="eastAsia"/>
        </w:rPr>
        <w:t>大量的文化活动。全年都举办一些表演、节庆、会议和聚会等。这些活动按其性质可分为如下：国际</w:t>
      </w:r>
      <w:r>
        <w:t>(8</w:t>
      </w:r>
      <w:r>
        <w:rPr>
          <w:rFonts w:hint="eastAsia"/>
        </w:rPr>
        <w:t>次</w:t>
      </w:r>
      <w:r>
        <w:t>)</w:t>
      </w:r>
      <w:r>
        <w:rPr>
          <w:rFonts w:hint="eastAsia"/>
        </w:rPr>
        <w:t>、南斯拉夫</w:t>
      </w:r>
      <w:r>
        <w:t>(9</w:t>
      </w:r>
      <w:r>
        <w:rPr>
          <w:rFonts w:hint="eastAsia"/>
        </w:rPr>
        <w:t>次</w:t>
      </w:r>
      <w:r>
        <w:t>)</w:t>
      </w:r>
      <w:r>
        <w:rPr>
          <w:rFonts w:hint="eastAsia"/>
        </w:rPr>
        <w:t>、共和国</w:t>
      </w:r>
      <w:r>
        <w:t>(4</w:t>
      </w:r>
      <w:r>
        <w:rPr>
          <w:rFonts w:hint="eastAsia"/>
        </w:rPr>
        <w:t>次</w:t>
      </w:r>
      <w:r>
        <w:t>)</w:t>
      </w:r>
      <w:r>
        <w:rPr>
          <w:rFonts w:hint="eastAsia"/>
        </w:rPr>
        <w:t>、省</w:t>
      </w:r>
      <w:r>
        <w:t>(6</w:t>
      </w:r>
      <w:r>
        <w:rPr>
          <w:rFonts w:hint="eastAsia"/>
        </w:rPr>
        <w:t>次</w:t>
      </w:r>
      <w:r>
        <w:t>)</w:t>
      </w:r>
      <w:r>
        <w:rPr>
          <w:rFonts w:hint="eastAsia"/>
        </w:rPr>
        <w:t>、当地</w:t>
      </w:r>
      <w:r>
        <w:t>(18</w:t>
      </w:r>
      <w:r>
        <w:rPr>
          <w:rFonts w:hint="eastAsia"/>
        </w:rPr>
        <w:t>次</w:t>
      </w:r>
      <w:r>
        <w:t>)</w:t>
      </w:r>
      <w:r>
        <w:rPr>
          <w:rFonts w:hint="eastAsia"/>
        </w:rPr>
        <w:t>。国际性的文化活动有：贝尔格莱德国际戏剧节</w:t>
      </w:r>
      <w:r>
        <w:rPr>
          <w:rFonts w:hint="eastAsia"/>
          <w:spacing w:val="-40"/>
        </w:rPr>
        <w:t>——</w:t>
      </w:r>
      <w:r>
        <w:t xml:space="preserve"> BITEF(1967</w:t>
      </w:r>
      <w:r>
        <w:rPr>
          <w:rFonts w:hint="eastAsia"/>
        </w:rPr>
        <w:t>年成立</w:t>
      </w:r>
      <w:r>
        <w:t>)</w:t>
      </w:r>
      <w:r>
        <w:rPr>
          <w:rFonts w:hint="eastAsia"/>
        </w:rPr>
        <w:t>、贝尔格莱德音乐庆祝活动</w:t>
      </w:r>
      <w:r>
        <w:rPr>
          <w:rFonts w:hint="eastAsia"/>
          <w:spacing w:val="-40"/>
        </w:rPr>
        <w:t>——</w:t>
      </w:r>
      <w:r>
        <w:t xml:space="preserve"> BEMUS</w:t>
      </w:r>
      <w:r>
        <w:rPr>
          <w:rFonts w:hint="eastAsia"/>
        </w:rPr>
        <w:t>、国际电影节</w:t>
      </w:r>
      <w:r>
        <w:rPr>
          <w:rFonts w:hint="eastAsia"/>
          <w:spacing w:val="-40"/>
        </w:rPr>
        <w:t>——</w:t>
      </w:r>
      <w:r>
        <w:t xml:space="preserve"> FEST</w:t>
      </w:r>
      <w:r>
        <w:rPr>
          <w:rFonts w:hint="eastAsia"/>
        </w:rPr>
        <w:t>、欢乐的欧洲</w:t>
      </w:r>
      <w:r>
        <w:rPr>
          <w:rFonts w:hint="eastAsia"/>
          <w:spacing w:val="-40"/>
        </w:rPr>
        <w:t>——</w:t>
      </w:r>
      <w:r>
        <w:t xml:space="preserve"> </w:t>
      </w:r>
      <w:r>
        <w:rPr>
          <w:rFonts w:hint="eastAsia"/>
        </w:rPr>
        <w:t>欧洲儿童聚会。黑山每年举行约</w:t>
      </w:r>
      <w:r>
        <w:t>35</w:t>
      </w:r>
      <w:r>
        <w:rPr>
          <w:rFonts w:hint="eastAsia"/>
        </w:rPr>
        <w:t>次文化活动，即：</w:t>
      </w:r>
      <w:r>
        <w:t>4</w:t>
      </w:r>
      <w:r>
        <w:rPr>
          <w:rFonts w:hint="eastAsia"/>
        </w:rPr>
        <w:t>次戏剧活动、</w:t>
      </w:r>
      <w:r>
        <w:t>5</w:t>
      </w:r>
      <w:r>
        <w:rPr>
          <w:rFonts w:hint="eastAsia"/>
        </w:rPr>
        <w:t>次音乐活动、</w:t>
      </w:r>
      <w:r>
        <w:t>9</w:t>
      </w:r>
      <w:r>
        <w:rPr>
          <w:rFonts w:hint="eastAsia"/>
        </w:rPr>
        <w:t>次文学活动、</w:t>
      </w:r>
      <w:r>
        <w:t>5</w:t>
      </w:r>
      <w:r>
        <w:rPr>
          <w:rFonts w:hint="eastAsia"/>
        </w:rPr>
        <w:t>次画家活动、</w:t>
      </w:r>
      <w:r>
        <w:t>2</w:t>
      </w:r>
      <w:r>
        <w:rPr>
          <w:rFonts w:hint="eastAsia"/>
        </w:rPr>
        <w:t>次电影活动和</w:t>
      </w:r>
      <w:r>
        <w:t>10</w:t>
      </w:r>
      <w:r>
        <w:rPr>
          <w:rFonts w:hint="eastAsia"/>
        </w:rPr>
        <w:t>次综合性活动。国际性的活动有“</w:t>
      </w:r>
      <w:r>
        <w:t>Grad teatar</w:t>
      </w:r>
      <w:r>
        <w:rPr>
          <w:rFonts w:hint="eastAsia"/>
        </w:rPr>
        <w:t>”</w:t>
      </w:r>
      <w:r>
        <w:t>(</w:t>
      </w:r>
      <w:r>
        <w:rPr>
          <w:rFonts w:hint="eastAsia"/>
        </w:rPr>
        <w:t>戏剧城</w:t>
      </w:r>
      <w:r>
        <w:t>)</w:t>
      </w:r>
      <w:r>
        <w:rPr>
          <w:rFonts w:hint="eastAsia"/>
        </w:rPr>
        <w:t>、“</w:t>
      </w:r>
      <w:r>
        <w:t>Ce</w:t>
      </w:r>
      <w:r>
        <w:t>tinjski bijenale</w:t>
      </w:r>
      <w:r>
        <w:rPr>
          <w:rFonts w:hint="eastAsia"/>
        </w:rPr>
        <w:t>”</w:t>
      </w:r>
      <w:r>
        <w:t>(2</w:t>
      </w:r>
      <w:r>
        <w:rPr>
          <w:rFonts w:hint="eastAsia"/>
        </w:rPr>
        <w:t>年一度在采蒂涅举行的展览</w:t>
      </w:r>
      <w:r>
        <w:t>)</w:t>
      </w:r>
      <w:r>
        <w:rPr>
          <w:rFonts w:hint="eastAsia"/>
        </w:rPr>
        <w:t>和“</w:t>
      </w:r>
      <w:r>
        <w:t>FIAT</w:t>
      </w:r>
      <w:r>
        <w:rPr>
          <w:rFonts w:hint="eastAsia"/>
        </w:rPr>
        <w:t>”，</w:t>
      </w:r>
      <w:r>
        <w:t>8</w:t>
      </w:r>
      <w:r>
        <w:rPr>
          <w:rFonts w:hint="eastAsia"/>
        </w:rPr>
        <w:t>次南斯拉夫的活动，</w:t>
      </w:r>
      <w:r>
        <w:t>9</w:t>
      </w:r>
      <w:r>
        <w:rPr>
          <w:rFonts w:hint="eastAsia"/>
        </w:rPr>
        <w:t>次共和国的活动，</w:t>
      </w:r>
      <w:r>
        <w:t>15</w:t>
      </w:r>
      <w:r>
        <w:rPr>
          <w:rFonts w:hint="eastAsia"/>
        </w:rPr>
        <w:t>次当地的活动。</w:t>
      </w:r>
    </w:p>
    <w:p w:rsidR="00000000" w:rsidRDefault="00CF7517">
      <w:r>
        <w:tab/>
        <w:t xml:space="preserve">221.  </w:t>
      </w:r>
      <w:r>
        <w:rPr>
          <w:rFonts w:hint="eastAsia"/>
        </w:rPr>
        <w:t>促进少数民族文化价值方面的数据载于南斯拉夫关于《消除一切形式种族歧视国际公约》落实情况的报告。</w:t>
      </w:r>
    </w:p>
    <w:p w:rsidR="00000000" w:rsidRDefault="00CF7517">
      <w:r>
        <w:tab/>
        <w:t xml:space="preserve">222.  </w:t>
      </w:r>
      <w:r>
        <w:rPr>
          <w:rFonts w:hint="eastAsia"/>
        </w:rPr>
        <w:t>南斯拉夫最大的少数民族</w:t>
      </w:r>
      <w:r>
        <w:rPr>
          <w:rFonts w:hint="eastAsia"/>
          <w:spacing w:val="-40"/>
        </w:rPr>
        <w:t>——</w:t>
      </w:r>
      <w:r>
        <w:t xml:space="preserve"> </w:t>
      </w:r>
      <w:r>
        <w:rPr>
          <w:rFonts w:hint="eastAsia"/>
        </w:rPr>
        <w:t>阿尔巴尼亚族</w:t>
      </w:r>
      <w:r>
        <w:rPr>
          <w:rFonts w:hint="eastAsia"/>
          <w:spacing w:val="-40"/>
        </w:rPr>
        <w:t>——</w:t>
      </w:r>
      <w:r>
        <w:t xml:space="preserve"> </w:t>
      </w:r>
      <w:r>
        <w:rPr>
          <w:rFonts w:hint="eastAsia"/>
        </w:rPr>
        <w:t>的特殊情况，使得有关少数民族的教育和文化情况的统计数据很难提出。</w:t>
      </w:r>
      <w:r>
        <w:t>1991</w:t>
      </w:r>
      <w:r>
        <w:rPr>
          <w:rFonts w:hint="eastAsia"/>
        </w:rPr>
        <w:t>年以来，阿尔巴尼亚族许多人拒绝使用立法规定的传播科学文化知识的设施。他们离开了所有正式的社会机构。支持分裂主义的人宣布抵制塞尔维亚共</w:t>
      </w:r>
      <w:r>
        <w:rPr>
          <w:rFonts w:hint="eastAsia"/>
        </w:rPr>
        <w:t>和国的官方机构，建立并保持了一个平行的政治、教育、保健和文化系统。虽然这些机构没有正式登记，但当局没有禁止它们的活动，因为它们争取和平解决阿尔巴尼亚族成员因分裂主义支持者的压力而被迫陷入的自我孤立问题。整个非法的平行教育系统是在现行系统外组织的，违背可适用的课程，因此无法得到学校和学生数量方面的数据。只有媒体的工作是显而易见的，有</w:t>
      </w:r>
      <w:r>
        <w:t>50</w:t>
      </w:r>
      <w:r>
        <w:rPr>
          <w:rFonts w:hint="eastAsia"/>
        </w:rPr>
        <w:t>份左右的日报和杂志，大多是政治团体办的，自由流通。</w:t>
      </w:r>
    </w:p>
    <w:p w:rsidR="00000000" w:rsidRDefault="00CF7517">
      <w:r>
        <w:tab/>
        <w:t xml:space="preserve">223.  </w:t>
      </w:r>
      <w:r>
        <w:rPr>
          <w:rFonts w:hint="eastAsia"/>
        </w:rPr>
        <w:t>但是，属于阿尔巴尼亚族的人参加所有文化艺术领域的活动，其中有许多人在文化机构工作，如在国家剧团、国立博物馆、国</w:t>
      </w:r>
      <w:r>
        <w:rPr>
          <w:rFonts w:hint="eastAsia"/>
        </w:rPr>
        <w:t>立图书馆和大学图书馆等等。阿尔巴尼亚族的成员能够读到国立图书馆藏有的他们母语的书籍，这些图书馆是由塞尔维亚共和国供资的。国营电视台也播放阿尔巴尼亚语新闻。私人聚会也举行一些其他的文化活动，塞尔维亚共和国的政府和官方机构是不知道的。由于文化方面的自我孤立，他们未能与邻近的文化建立关系。年轻一代不懂塞尔维亚语，而这正是他们传统上获得其居住地外文化活动消息的渠道。</w:t>
      </w:r>
    </w:p>
    <w:p w:rsidR="00000000" w:rsidRDefault="00CF7517">
      <w:r>
        <w:tab/>
        <w:t>224.  1995</w:t>
      </w:r>
      <w:r>
        <w:rPr>
          <w:rFonts w:hint="eastAsia"/>
        </w:rPr>
        <w:t>年，用居住在南联盟的少数民族语言播送的新闻节目用</w:t>
      </w:r>
      <w:r>
        <w:t>8</w:t>
      </w:r>
      <w:r>
        <w:rPr>
          <w:rFonts w:hint="eastAsia"/>
        </w:rPr>
        <w:t>种少数民族语言</w:t>
      </w:r>
      <w:r>
        <w:t>(</w:t>
      </w:r>
      <w:r>
        <w:rPr>
          <w:rFonts w:hint="eastAsia"/>
        </w:rPr>
        <w:t>阿尔巴尼亚语、匈牙利语、罗马尼亚语、鲁塞尼亚语、斯洛伐克语、罗</w:t>
      </w:r>
      <w:r>
        <w:rPr>
          <w:rFonts w:hint="eastAsia"/>
        </w:rPr>
        <w:t>语、土耳其语、乌克兰语</w:t>
      </w:r>
      <w:r>
        <w:t>)</w:t>
      </w:r>
      <w:r>
        <w:rPr>
          <w:rFonts w:hint="eastAsia"/>
        </w:rPr>
        <w:t>播出</w:t>
      </w:r>
      <w:r>
        <w:t>42,437</w:t>
      </w:r>
      <w:r>
        <w:rPr>
          <w:rFonts w:hint="eastAsia"/>
        </w:rPr>
        <w:t>个小时的广播节目，占这一年广播节目总量的约</w:t>
      </w:r>
      <w:r>
        <w:t>10%</w:t>
      </w:r>
      <w:r>
        <w:rPr>
          <w:rFonts w:hint="eastAsia"/>
        </w:rPr>
        <w:t>。统计表明，从节目的语言看，广播时数最多的是匈牙利语</w:t>
      </w:r>
      <w:r>
        <w:t>(19,131</w:t>
      </w:r>
      <w:r>
        <w:rPr>
          <w:rFonts w:hint="eastAsia"/>
        </w:rPr>
        <w:t>小时</w:t>
      </w:r>
      <w:r>
        <w:t>)</w:t>
      </w:r>
      <w:r>
        <w:rPr>
          <w:rFonts w:hint="eastAsia"/>
        </w:rPr>
        <w:t>和阿尔巴尼亚语</w:t>
      </w:r>
      <w:r>
        <w:t>(7,197</w:t>
      </w:r>
      <w:r>
        <w:rPr>
          <w:rFonts w:hint="eastAsia"/>
        </w:rPr>
        <w:t>小时</w:t>
      </w:r>
      <w:r>
        <w:t>)</w:t>
      </w:r>
      <w:r>
        <w:rPr>
          <w:rFonts w:hint="eastAsia"/>
        </w:rPr>
        <w:t>。</w:t>
      </w:r>
      <w:r>
        <w:t>1995</w:t>
      </w:r>
      <w:r>
        <w:rPr>
          <w:rFonts w:hint="eastAsia"/>
        </w:rPr>
        <w:t>年，</w:t>
      </w:r>
      <w:r>
        <w:t>4</w:t>
      </w:r>
      <w:r>
        <w:rPr>
          <w:rFonts w:hint="eastAsia"/>
        </w:rPr>
        <w:t>个电视中心，即贝尔格莱德、波德格里察、诺维萨德和普里斯蒂那，用少数民族语言播放了</w:t>
      </w:r>
      <w:r>
        <w:t>7,364</w:t>
      </w:r>
      <w:r>
        <w:rPr>
          <w:rFonts w:hint="eastAsia"/>
        </w:rPr>
        <w:t>个小时的电视节目，总共播放了</w:t>
      </w:r>
      <w:r>
        <w:t>31,684</w:t>
      </w:r>
      <w:r>
        <w:rPr>
          <w:rFonts w:hint="eastAsia"/>
        </w:rPr>
        <w:t>个小时这种节目。</w:t>
      </w:r>
    </w:p>
    <w:p w:rsidR="00000000" w:rsidRDefault="00CF7517">
      <w:r>
        <w:tab/>
        <w:t xml:space="preserve">225.  </w:t>
      </w:r>
      <w:r>
        <w:rPr>
          <w:rFonts w:hint="eastAsia"/>
        </w:rPr>
        <w:t>杂志和日报是用少数民族语言传播信息的另一个重要途径。各少数民族都有本族语言的报纸或杂志，通常为周刊。</w:t>
      </w:r>
      <w:r>
        <w:t>1995</w:t>
      </w:r>
      <w:r>
        <w:rPr>
          <w:rFonts w:hint="eastAsia"/>
        </w:rPr>
        <w:t>年</w:t>
      </w:r>
      <w:r>
        <w:t>7</w:t>
      </w:r>
      <w:r>
        <w:rPr>
          <w:rFonts w:hint="eastAsia"/>
        </w:rPr>
        <w:t>个少数民族语言和吉普赛语有</w:t>
      </w:r>
      <w:r>
        <w:t>57</w:t>
      </w:r>
      <w:r>
        <w:rPr>
          <w:rFonts w:hint="eastAsia"/>
        </w:rPr>
        <w:t>份报纸，占这一年出版报纸总数的</w:t>
      </w:r>
      <w:r>
        <w:t>10%</w:t>
      </w:r>
      <w:r>
        <w:rPr>
          <w:rFonts w:hint="eastAsia"/>
        </w:rPr>
        <w:t>。以少数民族语言出版了</w:t>
      </w:r>
      <w:r>
        <w:t>140</w:t>
      </w:r>
      <w:r>
        <w:rPr>
          <w:rFonts w:hint="eastAsia"/>
        </w:rPr>
        <w:t>本书</w:t>
      </w:r>
      <w:r>
        <w:t>(</w:t>
      </w:r>
      <w:r>
        <w:rPr>
          <w:rFonts w:hint="eastAsia"/>
        </w:rPr>
        <w:t>还有</w:t>
      </w:r>
      <w:r>
        <w:t>227</w:t>
      </w:r>
      <w:r>
        <w:rPr>
          <w:rFonts w:hint="eastAsia"/>
        </w:rPr>
        <w:t>本双语书籍</w:t>
      </w:r>
      <w:r>
        <w:t>)</w:t>
      </w:r>
      <w:r>
        <w:rPr>
          <w:rFonts w:hint="eastAsia"/>
        </w:rPr>
        <w:t>。出版量最大的是匈牙利语书籍</w:t>
      </w:r>
      <w:r>
        <w:rPr>
          <w:rFonts w:hint="eastAsia"/>
          <w:spacing w:val="-40"/>
        </w:rPr>
        <w:t>——</w:t>
      </w:r>
      <w:r>
        <w:t xml:space="preserve"> 63</w:t>
      </w:r>
      <w:r>
        <w:rPr>
          <w:rFonts w:hint="eastAsia"/>
        </w:rPr>
        <w:t>本；用捷克语和斯洛伐克语出版的书籍有</w:t>
      </w:r>
      <w:r>
        <w:t>33</w:t>
      </w:r>
      <w:r>
        <w:rPr>
          <w:rFonts w:hint="eastAsia"/>
        </w:rPr>
        <w:t>本，用阿尔巴尼亚语出版的书籍</w:t>
      </w:r>
      <w:r>
        <w:t>11</w:t>
      </w:r>
      <w:r>
        <w:rPr>
          <w:rFonts w:hint="eastAsia"/>
        </w:rPr>
        <w:t>本。</w:t>
      </w:r>
    </w:p>
    <w:p w:rsidR="00000000" w:rsidRDefault="00CF7517">
      <w:r>
        <w:tab/>
        <w:t xml:space="preserve">226.  </w:t>
      </w:r>
      <w:r>
        <w:rPr>
          <w:rFonts w:hint="eastAsia"/>
        </w:rPr>
        <w:t>匈牙利族人数众多，经济和教育背景良好，文化上享有最高程度的自治。他们有一个组织完善的专业和业余文化机构网络。匈牙利族有四个专业剧团：诺维萨德剧院</w:t>
      </w:r>
      <w:r>
        <w:rPr>
          <w:rFonts w:hint="eastAsia"/>
          <w:spacing w:val="-40"/>
        </w:rPr>
        <w:t>——</w:t>
      </w:r>
      <w:r>
        <w:t xml:space="preserve"> Ujvideki Szinhaz</w:t>
      </w:r>
      <w:r>
        <w:rPr>
          <w:rFonts w:hint="eastAsia"/>
        </w:rPr>
        <w:t>、国立剧院</w:t>
      </w:r>
      <w:r>
        <w:rPr>
          <w:rFonts w:hint="eastAsia"/>
          <w:spacing w:val="-40"/>
        </w:rPr>
        <w:t>——</w:t>
      </w:r>
      <w:r>
        <w:t xml:space="preserve"> </w:t>
      </w:r>
      <w:r>
        <w:rPr>
          <w:rFonts w:hint="eastAsia"/>
        </w:rPr>
        <w:t>苏博蒂察的</w:t>
      </w:r>
      <w:r>
        <w:t>Nepszinhaz</w:t>
      </w:r>
      <w:r>
        <w:rPr>
          <w:rFonts w:hint="eastAsia"/>
        </w:rPr>
        <w:t>、</w:t>
      </w:r>
      <w:r>
        <w:t>Salasarsko</w:t>
      </w:r>
      <w:r>
        <w:rPr>
          <w:rFonts w:hint="eastAsia"/>
        </w:rPr>
        <w:t>剧院</w:t>
      </w:r>
      <w:r>
        <w:rPr>
          <w:rFonts w:hint="eastAsia"/>
          <w:spacing w:val="-40"/>
        </w:rPr>
        <w:t>——</w:t>
      </w:r>
      <w:r>
        <w:t xml:space="preserve"> Tanyaszinhaz</w:t>
      </w:r>
      <w:r>
        <w:rPr>
          <w:rFonts w:hint="eastAsia"/>
        </w:rPr>
        <w:t>、儿童</w:t>
      </w:r>
      <w:r>
        <w:rPr>
          <w:rFonts w:hint="eastAsia"/>
        </w:rPr>
        <w:t>剧院</w:t>
      </w:r>
      <w:r>
        <w:rPr>
          <w:rFonts w:hint="eastAsia"/>
          <w:spacing w:val="-40"/>
        </w:rPr>
        <w:t>——</w:t>
      </w:r>
      <w:r>
        <w:t xml:space="preserve"> </w:t>
      </w:r>
      <w:r>
        <w:rPr>
          <w:rFonts w:hint="eastAsia"/>
        </w:rPr>
        <w:t>苏博蒂察的</w:t>
      </w:r>
      <w:r>
        <w:t>Gyermekzinhaz</w:t>
      </w:r>
      <w:r>
        <w:rPr>
          <w:rFonts w:hint="eastAsia"/>
        </w:rPr>
        <w:t>。匈牙利族作家编写的许多戏剧在伏伊伏丁那上演，那儿有十二所剧院。</w:t>
      </w:r>
    </w:p>
    <w:p w:rsidR="00000000" w:rsidRDefault="00CF7517">
      <w:r>
        <w:tab/>
        <w:t xml:space="preserve">227.  </w:t>
      </w:r>
      <w:r>
        <w:rPr>
          <w:rFonts w:hint="eastAsia"/>
        </w:rPr>
        <w:t>伏伊伏丁那匈牙利族的全国性政党在省、共和国和联盟议会中有代表席位，他们与其他党派合作为本族的利益呼喊，他们常常是一个重要的政治因素。</w:t>
      </w:r>
    </w:p>
    <w:p w:rsidR="00000000" w:rsidRDefault="00CF7517">
      <w:r>
        <w:tab/>
        <w:t xml:space="preserve">228.  </w:t>
      </w:r>
      <w:r>
        <w:rPr>
          <w:rFonts w:hint="eastAsia"/>
        </w:rPr>
        <w:t>在黑山生活工作的少数民族成员参加共和国所有文化、科学和教育机构的工作。</w:t>
      </w:r>
    </w:p>
    <w:p w:rsidR="00000000" w:rsidRDefault="00CF7517">
      <w:r>
        <w:tab/>
        <w:t xml:space="preserve">229.  </w:t>
      </w:r>
      <w:r>
        <w:rPr>
          <w:rFonts w:hint="eastAsia"/>
        </w:rPr>
        <w:t>虽然日报和周刊大多有专版报道文化情况，但电视和广播仍然是文化信息和满足公众文化需求的主要媒介。这是因为在大城市以外地区的文化活动很少，而且没有钱，因此大</w:t>
      </w:r>
      <w:r>
        <w:rPr>
          <w:rFonts w:hint="eastAsia"/>
        </w:rPr>
        <w:t>多数人只能以最廉价的方式满足自己的文化需要，即看电视，听广播。在首都贝尔格莱德，除了国营电视台外，还有几个广播和电视台站播放出色的文化节目，如</w:t>
      </w:r>
      <w:r>
        <w:t>B</w:t>
      </w:r>
      <w:r>
        <w:rPr>
          <w:rFonts w:hint="eastAsia"/>
        </w:rPr>
        <w:t>台、</w:t>
      </w:r>
      <w:r>
        <w:t>Politika</w:t>
      </w:r>
      <w:r>
        <w:rPr>
          <w:rFonts w:hint="eastAsia"/>
        </w:rPr>
        <w:t>电视、艺术频道</w:t>
      </w:r>
      <w:r>
        <w:t>(</w:t>
      </w:r>
      <w:r>
        <w:rPr>
          <w:rFonts w:hint="eastAsia"/>
        </w:rPr>
        <w:t>只播送文化节目的私营电视台</w:t>
      </w:r>
      <w:r>
        <w:t>)</w:t>
      </w:r>
      <w:r>
        <w:rPr>
          <w:rFonts w:hint="eastAsia"/>
        </w:rPr>
        <w:t>。但是，这些台站的范围较小，只针对贝尔格莱德及其周边地区，塞尔维亚的其他公民只能收看国营电视台的节目。</w:t>
      </w:r>
    </w:p>
    <w:p w:rsidR="00000000" w:rsidRDefault="00CF7517">
      <w:r>
        <w:tab/>
        <w:t xml:space="preserve">230.  </w:t>
      </w:r>
      <w:r>
        <w:rPr>
          <w:rFonts w:hint="eastAsia"/>
        </w:rPr>
        <w:t>从</w:t>
      </w:r>
      <w:r>
        <w:t>1994</w:t>
      </w:r>
      <w:r>
        <w:rPr>
          <w:rFonts w:hint="eastAsia"/>
        </w:rPr>
        <w:t>年和</w:t>
      </w:r>
      <w:r>
        <w:t>1995</w:t>
      </w:r>
      <w:r>
        <w:rPr>
          <w:rFonts w:hint="eastAsia"/>
        </w:rPr>
        <w:t>年的收视率测验来看，塞尔维亚公民喜欢幽默和娱乐</w:t>
      </w:r>
      <w:r>
        <w:t>(70%)</w:t>
      </w:r>
      <w:r>
        <w:rPr>
          <w:rFonts w:hint="eastAsia"/>
        </w:rPr>
        <w:t>、电影和连续剧</w:t>
      </w:r>
      <w:r>
        <w:t>(61.8%)</w:t>
      </w:r>
      <w:r>
        <w:rPr>
          <w:rFonts w:hint="eastAsia"/>
        </w:rPr>
        <w:t>和民间音乐</w:t>
      </w:r>
      <w:r>
        <w:t>(55.5%)</w:t>
      </w:r>
      <w:r>
        <w:rPr>
          <w:rFonts w:hint="eastAsia"/>
        </w:rPr>
        <w:t>，兴趣最低的是介绍书籍和作家</w:t>
      </w:r>
      <w:r>
        <w:t>(11.7%)</w:t>
      </w:r>
      <w:r>
        <w:rPr>
          <w:rFonts w:hint="eastAsia"/>
        </w:rPr>
        <w:t>、艺术</w:t>
      </w:r>
      <w:r>
        <w:t>(10.</w:t>
      </w:r>
      <w:r>
        <w:t>2%)</w:t>
      </w:r>
      <w:r>
        <w:rPr>
          <w:rFonts w:hint="eastAsia"/>
        </w:rPr>
        <w:t>和古典音乐</w:t>
      </w:r>
      <w:r>
        <w:t>(6%)</w:t>
      </w:r>
      <w:r>
        <w:rPr>
          <w:rFonts w:hint="eastAsia"/>
        </w:rPr>
        <w:t>等的节目。至于广播节目，兴趣最大的是民间音乐</w:t>
      </w:r>
      <w:r>
        <w:t>(51.8%)</w:t>
      </w:r>
      <w:r>
        <w:rPr>
          <w:rFonts w:hint="eastAsia"/>
        </w:rPr>
        <w:t>、幽默和娱乐</w:t>
      </w:r>
      <w:r>
        <w:t>(46.6%)</w:t>
      </w:r>
      <w:r>
        <w:rPr>
          <w:rFonts w:hint="eastAsia"/>
        </w:rPr>
        <w:t>，兴趣最低的是广播戏剧和文学作品改编的戏剧</w:t>
      </w:r>
      <w:r>
        <w:t>(6.4%)</w:t>
      </w:r>
      <w:r>
        <w:rPr>
          <w:rFonts w:hint="eastAsia"/>
        </w:rPr>
        <w:t>、书籍和作家</w:t>
      </w:r>
      <w:r>
        <w:t>(4.3%)</w:t>
      </w:r>
      <w:r>
        <w:rPr>
          <w:rFonts w:hint="eastAsia"/>
        </w:rPr>
        <w:t>、古典音乐</w:t>
      </w:r>
      <w:r>
        <w:t>(4.6%)</w:t>
      </w:r>
      <w:r>
        <w:rPr>
          <w:rFonts w:hint="eastAsia"/>
        </w:rPr>
        <w:t>。上述结果引起很大的不满，因为这里的民间音乐通常被认为是最近创作的歌曲，被官方文化政策认为是垃圾，因此塞尔维亚文化部宣布</w:t>
      </w:r>
      <w:r>
        <w:t>1995</w:t>
      </w:r>
      <w:r>
        <w:rPr>
          <w:rFonts w:hint="eastAsia"/>
        </w:rPr>
        <w:t>年为文化年，在“促进文化”的口号下发起了一次运动，想推动塞尔维亚的文化生活。这次运动通过各种渠道进行，但主要是通过大众媒介：报刊、广播和电视。还采用了所谓的户外宣传，如公共场所</w:t>
      </w:r>
      <w:r>
        <w:rPr>
          <w:rFonts w:hint="eastAsia"/>
        </w:rPr>
        <w:t>的招贴榜和广告等等。在大城市举办了重大的文化活动，并在各种艺术领域举行了比赛。报纸的一些文章和报道，电视上的报道、表演、录像和歌曲以及标语、招贴榜、广告、标牌和粘胶标签等都对这次运动作了宣传。这次运动的宣传材料，目的是为了在文化和文化活动方面影响公众，鼓励积极参与对文化需求的满足。</w:t>
      </w:r>
    </w:p>
    <w:p w:rsidR="00000000" w:rsidRDefault="00CF7517">
      <w:r>
        <w:tab/>
        <w:t xml:space="preserve">231.  </w:t>
      </w:r>
      <w:r>
        <w:rPr>
          <w:rFonts w:hint="eastAsia"/>
        </w:rPr>
        <w:t>塞尔维亚和黑山，即现在的南斯拉夫联盟共和国境内的所有注册文化不动产都列入</w:t>
      </w:r>
      <w:r>
        <w:t>1994</w:t>
      </w:r>
      <w:r>
        <w:rPr>
          <w:rFonts w:hint="eastAsia"/>
        </w:rPr>
        <w:t>年编制的清单中。根据新的分类，有</w:t>
      </w:r>
      <w:r>
        <w:t>2,287</w:t>
      </w:r>
      <w:r>
        <w:rPr>
          <w:rFonts w:hint="eastAsia"/>
        </w:rPr>
        <w:t>件注册文化不动产，上达旧石器时代，下至</w:t>
      </w:r>
      <w:r>
        <w:t>20</w:t>
      </w:r>
      <w:r>
        <w:rPr>
          <w:rFonts w:hint="eastAsia"/>
        </w:rPr>
        <w:t>世纪，其中</w:t>
      </w:r>
      <w:r>
        <w:t>2,347</w:t>
      </w:r>
      <w:r>
        <w:rPr>
          <w:rFonts w:hint="eastAsia"/>
        </w:rPr>
        <w:t>件</w:t>
      </w:r>
      <w:r>
        <w:t>(84.2%)</w:t>
      </w:r>
      <w:r>
        <w:rPr>
          <w:rFonts w:hint="eastAsia"/>
        </w:rPr>
        <w:t>在塞尔维亚。</w:t>
      </w:r>
    </w:p>
    <w:p w:rsidR="00000000" w:rsidRDefault="00CF7517">
      <w:r>
        <w:tab/>
        <w:t xml:space="preserve">232.  </w:t>
      </w:r>
      <w:r>
        <w:rPr>
          <w:rFonts w:hint="eastAsia"/>
        </w:rPr>
        <w:t>清单对宗教建筑按特征、宗教渊源、建造时间及其目的作了分类。这一框架中的建筑物有东正教</w:t>
      </w:r>
      <w:r>
        <w:t>(792)</w:t>
      </w:r>
      <w:r>
        <w:rPr>
          <w:rFonts w:hint="eastAsia"/>
        </w:rPr>
        <w:t>、天主教</w:t>
      </w:r>
      <w:r>
        <w:t>(90)</w:t>
      </w:r>
      <w:r>
        <w:rPr>
          <w:rFonts w:hint="eastAsia"/>
        </w:rPr>
        <w:t>和伊斯兰教</w:t>
      </w:r>
      <w:r>
        <w:t>(49)</w:t>
      </w:r>
      <w:r>
        <w:rPr>
          <w:rFonts w:hint="eastAsia"/>
        </w:rPr>
        <w:t>。东正教的建筑物通常是修道院</w:t>
      </w:r>
      <w:r>
        <w:t>(200)</w:t>
      </w:r>
      <w:r>
        <w:rPr>
          <w:rFonts w:hint="eastAsia"/>
        </w:rPr>
        <w:t>和教堂</w:t>
      </w:r>
      <w:r>
        <w:t>(564)</w:t>
      </w:r>
      <w:r>
        <w:rPr>
          <w:rFonts w:hint="eastAsia"/>
        </w:rPr>
        <w:t>。有四大类住宅建筑：大厦</w:t>
      </w:r>
      <w:r>
        <w:t>(95)</w:t>
      </w:r>
      <w:r>
        <w:rPr>
          <w:rFonts w:hint="eastAsia"/>
        </w:rPr>
        <w:t>、住宅楼</w:t>
      </w:r>
      <w:r>
        <w:t>(304)</w:t>
      </w:r>
      <w:r>
        <w:rPr>
          <w:rFonts w:hint="eastAsia"/>
        </w:rPr>
        <w:t>、住宅商业楼</w:t>
      </w:r>
      <w:r>
        <w:t>(88)</w:t>
      </w:r>
      <w:r>
        <w:rPr>
          <w:rFonts w:hint="eastAsia"/>
        </w:rPr>
        <w:t>、其他住宅楼</w:t>
      </w:r>
      <w:r>
        <w:t>(9)</w:t>
      </w:r>
      <w:r>
        <w:rPr>
          <w:rFonts w:hint="eastAsia"/>
        </w:rPr>
        <w:t>。在专门记载公共建筑的那一部分中，我们确认了管理机构的建筑</w:t>
      </w:r>
      <w:r>
        <w:t>(74)</w:t>
      </w:r>
      <w:r>
        <w:rPr>
          <w:rFonts w:hint="eastAsia"/>
        </w:rPr>
        <w:t>、文体娱乐建筑</w:t>
      </w:r>
      <w:r>
        <w:t>(59)</w:t>
      </w:r>
      <w:r>
        <w:rPr>
          <w:rFonts w:hint="eastAsia"/>
        </w:rPr>
        <w:t>、教育科学建筑</w:t>
      </w:r>
      <w:r>
        <w:t>(76)</w:t>
      </w:r>
      <w:r>
        <w:rPr>
          <w:rFonts w:hint="eastAsia"/>
        </w:rPr>
        <w:t>、卫生保健建筑</w:t>
      </w:r>
      <w:r>
        <w:t>(38)</w:t>
      </w:r>
      <w:r>
        <w:rPr>
          <w:rFonts w:hint="eastAsia"/>
        </w:rPr>
        <w:t>。受保护的注册文化遗迹大多是十八、十九世纪的</w:t>
      </w:r>
      <w:r>
        <w:rPr>
          <w:rFonts w:hint="eastAsia"/>
          <w:spacing w:val="-40"/>
        </w:rPr>
        <w:t>——</w:t>
      </w:r>
      <w:r>
        <w:t xml:space="preserve"> </w:t>
      </w:r>
      <w:r>
        <w:rPr>
          <w:rFonts w:hint="eastAsia"/>
        </w:rPr>
        <w:t>有</w:t>
      </w:r>
      <w:r>
        <w:t>1,259</w:t>
      </w:r>
      <w:r>
        <w:rPr>
          <w:rFonts w:hint="eastAsia"/>
        </w:rPr>
        <w:t>处</w:t>
      </w:r>
      <w:r>
        <w:t>(45.2%)</w:t>
      </w:r>
      <w:r>
        <w:rPr>
          <w:rFonts w:hint="eastAsia"/>
        </w:rPr>
        <w:t>；</w:t>
      </w:r>
      <w:r>
        <w:t>621</w:t>
      </w:r>
      <w:r>
        <w:rPr>
          <w:rFonts w:hint="eastAsia"/>
        </w:rPr>
        <w:t>处文化遗迹</w:t>
      </w:r>
      <w:r>
        <w:rPr>
          <w:rFonts w:hint="eastAsia"/>
        </w:rPr>
        <w:t>上溯到第十至第十七世纪。</w:t>
      </w:r>
    </w:p>
    <w:p w:rsidR="00000000" w:rsidRDefault="00CF7517">
      <w:r>
        <w:tab/>
        <w:t xml:space="preserve">233.  </w:t>
      </w:r>
      <w:r>
        <w:rPr>
          <w:rFonts w:hint="eastAsia"/>
        </w:rPr>
        <w:t>贝尔格莱德艺术大学</w:t>
      </w:r>
      <w:r>
        <w:t>(1956</w:t>
      </w:r>
      <w:r>
        <w:rPr>
          <w:rFonts w:hint="eastAsia"/>
        </w:rPr>
        <w:t>年</w:t>
      </w:r>
      <w:r>
        <w:t>)</w:t>
      </w:r>
      <w:r>
        <w:rPr>
          <w:rFonts w:hint="eastAsia"/>
        </w:rPr>
        <w:t>有四个学院：戏剧学院、音乐学院、美术学院以及应用艺术和设计学院，它是南斯拉夫唯一专门培训所有艺术领域的艺术家和专家的大学。有关文化教育的其他大学有语言文学、哲学和政治学方面的大学，这些大学的毕业生</w:t>
      </w:r>
      <w:r>
        <w:t>(</w:t>
      </w:r>
      <w:r>
        <w:rPr>
          <w:rFonts w:hint="eastAsia"/>
        </w:rPr>
        <w:t>特别是艺术史、考古学、人种学、图书馆学、文化社会学、文学等等科系的毕业生</w:t>
      </w:r>
      <w:r>
        <w:t>)</w:t>
      </w:r>
      <w:r>
        <w:rPr>
          <w:rFonts w:hint="eastAsia"/>
        </w:rPr>
        <w:t>通常在文化中心工作，或者担任博物馆馆长、图书馆管理员、编辑以及为报刊和其他大众媒体报道文化情况的记者。贝尔格莱德有两所私人艺术大学，它们拥有专业工作人员。虽然每年的学费</w:t>
      </w:r>
      <w:r>
        <w:rPr>
          <w:rFonts w:hint="eastAsia"/>
        </w:rPr>
        <w:t>高达</w:t>
      </w:r>
      <w:r>
        <w:t>7,000</w:t>
      </w:r>
      <w:r>
        <w:rPr>
          <w:rFonts w:hint="eastAsia"/>
        </w:rPr>
        <w:t>美元，但人们仍然对这种教育感兴趣。学生人数比类似的国立学院多，竞争也较少。然而在教育投资方面，它们落后于国立学院。高学费和赞助者赞助的资金仍然不够支付教学费用。私人大学的教学方案不同于国立大学的方案。实践工作比理论和一般性知识得到更多的重视，因为后者需要额外资金。因此，私人学院看上去比较象讲习班。</w:t>
      </w:r>
    </w:p>
    <w:p w:rsidR="00000000" w:rsidRDefault="00CF7517">
      <w:r>
        <w:tab/>
        <w:t xml:space="preserve">234.  </w:t>
      </w:r>
      <w:r>
        <w:rPr>
          <w:rFonts w:hint="eastAsia"/>
        </w:rPr>
        <w:t>通过在某些艺术领域开办一些课程，进行非正式教育。这些课程是由从事此项活动的艺术家根据关于独立从事艺术和其他文化活动的法律举办的。文化中心以及私人专门机构也举办这类课程。课程大多是美术课</w:t>
      </w:r>
      <w:r>
        <w:rPr>
          <w:rFonts w:hint="eastAsia"/>
        </w:rPr>
        <w:t>，数年来，这些课程为想进艺术院校的人做准备。</w:t>
      </w:r>
    </w:p>
    <w:p w:rsidR="00000000" w:rsidRDefault="00CF7517">
      <w:r>
        <w:tab/>
        <w:t xml:space="preserve">235.  </w:t>
      </w:r>
      <w:r>
        <w:rPr>
          <w:rFonts w:hint="eastAsia"/>
        </w:rPr>
        <w:t>在黑山，采蒂涅的黑山大学有下列学院：戏剧学院、美术学院和音乐学院。尼克希奇的哲学院也参加培训从事文化工作的人员。</w:t>
      </w:r>
    </w:p>
    <w:p w:rsidR="00000000" w:rsidRDefault="00CF7517">
      <w:r>
        <w:tab/>
        <w:t xml:space="preserve">236.  </w:t>
      </w:r>
      <w:r>
        <w:rPr>
          <w:rFonts w:hint="eastAsia"/>
        </w:rPr>
        <w:t>塞尔维亚共和国有</w:t>
      </w:r>
      <w:r>
        <w:t>60</w:t>
      </w:r>
      <w:r>
        <w:rPr>
          <w:rFonts w:hint="eastAsia"/>
        </w:rPr>
        <w:t>多个艺术家协会和专业协会从事文化领域的工作，这使人了解到知识和艺术层次的结构。有</w:t>
      </w:r>
      <w:r>
        <w:t>15</w:t>
      </w:r>
      <w:r>
        <w:rPr>
          <w:rFonts w:hint="eastAsia"/>
        </w:rPr>
        <w:t>个艺术家协会，其中最大最重要的有：作家协会、文学翻译家协会、美术家协会、美术家和设计师协会、作曲家协会、戏剧艺术家协会、电影艺术家协会，总共约有</w:t>
      </w:r>
      <w:r>
        <w:t>5,000</w:t>
      </w:r>
      <w:r>
        <w:rPr>
          <w:rFonts w:hint="eastAsia"/>
        </w:rPr>
        <w:t>名会员。还有许多专家和科学家协会，即：艺术史学家学会、人种学会、哲</w:t>
      </w:r>
      <w:r>
        <w:rPr>
          <w:rFonts w:hint="eastAsia"/>
        </w:rPr>
        <w:t>学会、社会学会、斯拉夫学会、历史学会协会、心理学会协会、博物馆学会、图书馆管理员协会，总共有</w:t>
      </w:r>
      <w:r>
        <w:t>6,000</w:t>
      </w:r>
      <w:r>
        <w:rPr>
          <w:rFonts w:hint="eastAsia"/>
        </w:rPr>
        <w:t>多名会员。</w:t>
      </w:r>
    </w:p>
    <w:p w:rsidR="00000000" w:rsidRDefault="00CF7517">
      <w:pPr>
        <w:spacing w:after="320"/>
        <w:textAlignment w:val="center"/>
      </w:pPr>
      <w:r>
        <w:tab/>
        <w:t xml:space="preserve">237.  </w:t>
      </w:r>
      <w:r>
        <w:rPr>
          <w:rFonts w:hint="eastAsia"/>
        </w:rPr>
        <w:t>黑山现在有</w:t>
      </w:r>
      <w:r>
        <w:t>15</w:t>
      </w:r>
      <w:r>
        <w:rPr>
          <w:rFonts w:hint="eastAsia"/>
        </w:rPr>
        <w:t>个以上的协会：即黑山美术家协会、黑山作家协会、黑山戏剧艺术家协会、黑山作曲家协会、黑山电影艺术家协会、黑山学会、穆斯林学会和儿童文学作者协会。</w:t>
      </w:r>
    </w:p>
    <w:p w:rsidR="00000000" w:rsidRDefault="00CF7517">
      <w:pPr>
        <w:pStyle w:val="Heading4"/>
      </w:pPr>
      <w:r>
        <w:rPr>
          <w:rFonts w:hint="eastAsia"/>
        </w:rPr>
        <w:t>脆弱群体，包括少数民族</w:t>
      </w:r>
    </w:p>
    <w:p w:rsidR="00000000" w:rsidRDefault="00CF7517">
      <w:r>
        <w:tab/>
        <w:t xml:space="preserve">238.  </w:t>
      </w:r>
      <w:r>
        <w:rPr>
          <w:rFonts w:hint="eastAsia"/>
        </w:rPr>
        <w:t>南联盟的吉普赛人拥有少数民族的地位。据有些估计，塞尔维亚有几十万吉普赛人，实际数字难以确定。根据</w:t>
      </w:r>
      <w:r>
        <w:t>1991</w:t>
      </w:r>
      <w:r>
        <w:rPr>
          <w:rFonts w:hint="eastAsia"/>
        </w:rPr>
        <w:t>年的普查，南联盟有</w:t>
      </w:r>
      <w:r>
        <w:t>143,519</w:t>
      </w:r>
      <w:r>
        <w:rPr>
          <w:rFonts w:hint="eastAsia"/>
        </w:rPr>
        <w:t>吉普赛人，其中</w:t>
      </w:r>
      <w:r>
        <w:t>140,237</w:t>
      </w:r>
      <w:r>
        <w:rPr>
          <w:rFonts w:hint="eastAsia"/>
        </w:rPr>
        <w:t>人在塞尔维亚。大多数吉普</w:t>
      </w:r>
      <w:r>
        <w:rPr>
          <w:rFonts w:hint="eastAsia"/>
        </w:rPr>
        <w:t>赛人不再是无家可归的流浪者。他们参加自己居住地区的社会活动，但他们的文化大多停留在口头和民间传说上。他们文化发展的一个主要障碍是，尽管过去曾努力为他们的语言制定语法，但仍未能整理出语言和文字。没有一种发达的语言，他们便无法得到母语教育，也不能对自己的文化作可靠的记载，但已经采取了一些初步的重要步骤。大多数吉普赛儿童没有很好地掌握塞尔维亚语，因此需要有特殊的学前预备。在现代文化成就方面，诗歌的成就最大。有许多诗人创造了独特的诗歌，将神话与现代结合在一起。他们通过文化艺术学会满足自己的文化需求。吉普赛人有少量文</w:t>
      </w:r>
      <w:r>
        <w:rPr>
          <w:rFonts w:hint="eastAsia"/>
        </w:rPr>
        <w:t>化工作者善长主办文化活动。</w:t>
      </w:r>
    </w:p>
    <w:p w:rsidR="00000000" w:rsidRDefault="00CF7517">
      <w:r>
        <w:tab/>
        <w:t xml:space="preserve">239.  </w:t>
      </w:r>
      <w:r>
        <w:rPr>
          <w:rFonts w:hint="eastAsia"/>
        </w:rPr>
        <w:t>一些吉普赛知识分子争取通过参加塞尔维亚吉普赛人协会从事教育文化活动；但他们的同胞常常对他们的活动表示不理解。较富裕的吉普赛人很少认识到需要对他们自己的文化提供捐款和投资。吉普赛人协会历来与文化机构和文化部合作良好，文化部对他们的文化活动的支持比对有自己的母国和其文化生活有较多资金来源的少数民族的支持更多。</w:t>
      </w:r>
    </w:p>
    <w:p w:rsidR="00000000" w:rsidRDefault="00CF7517">
      <w:r>
        <w:tab/>
        <w:t xml:space="preserve">240.  </w:t>
      </w:r>
      <w:r>
        <w:rPr>
          <w:rFonts w:hint="eastAsia"/>
        </w:rPr>
        <w:t>其它脆弱的社会群体也作为非政府组织从事活动，并根据《社会组织和公民协会法》登记。</w:t>
      </w:r>
    </w:p>
    <w:p w:rsidR="00000000" w:rsidRDefault="00CF7517">
      <w:r>
        <w:tab/>
        <w:t xml:space="preserve">241.  </w:t>
      </w:r>
      <w:r>
        <w:rPr>
          <w:rFonts w:hint="eastAsia"/>
        </w:rPr>
        <w:t>领取养老金者协会和照顾老年人的协会较多，但它们有一个</w:t>
      </w:r>
      <w:r>
        <w:rPr>
          <w:rFonts w:hint="eastAsia"/>
        </w:rPr>
        <w:t>主要的社会职能。这类协会举办文化节目，即艺术家不收费参加的演出。老年人较少从事有组织的业余文化活动。</w:t>
      </w:r>
    </w:p>
    <w:p w:rsidR="00000000" w:rsidRDefault="00CF7517">
      <w:r>
        <w:tab/>
        <w:t xml:space="preserve">242.  </w:t>
      </w:r>
      <w:r>
        <w:rPr>
          <w:rFonts w:hint="eastAsia"/>
        </w:rPr>
        <w:t>残疾人协会的组织是按照他们的情况以及后果</w:t>
      </w:r>
      <w:r>
        <w:t>(</w:t>
      </w:r>
      <w:r>
        <w:rPr>
          <w:rFonts w:hint="eastAsia"/>
        </w:rPr>
        <w:t>盲人、聋人、营养不良者、截瘫患者</w:t>
      </w:r>
      <w:r>
        <w:t>)</w:t>
      </w:r>
      <w:r>
        <w:rPr>
          <w:rFonts w:hint="eastAsia"/>
        </w:rPr>
        <w:t>或者按照发生伤害的方式</w:t>
      </w:r>
      <w:r>
        <w:t>(</w:t>
      </w:r>
      <w:r>
        <w:rPr>
          <w:rFonts w:hint="eastAsia"/>
        </w:rPr>
        <w:t>职业性残疾、战争残疾、内战受害者</w:t>
      </w:r>
      <w:r>
        <w:t>)</w:t>
      </w:r>
      <w:r>
        <w:rPr>
          <w:rFonts w:hint="eastAsia"/>
        </w:rPr>
        <w:t>。塞尔维亚共和国有</w:t>
      </w:r>
      <w:r>
        <w:t>18</w:t>
      </w:r>
      <w:r>
        <w:rPr>
          <w:rFonts w:hint="eastAsia"/>
        </w:rPr>
        <w:t>个残疾人协会，但没有联合会。每一协会按其成员或自己的组织和财务能力执行自己的项目。文化部只为盲人的出版方案供资。对其他类别的残疾人提供少量赠款，通常是帮助庆祝和纪念大庆。残疾人组织的方案大部分由劳工、卫生和社会政策部供资。这些资金包括对文化</w:t>
      </w:r>
      <w:r>
        <w:rPr>
          <w:rFonts w:hint="eastAsia"/>
        </w:rPr>
        <w:t>活动的少量赠款。</w:t>
      </w:r>
    </w:p>
    <w:p w:rsidR="00000000" w:rsidRDefault="00CF7517">
      <w:r>
        <w:tab/>
        <w:t xml:space="preserve">243.  </w:t>
      </w:r>
      <w:r>
        <w:rPr>
          <w:rFonts w:hint="eastAsia"/>
        </w:rPr>
        <w:t>残疾人的独立文化正在发展。所有协会出版的杂志在内容和排版方面的质量超过了普通杂志。很大一部分杂志专门讨论艺术和文化问题。这些协会有时安排一些节目，有著名艺术家和文化工作者参加。残疾人有一个诗歌学派。从</w:t>
      </w:r>
      <w:r>
        <w:t>1995</w:t>
      </w:r>
      <w:r>
        <w:rPr>
          <w:rFonts w:hint="eastAsia"/>
        </w:rPr>
        <w:t>年起，残疾人协会开始组织出版活动。第一批书籍大多是诗歌，艺术价值很高。</w:t>
      </w:r>
    </w:p>
    <w:p w:rsidR="00000000" w:rsidRDefault="00CF7517">
      <w:r>
        <w:tab/>
        <w:t xml:space="preserve">244.  </w:t>
      </w:r>
      <w:r>
        <w:rPr>
          <w:rFonts w:hint="eastAsia"/>
        </w:rPr>
        <w:t>一些热情人士，包括专业服装设计师和残疾人，建立了一个为残疾人设计服装的小组，已经在这一领域取得了成就。克拉列沃有一所残疾儿童参加的儿童剧团。贝尔格莱德的妇女团体争取建立一个由残疾人当演员</w:t>
      </w:r>
      <w:r>
        <w:rPr>
          <w:rFonts w:hint="eastAsia"/>
        </w:rPr>
        <w:t>的剧团。虽然所有残疾人组织几乎都有社交俱乐部，但因场地不足，只有少数成员能利用。大多数文化机构用的是陈旧的大楼，缺乏残疾人可以通行的设施，妨碍了这一类人口进入文化机构的机会。</w:t>
      </w:r>
    </w:p>
    <w:p w:rsidR="00000000" w:rsidRDefault="00CF7517">
      <w:r>
        <w:tab/>
        <w:t xml:space="preserve">245.  </w:t>
      </w:r>
      <w:r>
        <w:rPr>
          <w:rFonts w:hint="eastAsia"/>
        </w:rPr>
        <w:t>在黑山，黑山共和国文化部支持残疾人的文化活动，特别是盲人的出版活动。</w:t>
      </w:r>
    </w:p>
    <w:p w:rsidR="00000000" w:rsidRDefault="00CF7517">
      <w:r>
        <w:tab/>
        <w:t xml:space="preserve">246.  </w:t>
      </w:r>
      <w:r>
        <w:rPr>
          <w:rFonts w:hint="eastAsia"/>
        </w:rPr>
        <w:t>国际文化合作是南斯拉夫联盟共和国整个对外政治活动的一个重要部分。但是，安全理事会第</w:t>
      </w:r>
      <w:r>
        <w:t>757(1992)</w:t>
      </w:r>
      <w:r>
        <w:rPr>
          <w:rFonts w:hint="eastAsia"/>
        </w:rPr>
        <w:t>号决议关于科学文化领域制裁的那部分</w:t>
      </w:r>
      <w:r>
        <w:t>(</w:t>
      </w:r>
      <w:r>
        <w:rPr>
          <w:rFonts w:hint="eastAsia"/>
        </w:rPr>
        <w:t>第</w:t>
      </w:r>
      <w:r>
        <w:t>8(c)</w:t>
      </w:r>
      <w:r>
        <w:rPr>
          <w:rFonts w:hint="eastAsia"/>
        </w:rPr>
        <w:t>段</w:t>
      </w:r>
      <w:r>
        <w:t>)</w:t>
      </w:r>
      <w:r>
        <w:rPr>
          <w:rFonts w:hint="eastAsia"/>
        </w:rPr>
        <w:t>说：安全理事会决定所有国家应“暂停涉及由南斯拉夫联盟共和国……官方赞助的或代表该国的人员</w:t>
      </w:r>
      <w:r>
        <w:rPr>
          <w:rFonts w:hint="eastAsia"/>
        </w:rPr>
        <w:t>或团体所参与的科技合作和文化交流和访问。”从那时起，凡是按缔结的国际条约从事的所有活动都中止，通讯和信息交流受阻，执行国际文化合作领域的项目和活动遇到严重困难。南斯拉夫专家被拒绝参加文化教育领域的会议、研讨会、讲习班和其他专家聚会，因此南斯拉夫被剥夺了就这些领域最近的趋势采取某种立场的机会。</w:t>
      </w:r>
    </w:p>
    <w:p w:rsidR="00000000" w:rsidRDefault="00CF7517">
      <w:r>
        <w:tab/>
        <w:t xml:space="preserve">247.  </w:t>
      </w:r>
      <w:r>
        <w:rPr>
          <w:rFonts w:hint="eastAsia"/>
        </w:rPr>
        <w:t>上述决议通过后，许多国家立即采取具体步骤和活动，其中有许多在法律上是可疑的，构成具体的侵略形式：例如，上面引用的第</w:t>
      </w:r>
      <w:r>
        <w:t>757</w:t>
      </w:r>
      <w:r>
        <w:rPr>
          <w:rFonts w:hint="eastAsia"/>
        </w:rPr>
        <w:t>号决议那部分，没有提到暂停教育合作，但正是在这个领域几乎所有国家都停止了与南斯拉夫的</w:t>
      </w:r>
      <w:r>
        <w:rPr>
          <w:rFonts w:hint="eastAsia"/>
        </w:rPr>
        <w:t>合作。在实行制裁时，有些国家甚至比上述决议更加苛刻，对什么可以或不可以执行采用迄今不为人知的选择标准。因此，例如，在</w:t>
      </w:r>
      <w:r>
        <w:t>1993</w:t>
      </w:r>
      <w:r>
        <w:rPr>
          <w:rFonts w:hint="eastAsia"/>
        </w:rPr>
        <w:t>年</w:t>
      </w:r>
      <w:r>
        <w:t>1</w:t>
      </w:r>
      <w:r>
        <w:rPr>
          <w:rFonts w:hint="eastAsia"/>
        </w:rPr>
        <w:t>月初瓦尔特·迪斯尼出版公司决定冻结南斯拉夫报刊杂志出版迪斯尼卡通画的权利，惩罚了南斯拉夫联盟共和国的儿童。</w:t>
      </w:r>
    </w:p>
    <w:p w:rsidR="00000000" w:rsidRDefault="00CF7517">
      <w:r>
        <w:tab/>
        <w:t xml:space="preserve">248.  </w:t>
      </w:r>
      <w:r>
        <w:rPr>
          <w:rFonts w:hint="eastAsia"/>
        </w:rPr>
        <w:t>即使在这种情况下，南斯拉夫联盟共和国政府几次指出必须要在各个层次上保持国际联系，强调有必要保持国际合作的连续性，并特别强调国际文化合作。更具体地说，为了鼓励在制裁情况下发展文化领域的国际合作，联盟政府于</w:t>
      </w:r>
      <w:r>
        <w:t>1994</w:t>
      </w:r>
      <w:r>
        <w:rPr>
          <w:rFonts w:hint="eastAsia"/>
        </w:rPr>
        <w:t>年通过了一份文件，题为“在制裁情况下与若干国家和国际</w:t>
      </w:r>
      <w:r>
        <w:rPr>
          <w:rFonts w:hint="eastAsia"/>
        </w:rPr>
        <w:t>组织进行国际文化教育合作以及制裁取消后拟采取的措施和从事的活动”。</w:t>
      </w:r>
    </w:p>
    <w:p w:rsidR="00000000" w:rsidRDefault="00CF7517">
      <w:r>
        <w:tab/>
        <w:t xml:space="preserve">249.  </w:t>
      </w:r>
      <w:r>
        <w:rPr>
          <w:rFonts w:hint="eastAsia"/>
        </w:rPr>
        <w:t>然而，尽管作出这些努力，对我国采取的文化孤立措施，使我们的文化生活陷于相当程度的贫乏。在这几年里，没有南斯拉夫在过去经常邀请的杰出艺术家和剧团的来访，使我们感到若有所失。南斯拉夫既没有了重要的展览，我们的展览团也不访问外国。与我们经常交流文化方案的是那些没有与南斯拉夫撕毁文化合同的国家：俄罗斯、希腊和中国。但是，这种来访的数量很小。</w:t>
      </w:r>
    </w:p>
    <w:p w:rsidR="00000000" w:rsidRDefault="00CF7517">
      <w:r>
        <w:tab/>
        <w:t xml:space="preserve">250.  </w:t>
      </w:r>
      <w:r>
        <w:rPr>
          <w:rFonts w:hint="eastAsia"/>
        </w:rPr>
        <w:t>安全理事会</w:t>
      </w:r>
      <w:r>
        <w:t>1994</w:t>
      </w:r>
      <w:r>
        <w:rPr>
          <w:rFonts w:hint="eastAsia"/>
        </w:rPr>
        <w:t>年</w:t>
      </w:r>
      <w:r>
        <w:t>10</w:t>
      </w:r>
      <w:r>
        <w:rPr>
          <w:rFonts w:hint="eastAsia"/>
        </w:rPr>
        <w:t>月</w:t>
      </w:r>
      <w:r>
        <w:t>5</w:t>
      </w:r>
      <w:r>
        <w:rPr>
          <w:rFonts w:hint="eastAsia"/>
        </w:rPr>
        <w:t>日通过关于对包括文化在内的某些领域部分减少制裁的第</w:t>
      </w:r>
      <w:r>
        <w:t>9</w:t>
      </w:r>
      <w:r>
        <w:t>43</w:t>
      </w:r>
      <w:r>
        <w:rPr>
          <w:rFonts w:hint="eastAsia"/>
        </w:rPr>
        <w:t>号决议后，联盟政府从自己的方案目标出发，在国际教育文化合作方面规定了下列优先次序：重新融入国际组织和协会，加强双边和多边合作，与区域和分区域协会联系，与前南斯拉夫各共和国和邻国的关系正常化，恢复与欧洲各国的长期合作，重新推动与发展中国家的合作。由于这些努力，与下列国家缔结了文化合作协议</w:t>
      </w:r>
      <w:r>
        <w:t>/</w:t>
      </w:r>
      <w:r>
        <w:rPr>
          <w:rFonts w:hint="eastAsia"/>
        </w:rPr>
        <w:t>方案：俄罗斯联邦、乌克兰、斯洛伐克、白俄罗斯、希腊、意大利、塞浦路斯、中国、罗马尼亚、保加利亚，现在正在准备与下列国家缔结文化教育合作的有关文件：阿拉伯叙利亚共和国、以色列、南非、几内亚、巴西、墨西哥、印度、大韩民国等等</w:t>
      </w:r>
      <w:r>
        <w:rPr>
          <w:rFonts w:hint="eastAsia"/>
        </w:rPr>
        <w:t>。</w:t>
      </w:r>
    </w:p>
    <w:p w:rsidR="00000000" w:rsidRDefault="00CF7517">
      <w:r>
        <w:tab/>
        <w:t xml:space="preserve">251.  </w:t>
      </w:r>
      <w:r>
        <w:rPr>
          <w:rFonts w:hint="eastAsia"/>
        </w:rPr>
        <w:t>科技发展政策包括了国际技术合作方案，但要落实这些方案，就必须先为下列活动创造有利条件：科学院、艺术学院、研究所、大学、公司、协会和个人之间的国际合作；根据南联盟在科技合作方面的利益编制一份国家清单；选择主要符合国内战略方案的国际合作主题；保证传播这种国际合作在每一合作主题方面取得的研究结果和其他结果。</w:t>
      </w:r>
    </w:p>
    <w:p w:rsidR="00000000" w:rsidRDefault="00CF7517">
      <w:r>
        <w:tab/>
        <w:t xml:space="preserve">252.  </w:t>
      </w:r>
      <w:r>
        <w:rPr>
          <w:rFonts w:hint="eastAsia"/>
        </w:rPr>
        <w:t>在这一方案内规定了与联合国系统</w:t>
      </w:r>
      <w:r>
        <w:t>(</w:t>
      </w:r>
      <w:r>
        <w:rPr>
          <w:rFonts w:hint="eastAsia"/>
        </w:rPr>
        <w:t>开发署、教科文组织、工发组织、贸发会议、欧洲经委会、粮食署、卫生组织、产权组织</w:t>
      </w:r>
      <w:r>
        <w:t>)</w:t>
      </w:r>
      <w:r>
        <w:rPr>
          <w:rFonts w:hint="eastAsia"/>
        </w:rPr>
        <w:t>、国际组织</w:t>
      </w:r>
      <w:r>
        <w:t>(</w:t>
      </w:r>
      <w:r>
        <w:rPr>
          <w:rFonts w:hint="eastAsia"/>
        </w:rPr>
        <w:t>国际度量衡局、国际法定度量衡组织、国际标准化组织、国</w:t>
      </w:r>
      <w:r>
        <w:rPr>
          <w:rFonts w:hint="eastAsia"/>
        </w:rPr>
        <w:t>际电子技术委员会</w:t>
      </w:r>
      <w:r>
        <w:t>)</w:t>
      </w:r>
      <w:r>
        <w:rPr>
          <w:rFonts w:hint="eastAsia"/>
        </w:rPr>
        <w:t>、区域组织</w:t>
      </w:r>
      <w:r>
        <w:t>(</w:t>
      </w:r>
      <w:r>
        <w:rPr>
          <w:rFonts w:hint="eastAsia"/>
        </w:rPr>
        <w:t>与欧洲共同体委员会共同体计划纲要的项目</w:t>
      </w:r>
      <w:r>
        <w:t>(</w:t>
      </w:r>
      <w:r>
        <w:rPr>
          <w:rFonts w:hint="eastAsia"/>
        </w:rPr>
        <w:t>欧洲科学技术研究合作计划和其他方案</w:t>
      </w:r>
      <w:r>
        <w:t>)</w:t>
      </w:r>
      <w:r>
        <w:rPr>
          <w:rFonts w:hint="eastAsia"/>
        </w:rPr>
        <w:t>、经合组织、“灯塔”计划基金会合作</w:t>
      </w:r>
      <w:r>
        <w:t>)</w:t>
      </w:r>
      <w:r>
        <w:rPr>
          <w:rFonts w:hint="eastAsia"/>
        </w:rPr>
        <w:t>以及双边伙伴</w:t>
      </w:r>
      <w:r>
        <w:t>(</w:t>
      </w:r>
      <w:r>
        <w:rPr>
          <w:rFonts w:hint="eastAsia"/>
        </w:rPr>
        <w:t>亚洲活跃经济集团的国家、俄罗斯、邻国和南联盟的主要出口国</w:t>
      </w:r>
      <w:r>
        <w:t>)</w:t>
      </w:r>
      <w:r>
        <w:rPr>
          <w:rFonts w:hint="eastAsia"/>
        </w:rPr>
        <w:t>的合作的优先次序。由于制裁，与大多数上述组织和国家的合作没有得到落实，但上述优先次序仍然是得到关注的。所有多边活动不是暂停，就是冻结或者单方面取消，很少例外。</w:t>
      </w:r>
    </w:p>
    <w:p w:rsidR="00000000" w:rsidRDefault="00CF7517">
      <w:r>
        <w:tab/>
        <w:t xml:space="preserve">253.  </w:t>
      </w:r>
      <w:r>
        <w:rPr>
          <w:rFonts w:hint="eastAsia"/>
        </w:rPr>
        <w:t>取消安全理事会的制裁，为恢复和重建科技合作创造了条件。但是，负责发展的联合国系统的组织在发展合作，即科技合作方面仍然实行限制</w:t>
      </w:r>
      <w:r>
        <w:rPr>
          <w:rFonts w:hint="eastAsia"/>
        </w:rPr>
        <w:t>，很少有例外，它们根据第</w:t>
      </w:r>
      <w:r>
        <w:t>47/1</w:t>
      </w:r>
      <w:r>
        <w:rPr>
          <w:rFonts w:hint="eastAsia"/>
        </w:rPr>
        <w:t>号决议为自己的行为辩解，这项决议仍然生效，而且涉及南联盟不参加联合国大会的问题。一些最大的区域组织，如经合组织和欧盟，遵循联合国系统的政策和惯例。</w:t>
      </w:r>
    </w:p>
    <w:p w:rsidR="00000000" w:rsidRDefault="00CF7517">
      <w:r>
        <w:tab/>
        <w:t xml:space="preserve">254.  </w:t>
      </w:r>
      <w:r>
        <w:rPr>
          <w:rFonts w:hint="eastAsia"/>
        </w:rPr>
        <w:t>取消制裁的影响在双边科技合作领域最为显著。</w:t>
      </w:r>
      <w:r>
        <w:t>1995</w:t>
      </w:r>
      <w:r>
        <w:rPr>
          <w:rFonts w:hint="eastAsia"/>
        </w:rPr>
        <w:t>年，南联盟政府与朝鲜民主主义人民共和国、罗马尼亚和俄罗斯联邦等国政府签署了科技合作协定</w:t>
      </w:r>
      <w:r>
        <w:t>(1995</w:t>
      </w:r>
      <w:r>
        <w:rPr>
          <w:rFonts w:hint="eastAsia"/>
        </w:rPr>
        <w:t>年</w:t>
      </w:r>
      <w:r>
        <w:t>12</w:t>
      </w:r>
      <w:r>
        <w:rPr>
          <w:rFonts w:hint="eastAsia"/>
        </w:rPr>
        <w:t>月</w:t>
      </w:r>
      <w:r>
        <w:t>)</w:t>
      </w:r>
      <w:r>
        <w:rPr>
          <w:rFonts w:hint="eastAsia"/>
        </w:rPr>
        <w:t>。恢复了</w:t>
      </w:r>
      <w:r>
        <w:t>1992</w:t>
      </w:r>
      <w:r>
        <w:rPr>
          <w:rFonts w:hint="eastAsia"/>
        </w:rPr>
        <w:t>年中止的与法国科技合作方案。</w:t>
      </w:r>
      <w:r>
        <w:t>1996</w:t>
      </w:r>
      <w:r>
        <w:rPr>
          <w:rFonts w:hint="eastAsia"/>
        </w:rPr>
        <w:t>年，南联盟政府与白俄罗斯、中华人民共和国和保加利亚等国政府签署了技术合作协定</w:t>
      </w:r>
      <w:r>
        <w:t>(1996</w:t>
      </w:r>
      <w:r>
        <w:rPr>
          <w:rFonts w:hint="eastAsia"/>
        </w:rPr>
        <w:t>年</w:t>
      </w:r>
      <w:r>
        <w:t>5</w:t>
      </w:r>
      <w:r>
        <w:rPr>
          <w:rFonts w:hint="eastAsia"/>
        </w:rPr>
        <w:t>月</w:t>
      </w:r>
      <w:r>
        <w:t>)</w:t>
      </w:r>
      <w:r>
        <w:rPr>
          <w:rFonts w:hint="eastAsia"/>
        </w:rPr>
        <w:t>。南联盟与希腊签</w:t>
      </w:r>
      <w:r>
        <w:rPr>
          <w:rFonts w:hint="eastAsia"/>
        </w:rPr>
        <w:t>署了一项科技合作议定书。</w:t>
      </w:r>
      <w:r>
        <w:t>1997</w:t>
      </w:r>
      <w:r>
        <w:rPr>
          <w:rFonts w:hint="eastAsia"/>
        </w:rPr>
        <w:t>年，南联盟与意大利签署了一项科技合作议定书，与前南斯拉夫的马其顿共和国和乌克兰草签了科技合作协定草案。现正准备与克罗地亚共和国和波兰签署类似的协定。根据与前南斯拉夫社会主义联邦共和国签署的协定，法国、希腊和意大利恢复了合作，缔结了包括一些项目、研究人员交流和奖学金在内的方案。</w:t>
      </w:r>
    </w:p>
    <w:p w:rsidR="00000000" w:rsidRDefault="00CF7517"/>
    <w:p w:rsidR="00000000" w:rsidRDefault="00CF7517">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F7517">
      <w:pPr>
        <w:keepNext/>
        <w:spacing w:before="320" w:after="240"/>
        <w:jc w:val="center"/>
      </w:pPr>
      <w:r>
        <w:rPr>
          <w:rFonts w:hint="eastAsia"/>
          <w:u w:val="single"/>
        </w:rPr>
        <w:t>注</w:t>
      </w:r>
    </w:p>
  </w:endnote>
  <w:endnote w:type="continuationSeparator" w:id="0">
    <w:p w:rsidR="00000000" w:rsidRDefault="00CF751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7517">
    <w:pPr>
      <w:pStyle w:val="Footer"/>
      <w:rPr>
        <w:rFonts w:ascii="Courier" w:hAnsi="Courier"/>
      </w:rPr>
    </w:pPr>
    <w:r>
      <w:rPr>
        <w:rFonts w:ascii="Courier" w:hAnsi="Courier"/>
      </w:rPr>
      <w:t>GE. 99-41197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F7517">
      <w:pPr>
        <w:spacing w:line="240" w:lineRule="auto"/>
      </w:pPr>
      <w:r>
        <w:separator/>
      </w:r>
    </w:p>
  </w:footnote>
  <w:footnote w:type="continuationSeparator" w:id="0">
    <w:p w:rsidR="00000000" w:rsidRDefault="00CF7517">
      <w:pPr>
        <w:spacing w:line="240" w:lineRule="auto"/>
      </w:pPr>
      <w:r>
        <w:continuationSeparator/>
      </w:r>
    </w:p>
  </w:footnote>
  <w:footnote w:id="1">
    <w:p w:rsidR="00000000" w:rsidRDefault="00CF7517">
      <w:pPr>
        <w:pStyle w:val="FootnoteText"/>
      </w:pPr>
      <w:r>
        <w:rPr>
          <w:rStyle w:val="FootnoteReference"/>
          <w:vertAlign w:val="baseline"/>
        </w:rPr>
        <w:t>*</w:t>
      </w:r>
      <w:r>
        <w:t xml:space="preserve"> </w:t>
      </w:r>
      <w:r>
        <w:tab/>
      </w:r>
      <w:r>
        <w:rPr>
          <w:rFonts w:hint="eastAsia"/>
        </w:rPr>
        <w:t>南斯拉夫政府提交的关于下列各条所涉及权利的初始报告：第</w:t>
      </w:r>
      <w:r>
        <w:t>6</w:t>
      </w:r>
      <w:r>
        <w:rPr>
          <w:rFonts w:hint="eastAsia"/>
        </w:rPr>
        <w:t>至第</w:t>
      </w:r>
      <w:r>
        <w:t>9</w:t>
      </w:r>
      <w:r>
        <w:rPr>
          <w:rFonts w:hint="eastAsia"/>
        </w:rPr>
        <w:t>条</w:t>
      </w:r>
      <w:r>
        <w:t>(E/1978/</w:t>
      </w:r>
      <w:r>
        <w:br/>
        <w:t>8/Add.35)</w:t>
      </w:r>
      <w:r>
        <w:rPr>
          <w:rFonts w:eastAsia="SimSun" w:hint="eastAsia"/>
        </w:rPr>
        <w:t>、</w:t>
      </w:r>
      <w:r>
        <w:rPr>
          <w:rFonts w:hint="eastAsia"/>
        </w:rPr>
        <w:t>第</w:t>
      </w:r>
      <w:r>
        <w:t>10</w:t>
      </w:r>
      <w:r>
        <w:rPr>
          <w:rFonts w:hint="eastAsia"/>
        </w:rPr>
        <w:t>至</w:t>
      </w:r>
      <w:r>
        <w:t>12</w:t>
      </w:r>
      <w:r>
        <w:rPr>
          <w:rFonts w:hint="eastAsia"/>
        </w:rPr>
        <w:t>条</w:t>
      </w:r>
      <w:r>
        <w:t>(E/1980/6/Add.30)</w:t>
      </w:r>
      <w:r>
        <w:rPr>
          <w:rFonts w:hint="eastAsia"/>
        </w:rPr>
        <w:t>和第</w:t>
      </w:r>
      <w:r>
        <w:t>1</w:t>
      </w:r>
      <w:r>
        <w:t>3</w:t>
      </w:r>
      <w:r>
        <w:rPr>
          <w:rFonts w:hint="eastAsia"/>
        </w:rPr>
        <w:t>至</w:t>
      </w:r>
      <w:r>
        <w:t>15</w:t>
      </w:r>
      <w:r>
        <w:rPr>
          <w:rFonts w:hint="eastAsia"/>
        </w:rPr>
        <w:t>条</w:t>
      </w:r>
      <w:r>
        <w:t>(E/1982/3/Add.39)</w:t>
      </w:r>
      <w:r>
        <w:rPr>
          <w:rFonts w:hint="eastAsia"/>
        </w:rPr>
        <w:t>分别在</w:t>
      </w:r>
      <w:r>
        <w:t>1982</w:t>
      </w:r>
      <w:r>
        <w:rPr>
          <w:rFonts w:hint="eastAsia"/>
        </w:rPr>
        <w:t>年</w:t>
      </w:r>
      <w:r>
        <w:t>(E/1982/WG.1/SR.4-5)</w:t>
      </w:r>
      <w:r>
        <w:rPr>
          <w:rFonts w:eastAsia="SimSun" w:hint="eastAsia"/>
        </w:rPr>
        <w:t>、</w:t>
      </w:r>
      <w:r>
        <w:t>1983</w:t>
      </w:r>
      <w:r>
        <w:rPr>
          <w:rFonts w:hint="eastAsia"/>
        </w:rPr>
        <w:t>年</w:t>
      </w:r>
      <w:r>
        <w:t>(E/1983/WG.1/SR.3)</w:t>
      </w:r>
      <w:r>
        <w:rPr>
          <w:rFonts w:eastAsia="SimSun" w:hint="eastAsia"/>
        </w:rPr>
        <w:t>、</w:t>
      </w:r>
      <w:r>
        <w:t>1988</w:t>
      </w:r>
      <w:r>
        <w:rPr>
          <w:rFonts w:hint="eastAsia"/>
        </w:rPr>
        <w:t>年</w:t>
      </w:r>
      <w:r>
        <w:t>(E/C.12/1988/SR.14-15)</w:t>
      </w:r>
      <w:r>
        <w:rPr>
          <w:rFonts w:hint="eastAsia"/>
        </w:rPr>
        <w:t>得到审议</w:t>
      </w:r>
      <w:r>
        <w:rPr>
          <w:rFonts w:eastAsia="SimSun" w:hint="eastAsia"/>
        </w:rPr>
        <w:t>。</w:t>
      </w:r>
      <w:r>
        <w:rPr>
          <w:rFonts w:hint="eastAsia"/>
        </w:rPr>
        <w:t>关于第</w:t>
      </w:r>
      <w:r>
        <w:t>6</w:t>
      </w:r>
      <w:r>
        <w:rPr>
          <w:rFonts w:hint="eastAsia"/>
        </w:rPr>
        <w:t>至第</w:t>
      </w:r>
      <w:r>
        <w:t>9</w:t>
      </w:r>
      <w:r>
        <w:rPr>
          <w:rFonts w:hint="eastAsia"/>
        </w:rPr>
        <w:t>条所涉及权利的第二次定期报告</w:t>
      </w:r>
      <w:r>
        <w:t xml:space="preserve"> (E/1984/7/Add.10)</w:t>
      </w:r>
      <w:r>
        <w:rPr>
          <w:rFonts w:hint="eastAsia"/>
        </w:rPr>
        <w:t>在</w:t>
      </w:r>
      <w:r>
        <w:t>1984</w:t>
      </w:r>
      <w:r>
        <w:rPr>
          <w:rFonts w:hint="eastAsia"/>
        </w:rPr>
        <w:t>年得到审议</w:t>
      </w:r>
      <w:r>
        <w:t>(E/1984/WG.1/SR.16</w:t>
      </w:r>
      <w:r>
        <w:rPr>
          <w:rFonts w:hint="eastAsia"/>
        </w:rPr>
        <w:t>和</w:t>
      </w:r>
      <w:r>
        <w:t>18)</w:t>
      </w:r>
      <w:r>
        <w:rPr>
          <w:rFonts w:eastAsia="SimSun" w:hint="eastAsia"/>
        </w:rPr>
        <w:t>。</w:t>
      </w:r>
    </w:p>
  </w:footnote>
  <w:footnote w:id="2">
    <w:p w:rsidR="00000000" w:rsidRDefault="00CF7517">
      <w:pPr>
        <w:pStyle w:val="FootnoteText"/>
      </w:pPr>
      <w:r>
        <w:rPr>
          <w:rStyle w:val="FootnoteReference"/>
          <w:vertAlign w:val="baseline"/>
        </w:rPr>
        <w:t>**</w:t>
      </w:r>
      <w:r>
        <w:t xml:space="preserve"> </w:t>
      </w:r>
      <w:r>
        <w:tab/>
      </w:r>
      <w:r>
        <w:rPr>
          <w:rFonts w:hint="eastAsia"/>
        </w:rPr>
        <w:t>南斯拉夫按照缔约国报告起始部分编写准则所提供的资料载于核心文件</w:t>
      </w:r>
      <w:r>
        <w:t>(HRI/CORE/1/Add.40)</w:t>
      </w:r>
      <w:r>
        <w:rPr>
          <w:rFonts w:eastAsia="SimSun" w:hint="eastAsia"/>
        </w:rPr>
        <w:t>。</w:t>
      </w:r>
    </w:p>
  </w:footnote>
  <w:footnote w:id="3">
    <w:p w:rsidR="00000000" w:rsidRDefault="00CF7517">
      <w:pPr>
        <w:pStyle w:val="FootnoteText"/>
      </w:pPr>
      <w:r>
        <w:rPr>
          <w:rStyle w:val="FootnoteReference"/>
        </w:rPr>
        <w:t>*</w:t>
      </w:r>
      <w:r>
        <w:t xml:space="preserve"> </w:t>
      </w:r>
      <w:r>
        <w:tab/>
        <w:t>1998</w:t>
      </w:r>
      <w:r>
        <w:rPr>
          <w:rFonts w:hint="eastAsia"/>
        </w:rPr>
        <w:t>年</w:t>
      </w:r>
      <w:r>
        <w:t>3</w:t>
      </w:r>
      <w:r>
        <w:rPr>
          <w:rFonts w:hint="eastAsia"/>
        </w:rPr>
        <w:t>月</w:t>
      </w:r>
      <w:r>
        <w:t>5</w:t>
      </w:r>
      <w:r>
        <w:rPr>
          <w:rFonts w:hint="eastAsia"/>
        </w:rPr>
        <w:t>日南联盟政府第</w:t>
      </w:r>
      <w:r>
        <w:t>72</w:t>
      </w:r>
      <w:r>
        <w:rPr>
          <w:rFonts w:hint="eastAsia"/>
        </w:rPr>
        <w:t>届会议通过的关于制裁对南联盟经济和社会的影响的分析报告</w:t>
      </w:r>
      <w:r>
        <w:rPr>
          <w:rFonts w:eastAsia="SimSun" w:hint="eastAsia"/>
        </w:rPr>
        <w:t>。</w:t>
      </w:r>
    </w:p>
  </w:footnote>
  <w:footnote w:id="4">
    <w:p w:rsidR="00000000" w:rsidRDefault="00CF7517">
      <w:pPr>
        <w:pStyle w:val="FootnoteText"/>
      </w:pPr>
      <w:r>
        <w:rPr>
          <w:rStyle w:val="FootnoteReference"/>
        </w:rPr>
        <w:t>*</w:t>
      </w:r>
      <w:r>
        <w:t xml:space="preserve">   1996</w:t>
      </w:r>
      <w:r>
        <w:rPr>
          <w:rFonts w:hint="eastAsia"/>
        </w:rPr>
        <w:t>年和</w:t>
      </w:r>
      <w:r>
        <w:t>1997</w:t>
      </w:r>
      <w:r>
        <w:rPr>
          <w:rFonts w:hint="eastAsia"/>
        </w:rPr>
        <w:t>年的</w:t>
      </w:r>
      <w:r>
        <w:rPr>
          <w:rFonts w:eastAsia="SimSun" w:hint="eastAsia"/>
        </w:rPr>
        <w:t>《</w:t>
      </w:r>
      <w:r>
        <w:rPr>
          <w:rFonts w:hint="eastAsia"/>
        </w:rPr>
        <w:t>人的发展报告：南斯拉夫</w:t>
      </w:r>
      <w:r>
        <w:rPr>
          <w:rFonts w:eastAsia="SimSun" w:hint="eastAsia"/>
        </w:rPr>
        <w:t>》</w:t>
      </w:r>
      <w:r>
        <w:t>(</w:t>
      </w:r>
      <w:r>
        <w:rPr>
          <w:rFonts w:hint="eastAsia"/>
        </w:rPr>
        <w:t>开发署</w:t>
      </w:r>
      <w:r>
        <w:t>)</w:t>
      </w:r>
      <w:r>
        <w:rPr>
          <w:rFonts w:hint="eastAsia"/>
        </w:rPr>
        <w:t>的有关章节较详细地阐述了与《盟约》这一条有关的问题</w:t>
      </w:r>
      <w:r>
        <w:rPr>
          <w:rFonts w:eastAsia="SimSun" w:hint="eastAsia"/>
        </w:rPr>
        <w:t>。</w:t>
      </w:r>
    </w:p>
  </w:footnote>
  <w:footnote w:id="5">
    <w:p w:rsidR="00000000" w:rsidRDefault="00CF7517">
      <w:pPr>
        <w:pStyle w:val="FootnoteText"/>
      </w:pPr>
      <w:r>
        <w:rPr>
          <w:rStyle w:val="FootnoteReference"/>
        </w:rPr>
        <w:t>*</w:t>
      </w:r>
      <w:r>
        <w:t xml:space="preserve">   </w:t>
      </w:r>
      <w:r>
        <w:rPr>
          <w:rFonts w:eastAsia="SimSun" w:hint="eastAsia"/>
        </w:rPr>
        <w:t>《关于</w:t>
      </w:r>
      <w:r>
        <w:rPr>
          <w:rFonts w:hint="eastAsia"/>
        </w:rPr>
        <w:t>公共保健政策原则的决议</w:t>
      </w:r>
      <w:r>
        <w:rPr>
          <w:rFonts w:eastAsia="SimSun" w:hint="eastAsia"/>
        </w:rPr>
        <w:t>》</w:t>
      </w:r>
      <w:r>
        <w:t>(1984</w:t>
      </w:r>
      <w:r>
        <w:rPr>
          <w:rFonts w:hint="eastAsia"/>
        </w:rPr>
        <w:t>年</w:t>
      </w:r>
      <w:r>
        <w:t>)</w:t>
      </w:r>
      <w:r>
        <w:rPr>
          <w:rFonts w:eastAsia="SimSun" w:hint="eastAsia"/>
        </w:rPr>
        <w:t>、</w:t>
      </w:r>
      <w:r>
        <w:rPr>
          <w:rFonts w:hint="eastAsia"/>
        </w:rPr>
        <w:t>题为</w:t>
      </w:r>
      <w:r>
        <w:rPr>
          <w:rFonts w:eastAsia="SimSun" w:hint="eastAsia"/>
        </w:rPr>
        <w:t>《</w:t>
      </w:r>
      <w:r>
        <w:t>2000</w:t>
      </w:r>
      <w:r>
        <w:rPr>
          <w:rFonts w:hint="eastAsia"/>
        </w:rPr>
        <w:t>年之前保健发展的专业和方法原则</w:t>
      </w:r>
      <w:r>
        <w:rPr>
          <w:rFonts w:eastAsia="SimSun" w:hint="eastAsia"/>
        </w:rPr>
        <w:t>、</w:t>
      </w:r>
      <w:r>
        <w:rPr>
          <w:rFonts w:hint="eastAsia"/>
        </w:rPr>
        <w:t>目标和战略</w:t>
      </w:r>
      <w:r>
        <w:rPr>
          <w:rFonts w:eastAsia="SimSun" w:hint="eastAsia"/>
        </w:rPr>
        <w:t>》</w:t>
      </w:r>
      <w:r>
        <w:t>(1986</w:t>
      </w:r>
      <w:r>
        <w:rPr>
          <w:rFonts w:hint="eastAsia"/>
        </w:rPr>
        <w:t>年</w:t>
      </w:r>
      <w:r>
        <w:t>)</w:t>
      </w:r>
      <w:r>
        <w:rPr>
          <w:rFonts w:hint="eastAsia"/>
        </w:rPr>
        <w:t>和</w:t>
      </w:r>
      <w:r>
        <w:rPr>
          <w:rFonts w:eastAsia="SimSun" w:hint="eastAsia"/>
        </w:rPr>
        <w:t>《</w:t>
      </w:r>
      <w:r>
        <w:rPr>
          <w:rFonts w:hint="eastAsia"/>
        </w:rPr>
        <w:t>预防性保健的发展战略</w:t>
      </w:r>
      <w:r>
        <w:rPr>
          <w:rFonts w:eastAsia="SimSun" w:hint="eastAsia"/>
        </w:rPr>
        <w:t>》</w:t>
      </w:r>
      <w:r>
        <w:t>(1987</w:t>
      </w:r>
      <w:r>
        <w:rPr>
          <w:rFonts w:hint="eastAsia"/>
        </w:rPr>
        <w:t>年</w:t>
      </w:r>
      <w:r>
        <w:t>)</w:t>
      </w:r>
      <w:r>
        <w:rPr>
          <w:rFonts w:hint="eastAsia"/>
        </w:rPr>
        <w:t>概述了保护和促进公共卫生活动的基本目标和重点</w:t>
      </w:r>
      <w:r>
        <w:rPr>
          <w:rFonts w:eastAsia="SimSun" w:hint="eastAsia"/>
        </w:rPr>
        <w:t>。</w:t>
      </w:r>
    </w:p>
  </w:footnote>
  <w:footnote w:id="6">
    <w:p w:rsidR="00000000" w:rsidRDefault="00CF7517">
      <w:pPr>
        <w:pStyle w:val="FootnoteText"/>
      </w:pPr>
      <w:r>
        <w:rPr>
          <w:rStyle w:val="FootnoteReference"/>
        </w:rPr>
        <w:t>*</w:t>
      </w:r>
      <w:r>
        <w:t xml:space="preserve">   </w:t>
      </w:r>
      <w:r>
        <w:rPr>
          <w:rFonts w:hint="eastAsia"/>
        </w:rPr>
        <w:t>城乡社区没有分开记录</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7517">
    <w:pPr>
      <w:pStyle w:val="1R2"/>
      <w:framePr w:w="0" w:hRule="auto" w:hSpace="0" w:wrap="auto" w:vAnchor="margin" w:hAnchor="text" w:xAlign="left" w:yAlign="inline"/>
    </w:pPr>
    <w:r>
      <w:t>E/1990/6/Add.22</w:t>
    </w:r>
  </w:p>
  <w:p w:rsidR="00000000" w:rsidRDefault="00CF7517">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7517">
    <w:pPr>
      <w:pStyle w:val="1R2"/>
      <w:framePr w:w="0" w:hRule="auto" w:hSpace="0" w:wrap="auto" w:vAnchor="margin" w:hAnchor="text" w:xAlign="left" w:yAlign="inline"/>
    </w:pPr>
    <w:r>
      <w:tab/>
    </w:r>
    <w:r>
      <w:tab/>
    </w:r>
    <w:r>
      <w:tab/>
    </w:r>
    <w:r>
      <w:tab/>
      <w:t>E/1990/6/Add.22</w:t>
    </w:r>
  </w:p>
  <w:p w:rsidR="00000000" w:rsidRDefault="00CF7517">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7517">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CF7517">
                <w:pPr>
                  <w:pStyle w:val="1R1"/>
                  <w:rPr>
                    <w:rFonts w:ascii="Univers Bold" w:hAnsi="Univers Bold"/>
                  </w:rPr>
                </w:pPr>
                <w:r>
                  <w:t>E</w:t>
                </w:r>
              </w:p>
            </w:txbxContent>
          </v:textbox>
          <w10:wrap anchorx="page" anchory="page"/>
        </v:rect>
      </w:pict>
    </w:r>
  </w:p>
  <w:p w:rsidR="00000000" w:rsidRDefault="00CF7517">
    <w:pPr>
      <w:pStyle w:val="a"/>
      <w:spacing w:after="160"/>
    </w:pPr>
    <w:r>
      <w:fldChar w:fldCharType="begin"/>
    </w:r>
    <w:r>
      <w:instrText xml:space="preserve">PRIVATE </w:instrText>
    </w:r>
    <w:r>
      <w:fldChar w:fldCharType="end"/>
    </w:r>
  </w:p>
  <w:p w:rsidR="00000000" w:rsidRDefault="00CF7517">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CF7517">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CF7517">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CF7517">
    <w:pPr>
      <w:pStyle w:val="1R2"/>
      <w:framePr w:wrap="around"/>
    </w:pPr>
    <w:r>
      <w:t>Distr.</w:t>
    </w:r>
  </w:p>
  <w:p w:rsidR="00000000" w:rsidRDefault="00CF7517">
    <w:pPr>
      <w:pStyle w:val="1R2"/>
      <w:framePr w:wrap="around"/>
    </w:pPr>
    <w:r>
      <w:t>GENERAL</w:t>
    </w:r>
  </w:p>
  <w:p w:rsidR="00000000" w:rsidRDefault="00CF7517">
    <w:pPr>
      <w:pStyle w:val="1R2"/>
      <w:framePr w:wrap="around"/>
    </w:pPr>
  </w:p>
  <w:p w:rsidR="00000000" w:rsidRDefault="00CF7517">
    <w:pPr>
      <w:pStyle w:val="1R2"/>
      <w:framePr w:wrap="around"/>
    </w:pPr>
    <w:r>
      <w:t>E/1990/6/Add.22</w:t>
    </w:r>
  </w:p>
  <w:p w:rsidR="00000000" w:rsidRDefault="00CF7517">
    <w:pPr>
      <w:pStyle w:val="1R2"/>
      <w:framePr w:wrap="around"/>
    </w:pPr>
    <w:r>
      <w:t>15 April 1999</w:t>
    </w:r>
  </w:p>
  <w:p w:rsidR="00000000" w:rsidRDefault="00CF7517">
    <w:pPr>
      <w:pStyle w:val="1R2"/>
      <w:framePr w:wrap="around"/>
    </w:pPr>
    <w:r>
      <w:t>CHINESE</w:t>
    </w:r>
  </w:p>
  <w:p w:rsidR="00000000" w:rsidRDefault="00CF7517">
    <w:pPr>
      <w:pStyle w:val="1R2"/>
      <w:framePr w:wrap="around"/>
    </w:pPr>
    <w:r>
      <w:t>Original:</w:t>
    </w:r>
    <w:r>
      <w:tab/>
      <w:t>ENGLISH</w:t>
    </w:r>
  </w:p>
  <w:p w:rsidR="00000000" w:rsidRDefault="00CF7517">
    <w:pPr>
      <w:pStyle w:val="a"/>
    </w:pPr>
  </w:p>
  <w:p w:rsidR="00000000" w:rsidRDefault="00CF7517">
    <w:pPr>
      <w:pStyle w:val="a"/>
    </w:pPr>
  </w:p>
  <w:p w:rsidR="00000000" w:rsidRDefault="00CF7517">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CF7517">
                <w:pPr>
                  <w:pStyle w:val="1m1"/>
                </w:pPr>
                <w:r>
                  <w:rPr>
                    <w:rFonts w:hint="eastAsia"/>
                  </w:rPr>
                  <w:t>经济及社会理事会</w:t>
                </w:r>
              </w:p>
            </w:txbxContent>
          </v:textbox>
          <w10:wrap anchorx="page" anchory="page"/>
        </v:rect>
      </w:pict>
    </w:r>
  </w:p>
  <w:p w:rsidR="00000000" w:rsidRDefault="00CF7517">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CF7517">
    <w:pPr>
      <w:pStyle w:val="a"/>
    </w:pPr>
  </w:p>
  <w:p w:rsidR="00000000" w:rsidRDefault="00CF7517">
    <w:pPr>
      <w:pStyle w:val="a"/>
    </w:pPr>
  </w:p>
  <w:p w:rsidR="00000000" w:rsidRDefault="00CF7517">
    <w:pPr>
      <w:pStyle w:val="a"/>
    </w:pPr>
    <w:r>
      <w:fldChar w:fldCharType="begin"/>
    </w:r>
    <w:r>
      <w:instrText>ADVANCE \Y 252.30</w:instrText>
    </w:r>
    <w:r>
      <w:fldChar w:fldCharType="end"/>
    </w:r>
  </w:p>
  <w:p w:rsidR="00000000" w:rsidRDefault="00CF7517">
    <w:pPr>
      <w:pStyle w:val="a"/>
    </w:pPr>
  </w:p>
  <w:p w:rsidR="00000000" w:rsidRDefault="00CF7517">
    <w:pPr>
      <w:pStyle w:val="a"/>
    </w:pPr>
  </w:p>
  <w:p w:rsidR="00000000" w:rsidRDefault="00CF7517">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11C8200"/>
    <w:lvl w:ilvl="0">
      <w:numFmt w:val="bullet"/>
      <w:lvlText w:val="*"/>
      <w:lvlJc w:val="left"/>
    </w:lvl>
  </w:abstractNum>
  <w:abstractNum w:abstractNumId="1">
    <w:nsid w:val="1B960329"/>
    <w:multiLevelType w:val="singleLevel"/>
    <w:tmpl w:val="FFFFFFFF"/>
    <w:lvl w:ilvl="0">
      <w:start w:val="1"/>
      <w:numFmt w:val="lowerLetter"/>
      <w:lvlText w:val="(%1)"/>
      <w:legacy w:legacy="1" w:legacySpace="0" w:legacyIndent="425"/>
      <w:lvlJc w:val="left"/>
      <w:pPr>
        <w:ind w:left="1446" w:hanging="425"/>
      </w:pPr>
    </w:lvl>
  </w:abstractNum>
  <w:abstractNum w:abstractNumId="2">
    <w:nsid w:val="50104EAC"/>
    <w:multiLevelType w:val="singleLevel"/>
    <w:tmpl w:val="FFFFFFFF"/>
    <w:lvl w:ilvl="0">
      <w:start w:val="1"/>
      <w:numFmt w:val="lowerLetter"/>
      <w:lvlText w:val="(%1)"/>
      <w:legacy w:legacy="1" w:legacySpace="0" w:legacyIndent="425"/>
      <w:lvlJc w:val="left"/>
      <w:pPr>
        <w:ind w:left="1446" w:hanging="425"/>
      </w:pPr>
    </w:lvl>
  </w:abstractNum>
  <w:abstractNum w:abstractNumId="3">
    <w:nsid w:val="5FB6189C"/>
    <w:multiLevelType w:val="singleLevel"/>
    <w:tmpl w:val="FFFFFFFF"/>
    <w:lvl w:ilvl="0">
      <w:start w:val="1"/>
      <w:numFmt w:val="lowerLetter"/>
      <w:lvlText w:val="(%1)"/>
      <w:legacy w:legacy="1" w:legacySpace="0" w:legacyIndent="425"/>
      <w:lvlJc w:val="left"/>
      <w:pPr>
        <w:ind w:left="1446" w:hanging="425"/>
      </w:pPr>
    </w:lvl>
  </w:abstractNum>
  <w:abstractNum w:abstractNumId="4">
    <w:nsid w:val="64B53B2B"/>
    <w:multiLevelType w:val="singleLevel"/>
    <w:tmpl w:val="FFFFFFFF"/>
    <w:lvl w:ilvl="0">
      <w:start w:val="1"/>
      <w:numFmt w:val="lowerLetter"/>
      <w:lvlText w:val="(%1)"/>
      <w:legacy w:legacy="1" w:legacySpace="0" w:legacyIndent="425"/>
      <w:lvlJc w:val="left"/>
      <w:pPr>
        <w:ind w:left="1446" w:hanging="425"/>
      </w:pPr>
    </w:lvl>
  </w:abstractNum>
  <w:num w:numId="1">
    <w:abstractNumId w:val="0"/>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7517"/>
    <w:rsid w:val="00CF75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 w:type="paragraph" w:customStyle="1" w:styleId="ac">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1704</TotalTime>
  <Pages>5</Pages>
  <Words>1599</Words>
  <Characters>1984</Characters>
  <Application>Microsoft Office Word</Application>
  <DocSecurity>4</DocSecurity>
  <Lines>81</Lines>
  <Paragraphs>46</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mw</dc:creator>
  <cp:keywords/>
  <cp:lastModifiedBy>mw</cp:lastModifiedBy>
  <cp:revision>10</cp:revision>
  <cp:lastPrinted>1999-09-29T09:39:00Z</cp:lastPrinted>
  <dcterms:created xsi:type="dcterms:W3CDTF">1999-08-24T12:32:00Z</dcterms:created>
  <dcterms:modified xsi:type="dcterms:W3CDTF">1999-09-29T12:37:00Z</dcterms:modified>
</cp:coreProperties>
</file>