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ind w:hanging="1"/>
              <w:rPr>
                <w:b/>
              </w:rPr>
            </w:pPr>
          </w:p>
        </w:tc>
        <w:tc>
          <w:tcPr>
            <w:tcW w:w="3062" w:type="dxa"/>
            <w:tcBorders>
              <w:bottom w:val="single" w:sz="4" w:space="0" w:color="auto"/>
            </w:tcBorders>
          </w:tcPr>
          <w:p w:rsidR="00000000" w:rsidRDefault="00000000">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rPr>
          <w:trHeight w:hRule="exact" w:val="2552"/>
        </w:trPr>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5898" r:id="rId8"/>
              </w:object>
            </w:r>
          </w:p>
        </w:tc>
        <w:tc>
          <w:tcPr>
            <w:tcW w:w="4876" w:type="dxa"/>
            <w:tcMar>
              <w:top w:w="227" w:type="dxa"/>
            </w:tcMar>
          </w:tcPr>
          <w:p w:rsidR="00000000" w:rsidRDefault="00000000">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000000" w:rsidRDefault="00000000">
            <w:pPr>
              <w:spacing w:after="240"/>
            </w:pPr>
            <w:r>
              <w:t>Distr.</w:t>
            </w:r>
            <w:r>
              <w:br/>
              <w:t>GÉNÉRALE</w:t>
            </w:r>
          </w:p>
          <w:p w:rsidR="00000000" w:rsidRDefault="00000000">
            <w:pPr>
              <w:spacing w:after="240"/>
            </w:pPr>
            <w:r>
              <w:t>CERD/C/CHE/6</w:t>
            </w:r>
            <w:r>
              <w:br/>
              <w:t>16 avril 2007</w:t>
            </w:r>
          </w:p>
          <w:p w:rsidR="00000000" w:rsidRDefault="00000000">
            <w:pPr>
              <w:spacing w:after="240"/>
            </w:pPr>
            <w:r>
              <w:t>Original: FRANÇAIS</w:t>
            </w:r>
          </w:p>
          <w:p w:rsidR="00000000" w:rsidRDefault="00000000">
            <w:pPr>
              <w:spacing w:after="240"/>
            </w:pPr>
          </w:p>
        </w:tc>
      </w:tr>
    </w:tbl>
    <w:p w:rsidR="00000000" w:rsidRDefault="00000000">
      <w:pPr>
        <w:spacing w:before="120" w:after="480"/>
      </w:pPr>
      <w:r>
        <w:t xml:space="preserve">COMITÉ POUR L’ÉLIMINATION DE </w:t>
      </w:r>
      <w:r>
        <w:br/>
        <w:t>LA DISCRIMINATION RACIALE</w:t>
      </w:r>
    </w:p>
    <w:p w:rsidR="00000000" w:rsidRDefault="00000000">
      <w:pPr>
        <w:spacing w:before="120" w:after="480"/>
      </w:pPr>
    </w:p>
    <w:p w:rsidR="00000000" w:rsidRDefault="00000000">
      <w:pPr>
        <w:spacing w:after="240"/>
        <w:jc w:val="center"/>
        <w:rPr>
          <w:b/>
        </w:rPr>
      </w:pPr>
      <w:r>
        <w:rPr>
          <w:b/>
        </w:rPr>
        <w:t xml:space="preserve">EXAMEN DES RAPPORTS PRÉSENTÉS PAR LES ÉTATS PARTIES </w:t>
      </w:r>
      <w:r>
        <w:rPr>
          <w:b/>
        </w:rPr>
        <w:br/>
        <w:t>CONFORMÉMENT À L’ARTICLE 9 DE LA CONVENTION</w:t>
      </w:r>
    </w:p>
    <w:p w:rsidR="00000000" w:rsidRDefault="00000000">
      <w:pPr>
        <w:spacing w:after="240"/>
        <w:jc w:val="center"/>
        <w:rPr>
          <w:b/>
        </w:rPr>
      </w:pPr>
      <w:r>
        <w:rPr>
          <w:b/>
        </w:rPr>
        <w:t xml:space="preserve">Quatrième, cinquième et sixième rapports périodiques </w:t>
      </w:r>
      <w:r>
        <w:rPr>
          <w:b/>
        </w:rPr>
        <w:br/>
        <w:t>que les États parties doivent présenter en 2005</w:t>
      </w:r>
      <w:r>
        <w:rPr>
          <w:b/>
        </w:rPr>
        <w:br/>
      </w:r>
    </w:p>
    <w:p w:rsidR="00000000" w:rsidRDefault="00000000">
      <w:pPr>
        <w:spacing w:after="240"/>
        <w:jc w:val="center"/>
        <w:rPr>
          <w:i/>
          <w:iCs/>
        </w:rPr>
      </w:pPr>
      <w:r>
        <w:rPr>
          <w:i/>
          <w:iCs/>
        </w:rPr>
        <w:t>Additif</w:t>
      </w:r>
    </w:p>
    <w:p w:rsidR="00000000" w:rsidRDefault="00000000">
      <w:pPr>
        <w:spacing w:after="240"/>
        <w:jc w:val="center"/>
      </w:pPr>
      <w:r>
        <w:t>Suisse</w:t>
      </w:r>
      <w:r>
        <w:rPr>
          <w:rStyle w:val="FootnoteReference"/>
        </w:rPr>
        <w:footnoteReference w:customMarkFollows="1" w:id="1"/>
        <w:t>*</w:t>
      </w:r>
    </w:p>
    <w:p w:rsidR="00000000" w:rsidRDefault="00000000">
      <w:pPr>
        <w:spacing w:after="240"/>
        <w:jc w:val="right"/>
      </w:pPr>
      <w:r>
        <w:t>[14 novembre 2006]</w:t>
      </w:r>
    </w:p>
    <w:p w:rsidR="00000000" w:rsidRDefault="00000000">
      <w:pPr>
        <w:spacing w:after="240"/>
        <w:jc w:val="center"/>
        <w:rPr>
          <w:b/>
          <w:bCs/>
          <w:szCs w:val="24"/>
        </w:rPr>
      </w:pPr>
      <w:bookmarkStart w:id="4" w:name="_Toc150668801"/>
      <w:r>
        <w:rPr>
          <w:szCs w:val="24"/>
        </w:rPr>
        <w:br w:type="page"/>
      </w:r>
      <w:r>
        <w:rPr>
          <w:b/>
          <w:bCs/>
          <w:szCs w:val="24"/>
        </w:rPr>
        <w:t>TABLE DES MATIÈRES</w:t>
      </w:r>
      <w:bookmarkEnd w:id="4"/>
    </w:p>
    <w:p w:rsidR="00000000" w:rsidRDefault="00000000">
      <w:pPr>
        <w:tabs>
          <w:tab w:val="center" w:pos="8051"/>
          <w:tab w:val="right" w:pos="9356"/>
        </w:tabs>
        <w:spacing w:after="240"/>
        <w:rPr>
          <w:i/>
          <w:iCs/>
          <w:lang w:eastAsia="de-CH"/>
        </w:rPr>
      </w:pPr>
      <w:r>
        <w:rPr>
          <w:i/>
          <w:iCs/>
          <w:lang w:eastAsia="de-CH"/>
        </w:rPr>
        <w:t>Chapitre</w:t>
      </w:r>
      <w:r>
        <w:rPr>
          <w:i/>
          <w:iCs/>
          <w:lang w:eastAsia="de-CH"/>
        </w:rPr>
        <w:tab/>
        <w:t>Paragraphes</w:t>
      </w:r>
      <w:r>
        <w:rPr>
          <w:i/>
          <w:iCs/>
          <w:lang w:eastAsia="de-CH"/>
        </w:rPr>
        <w:tab/>
        <w:t>Page</w:t>
      </w:r>
    </w:p>
    <w:p w:rsidR="00000000" w:rsidRDefault="00000000">
      <w:pPr>
        <w:tabs>
          <w:tab w:val="left" w:pos="567"/>
          <w:tab w:val="left" w:pos="1134"/>
          <w:tab w:val="right" w:leader="dot" w:pos="7139"/>
          <w:tab w:val="center" w:pos="8051"/>
          <w:tab w:val="right" w:pos="9185"/>
        </w:tabs>
        <w:spacing w:after="100"/>
        <w:rPr>
          <w:rFonts w:eastAsia="SimSun"/>
          <w:b/>
          <w:noProof/>
          <w:szCs w:val="24"/>
          <w:lang w:eastAsia="zh-CN"/>
        </w:rPr>
      </w:pPr>
      <w:r>
        <w:rPr>
          <w:noProof/>
        </w:rPr>
        <w:t>Introduction</w:t>
      </w:r>
      <w:r>
        <w:rPr>
          <w:noProof/>
          <w:webHidden/>
        </w:rPr>
        <w:tab/>
      </w:r>
      <w:r>
        <w:rPr>
          <w:noProof/>
          <w:webHidden/>
        </w:rPr>
        <w:tab/>
        <w:t>1−6</w:t>
      </w:r>
      <w:r>
        <w:rPr>
          <w:noProof/>
          <w:webHidden/>
        </w:rPr>
        <w:tab/>
        <w:t>7</w:t>
      </w:r>
    </w:p>
    <w:p w:rsidR="00000000" w:rsidRDefault="00000000">
      <w:pPr>
        <w:tabs>
          <w:tab w:val="left" w:pos="567"/>
          <w:tab w:val="left" w:pos="1134"/>
          <w:tab w:val="left" w:pos="1701"/>
          <w:tab w:val="right" w:leader="dot" w:pos="7139"/>
          <w:tab w:val="center" w:pos="8051"/>
          <w:tab w:val="right" w:pos="9185"/>
        </w:tabs>
        <w:spacing w:after="100"/>
        <w:ind w:left="567" w:hanging="567"/>
        <w:rPr>
          <w:rFonts w:eastAsia="SimSun"/>
          <w:b/>
          <w:noProof/>
          <w:szCs w:val="24"/>
          <w:lang w:eastAsia="zh-CN"/>
        </w:rPr>
      </w:pPr>
      <w:r>
        <w:rPr>
          <w:noProof/>
        </w:rPr>
        <w:t>I.</w:t>
      </w:r>
      <w:r>
        <w:rPr>
          <w:noProof/>
        </w:rPr>
        <w:tab/>
        <w:t>PREMIÈRE PARTIE: INFORMATIONS GÉNÉRALES</w:t>
      </w:r>
      <w:r>
        <w:rPr>
          <w:noProof/>
          <w:webHidden/>
        </w:rPr>
        <w:tab/>
      </w:r>
      <w:r>
        <w:rPr>
          <w:noProof/>
          <w:webHidden/>
        </w:rPr>
        <w:tab/>
        <w:t>7−85</w:t>
      </w:r>
      <w:r>
        <w:rPr>
          <w:noProof/>
          <w:webHidden/>
        </w:rPr>
        <w:tab/>
        <w:t>8</w:t>
      </w:r>
    </w:p>
    <w:p w:rsidR="00000000" w:rsidRDefault="00000000">
      <w:pPr>
        <w:tabs>
          <w:tab w:val="left" w:pos="567"/>
          <w:tab w:val="left" w:pos="1134"/>
          <w:tab w:val="left" w:pos="1701"/>
          <w:tab w:val="right" w:leader="dot" w:pos="7139"/>
          <w:tab w:val="center" w:pos="8051"/>
          <w:tab w:val="right" w:pos="9185"/>
        </w:tabs>
        <w:spacing w:after="100"/>
        <w:ind w:left="1134" w:hanging="567"/>
        <w:rPr>
          <w:rFonts w:eastAsia="SimSun"/>
          <w:b/>
          <w:noProof/>
          <w:szCs w:val="24"/>
          <w:lang w:eastAsia="zh-CN"/>
        </w:rPr>
      </w:pPr>
      <w:r>
        <w:rPr>
          <w:noProof/>
        </w:rPr>
        <w:t>A.</w:t>
      </w:r>
      <w:r>
        <w:rPr>
          <w:noProof/>
        </w:rPr>
        <w:tab/>
        <w:t>Remarque liminaire</w:t>
      </w:r>
      <w:r>
        <w:rPr>
          <w:noProof/>
          <w:webHidden/>
        </w:rPr>
        <w:tab/>
      </w:r>
      <w:r>
        <w:rPr>
          <w:noProof/>
          <w:webHidden/>
        </w:rPr>
        <w:tab/>
        <w:t>7</w:t>
      </w:r>
      <w:r>
        <w:rPr>
          <w:noProof/>
          <w:webHidden/>
        </w:rPr>
        <w:tab/>
        <w:t>8</w:t>
      </w:r>
    </w:p>
    <w:p w:rsidR="00000000" w:rsidRDefault="00000000">
      <w:pPr>
        <w:tabs>
          <w:tab w:val="left" w:pos="567"/>
          <w:tab w:val="left" w:pos="1134"/>
          <w:tab w:val="left" w:pos="1701"/>
          <w:tab w:val="right" w:leader="dot" w:pos="7139"/>
          <w:tab w:val="center" w:pos="8051"/>
          <w:tab w:val="right" w:pos="9185"/>
        </w:tabs>
        <w:spacing w:after="100"/>
        <w:ind w:left="1134" w:hanging="567"/>
        <w:rPr>
          <w:rFonts w:eastAsia="SimSun"/>
          <w:b/>
          <w:noProof/>
          <w:szCs w:val="24"/>
          <w:lang w:eastAsia="zh-CN"/>
        </w:rPr>
      </w:pPr>
      <w:r>
        <w:rPr>
          <w:noProof/>
        </w:rPr>
        <w:t>B.</w:t>
      </w:r>
      <w:r>
        <w:rPr>
          <w:noProof/>
        </w:rPr>
        <w:tab/>
        <w:t>Évolution de la structure démographique</w:t>
      </w:r>
      <w:r>
        <w:rPr>
          <w:noProof/>
          <w:webHidden/>
        </w:rPr>
        <w:tab/>
      </w:r>
      <w:r>
        <w:rPr>
          <w:noProof/>
          <w:webHidden/>
        </w:rPr>
        <w:tab/>
        <w:t>8−19</w:t>
      </w:r>
      <w:r>
        <w:rPr>
          <w:noProof/>
          <w:webHidden/>
        </w:rPr>
        <w:tab/>
        <w:t>8</w:t>
      </w:r>
    </w:p>
    <w:p w:rsidR="00000000" w:rsidRDefault="00000000">
      <w:pPr>
        <w:tabs>
          <w:tab w:val="left" w:pos="567"/>
          <w:tab w:val="left" w:pos="1134"/>
          <w:tab w:val="left" w:pos="1701"/>
          <w:tab w:val="right" w:leader="dot" w:pos="7139"/>
          <w:tab w:val="center" w:pos="8051"/>
          <w:tab w:val="right" w:pos="9185"/>
        </w:tabs>
        <w:spacing w:after="100"/>
        <w:ind w:left="1701" w:hanging="567"/>
        <w:rPr>
          <w:rFonts w:eastAsia="SimSun"/>
          <w:noProof/>
          <w:szCs w:val="24"/>
          <w:lang w:eastAsia="zh-CN"/>
        </w:rPr>
      </w:pPr>
      <w:r>
        <w:rPr>
          <w:noProof/>
        </w:rPr>
        <w:t>1.</w:t>
      </w:r>
      <w:r>
        <w:rPr>
          <w:noProof/>
        </w:rPr>
        <w:tab/>
        <w:t>Population étrangère résidente</w:t>
      </w:r>
      <w:r>
        <w:rPr>
          <w:noProof/>
          <w:webHidden/>
        </w:rPr>
        <w:tab/>
      </w:r>
      <w:r>
        <w:rPr>
          <w:noProof/>
          <w:webHidden/>
        </w:rPr>
        <w:tab/>
        <w:t>8</w:t>
      </w:r>
      <w:r>
        <w:rPr>
          <w:noProof/>
          <w:webHidden/>
        </w:rPr>
        <w:tab/>
        <w:t>8</w:t>
      </w:r>
    </w:p>
    <w:p w:rsidR="00000000" w:rsidRDefault="00000000">
      <w:pPr>
        <w:tabs>
          <w:tab w:val="left" w:pos="567"/>
          <w:tab w:val="left" w:pos="1134"/>
          <w:tab w:val="left" w:pos="1701"/>
          <w:tab w:val="right" w:leader="dot" w:pos="7139"/>
          <w:tab w:val="center" w:pos="8051"/>
          <w:tab w:val="right" w:pos="9185"/>
        </w:tabs>
        <w:spacing w:after="100"/>
        <w:ind w:left="1701" w:hanging="567"/>
        <w:rPr>
          <w:rFonts w:eastAsia="SimSun"/>
          <w:noProof/>
          <w:szCs w:val="24"/>
          <w:lang w:eastAsia="zh-CN"/>
        </w:rPr>
      </w:pPr>
      <w:r>
        <w:rPr>
          <w:noProof/>
        </w:rPr>
        <w:t>2.</w:t>
      </w:r>
      <w:r>
        <w:rPr>
          <w:noProof/>
        </w:rPr>
        <w:tab/>
        <w:t>Immigration</w:t>
      </w:r>
      <w:r>
        <w:rPr>
          <w:noProof/>
          <w:webHidden/>
        </w:rPr>
        <w:tab/>
      </w:r>
      <w:r>
        <w:rPr>
          <w:noProof/>
          <w:webHidden/>
        </w:rPr>
        <w:tab/>
        <w:t>9−10</w:t>
      </w:r>
      <w:r>
        <w:rPr>
          <w:noProof/>
          <w:webHidden/>
        </w:rPr>
        <w:tab/>
        <w:t>9</w:t>
      </w:r>
    </w:p>
    <w:p w:rsidR="00000000" w:rsidRDefault="00000000">
      <w:pPr>
        <w:tabs>
          <w:tab w:val="left" w:pos="567"/>
          <w:tab w:val="left" w:pos="1134"/>
          <w:tab w:val="left" w:pos="1701"/>
          <w:tab w:val="right" w:leader="dot" w:pos="7139"/>
          <w:tab w:val="center" w:pos="8051"/>
          <w:tab w:val="right" w:pos="9185"/>
        </w:tabs>
        <w:spacing w:after="100"/>
        <w:ind w:left="2268" w:hanging="567"/>
        <w:rPr>
          <w:rFonts w:eastAsia="SimSun"/>
          <w:noProof/>
          <w:szCs w:val="24"/>
          <w:lang w:eastAsia="zh-CN"/>
        </w:rPr>
      </w:pPr>
      <w:r>
        <w:rPr>
          <w:i/>
          <w:iCs/>
          <w:noProof/>
        </w:rPr>
        <w:t>a)</w:t>
      </w:r>
      <w:r>
        <w:rPr>
          <w:i/>
          <w:iCs/>
          <w:noProof/>
        </w:rPr>
        <w:tab/>
      </w:r>
      <w:r>
        <w:rPr>
          <w:bCs/>
          <w:i/>
          <w:iCs/>
          <w:noProof/>
        </w:rPr>
        <w:t>Immigration, par nationalité</w:t>
      </w:r>
      <w:r>
        <w:rPr>
          <w:noProof/>
          <w:webHidden/>
        </w:rPr>
        <w:tab/>
      </w:r>
      <w:r>
        <w:rPr>
          <w:noProof/>
          <w:webHidden/>
        </w:rPr>
        <w:tab/>
        <w:t>9</w:t>
      </w:r>
      <w:r>
        <w:rPr>
          <w:noProof/>
          <w:webHidden/>
        </w:rPr>
        <w:tab/>
        <w:t>9</w:t>
      </w:r>
    </w:p>
    <w:p w:rsidR="00000000" w:rsidRDefault="00000000">
      <w:pPr>
        <w:tabs>
          <w:tab w:val="left" w:pos="567"/>
          <w:tab w:val="left" w:pos="1134"/>
          <w:tab w:val="left" w:pos="1701"/>
          <w:tab w:val="right" w:leader="dot" w:pos="7139"/>
          <w:tab w:val="center" w:pos="8051"/>
          <w:tab w:val="right" w:pos="9185"/>
        </w:tabs>
        <w:spacing w:after="100"/>
        <w:ind w:left="2268" w:hanging="567"/>
        <w:rPr>
          <w:rFonts w:eastAsia="SimSun"/>
          <w:noProof/>
          <w:szCs w:val="24"/>
          <w:lang w:eastAsia="zh-CN"/>
        </w:rPr>
      </w:pPr>
      <w:r>
        <w:rPr>
          <w:i/>
          <w:iCs/>
          <w:noProof/>
        </w:rPr>
        <w:t>b)</w:t>
      </w:r>
      <w:r>
        <w:rPr>
          <w:i/>
          <w:iCs/>
          <w:noProof/>
        </w:rPr>
        <w:tab/>
      </w:r>
      <w:r>
        <w:rPr>
          <w:bCs/>
          <w:i/>
          <w:iCs/>
          <w:noProof/>
        </w:rPr>
        <w:t>Motifs d’immigration</w:t>
      </w:r>
      <w:r>
        <w:rPr>
          <w:noProof/>
          <w:webHidden/>
        </w:rPr>
        <w:tab/>
      </w:r>
      <w:r>
        <w:rPr>
          <w:noProof/>
          <w:webHidden/>
        </w:rPr>
        <w:tab/>
        <w:t>10</w:t>
      </w:r>
      <w:r>
        <w:rPr>
          <w:noProof/>
          <w:webHidden/>
        </w:rPr>
        <w:tab/>
        <w:t>10</w:t>
      </w:r>
    </w:p>
    <w:p w:rsidR="00000000" w:rsidRDefault="00000000">
      <w:pPr>
        <w:tabs>
          <w:tab w:val="left" w:pos="567"/>
          <w:tab w:val="left" w:pos="1134"/>
          <w:tab w:val="left" w:pos="1701"/>
          <w:tab w:val="right" w:leader="dot" w:pos="7139"/>
          <w:tab w:val="center" w:pos="8051"/>
          <w:tab w:val="right" w:pos="9185"/>
        </w:tabs>
        <w:spacing w:after="100"/>
        <w:ind w:left="1701" w:hanging="567"/>
        <w:rPr>
          <w:noProof/>
        </w:rPr>
      </w:pPr>
      <w:r>
        <w:rPr>
          <w:noProof/>
        </w:rPr>
        <w:t>3.</w:t>
      </w:r>
      <w:r>
        <w:rPr>
          <w:noProof/>
        </w:rPr>
        <w:tab/>
        <w:t>Asile</w:t>
      </w:r>
      <w:r>
        <w:rPr>
          <w:noProof/>
          <w:webHidden/>
        </w:rPr>
        <w:tab/>
      </w:r>
      <w:r>
        <w:rPr>
          <w:noProof/>
          <w:webHidden/>
        </w:rPr>
        <w:tab/>
        <w:t>11−14</w:t>
      </w:r>
      <w:r>
        <w:rPr>
          <w:noProof/>
          <w:webHidden/>
        </w:rPr>
        <w:tab/>
        <w:t>11</w:t>
      </w:r>
    </w:p>
    <w:p w:rsidR="00000000" w:rsidRDefault="00000000">
      <w:pPr>
        <w:tabs>
          <w:tab w:val="left" w:pos="567"/>
          <w:tab w:val="left" w:pos="1134"/>
          <w:tab w:val="left" w:pos="1701"/>
          <w:tab w:val="right" w:leader="dot" w:pos="7139"/>
          <w:tab w:val="center" w:pos="8051"/>
          <w:tab w:val="right" w:pos="9185"/>
        </w:tabs>
        <w:spacing w:after="100"/>
        <w:ind w:left="1701" w:hanging="567"/>
        <w:rPr>
          <w:noProof/>
        </w:rPr>
      </w:pPr>
      <w:r>
        <w:rPr>
          <w:noProof/>
        </w:rPr>
        <w:t>4.</w:t>
      </w:r>
      <w:r>
        <w:rPr>
          <w:noProof/>
        </w:rPr>
        <w:tab/>
        <w:t>Minorités linguistiques</w:t>
      </w:r>
      <w:r>
        <w:rPr>
          <w:noProof/>
          <w:webHidden/>
        </w:rPr>
        <w:tab/>
      </w:r>
      <w:r>
        <w:rPr>
          <w:noProof/>
          <w:webHidden/>
        </w:rPr>
        <w:tab/>
        <w:t>15−16</w:t>
      </w:r>
      <w:r>
        <w:rPr>
          <w:noProof/>
          <w:webHidden/>
        </w:rPr>
        <w:tab/>
        <w:t>12</w:t>
      </w:r>
    </w:p>
    <w:p w:rsidR="00000000" w:rsidRDefault="00000000">
      <w:pPr>
        <w:tabs>
          <w:tab w:val="left" w:pos="567"/>
          <w:tab w:val="left" w:pos="1134"/>
          <w:tab w:val="left" w:pos="1701"/>
          <w:tab w:val="right" w:leader="dot" w:pos="7139"/>
          <w:tab w:val="center" w:pos="8051"/>
          <w:tab w:val="right" w:pos="9185"/>
        </w:tabs>
        <w:spacing w:after="100"/>
        <w:ind w:left="1701" w:hanging="567"/>
        <w:rPr>
          <w:noProof/>
        </w:rPr>
      </w:pPr>
      <w:r>
        <w:rPr>
          <w:noProof/>
        </w:rPr>
        <w:t>5.</w:t>
      </w:r>
      <w:r>
        <w:rPr>
          <w:noProof/>
        </w:rPr>
        <w:tab/>
        <w:t>Minorités religieuses</w:t>
      </w:r>
      <w:r>
        <w:rPr>
          <w:noProof/>
          <w:webHidden/>
        </w:rPr>
        <w:tab/>
      </w:r>
      <w:r>
        <w:rPr>
          <w:noProof/>
          <w:webHidden/>
        </w:rPr>
        <w:tab/>
        <w:t>17−18</w:t>
      </w:r>
      <w:r>
        <w:rPr>
          <w:noProof/>
          <w:webHidden/>
        </w:rPr>
        <w:tab/>
        <w:t>13</w:t>
      </w:r>
    </w:p>
    <w:p w:rsidR="00000000" w:rsidRDefault="00000000">
      <w:pPr>
        <w:tabs>
          <w:tab w:val="left" w:pos="567"/>
          <w:tab w:val="left" w:pos="1134"/>
          <w:tab w:val="left" w:pos="1701"/>
          <w:tab w:val="right" w:leader="dot" w:pos="7139"/>
          <w:tab w:val="center" w:pos="8051"/>
          <w:tab w:val="right" w:pos="9185"/>
        </w:tabs>
        <w:spacing w:after="100"/>
        <w:ind w:left="1701" w:hanging="567"/>
        <w:rPr>
          <w:rFonts w:eastAsia="SimSun"/>
          <w:noProof/>
          <w:szCs w:val="24"/>
          <w:lang w:eastAsia="zh-CN"/>
        </w:rPr>
      </w:pPr>
      <w:r>
        <w:rPr>
          <w:noProof/>
        </w:rPr>
        <w:t>6.</w:t>
      </w:r>
      <w:r>
        <w:rPr>
          <w:noProof/>
        </w:rPr>
        <w:tab/>
        <w:t>Minorités ethniques</w:t>
      </w:r>
      <w:r>
        <w:rPr>
          <w:noProof/>
          <w:webHidden/>
        </w:rPr>
        <w:tab/>
      </w:r>
      <w:r>
        <w:rPr>
          <w:noProof/>
          <w:webHidden/>
        </w:rPr>
        <w:tab/>
        <w:t>19</w:t>
      </w:r>
      <w:r>
        <w:rPr>
          <w:noProof/>
          <w:webHidden/>
        </w:rPr>
        <w:tab/>
        <w:t>13</w:t>
      </w:r>
    </w:p>
    <w:p w:rsidR="00000000" w:rsidRDefault="00000000">
      <w:pPr>
        <w:tabs>
          <w:tab w:val="left" w:pos="567"/>
          <w:tab w:val="left" w:pos="1134"/>
          <w:tab w:val="left" w:pos="1701"/>
          <w:tab w:val="right" w:leader="dot" w:pos="7139"/>
          <w:tab w:val="center" w:pos="8051"/>
          <w:tab w:val="right" w:pos="9185"/>
        </w:tabs>
        <w:spacing w:after="100"/>
        <w:ind w:left="1134" w:hanging="567"/>
        <w:rPr>
          <w:rFonts w:eastAsia="SimSun"/>
          <w:b/>
          <w:noProof/>
          <w:szCs w:val="24"/>
          <w:lang w:eastAsia="zh-CN"/>
        </w:rPr>
      </w:pPr>
      <w:r>
        <w:rPr>
          <w:noProof/>
        </w:rPr>
        <w:t>C.</w:t>
      </w:r>
      <w:r>
        <w:rPr>
          <w:noProof/>
        </w:rPr>
        <w:tab/>
        <w:t>Bases constitutionnelles et législatives</w:t>
      </w:r>
      <w:r>
        <w:rPr>
          <w:noProof/>
          <w:webHidden/>
        </w:rPr>
        <w:tab/>
      </w:r>
      <w:r>
        <w:rPr>
          <w:noProof/>
          <w:webHidden/>
        </w:rPr>
        <w:tab/>
        <w:t>20−52</w:t>
      </w:r>
      <w:r>
        <w:rPr>
          <w:noProof/>
          <w:webHidden/>
        </w:rPr>
        <w:tab/>
        <w:t>13</w:t>
      </w:r>
    </w:p>
    <w:p w:rsidR="00000000" w:rsidRDefault="00000000">
      <w:pPr>
        <w:tabs>
          <w:tab w:val="left" w:pos="567"/>
          <w:tab w:val="left" w:pos="1134"/>
          <w:tab w:val="left" w:pos="1701"/>
          <w:tab w:val="right" w:leader="dot" w:pos="7139"/>
          <w:tab w:val="center" w:pos="8051"/>
          <w:tab w:val="right" w:pos="9185"/>
        </w:tabs>
        <w:spacing w:after="100"/>
        <w:ind w:left="1701" w:hanging="567"/>
        <w:rPr>
          <w:rFonts w:eastAsia="SimSun"/>
          <w:noProof/>
          <w:szCs w:val="24"/>
          <w:lang w:eastAsia="zh-CN"/>
        </w:rPr>
      </w:pPr>
      <w:r>
        <w:rPr>
          <w:noProof/>
        </w:rPr>
        <w:t>1.</w:t>
      </w:r>
      <w:r>
        <w:rPr>
          <w:noProof/>
        </w:rPr>
        <w:tab/>
        <w:t>Signature et ratification de conventions internationales</w:t>
      </w:r>
      <w:r>
        <w:rPr>
          <w:noProof/>
          <w:webHidden/>
        </w:rPr>
        <w:tab/>
      </w:r>
      <w:r>
        <w:rPr>
          <w:noProof/>
          <w:webHidden/>
        </w:rPr>
        <w:tab/>
        <w:t>21−30</w:t>
      </w:r>
      <w:r>
        <w:rPr>
          <w:noProof/>
          <w:webHidden/>
        </w:rPr>
        <w:tab/>
        <w:t>13</w:t>
      </w:r>
    </w:p>
    <w:p w:rsidR="00000000" w:rsidRDefault="00000000">
      <w:pPr>
        <w:tabs>
          <w:tab w:val="left" w:pos="567"/>
          <w:tab w:val="left" w:pos="1134"/>
          <w:tab w:val="left" w:pos="1701"/>
          <w:tab w:val="right" w:leader="dot" w:pos="7139"/>
          <w:tab w:val="center" w:pos="8051"/>
          <w:tab w:val="right" w:pos="9185"/>
        </w:tabs>
        <w:spacing w:after="100"/>
        <w:ind w:left="2268" w:hanging="567"/>
        <w:rPr>
          <w:rFonts w:eastAsia="SimSun"/>
          <w:noProof/>
          <w:szCs w:val="24"/>
          <w:lang w:eastAsia="zh-CN"/>
        </w:rPr>
      </w:pPr>
      <w:r>
        <w:rPr>
          <w:i/>
          <w:iCs/>
          <w:noProof/>
        </w:rPr>
        <w:t>a)</w:t>
      </w:r>
      <w:r>
        <w:rPr>
          <w:i/>
          <w:iCs/>
          <w:noProof/>
        </w:rPr>
        <w:tab/>
      </w:r>
      <w:r>
        <w:rPr>
          <w:bCs/>
          <w:i/>
          <w:iCs/>
          <w:noProof/>
        </w:rPr>
        <w:t xml:space="preserve">Conventions internationales de l’Organisation </w:t>
      </w:r>
      <w:r>
        <w:rPr>
          <w:bCs/>
          <w:i/>
          <w:iCs/>
          <w:noProof/>
        </w:rPr>
        <w:br/>
        <w:t>des Nations Unies</w:t>
      </w:r>
      <w:r>
        <w:rPr>
          <w:noProof/>
          <w:webHidden/>
        </w:rPr>
        <w:tab/>
      </w:r>
      <w:r>
        <w:rPr>
          <w:noProof/>
          <w:webHidden/>
        </w:rPr>
        <w:tab/>
        <w:t>21−25</w:t>
      </w:r>
      <w:r>
        <w:rPr>
          <w:noProof/>
          <w:webHidden/>
        </w:rPr>
        <w:tab/>
        <w:t>13</w:t>
      </w:r>
    </w:p>
    <w:p w:rsidR="00000000" w:rsidRDefault="00000000">
      <w:pPr>
        <w:tabs>
          <w:tab w:val="left" w:pos="567"/>
          <w:tab w:val="left" w:pos="1134"/>
          <w:tab w:val="left" w:pos="1701"/>
          <w:tab w:val="right" w:leader="dot" w:pos="7139"/>
          <w:tab w:val="center" w:pos="8051"/>
          <w:tab w:val="right" w:pos="9185"/>
        </w:tabs>
        <w:spacing w:after="100"/>
        <w:ind w:left="2268" w:hanging="567"/>
        <w:rPr>
          <w:rFonts w:eastAsia="SimSun"/>
          <w:noProof/>
          <w:szCs w:val="24"/>
          <w:lang w:eastAsia="zh-CN"/>
        </w:rPr>
      </w:pPr>
      <w:r>
        <w:rPr>
          <w:i/>
          <w:iCs/>
          <w:noProof/>
        </w:rPr>
        <w:t>b)</w:t>
      </w:r>
      <w:r>
        <w:rPr>
          <w:i/>
          <w:iCs/>
          <w:noProof/>
        </w:rPr>
        <w:tab/>
      </w:r>
      <w:r>
        <w:rPr>
          <w:bCs/>
          <w:i/>
          <w:iCs/>
          <w:noProof/>
        </w:rPr>
        <w:t>Conventions régionales relatives aux droits humains</w:t>
      </w:r>
      <w:r>
        <w:rPr>
          <w:noProof/>
          <w:webHidden/>
        </w:rPr>
        <w:tab/>
        <w:t>26−27</w:t>
      </w:r>
      <w:r>
        <w:rPr>
          <w:noProof/>
          <w:webHidden/>
        </w:rPr>
        <w:tab/>
        <w:t>14</w:t>
      </w:r>
    </w:p>
    <w:p w:rsidR="00000000" w:rsidRDefault="00000000">
      <w:pPr>
        <w:tabs>
          <w:tab w:val="left" w:pos="567"/>
          <w:tab w:val="left" w:pos="1134"/>
          <w:tab w:val="left" w:pos="1701"/>
          <w:tab w:val="right" w:leader="dot" w:pos="7139"/>
          <w:tab w:val="center" w:pos="8051"/>
          <w:tab w:val="right" w:pos="9185"/>
        </w:tabs>
        <w:spacing w:after="100"/>
        <w:ind w:left="2268" w:hanging="567"/>
        <w:rPr>
          <w:rFonts w:eastAsia="SimSun"/>
          <w:noProof/>
          <w:szCs w:val="24"/>
          <w:lang w:eastAsia="zh-CN"/>
        </w:rPr>
      </w:pPr>
      <w:r>
        <w:rPr>
          <w:i/>
          <w:iCs/>
          <w:noProof/>
        </w:rPr>
        <w:t>c)</w:t>
      </w:r>
      <w:r>
        <w:rPr>
          <w:i/>
          <w:iCs/>
          <w:noProof/>
        </w:rPr>
        <w:tab/>
      </w:r>
      <w:r>
        <w:rPr>
          <w:bCs/>
          <w:i/>
          <w:iCs/>
          <w:noProof/>
        </w:rPr>
        <w:t>Révision de la Constitution fédérale (Cst.)</w:t>
      </w:r>
      <w:r>
        <w:rPr>
          <w:noProof/>
          <w:webHidden/>
        </w:rPr>
        <w:tab/>
      </w:r>
      <w:r>
        <w:rPr>
          <w:noProof/>
          <w:webHidden/>
        </w:rPr>
        <w:tab/>
        <w:t>28−30</w:t>
      </w:r>
      <w:r>
        <w:rPr>
          <w:noProof/>
          <w:webHidden/>
        </w:rPr>
        <w:tab/>
        <w:t>15</w:t>
      </w:r>
    </w:p>
    <w:p w:rsidR="00000000" w:rsidRDefault="00000000">
      <w:pPr>
        <w:tabs>
          <w:tab w:val="left" w:pos="567"/>
          <w:tab w:val="left" w:pos="1134"/>
          <w:tab w:val="left" w:pos="1701"/>
          <w:tab w:val="right" w:leader="dot" w:pos="7139"/>
          <w:tab w:val="center" w:pos="8051"/>
          <w:tab w:val="right" w:pos="9185"/>
        </w:tabs>
        <w:spacing w:after="100"/>
        <w:ind w:left="1701" w:hanging="567"/>
        <w:rPr>
          <w:rFonts w:eastAsia="SimSun"/>
          <w:noProof/>
          <w:szCs w:val="24"/>
          <w:lang w:eastAsia="zh-CN"/>
        </w:rPr>
      </w:pPr>
      <w:r>
        <w:rPr>
          <w:noProof/>
        </w:rPr>
        <w:t>2.</w:t>
      </w:r>
      <w:r>
        <w:rPr>
          <w:noProof/>
        </w:rPr>
        <w:tab/>
        <w:t>Modifications de la législation pénale</w:t>
      </w:r>
      <w:r>
        <w:rPr>
          <w:noProof/>
          <w:webHidden/>
        </w:rPr>
        <w:tab/>
      </w:r>
      <w:r>
        <w:rPr>
          <w:noProof/>
          <w:webHidden/>
        </w:rPr>
        <w:tab/>
        <w:t>31−35</w:t>
      </w:r>
      <w:r>
        <w:rPr>
          <w:noProof/>
          <w:webHidden/>
        </w:rPr>
        <w:tab/>
        <w:t>15</w:t>
      </w:r>
    </w:p>
    <w:p w:rsidR="00000000" w:rsidRDefault="00000000">
      <w:pPr>
        <w:tabs>
          <w:tab w:val="left" w:pos="567"/>
          <w:tab w:val="left" w:pos="1134"/>
          <w:tab w:val="left" w:pos="1701"/>
          <w:tab w:val="right" w:leader="dot" w:pos="7139"/>
          <w:tab w:val="center" w:pos="8051"/>
          <w:tab w:val="right" w:pos="9185"/>
        </w:tabs>
        <w:spacing w:after="100"/>
        <w:ind w:left="2268" w:hanging="567"/>
        <w:rPr>
          <w:rFonts w:eastAsia="SimSun"/>
          <w:noProof/>
          <w:szCs w:val="24"/>
          <w:lang w:eastAsia="zh-CN"/>
        </w:rPr>
      </w:pPr>
      <w:r>
        <w:rPr>
          <w:bCs/>
          <w:i/>
          <w:iCs/>
          <w:noProof/>
        </w:rPr>
        <w:t>a)</w:t>
      </w:r>
      <w:r>
        <w:rPr>
          <w:bCs/>
          <w:noProof/>
        </w:rPr>
        <w:tab/>
      </w:r>
      <w:r>
        <w:rPr>
          <w:bCs/>
          <w:i/>
          <w:iCs/>
          <w:noProof/>
        </w:rPr>
        <w:t>Code pénal</w:t>
      </w:r>
      <w:r>
        <w:rPr>
          <w:noProof/>
          <w:webHidden/>
        </w:rPr>
        <w:tab/>
      </w:r>
      <w:r>
        <w:rPr>
          <w:noProof/>
          <w:webHidden/>
        </w:rPr>
        <w:tab/>
        <w:t>31−33</w:t>
      </w:r>
      <w:r>
        <w:rPr>
          <w:noProof/>
          <w:webHidden/>
        </w:rPr>
        <w:tab/>
        <w:t>15</w:t>
      </w:r>
    </w:p>
    <w:p w:rsidR="00000000" w:rsidRDefault="00000000">
      <w:pPr>
        <w:tabs>
          <w:tab w:val="left" w:pos="567"/>
          <w:tab w:val="left" w:pos="1134"/>
          <w:tab w:val="left" w:pos="1701"/>
          <w:tab w:val="right" w:leader="dot" w:pos="7139"/>
          <w:tab w:val="center" w:pos="8051"/>
          <w:tab w:val="right" w:pos="9185"/>
        </w:tabs>
        <w:spacing w:after="100"/>
        <w:ind w:left="2268" w:hanging="567"/>
        <w:rPr>
          <w:rFonts w:eastAsia="SimSun"/>
          <w:noProof/>
          <w:szCs w:val="24"/>
          <w:lang w:eastAsia="zh-CN"/>
        </w:rPr>
      </w:pPr>
      <w:r>
        <w:rPr>
          <w:bCs/>
          <w:i/>
          <w:iCs/>
          <w:noProof/>
        </w:rPr>
        <w:t>b)</w:t>
      </w:r>
      <w:r>
        <w:rPr>
          <w:bCs/>
          <w:i/>
          <w:iCs/>
          <w:noProof/>
        </w:rPr>
        <w:tab/>
        <w:t>Procédure pénale</w:t>
      </w:r>
      <w:r>
        <w:rPr>
          <w:noProof/>
          <w:webHidden/>
        </w:rPr>
        <w:tab/>
      </w:r>
      <w:r>
        <w:rPr>
          <w:noProof/>
          <w:webHidden/>
        </w:rPr>
        <w:tab/>
        <w:t>34</w:t>
      </w:r>
      <w:r>
        <w:rPr>
          <w:noProof/>
          <w:webHidden/>
        </w:rPr>
        <w:tab/>
        <w:t>16</w:t>
      </w:r>
    </w:p>
    <w:p w:rsidR="00000000" w:rsidRDefault="00000000">
      <w:pPr>
        <w:tabs>
          <w:tab w:val="left" w:pos="567"/>
          <w:tab w:val="left" w:pos="1134"/>
          <w:tab w:val="left" w:pos="1701"/>
          <w:tab w:val="right" w:leader="dot" w:pos="7139"/>
          <w:tab w:val="center" w:pos="8051"/>
          <w:tab w:val="right" w:pos="9185"/>
        </w:tabs>
        <w:spacing w:after="100"/>
        <w:ind w:left="2268" w:hanging="567"/>
        <w:rPr>
          <w:rFonts w:eastAsia="SimSun"/>
          <w:noProof/>
          <w:szCs w:val="24"/>
          <w:lang w:eastAsia="zh-CN"/>
        </w:rPr>
      </w:pPr>
      <w:r>
        <w:rPr>
          <w:bCs/>
          <w:i/>
          <w:iCs/>
          <w:noProof/>
        </w:rPr>
        <w:t>c)</w:t>
      </w:r>
      <w:r>
        <w:rPr>
          <w:bCs/>
          <w:i/>
          <w:iCs/>
          <w:noProof/>
        </w:rPr>
        <w:tab/>
        <w:t xml:space="preserve">Introduction d’une loi fédérale sur l’investigation </w:t>
      </w:r>
      <w:r>
        <w:rPr>
          <w:bCs/>
          <w:i/>
          <w:iCs/>
          <w:noProof/>
        </w:rPr>
        <w:br/>
        <w:t>secrète</w:t>
      </w:r>
      <w:r>
        <w:rPr>
          <w:noProof/>
          <w:webHidden/>
        </w:rPr>
        <w:tab/>
      </w:r>
      <w:r>
        <w:rPr>
          <w:noProof/>
          <w:webHidden/>
        </w:rPr>
        <w:tab/>
        <w:t>35</w:t>
      </w:r>
      <w:r>
        <w:rPr>
          <w:noProof/>
          <w:webHidden/>
        </w:rPr>
        <w:tab/>
        <w:t>16</w:t>
      </w:r>
    </w:p>
    <w:p w:rsidR="00000000" w:rsidRDefault="00000000">
      <w:pPr>
        <w:tabs>
          <w:tab w:val="left" w:pos="567"/>
          <w:tab w:val="left" w:pos="1134"/>
          <w:tab w:val="left" w:pos="1701"/>
          <w:tab w:val="right" w:leader="dot" w:pos="7139"/>
          <w:tab w:val="center" w:pos="8051"/>
          <w:tab w:val="right" w:pos="9185"/>
        </w:tabs>
        <w:spacing w:after="100"/>
        <w:ind w:left="1701" w:hanging="567"/>
        <w:rPr>
          <w:rFonts w:eastAsia="SimSun"/>
          <w:noProof/>
          <w:szCs w:val="24"/>
          <w:lang w:eastAsia="zh-CN"/>
        </w:rPr>
      </w:pPr>
      <w:r>
        <w:rPr>
          <w:noProof/>
        </w:rPr>
        <w:t>3.</w:t>
      </w:r>
      <w:r>
        <w:rPr>
          <w:noProof/>
        </w:rPr>
        <w:tab/>
        <w:t>Modifications du droit civil</w:t>
      </w:r>
      <w:r>
        <w:rPr>
          <w:noProof/>
          <w:webHidden/>
        </w:rPr>
        <w:tab/>
      </w:r>
      <w:r>
        <w:rPr>
          <w:noProof/>
          <w:webHidden/>
        </w:rPr>
        <w:tab/>
        <w:t>36</w:t>
      </w:r>
      <w:r>
        <w:rPr>
          <w:noProof/>
          <w:webHidden/>
        </w:rPr>
        <w:tab/>
        <w:t>16</w:t>
      </w:r>
    </w:p>
    <w:p w:rsidR="00000000" w:rsidRDefault="00000000">
      <w:pPr>
        <w:tabs>
          <w:tab w:val="left" w:pos="567"/>
          <w:tab w:val="left" w:pos="1134"/>
          <w:tab w:val="left" w:pos="1701"/>
          <w:tab w:val="right" w:leader="dot" w:pos="7139"/>
          <w:tab w:val="center" w:pos="8051"/>
          <w:tab w:val="right" w:pos="9185"/>
        </w:tabs>
        <w:spacing w:after="100"/>
        <w:ind w:left="1701" w:hanging="567"/>
        <w:rPr>
          <w:rFonts w:eastAsia="SimSun"/>
          <w:noProof/>
          <w:szCs w:val="24"/>
          <w:lang w:eastAsia="zh-CN"/>
        </w:rPr>
      </w:pPr>
      <w:r>
        <w:rPr>
          <w:noProof/>
        </w:rPr>
        <w:t>4.</w:t>
      </w:r>
      <w:r>
        <w:rPr>
          <w:noProof/>
        </w:rPr>
        <w:tab/>
        <w:t>Modifications du droit public</w:t>
      </w:r>
      <w:r>
        <w:rPr>
          <w:noProof/>
          <w:webHidden/>
        </w:rPr>
        <w:tab/>
      </w:r>
      <w:r>
        <w:rPr>
          <w:noProof/>
          <w:webHidden/>
        </w:rPr>
        <w:tab/>
        <w:t>37−50</w:t>
      </w:r>
      <w:r>
        <w:rPr>
          <w:noProof/>
          <w:webHidden/>
        </w:rPr>
        <w:tab/>
        <w:t>17</w:t>
      </w:r>
    </w:p>
    <w:p w:rsidR="00000000" w:rsidRDefault="00000000">
      <w:pPr>
        <w:tabs>
          <w:tab w:val="left" w:pos="567"/>
          <w:tab w:val="left" w:pos="1134"/>
          <w:tab w:val="left" w:pos="1701"/>
          <w:tab w:val="right" w:leader="dot" w:pos="7139"/>
          <w:tab w:val="center" w:pos="8051"/>
          <w:tab w:val="right" w:pos="9185"/>
        </w:tabs>
        <w:spacing w:after="100"/>
        <w:ind w:left="2268" w:hanging="567"/>
        <w:rPr>
          <w:rFonts w:eastAsia="SimSun"/>
          <w:noProof/>
          <w:szCs w:val="24"/>
          <w:lang w:eastAsia="zh-CN"/>
        </w:rPr>
      </w:pPr>
      <w:r>
        <w:rPr>
          <w:bCs/>
          <w:i/>
          <w:iCs/>
          <w:noProof/>
        </w:rPr>
        <w:t>a)</w:t>
      </w:r>
      <w:r>
        <w:rPr>
          <w:bCs/>
          <w:i/>
          <w:iCs/>
          <w:noProof/>
        </w:rPr>
        <w:tab/>
        <w:t>Révision partielle de la loi sur l’asile</w:t>
      </w:r>
      <w:r>
        <w:rPr>
          <w:noProof/>
          <w:webHidden/>
        </w:rPr>
        <w:tab/>
      </w:r>
      <w:r>
        <w:rPr>
          <w:noProof/>
          <w:webHidden/>
        </w:rPr>
        <w:tab/>
        <w:t>37−41</w:t>
      </w:r>
      <w:r>
        <w:rPr>
          <w:noProof/>
          <w:webHidden/>
        </w:rPr>
        <w:tab/>
        <w:t>17</w:t>
      </w:r>
    </w:p>
    <w:p w:rsidR="00000000" w:rsidRDefault="00000000">
      <w:pPr>
        <w:tabs>
          <w:tab w:val="left" w:pos="567"/>
          <w:tab w:val="left" w:pos="1134"/>
          <w:tab w:val="left" w:pos="1701"/>
          <w:tab w:val="right" w:leader="dot" w:pos="7139"/>
          <w:tab w:val="center" w:pos="8051"/>
          <w:tab w:val="right" w:pos="9185"/>
        </w:tabs>
        <w:spacing w:after="100"/>
        <w:ind w:left="2268" w:hanging="567"/>
        <w:rPr>
          <w:rFonts w:eastAsia="SimSun"/>
          <w:noProof/>
          <w:szCs w:val="24"/>
          <w:lang w:eastAsia="zh-CN"/>
        </w:rPr>
      </w:pPr>
      <w:r>
        <w:rPr>
          <w:bCs/>
          <w:i/>
          <w:iCs/>
          <w:noProof/>
        </w:rPr>
        <w:t>b)</w:t>
      </w:r>
      <w:r>
        <w:rPr>
          <w:bCs/>
          <w:i/>
          <w:iCs/>
          <w:noProof/>
        </w:rPr>
        <w:tab/>
        <w:t xml:space="preserve">Révision totale de la loi fédérale sur les étrangers </w:t>
      </w:r>
      <w:r>
        <w:rPr>
          <w:bCs/>
          <w:i/>
          <w:iCs/>
          <w:noProof/>
        </w:rPr>
        <w:br/>
        <w:t>(LEtr)</w:t>
      </w:r>
      <w:r>
        <w:rPr>
          <w:noProof/>
          <w:webHidden/>
        </w:rPr>
        <w:tab/>
      </w:r>
      <w:r>
        <w:rPr>
          <w:noProof/>
          <w:webHidden/>
        </w:rPr>
        <w:tab/>
        <w:t>42−44</w:t>
      </w:r>
      <w:r>
        <w:rPr>
          <w:noProof/>
          <w:webHidden/>
        </w:rPr>
        <w:tab/>
        <w:t>19</w:t>
      </w:r>
    </w:p>
    <w:p w:rsidR="00000000" w:rsidRDefault="00000000">
      <w:pPr>
        <w:tabs>
          <w:tab w:val="left" w:pos="567"/>
          <w:tab w:val="left" w:pos="1134"/>
          <w:tab w:val="left" w:pos="1701"/>
          <w:tab w:val="right" w:leader="dot" w:pos="7139"/>
          <w:tab w:val="center" w:pos="8051"/>
          <w:tab w:val="right" w:pos="9185"/>
        </w:tabs>
        <w:spacing w:after="100"/>
        <w:ind w:left="2268" w:hanging="567"/>
        <w:rPr>
          <w:rFonts w:eastAsia="SimSun"/>
          <w:noProof/>
          <w:szCs w:val="24"/>
          <w:lang w:eastAsia="zh-CN"/>
        </w:rPr>
      </w:pPr>
      <w:r>
        <w:rPr>
          <w:bCs/>
          <w:i/>
          <w:iCs/>
          <w:noProof/>
        </w:rPr>
        <w:t>c)</w:t>
      </w:r>
      <w:r>
        <w:rPr>
          <w:bCs/>
          <w:i/>
          <w:iCs/>
          <w:noProof/>
        </w:rPr>
        <w:tab/>
        <w:t xml:space="preserve">Autres révisions dans le domaine de la législation </w:t>
      </w:r>
      <w:r>
        <w:rPr>
          <w:bCs/>
          <w:i/>
          <w:iCs/>
          <w:noProof/>
        </w:rPr>
        <w:br/>
        <w:t>sur les étrangers et sur l’asile</w:t>
      </w:r>
      <w:r>
        <w:rPr>
          <w:noProof/>
          <w:webHidden/>
        </w:rPr>
        <w:tab/>
      </w:r>
      <w:r>
        <w:rPr>
          <w:noProof/>
          <w:webHidden/>
        </w:rPr>
        <w:tab/>
        <w:t>45−48</w:t>
      </w:r>
      <w:r>
        <w:rPr>
          <w:noProof/>
          <w:webHidden/>
        </w:rPr>
        <w:tab/>
        <w:t>19</w:t>
      </w:r>
    </w:p>
    <w:p w:rsidR="00000000" w:rsidRDefault="00000000">
      <w:pPr>
        <w:tabs>
          <w:tab w:val="left" w:pos="567"/>
          <w:tab w:val="left" w:pos="1134"/>
          <w:tab w:val="left" w:pos="1701"/>
          <w:tab w:val="right" w:leader="dot" w:pos="7139"/>
          <w:tab w:val="center" w:pos="8051"/>
          <w:tab w:val="right" w:pos="9185"/>
        </w:tabs>
        <w:spacing w:after="100"/>
        <w:ind w:left="2268" w:hanging="567"/>
        <w:rPr>
          <w:rFonts w:eastAsia="SimSun"/>
          <w:noProof/>
          <w:szCs w:val="24"/>
          <w:lang w:eastAsia="zh-CN"/>
        </w:rPr>
      </w:pPr>
      <w:r>
        <w:rPr>
          <w:bCs/>
          <w:i/>
          <w:iCs/>
          <w:noProof/>
        </w:rPr>
        <w:t>d)</w:t>
      </w:r>
      <w:r>
        <w:rPr>
          <w:bCs/>
          <w:i/>
          <w:iCs/>
          <w:noProof/>
        </w:rPr>
        <w:tab/>
        <w:t>Autres révisions dans le domaine du droit public</w:t>
      </w:r>
      <w:r>
        <w:rPr>
          <w:noProof/>
          <w:webHidden/>
        </w:rPr>
        <w:tab/>
      </w:r>
      <w:r>
        <w:rPr>
          <w:noProof/>
          <w:webHidden/>
        </w:rPr>
        <w:tab/>
        <w:t>49−50</w:t>
      </w:r>
      <w:r>
        <w:rPr>
          <w:noProof/>
          <w:webHidden/>
        </w:rPr>
        <w:tab/>
        <w:t>20</w:t>
      </w:r>
    </w:p>
    <w:p w:rsidR="00000000" w:rsidRDefault="00000000">
      <w:pPr>
        <w:tabs>
          <w:tab w:val="left" w:pos="567"/>
          <w:tab w:val="left" w:pos="1134"/>
          <w:tab w:val="left" w:pos="1701"/>
          <w:tab w:val="right" w:leader="dot" w:pos="7139"/>
          <w:tab w:val="center" w:pos="8051"/>
          <w:tab w:val="right" w:pos="9185"/>
        </w:tabs>
        <w:spacing w:after="100"/>
        <w:ind w:left="1701" w:hanging="567"/>
        <w:rPr>
          <w:noProof/>
          <w:webHidden/>
        </w:rPr>
      </w:pPr>
      <w:r>
        <w:rPr>
          <w:noProof/>
        </w:rPr>
        <w:t>5.</w:t>
      </w:r>
      <w:r>
        <w:rPr>
          <w:noProof/>
        </w:rPr>
        <w:tab/>
        <w:t>Réformes de constitutions cantonales</w:t>
      </w:r>
      <w:r>
        <w:rPr>
          <w:noProof/>
          <w:webHidden/>
        </w:rPr>
        <w:tab/>
      </w:r>
      <w:r>
        <w:rPr>
          <w:noProof/>
          <w:webHidden/>
        </w:rPr>
        <w:tab/>
        <w:t>51−52</w:t>
      </w:r>
      <w:r>
        <w:rPr>
          <w:noProof/>
          <w:webHidden/>
        </w:rPr>
        <w:tab/>
        <w:t>20</w:t>
      </w:r>
    </w:p>
    <w:p w:rsidR="00000000" w:rsidRDefault="00000000">
      <w:pPr>
        <w:spacing w:after="240"/>
        <w:jc w:val="center"/>
        <w:rPr>
          <w:b/>
          <w:bCs/>
          <w:szCs w:val="24"/>
        </w:rPr>
      </w:pPr>
      <w:r>
        <w:rPr>
          <w:noProof/>
          <w:webHidden/>
        </w:rPr>
        <w:br w:type="page"/>
      </w:r>
      <w:r>
        <w:rPr>
          <w:b/>
          <w:bCs/>
          <w:szCs w:val="24"/>
        </w:rPr>
        <w:t>TABLE DES MATIÈRES (</w:t>
      </w:r>
      <w:r>
        <w:rPr>
          <w:b/>
          <w:bCs/>
          <w:i/>
          <w:iCs/>
          <w:szCs w:val="24"/>
        </w:rPr>
        <w:t>suite</w:t>
      </w:r>
      <w:r>
        <w:rPr>
          <w:b/>
          <w:bCs/>
          <w:szCs w:val="24"/>
        </w:rPr>
        <w:t>)</w:t>
      </w:r>
    </w:p>
    <w:p w:rsidR="00000000" w:rsidRDefault="00000000">
      <w:pPr>
        <w:tabs>
          <w:tab w:val="center" w:pos="8051"/>
          <w:tab w:val="right" w:pos="9360"/>
        </w:tabs>
        <w:spacing w:after="240"/>
        <w:rPr>
          <w:rFonts w:eastAsia="SimSun"/>
          <w:noProof/>
          <w:szCs w:val="24"/>
          <w:lang w:eastAsia="zh-CN"/>
        </w:rPr>
      </w:pPr>
      <w:r>
        <w:rPr>
          <w:i/>
          <w:iCs/>
          <w:lang w:eastAsia="de-CH"/>
        </w:rPr>
        <w:t>Chapitre</w:t>
      </w:r>
      <w:r>
        <w:rPr>
          <w:i/>
          <w:iCs/>
          <w:lang w:eastAsia="de-CH"/>
        </w:rPr>
        <w:tab/>
        <w:t>Paragraphes</w:t>
      </w:r>
      <w:r>
        <w:rPr>
          <w:i/>
          <w:iCs/>
          <w:lang w:eastAsia="de-CH"/>
        </w:rPr>
        <w:tab/>
        <w:t>Page</w:t>
      </w:r>
    </w:p>
    <w:p w:rsidR="00000000" w:rsidRDefault="00000000">
      <w:pPr>
        <w:tabs>
          <w:tab w:val="left" w:pos="567"/>
          <w:tab w:val="left" w:pos="1134"/>
          <w:tab w:val="left" w:pos="1701"/>
          <w:tab w:val="right" w:leader="dot" w:pos="7139"/>
          <w:tab w:val="center" w:pos="8051"/>
          <w:tab w:val="right" w:pos="9185"/>
        </w:tabs>
        <w:spacing w:after="100"/>
        <w:ind w:left="1134" w:hanging="567"/>
        <w:rPr>
          <w:rFonts w:eastAsia="SimSun"/>
          <w:b/>
          <w:noProof/>
          <w:szCs w:val="24"/>
          <w:lang w:eastAsia="zh-CN"/>
        </w:rPr>
      </w:pPr>
      <w:r>
        <w:rPr>
          <w:noProof/>
        </w:rPr>
        <w:t>D.</w:t>
      </w:r>
      <w:r>
        <w:rPr>
          <w:noProof/>
        </w:rPr>
        <w:tab/>
        <w:t>Politique générale de lutte contre la discrimination raciale</w:t>
      </w:r>
      <w:r>
        <w:rPr>
          <w:noProof/>
        </w:rPr>
        <w:tab/>
      </w:r>
      <w:r>
        <w:rPr>
          <w:noProof/>
          <w:webHidden/>
        </w:rPr>
        <w:tab/>
        <w:t>53−85</w:t>
      </w:r>
      <w:r>
        <w:rPr>
          <w:noProof/>
          <w:webHidden/>
        </w:rPr>
        <w:tab/>
        <w:t>21</w:t>
      </w:r>
    </w:p>
    <w:p w:rsidR="00000000" w:rsidRDefault="00000000">
      <w:pPr>
        <w:tabs>
          <w:tab w:val="left" w:pos="567"/>
          <w:tab w:val="left" w:pos="1134"/>
          <w:tab w:val="left" w:pos="1701"/>
          <w:tab w:val="right" w:leader="dot" w:pos="7139"/>
          <w:tab w:val="center" w:pos="8051"/>
          <w:tab w:val="right" w:pos="9185"/>
        </w:tabs>
        <w:spacing w:after="100"/>
        <w:ind w:left="1701" w:hanging="567"/>
        <w:rPr>
          <w:rFonts w:eastAsia="SimSun"/>
          <w:noProof/>
          <w:szCs w:val="24"/>
          <w:lang w:eastAsia="zh-CN"/>
        </w:rPr>
      </w:pPr>
      <w:r>
        <w:rPr>
          <w:noProof/>
        </w:rPr>
        <w:t>1.</w:t>
      </w:r>
      <w:r>
        <w:rPr>
          <w:noProof/>
        </w:rPr>
        <w:tab/>
        <w:t>Remarques générales</w:t>
      </w:r>
      <w:r>
        <w:rPr>
          <w:noProof/>
          <w:webHidden/>
        </w:rPr>
        <w:tab/>
      </w:r>
      <w:r>
        <w:rPr>
          <w:noProof/>
          <w:webHidden/>
        </w:rPr>
        <w:tab/>
        <w:t>53−55</w:t>
      </w:r>
      <w:r>
        <w:rPr>
          <w:noProof/>
          <w:webHidden/>
        </w:rPr>
        <w:tab/>
        <w:t>21</w:t>
      </w:r>
    </w:p>
    <w:p w:rsidR="00000000" w:rsidRDefault="00000000">
      <w:pPr>
        <w:tabs>
          <w:tab w:val="left" w:pos="567"/>
          <w:tab w:val="left" w:pos="1134"/>
          <w:tab w:val="left" w:pos="1701"/>
          <w:tab w:val="right" w:leader="dot" w:pos="7139"/>
          <w:tab w:val="center" w:pos="8051"/>
          <w:tab w:val="right" w:pos="9185"/>
        </w:tabs>
        <w:spacing w:after="100"/>
        <w:ind w:left="1701" w:hanging="567"/>
        <w:rPr>
          <w:rFonts w:eastAsia="SimSun"/>
          <w:noProof/>
          <w:szCs w:val="24"/>
          <w:lang w:eastAsia="zh-CN"/>
        </w:rPr>
      </w:pPr>
      <w:r>
        <w:rPr>
          <w:noProof/>
        </w:rPr>
        <w:t>2.</w:t>
      </w:r>
      <w:r>
        <w:rPr>
          <w:noProof/>
        </w:rPr>
        <w:tab/>
        <w:t>Minorités nationales</w:t>
      </w:r>
      <w:r>
        <w:rPr>
          <w:noProof/>
          <w:webHidden/>
        </w:rPr>
        <w:tab/>
      </w:r>
      <w:r>
        <w:rPr>
          <w:noProof/>
          <w:webHidden/>
        </w:rPr>
        <w:tab/>
        <w:t>56−64</w:t>
      </w:r>
      <w:r>
        <w:rPr>
          <w:noProof/>
          <w:webHidden/>
        </w:rPr>
        <w:tab/>
        <w:t>22</w:t>
      </w:r>
    </w:p>
    <w:p w:rsidR="00000000" w:rsidRDefault="00000000">
      <w:pPr>
        <w:tabs>
          <w:tab w:val="left" w:pos="567"/>
          <w:tab w:val="left" w:pos="1134"/>
          <w:tab w:val="left" w:pos="1701"/>
          <w:tab w:val="right" w:leader="dot" w:pos="7139"/>
          <w:tab w:val="center" w:pos="8051"/>
          <w:tab w:val="right" w:pos="9185"/>
        </w:tabs>
        <w:spacing w:after="100"/>
        <w:ind w:left="2268" w:hanging="567"/>
        <w:rPr>
          <w:rFonts w:eastAsia="SimSun"/>
          <w:noProof/>
          <w:szCs w:val="24"/>
          <w:lang w:eastAsia="zh-CN"/>
        </w:rPr>
      </w:pPr>
      <w:r>
        <w:rPr>
          <w:i/>
          <w:iCs/>
          <w:noProof/>
        </w:rPr>
        <w:t>a)</w:t>
      </w:r>
      <w:r>
        <w:rPr>
          <w:noProof/>
        </w:rPr>
        <w:tab/>
      </w:r>
      <w:r>
        <w:rPr>
          <w:bCs/>
          <w:i/>
          <w:iCs/>
          <w:noProof/>
        </w:rPr>
        <w:t>Minorités linguistiques</w:t>
      </w:r>
      <w:r>
        <w:rPr>
          <w:noProof/>
          <w:webHidden/>
        </w:rPr>
        <w:tab/>
      </w:r>
      <w:r>
        <w:rPr>
          <w:noProof/>
          <w:webHidden/>
        </w:rPr>
        <w:tab/>
        <w:t>56</w:t>
      </w:r>
      <w:r>
        <w:rPr>
          <w:noProof/>
          <w:webHidden/>
        </w:rPr>
        <w:tab/>
        <w:t>22</w:t>
      </w:r>
    </w:p>
    <w:p w:rsidR="00000000" w:rsidRDefault="00000000">
      <w:pPr>
        <w:tabs>
          <w:tab w:val="left" w:pos="567"/>
          <w:tab w:val="left" w:pos="1134"/>
          <w:tab w:val="left" w:pos="1701"/>
          <w:tab w:val="right" w:leader="dot" w:pos="7139"/>
          <w:tab w:val="center" w:pos="8051"/>
          <w:tab w:val="right" w:pos="9185"/>
        </w:tabs>
        <w:spacing w:after="100"/>
        <w:ind w:left="2268" w:hanging="567"/>
        <w:rPr>
          <w:rFonts w:eastAsia="SimSun"/>
          <w:noProof/>
          <w:szCs w:val="24"/>
          <w:lang w:eastAsia="zh-CN"/>
        </w:rPr>
      </w:pPr>
      <w:r>
        <w:rPr>
          <w:bCs/>
          <w:i/>
          <w:iCs/>
          <w:noProof/>
        </w:rPr>
        <w:t>b)</w:t>
      </w:r>
      <w:r>
        <w:rPr>
          <w:bCs/>
          <w:i/>
          <w:iCs/>
          <w:noProof/>
        </w:rPr>
        <w:tab/>
        <w:t>Minorités religieuses</w:t>
      </w:r>
      <w:r>
        <w:rPr>
          <w:noProof/>
          <w:webHidden/>
        </w:rPr>
        <w:tab/>
      </w:r>
      <w:r>
        <w:rPr>
          <w:noProof/>
          <w:webHidden/>
        </w:rPr>
        <w:tab/>
        <w:t>57−63</w:t>
      </w:r>
      <w:r>
        <w:rPr>
          <w:noProof/>
          <w:webHidden/>
        </w:rPr>
        <w:tab/>
        <w:t>22</w:t>
      </w:r>
    </w:p>
    <w:p w:rsidR="00000000" w:rsidRDefault="00000000">
      <w:pPr>
        <w:tabs>
          <w:tab w:val="left" w:pos="567"/>
          <w:tab w:val="left" w:pos="1134"/>
          <w:tab w:val="left" w:pos="1701"/>
          <w:tab w:val="right" w:leader="dot" w:pos="7139"/>
          <w:tab w:val="center" w:pos="8051"/>
          <w:tab w:val="right" w:pos="9185"/>
        </w:tabs>
        <w:spacing w:after="100"/>
        <w:ind w:left="2268" w:hanging="567"/>
        <w:rPr>
          <w:rFonts w:eastAsia="SimSun"/>
          <w:noProof/>
          <w:szCs w:val="24"/>
          <w:lang w:eastAsia="zh-CN"/>
        </w:rPr>
      </w:pPr>
      <w:r>
        <w:rPr>
          <w:bCs/>
          <w:i/>
          <w:iCs/>
          <w:noProof/>
        </w:rPr>
        <w:t>c)</w:t>
      </w:r>
      <w:r>
        <w:rPr>
          <w:bCs/>
          <w:noProof/>
        </w:rPr>
        <w:tab/>
      </w:r>
      <w:r>
        <w:rPr>
          <w:bCs/>
          <w:i/>
          <w:iCs/>
          <w:noProof/>
        </w:rPr>
        <w:t>Gens du voyage</w:t>
      </w:r>
      <w:r>
        <w:rPr>
          <w:noProof/>
          <w:webHidden/>
        </w:rPr>
        <w:tab/>
      </w:r>
      <w:r>
        <w:rPr>
          <w:noProof/>
          <w:webHidden/>
        </w:rPr>
        <w:tab/>
        <w:t>64</w:t>
      </w:r>
      <w:r>
        <w:rPr>
          <w:noProof/>
          <w:webHidden/>
        </w:rPr>
        <w:tab/>
        <w:t>23</w:t>
      </w:r>
    </w:p>
    <w:p w:rsidR="00000000" w:rsidRDefault="00000000">
      <w:pPr>
        <w:tabs>
          <w:tab w:val="left" w:pos="567"/>
          <w:tab w:val="left" w:pos="1134"/>
          <w:tab w:val="left" w:pos="1701"/>
          <w:tab w:val="right" w:leader="dot" w:pos="7139"/>
          <w:tab w:val="center" w:pos="8051"/>
          <w:tab w:val="right" w:pos="9185"/>
        </w:tabs>
        <w:spacing w:after="100"/>
        <w:ind w:left="1701" w:hanging="567"/>
        <w:rPr>
          <w:rFonts w:eastAsia="SimSun"/>
          <w:noProof/>
          <w:szCs w:val="24"/>
          <w:lang w:eastAsia="zh-CN"/>
        </w:rPr>
      </w:pPr>
      <w:r>
        <w:rPr>
          <w:noProof/>
        </w:rPr>
        <w:t>3.</w:t>
      </w:r>
      <w:r>
        <w:rPr>
          <w:noProof/>
        </w:rPr>
        <w:tab/>
        <w:t>Population étrangère</w:t>
      </w:r>
      <w:r>
        <w:rPr>
          <w:noProof/>
          <w:webHidden/>
        </w:rPr>
        <w:tab/>
      </w:r>
      <w:r>
        <w:rPr>
          <w:noProof/>
          <w:webHidden/>
        </w:rPr>
        <w:tab/>
        <w:t>65−82</w:t>
      </w:r>
      <w:r>
        <w:rPr>
          <w:noProof/>
          <w:webHidden/>
        </w:rPr>
        <w:tab/>
        <w:t>24</w:t>
      </w:r>
    </w:p>
    <w:p w:rsidR="00000000" w:rsidRDefault="00000000">
      <w:pPr>
        <w:tabs>
          <w:tab w:val="left" w:pos="567"/>
          <w:tab w:val="left" w:pos="1134"/>
          <w:tab w:val="left" w:pos="1701"/>
          <w:tab w:val="right" w:leader="dot" w:pos="7139"/>
          <w:tab w:val="center" w:pos="8051"/>
          <w:tab w:val="right" w:pos="9185"/>
        </w:tabs>
        <w:spacing w:after="100"/>
        <w:ind w:left="2268" w:hanging="567"/>
        <w:rPr>
          <w:rFonts w:eastAsia="SimSun"/>
          <w:noProof/>
          <w:szCs w:val="24"/>
          <w:lang w:eastAsia="zh-CN"/>
        </w:rPr>
      </w:pPr>
      <w:r>
        <w:rPr>
          <w:bCs/>
          <w:i/>
          <w:iCs/>
          <w:noProof/>
        </w:rPr>
        <w:t>a)</w:t>
      </w:r>
      <w:r>
        <w:rPr>
          <w:bCs/>
          <w:noProof/>
        </w:rPr>
        <w:tab/>
      </w:r>
      <w:r>
        <w:rPr>
          <w:bCs/>
          <w:i/>
          <w:iCs/>
          <w:noProof/>
        </w:rPr>
        <w:t>Politique de migration</w:t>
      </w:r>
      <w:r>
        <w:rPr>
          <w:noProof/>
          <w:webHidden/>
        </w:rPr>
        <w:tab/>
      </w:r>
      <w:r>
        <w:rPr>
          <w:noProof/>
          <w:webHidden/>
        </w:rPr>
        <w:tab/>
        <w:t>65−70</w:t>
      </w:r>
      <w:r>
        <w:rPr>
          <w:noProof/>
          <w:webHidden/>
        </w:rPr>
        <w:tab/>
        <w:t>24</w:t>
      </w:r>
    </w:p>
    <w:p w:rsidR="00000000" w:rsidRDefault="00000000">
      <w:pPr>
        <w:tabs>
          <w:tab w:val="left" w:pos="567"/>
          <w:tab w:val="left" w:pos="1134"/>
          <w:tab w:val="left" w:pos="1701"/>
          <w:tab w:val="right" w:leader="dot" w:pos="7139"/>
          <w:tab w:val="center" w:pos="8051"/>
          <w:tab w:val="right" w:pos="9185"/>
        </w:tabs>
        <w:spacing w:after="100"/>
        <w:ind w:left="2268" w:hanging="567"/>
        <w:rPr>
          <w:rFonts w:eastAsia="SimSun"/>
          <w:noProof/>
          <w:szCs w:val="24"/>
          <w:lang w:eastAsia="zh-CN"/>
        </w:rPr>
      </w:pPr>
      <w:r>
        <w:rPr>
          <w:bCs/>
          <w:i/>
          <w:iCs/>
          <w:noProof/>
        </w:rPr>
        <w:t>b)</w:t>
      </w:r>
      <w:r>
        <w:rPr>
          <w:bCs/>
          <w:i/>
          <w:iCs/>
          <w:noProof/>
        </w:rPr>
        <w:tab/>
        <w:t>Politique d’asile</w:t>
      </w:r>
      <w:r>
        <w:rPr>
          <w:noProof/>
          <w:webHidden/>
        </w:rPr>
        <w:tab/>
      </w:r>
      <w:r>
        <w:rPr>
          <w:noProof/>
          <w:webHidden/>
        </w:rPr>
        <w:tab/>
        <w:t>71</w:t>
      </w:r>
      <w:r>
        <w:rPr>
          <w:noProof/>
          <w:webHidden/>
        </w:rPr>
        <w:tab/>
        <w:t>24</w:t>
      </w:r>
    </w:p>
    <w:p w:rsidR="00000000" w:rsidRDefault="00000000">
      <w:pPr>
        <w:tabs>
          <w:tab w:val="left" w:pos="567"/>
          <w:tab w:val="left" w:pos="1134"/>
          <w:tab w:val="left" w:pos="1701"/>
          <w:tab w:val="right" w:leader="dot" w:pos="7139"/>
          <w:tab w:val="center" w:pos="8051"/>
          <w:tab w:val="right" w:pos="9185"/>
        </w:tabs>
        <w:spacing w:after="100"/>
        <w:ind w:left="2268" w:hanging="567"/>
        <w:rPr>
          <w:rFonts w:eastAsia="SimSun"/>
          <w:noProof/>
          <w:szCs w:val="24"/>
          <w:lang w:eastAsia="zh-CN"/>
        </w:rPr>
      </w:pPr>
      <w:r>
        <w:rPr>
          <w:i/>
          <w:iCs/>
          <w:noProof/>
        </w:rPr>
        <w:t>c)</w:t>
      </w:r>
      <w:r>
        <w:rPr>
          <w:i/>
          <w:iCs/>
          <w:noProof/>
        </w:rPr>
        <w:tab/>
      </w:r>
      <w:r>
        <w:rPr>
          <w:bCs/>
          <w:i/>
          <w:iCs/>
          <w:noProof/>
        </w:rPr>
        <w:t>Politique d’intégration</w:t>
      </w:r>
      <w:r>
        <w:rPr>
          <w:noProof/>
          <w:webHidden/>
        </w:rPr>
        <w:tab/>
      </w:r>
      <w:r>
        <w:rPr>
          <w:noProof/>
          <w:webHidden/>
        </w:rPr>
        <w:tab/>
        <w:t>72−78</w:t>
      </w:r>
      <w:r>
        <w:rPr>
          <w:noProof/>
          <w:webHidden/>
        </w:rPr>
        <w:tab/>
        <w:t>25</w:t>
      </w:r>
    </w:p>
    <w:p w:rsidR="00000000" w:rsidRDefault="00000000">
      <w:pPr>
        <w:tabs>
          <w:tab w:val="left" w:pos="567"/>
          <w:tab w:val="left" w:pos="1134"/>
          <w:tab w:val="left" w:pos="1701"/>
          <w:tab w:val="right" w:leader="dot" w:pos="7139"/>
          <w:tab w:val="center" w:pos="8051"/>
          <w:tab w:val="right" w:pos="9185"/>
        </w:tabs>
        <w:spacing w:after="100"/>
        <w:ind w:left="2268" w:hanging="567"/>
        <w:rPr>
          <w:rFonts w:eastAsia="SimSun"/>
          <w:noProof/>
          <w:szCs w:val="24"/>
          <w:lang w:eastAsia="zh-CN"/>
        </w:rPr>
      </w:pPr>
      <w:r>
        <w:rPr>
          <w:bCs/>
          <w:i/>
          <w:iCs/>
          <w:noProof/>
        </w:rPr>
        <w:t>d)</w:t>
      </w:r>
      <w:r>
        <w:rPr>
          <w:bCs/>
          <w:i/>
          <w:iCs/>
          <w:noProof/>
        </w:rPr>
        <w:tab/>
        <w:t>Sans</w:t>
      </w:r>
      <w:r>
        <w:rPr>
          <w:bCs/>
          <w:i/>
          <w:iCs/>
          <w:noProof/>
        </w:rPr>
        <w:noBreakHyphen/>
        <w:t>papiers</w:t>
      </w:r>
      <w:r>
        <w:rPr>
          <w:noProof/>
          <w:webHidden/>
        </w:rPr>
        <w:tab/>
      </w:r>
      <w:r>
        <w:rPr>
          <w:noProof/>
          <w:webHidden/>
        </w:rPr>
        <w:tab/>
        <w:t>79−82</w:t>
      </w:r>
      <w:r>
        <w:rPr>
          <w:noProof/>
          <w:webHidden/>
        </w:rPr>
        <w:tab/>
        <w:t>27</w:t>
      </w:r>
    </w:p>
    <w:p w:rsidR="00000000" w:rsidRDefault="00000000">
      <w:pPr>
        <w:tabs>
          <w:tab w:val="left" w:pos="567"/>
          <w:tab w:val="left" w:pos="1134"/>
          <w:tab w:val="left" w:pos="1701"/>
          <w:tab w:val="right" w:leader="dot" w:pos="7139"/>
          <w:tab w:val="center" w:pos="8051"/>
          <w:tab w:val="right" w:pos="9185"/>
        </w:tabs>
        <w:spacing w:after="100"/>
        <w:ind w:left="1701" w:hanging="567"/>
        <w:rPr>
          <w:rFonts w:eastAsia="SimSun"/>
          <w:noProof/>
          <w:szCs w:val="24"/>
          <w:lang w:eastAsia="zh-CN"/>
        </w:rPr>
      </w:pPr>
      <w:r>
        <w:rPr>
          <w:noProof/>
        </w:rPr>
        <w:t>4.</w:t>
      </w:r>
      <w:r>
        <w:rPr>
          <w:noProof/>
        </w:rPr>
        <w:tab/>
        <w:t>Activités contre le racisme</w:t>
      </w:r>
      <w:r>
        <w:rPr>
          <w:noProof/>
          <w:webHidden/>
        </w:rPr>
        <w:tab/>
      </w:r>
      <w:r>
        <w:rPr>
          <w:noProof/>
          <w:webHidden/>
        </w:rPr>
        <w:tab/>
        <w:t>83−85</w:t>
      </w:r>
      <w:r>
        <w:rPr>
          <w:noProof/>
          <w:webHidden/>
        </w:rPr>
        <w:tab/>
        <w:t>29</w:t>
      </w:r>
    </w:p>
    <w:p w:rsidR="00000000" w:rsidRDefault="00000000">
      <w:pPr>
        <w:tabs>
          <w:tab w:val="left" w:pos="567"/>
          <w:tab w:val="left" w:pos="1134"/>
          <w:tab w:val="left" w:pos="1701"/>
          <w:tab w:val="right" w:leader="dot" w:pos="7139"/>
          <w:tab w:val="center" w:pos="8051"/>
          <w:tab w:val="right" w:pos="9185"/>
        </w:tabs>
        <w:spacing w:after="100"/>
        <w:ind w:left="2268" w:hanging="567"/>
        <w:rPr>
          <w:rFonts w:eastAsia="SimSun"/>
          <w:noProof/>
          <w:szCs w:val="24"/>
          <w:lang w:eastAsia="zh-CN"/>
        </w:rPr>
      </w:pPr>
      <w:r>
        <w:rPr>
          <w:bCs/>
          <w:i/>
          <w:iCs/>
          <w:noProof/>
        </w:rPr>
        <w:t>a)</w:t>
      </w:r>
      <w:r>
        <w:rPr>
          <w:bCs/>
          <w:i/>
          <w:iCs/>
          <w:noProof/>
        </w:rPr>
        <w:tab/>
        <w:t>Sur le plan national</w:t>
      </w:r>
      <w:r>
        <w:rPr>
          <w:noProof/>
          <w:webHidden/>
        </w:rPr>
        <w:tab/>
      </w:r>
      <w:r>
        <w:rPr>
          <w:noProof/>
          <w:webHidden/>
        </w:rPr>
        <w:tab/>
        <w:t>83−84</w:t>
      </w:r>
      <w:r>
        <w:rPr>
          <w:noProof/>
          <w:webHidden/>
        </w:rPr>
        <w:tab/>
        <w:t>29</w:t>
      </w:r>
    </w:p>
    <w:p w:rsidR="00000000" w:rsidRDefault="00000000">
      <w:pPr>
        <w:tabs>
          <w:tab w:val="left" w:pos="567"/>
          <w:tab w:val="left" w:pos="1134"/>
          <w:tab w:val="left" w:pos="1701"/>
          <w:tab w:val="right" w:leader="dot" w:pos="7139"/>
          <w:tab w:val="center" w:pos="8051"/>
          <w:tab w:val="right" w:pos="9185"/>
        </w:tabs>
        <w:spacing w:after="100"/>
        <w:ind w:left="2268" w:hanging="567"/>
        <w:rPr>
          <w:rFonts w:eastAsia="SimSun"/>
          <w:noProof/>
          <w:szCs w:val="24"/>
          <w:lang w:eastAsia="zh-CN"/>
        </w:rPr>
      </w:pPr>
      <w:r>
        <w:rPr>
          <w:bCs/>
          <w:i/>
          <w:iCs/>
          <w:noProof/>
        </w:rPr>
        <w:t>b)</w:t>
      </w:r>
      <w:r>
        <w:rPr>
          <w:bCs/>
          <w:i/>
          <w:iCs/>
          <w:noProof/>
        </w:rPr>
        <w:tab/>
        <w:t>Sur le plan international</w:t>
      </w:r>
      <w:r>
        <w:rPr>
          <w:noProof/>
          <w:webHidden/>
        </w:rPr>
        <w:tab/>
      </w:r>
      <w:r>
        <w:rPr>
          <w:noProof/>
          <w:webHidden/>
        </w:rPr>
        <w:tab/>
        <w:t>85−</w:t>
      </w:r>
      <w:r>
        <w:rPr>
          <w:noProof/>
          <w:webHidden/>
        </w:rPr>
        <w:tab/>
        <w:t>29</w:t>
      </w:r>
    </w:p>
    <w:p w:rsidR="00000000" w:rsidRDefault="00000000">
      <w:pPr>
        <w:tabs>
          <w:tab w:val="left" w:pos="567"/>
          <w:tab w:val="left" w:pos="1134"/>
          <w:tab w:val="left" w:pos="1701"/>
          <w:tab w:val="right" w:leader="dot" w:pos="7139"/>
          <w:tab w:val="center" w:pos="8051"/>
          <w:tab w:val="right" w:pos="9185"/>
        </w:tabs>
        <w:spacing w:after="100"/>
        <w:ind w:left="567" w:hanging="567"/>
        <w:rPr>
          <w:rFonts w:eastAsia="SimSun"/>
          <w:b/>
          <w:noProof/>
          <w:szCs w:val="24"/>
          <w:lang w:eastAsia="zh-CN"/>
        </w:rPr>
      </w:pPr>
      <w:r>
        <w:rPr>
          <w:noProof/>
        </w:rPr>
        <w:t>II.</w:t>
      </w:r>
      <w:r>
        <w:rPr>
          <w:noProof/>
        </w:rPr>
        <w:tab/>
        <w:t xml:space="preserve">EXAMEN DE L’APPLICATION DES ARTICLES 2 À 7 </w:t>
      </w:r>
      <w:r>
        <w:rPr>
          <w:noProof/>
        </w:rPr>
        <w:br/>
        <w:t>DE LA CONVENTION</w:t>
      </w:r>
      <w:r>
        <w:rPr>
          <w:noProof/>
          <w:webHidden/>
        </w:rPr>
        <w:tab/>
      </w:r>
      <w:r>
        <w:rPr>
          <w:noProof/>
          <w:webHidden/>
        </w:rPr>
        <w:tab/>
        <w:t>86−233</w:t>
      </w:r>
      <w:r>
        <w:rPr>
          <w:noProof/>
          <w:webHidden/>
        </w:rPr>
        <w:tab/>
        <w:t>31</w:t>
      </w:r>
    </w:p>
    <w:p w:rsidR="00000000" w:rsidRDefault="00000000">
      <w:pPr>
        <w:tabs>
          <w:tab w:val="left" w:pos="567"/>
          <w:tab w:val="left" w:pos="1134"/>
          <w:tab w:val="left" w:pos="1701"/>
          <w:tab w:val="right" w:leader="dot" w:pos="7139"/>
          <w:tab w:val="center" w:pos="8051"/>
          <w:tab w:val="right" w:pos="9185"/>
        </w:tabs>
        <w:spacing w:after="100"/>
        <w:ind w:left="1134" w:hanging="567"/>
        <w:rPr>
          <w:rFonts w:eastAsia="SimSun"/>
          <w:b/>
          <w:noProof/>
          <w:szCs w:val="24"/>
          <w:lang w:eastAsia="zh-CN"/>
        </w:rPr>
      </w:pPr>
      <w:r>
        <w:rPr>
          <w:noProof/>
        </w:rPr>
        <w:t>A.</w:t>
      </w:r>
      <w:r>
        <w:rPr>
          <w:noProof/>
        </w:rPr>
        <w:tab/>
        <w:t>Condamnation de la discrimination raciale (art. 2)</w:t>
      </w:r>
      <w:r>
        <w:rPr>
          <w:noProof/>
          <w:webHidden/>
        </w:rPr>
        <w:tab/>
      </w:r>
      <w:r>
        <w:rPr>
          <w:noProof/>
          <w:webHidden/>
        </w:rPr>
        <w:tab/>
        <w:t>86−90</w:t>
      </w:r>
      <w:r>
        <w:rPr>
          <w:noProof/>
          <w:webHidden/>
        </w:rPr>
        <w:tab/>
        <w:t>31</w:t>
      </w:r>
    </w:p>
    <w:p w:rsidR="00000000" w:rsidRDefault="00000000">
      <w:pPr>
        <w:tabs>
          <w:tab w:val="left" w:pos="567"/>
          <w:tab w:val="left" w:pos="1134"/>
          <w:tab w:val="left" w:pos="1701"/>
          <w:tab w:val="right" w:leader="dot" w:pos="7139"/>
          <w:tab w:val="center" w:pos="8051"/>
          <w:tab w:val="right" w:pos="9185"/>
        </w:tabs>
        <w:spacing w:after="100"/>
        <w:ind w:left="1701" w:hanging="567"/>
        <w:rPr>
          <w:rFonts w:eastAsia="SimSun"/>
          <w:noProof/>
          <w:szCs w:val="24"/>
          <w:lang w:eastAsia="zh-CN"/>
        </w:rPr>
      </w:pPr>
      <w:r>
        <w:rPr>
          <w:noProof/>
        </w:rPr>
        <w:t>1.</w:t>
      </w:r>
      <w:r>
        <w:rPr>
          <w:noProof/>
        </w:rPr>
        <w:tab/>
        <w:t xml:space="preserve">Respect du principe de l’égalité de traitement par l’État </w:t>
      </w:r>
      <w:r>
        <w:rPr>
          <w:noProof/>
        </w:rPr>
        <w:br/>
        <w:t xml:space="preserve">(art. 2, par. 1, al. </w:t>
      </w:r>
      <w:r>
        <w:rPr>
          <w:i/>
          <w:iCs/>
          <w:noProof/>
        </w:rPr>
        <w:t>a</w:t>
      </w:r>
      <w:r>
        <w:rPr>
          <w:noProof/>
        </w:rPr>
        <w:t xml:space="preserve"> et </w:t>
      </w:r>
      <w:r>
        <w:rPr>
          <w:i/>
          <w:iCs/>
          <w:noProof/>
        </w:rPr>
        <w:t>b</w:t>
      </w:r>
      <w:r>
        <w:rPr>
          <w:noProof/>
        </w:rPr>
        <w:t>)</w:t>
      </w:r>
      <w:r>
        <w:rPr>
          <w:noProof/>
        </w:rPr>
        <w:tab/>
      </w:r>
      <w:r>
        <w:rPr>
          <w:noProof/>
        </w:rPr>
        <w:tab/>
        <w:t>86−88</w:t>
      </w:r>
      <w:r>
        <w:rPr>
          <w:noProof/>
          <w:webHidden/>
        </w:rPr>
        <w:tab/>
        <w:t>31</w:t>
      </w:r>
    </w:p>
    <w:p w:rsidR="00000000" w:rsidRDefault="00000000">
      <w:pPr>
        <w:tabs>
          <w:tab w:val="left" w:pos="567"/>
          <w:tab w:val="left" w:pos="1134"/>
          <w:tab w:val="left" w:pos="1701"/>
          <w:tab w:val="right" w:leader="dot" w:pos="7139"/>
          <w:tab w:val="center" w:pos="8051"/>
          <w:tab w:val="right" w:pos="9185"/>
        </w:tabs>
        <w:spacing w:after="100"/>
        <w:ind w:left="1701" w:hanging="567"/>
        <w:rPr>
          <w:rFonts w:eastAsia="SimSun"/>
          <w:noProof/>
          <w:szCs w:val="24"/>
          <w:lang w:eastAsia="zh-CN"/>
        </w:rPr>
      </w:pPr>
      <w:r>
        <w:rPr>
          <w:noProof/>
        </w:rPr>
        <w:t>2.</w:t>
      </w:r>
      <w:r>
        <w:rPr>
          <w:noProof/>
        </w:rPr>
        <w:tab/>
        <w:t xml:space="preserve">Le problème de la discrimination entre étrangers et la </w:t>
      </w:r>
      <w:r>
        <w:rPr>
          <w:noProof/>
        </w:rPr>
        <w:br/>
        <w:t xml:space="preserve">réserve formulée  par la Suisse en faveur de sa politique </w:t>
      </w:r>
      <w:r>
        <w:rPr>
          <w:noProof/>
        </w:rPr>
        <w:br/>
        <w:t xml:space="preserve">d’immigration (art. 2, par. 1, al. </w:t>
      </w:r>
      <w:r>
        <w:rPr>
          <w:i/>
          <w:iCs/>
          <w:noProof/>
        </w:rPr>
        <w:t>a</w:t>
      </w:r>
      <w:r>
        <w:rPr>
          <w:noProof/>
        </w:rPr>
        <w:t>)</w:t>
      </w:r>
      <w:r>
        <w:rPr>
          <w:noProof/>
          <w:webHidden/>
        </w:rPr>
        <w:tab/>
      </w:r>
      <w:r>
        <w:rPr>
          <w:noProof/>
          <w:webHidden/>
        </w:rPr>
        <w:tab/>
        <w:t>89</w:t>
      </w:r>
      <w:r>
        <w:rPr>
          <w:noProof/>
          <w:webHidden/>
        </w:rPr>
        <w:tab/>
        <w:t>31</w:t>
      </w:r>
    </w:p>
    <w:p w:rsidR="00000000" w:rsidRDefault="00000000">
      <w:pPr>
        <w:tabs>
          <w:tab w:val="left" w:pos="567"/>
          <w:tab w:val="left" w:pos="1134"/>
          <w:tab w:val="left" w:pos="1701"/>
          <w:tab w:val="right" w:leader="dot" w:pos="7139"/>
          <w:tab w:val="center" w:pos="8051"/>
          <w:tab w:val="right" w:pos="9185"/>
        </w:tabs>
        <w:spacing w:after="100"/>
        <w:ind w:left="1701" w:hanging="567"/>
        <w:rPr>
          <w:rFonts w:eastAsia="SimSun"/>
          <w:noProof/>
          <w:szCs w:val="24"/>
          <w:lang w:eastAsia="zh-CN"/>
        </w:rPr>
      </w:pPr>
      <w:r>
        <w:rPr>
          <w:noProof/>
        </w:rPr>
        <w:t>3.</w:t>
      </w:r>
      <w:r>
        <w:rPr>
          <w:noProof/>
        </w:rPr>
        <w:tab/>
        <w:t xml:space="preserve">L’interdiction de la discrimination et son application </w:t>
      </w:r>
      <w:r>
        <w:rPr>
          <w:noProof/>
        </w:rPr>
        <w:br/>
        <w:t xml:space="preserve">aux rapports entre individus (art. 2, par. 1, al. </w:t>
      </w:r>
      <w:r>
        <w:rPr>
          <w:i/>
          <w:iCs/>
          <w:noProof/>
        </w:rPr>
        <w:t>c</w:t>
      </w:r>
      <w:r>
        <w:rPr>
          <w:noProof/>
        </w:rPr>
        <w:t xml:space="preserve"> et </w:t>
      </w:r>
      <w:r>
        <w:rPr>
          <w:i/>
          <w:iCs/>
          <w:noProof/>
        </w:rPr>
        <w:t>d</w:t>
      </w:r>
      <w:r>
        <w:rPr>
          <w:noProof/>
        </w:rPr>
        <w:t>)</w:t>
      </w:r>
      <w:r>
        <w:rPr>
          <w:noProof/>
          <w:webHidden/>
        </w:rPr>
        <w:tab/>
      </w:r>
      <w:r>
        <w:rPr>
          <w:noProof/>
          <w:webHidden/>
        </w:rPr>
        <w:tab/>
        <w:t>90</w:t>
      </w:r>
      <w:r>
        <w:rPr>
          <w:noProof/>
          <w:webHidden/>
        </w:rPr>
        <w:tab/>
        <w:t>32</w:t>
      </w:r>
    </w:p>
    <w:p w:rsidR="00000000" w:rsidRDefault="00000000">
      <w:pPr>
        <w:tabs>
          <w:tab w:val="left" w:pos="567"/>
          <w:tab w:val="left" w:pos="1134"/>
          <w:tab w:val="left" w:pos="1701"/>
          <w:tab w:val="right" w:leader="dot" w:pos="7139"/>
          <w:tab w:val="center" w:pos="8051"/>
          <w:tab w:val="right" w:pos="9185"/>
        </w:tabs>
        <w:spacing w:after="100"/>
        <w:ind w:left="1134" w:hanging="567"/>
        <w:rPr>
          <w:rFonts w:eastAsia="SimSun"/>
          <w:b/>
          <w:noProof/>
          <w:szCs w:val="24"/>
          <w:lang w:eastAsia="zh-CN"/>
        </w:rPr>
      </w:pPr>
      <w:r>
        <w:rPr>
          <w:noProof/>
        </w:rPr>
        <w:t>B.</w:t>
      </w:r>
      <w:r>
        <w:rPr>
          <w:noProof/>
        </w:rPr>
        <w:tab/>
        <w:t>Condamnation de l’apartheid (art. 3)</w:t>
      </w:r>
      <w:r>
        <w:rPr>
          <w:noProof/>
          <w:webHidden/>
        </w:rPr>
        <w:tab/>
      </w:r>
      <w:r>
        <w:rPr>
          <w:noProof/>
          <w:webHidden/>
        </w:rPr>
        <w:tab/>
        <w:t>91−97</w:t>
      </w:r>
      <w:r>
        <w:rPr>
          <w:noProof/>
          <w:webHidden/>
        </w:rPr>
        <w:tab/>
        <w:t>32</w:t>
      </w:r>
    </w:p>
    <w:p w:rsidR="00000000" w:rsidRDefault="00000000">
      <w:pPr>
        <w:tabs>
          <w:tab w:val="left" w:pos="567"/>
          <w:tab w:val="left" w:pos="1134"/>
          <w:tab w:val="left" w:pos="1701"/>
          <w:tab w:val="right" w:leader="dot" w:pos="7139"/>
          <w:tab w:val="center" w:pos="8051"/>
          <w:tab w:val="right" w:pos="9185"/>
        </w:tabs>
        <w:spacing w:after="100"/>
        <w:ind w:left="1701" w:hanging="567"/>
        <w:rPr>
          <w:rFonts w:eastAsia="SimSun"/>
          <w:noProof/>
          <w:szCs w:val="24"/>
          <w:lang w:eastAsia="zh-CN"/>
        </w:rPr>
      </w:pPr>
      <w:r>
        <w:rPr>
          <w:noProof/>
        </w:rPr>
        <w:t>1.</w:t>
      </w:r>
      <w:r>
        <w:rPr>
          <w:noProof/>
        </w:rPr>
        <w:tab/>
        <w:t>En Suisse</w:t>
      </w:r>
      <w:r>
        <w:rPr>
          <w:noProof/>
          <w:webHidden/>
        </w:rPr>
        <w:tab/>
      </w:r>
      <w:r>
        <w:rPr>
          <w:noProof/>
          <w:webHidden/>
        </w:rPr>
        <w:tab/>
        <w:t>91−92</w:t>
      </w:r>
      <w:r>
        <w:rPr>
          <w:noProof/>
          <w:webHidden/>
        </w:rPr>
        <w:tab/>
        <w:t>32</w:t>
      </w:r>
    </w:p>
    <w:p w:rsidR="00000000" w:rsidRDefault="00000000">
      <w:pPr>
        <w:tabs>
          <w:tab w:val="left" w:pos="567"/>
          <w:tab w:val="left" w:pos="1134"/>
          <w:tab w:val="left" w:pos="1701"/>
          <w:tab w:val="right" w:leader="dot" w:pos="7139"/>
          <w:tab w:val="center" w:pos="8051"/>
          <w:tab w:val="right" w:pos="9185"/>
        </w:tabs>
        <w:spacing w:after="100"/>
        <w:ind w:left="1701" w:hanging="567"/>
        <w:rPr>
          <w:rFonts w:eastAsia="SimSun"/>
          <w:noProof/>
          <w:szCs w:val="24"/>
          <w:lang w:eastAsia="zh-CN"/>
        </w:rPr>
      </w:pPr>
      <w:r>
        <w:rPr>
          <w:noProof/>
        </w:rPr>
        <w:t>2.</w:t>
      </w:r>
      <w:r>
        <w:rPr>
          <w:noProof/>
        </w:rPr>
        <w:tab/>
        <w:t>Sur place</w:t>
      </w:r>
      <w:r>
        <w:rPr>
          <w:noProof/>
          <w:webHidden/>
        </w:rPr>
        <w:tab/>
      </w:r>
      <w:r>
        <w:rPr>
          <w:noProof/>
          <w:webHidden/>
        </w:rPr>
        <w:tab/>
        <w:t>93−97</w:t>
      </w:r>
      <w:r>
        <w:rPr>
          <w:noProof/>
          <w:webHidden/>
        </w:rPr>
        <w:tab/>
        <w:t>32</w:t>
      </w:r>
    </w:p>
    <w:p w:rsidR="00000000" w:rsidRDefault="00000000">
      <w:pPr>
        <w:tabs>
          <w:tab w:val="left" w:pos="567"/>
          <w:tab w:val="left" w:pos="1134"/>
          <w:tab w:val="left" w:pos="1701"/>
          <w:tab w:val="right" w:leader="dot" w:pos="7139"/>
          <w:tab w:val="center" w:pos="8051"/>
          <w:tab w:val="right" w:pos="9185"/>
        </w:tabs>
        <w:spacing w:after="100"/>
        <w:ind w:left="1134" w:hanging="567"/>
        <w:rPr>
          <w:rFonts w:eastAsia="SimSun"/>
          <w:b/>
          <w:noProof/>
          <w:szCs w:val="24"/>
          <w:lang w:eastAsia="zh-CN"/>
        </w:rPr>
      </w:pPr>
      <w:r>
        <w:rPr>
          <w:noProof/>
        </w:rPr>
        <w:t>C.</w:t>
      </w:r>
      <w:r>
        <w:rPr>
          <w:noProof/>
        </w:rPr>
        <w:tab/>
        <w:t xml:space="preserve">Mesures visant à punir certains actes de discrimination </w:t>
      </w:r>
      <w:r>
        <w:rPr>
          <w:noProof/>
        </w:rPr>
        <w:br/>
        <w:t>raciale (art. 4)</w:t>
      </w:r>
      <w:r>
        <w:rPr>
          <w:noProof/>
          <w:webHidden/>
        </w:rPr>
        <w:tab/>
      </w:r>
      <w:r>
        <w:rPr>
          <w:noProof/>
          <w:webHidden/>
        </w:rPr>
        <w:tab/>
        <w:t>98−110</w:t>
      </w:r>
      <w:r>
        <w:rPr>
          <w:noProof/>
          <w:webHidden/>
        </w:rPr>
        <w:tab/>
        <w:t>33</w:t>
      </w:r>
    </w:p>
    <w:p w:rsidR="00000000" w:rsidRDefault="00000000">
      <w:pPr>
        <w:tabs>
          <w:tab w:val="left" w:pos="567"/>
          <w:tab w:val="left" w:pos="1134"/>
          <w:tab w:val="left" w:pos="1701"/>
          <w:tab w:val="right" w:leader="dot" w:pos="7139"/>
          <w:tab w:val="center" w:pos="8051"/>
          <w:tab w:val="right" w:pos="9185"/>
        </w:tabs>
        <w:spacing w:after="100"/>
        <w:ind w:left="1701" w:hanging="567"/>
        <w:rPr>
          <w:rFonts w:eastAsia="SimSun"/>
          <w:noProof/>
          <w:szCs w:val="24"/>
          <w:lang w:eastAsia="zh-CN"/>
        </w:rPr>
      </w:pPr>
      <w:r>
        <w:rPr>
          <w:noProof/>
        </w:rPr>
        <w:t>1.</w:t>
      </w:r>
      <w:r>
        <w:rPr>
          <w:noProof/>
        </w:rPr>
        <w:tab/>
        <w:t xml:space="preserve">Jurisprudence du Tribunal fédéral relative aux articles </w:t>
      </w:r>
      <w:r>
        <w:rPr>
          <w:noProof/>
        </w:rPr>
        <w:br/>
        <w:t xml:space="preserve">261 </w:t>
      </w:r>
      <w:r>
        <w:rPr>
          <w:i/>
          <w:iCs/>
          <w:noProof/>
        </w:rPr>
        <w:t>bis</w:t>
      </w:r>
      <w:r>
        <w:rPr>
          <w:noProof/>
        </w:rPr>
        <w:t xml:space="preserve"> du Code pénal et 171</w:t>
      </w:r>
      <w:r>
        <w:rPr>
          <w:i/>
          <w:iCs/>
          <w:noProof/>
        </w:rPr>
        <w:t>c</w:t>
      </w:r>
      <w:r>
        <w:rPr>
          <w:noProof/>
        </w:rPr>
        <w:t xml:space="preserve"> du Code pénal militaire</w:t>
      </w:r>
      <w:r>
        <w:rPr>
          <w:noProof/>
          <w:webHidden/>
        </w:rPr>
        <w:tab/>
      </w:r>
      <w:r>
        <w:rPr>
          <w:noProof/>
          <w:webHidden/>
        </w:rPr>
        <w:tab/>
        <w:t>106−107</w:t>
      </w:r>
      <w:r>
        <w:rPr>
          <w:noProof/>
          <w:webHidden/>
        </w:rPr>
        <w:tab/>
        <w:t>35</w:t>
      </w:r>
    </w:p>
    <w:p w:rsidR="00000000" w:rsidRDefault="00000000">
      <w:pPr>
        <w:tabs>
          <w:tab w:val="left" w:pos="567"/>
          <w:tab w:val="left" w:pos="1134"/>
          <w:tab w:val="left" w:pos="1701"/>
          <w:tab w:val="right" w:leader="dot" w:pos="7139"/>
          <w:tab w:val="center" w:pos="8051"/>
          <w:tab w:val="right" w:pos="9185"/>
        </w:tabs>
        <w:spacing w:after="100"/>
        <w:ind w:left="1701" w:hanging="567"/>
        <w:rPr>
          <w:noProof/>
          <w:webHidden/>
        </w:rPr>
      </w:pPr>
      <w:r>
        <w:rPr>
          <w:noProof/>
        </w:rPr>
        <w:t>2.</w:t>
      </w:r>
      <w:r>
        <w:rPr>
          <w:noProof/>
        </w:rPr>
        <w:tab/>
        <w:t>Modifications de lois visant à lutter contre le racisme</w:t>
      </w:r>
      <w:r>
        <w:rPr>
          <w:noProof/>
          <w:webHidden/>
        </w:rPr>
        <w:tab/>
      </w:r>
      <w:r>
        <w:rPr>
          <w:noProof/>
          <w:webHidden/>
        </w:rPr>
        <w:tab/>
        <w:t>108−110</w:t>
      </w:r>
      <w:r>
        <w:rPr>
          <w:noProof/>
          <w:webHidden/>
        </w:rPr>
        <w:tab/>
        <w:t>36</w:t>
      </w:r>
    </w:p>
    <w:p w:rsidR="00000000" w:rsidRDefault="00000000">
      <w:pPr>
        <w:spacing w:after="240"/>
        <w:jc w:val="center"/>
        <w:rPr>
          <w:b/>
          <w:bCs/>
          <w:szCs w:val="24"/>
        </w:rPr>
      </w:pPr>
      <w:r>
        <w:rPr>
          <w:noProof/>
          <w:webHidden/>
        </w:rPr>
        <w:br w:type="page"/>
      </w:r>
      <w:r>
        <w:rPr>
          <w:b/>
          <w:bCs/>
          <w:szCs w:val="24"/>
        </w:rPr>
        <w:t>TABLE DES MATIÈRES (</w:t>
      </w:r>
      <w:r>
        <w:rPr>
          <w:b/>
          <w:bCs/>
          <w:i/>
          <w:iCs/>
          <w:szCs w:val="24"/>
        </w:rPr>
        <w:t>suite</w:t>
      </w:r>
      <w:r>
        <w:rPr>
          <w:b/>
          <w:bCs/>
          <w:szCs w:val="24"/>
        </w:rPr>
        <w:t>)</w:t>
      </w:r>
    </w:p>
    <w:p w:rsidR="00000000" w:rsidRDefault="00000000">
      <w:pPr>
        <w:tabs>
          <w:tab w:val="center" w:pos="8051"/>
          <w:tab w:val="right" w:pos="9360"/>
        </w:tabs>
        <w:spacing w:after="240"/>
        <w:rPr>
          <w:noProof/>
          <w:webHidden/>
        </w:rPr>
      </w:pPr>
      <w:r>
        <w:rPr>
          <w:i/>
          <w:iCs/>
          <w:lang w:eastAsia="de-CH"/>
        </w:rPr>
        <w:t>Chapitre</w:t>
      </w:r>
      <w:r>
        <w:rPr>
          <w:i/>
          <w:iCs/>
          <w:lang w:eastAsia="de-CH"/>
        </w:rPr>
        <w:tab/>
        <w:t>Paragraphes</w:t>
      </w:r>
      <w:r>
        <w:rPr>
          <w:i/>
          <w:iCs/>
          <w:lang w:eastAsia="de-CH"/>
        </w:rPr>
        <w:tab/>
        <w:t>Page</w:t>
      </w:r>
    </w:p>
    <w:p w:rsidR="00000000" w:rsidRDefault="00000000">
      <w:pPr>
        <w:tabs>
          <w:tab w:val="left" w:pos="567"/>
          <w:tab w:val="left" w:pos="1134"/>
          <w:tab w:val="left" w:pos="1701"/>
          <w:tab w:val="right" w:leader="dot" w:pos="7097"/>
          <w:tab w:val="center" w:pos="8051"/>
          <w:tab w:val="right" w:pos="9185"/>
        </w:tabs>
        <w:spacing w:after="80"/>
        <w:ind w:left="1701" w:hanging="567"/>
        <w:rPr>
          <w:rFonts w:eastAsia="SimSun"/>
          <w:b/>
          <w:noProof/>
          <w:szCs w:val="24"/>
          <w:lang w:eastAsia="zh-CN"/>
        </w:rPr>
      </w:pPr>
      <w:r>
        <w:rPr>
          <w:noProof/>
        </w:rPr>
        <w:t>D.</w:t>
      </w:r>
      <w:r>
        <w:rPr>
          <w:noProof/>
        </w:rPr>
        <w:tab/>
        <w:t xml:space="preserve">Élimination de la discrimination raciale, notamment </w:t>
      </w:r>
      <w:r>
        <w:rPr>
          <w:noProof/>
        </w:rPr>
        <w:br/>
        <w:t>dans le domaine de certains droits de l’homme (art. 5)</w:t>
      </w:r>
      <w:r>
        <w:rPr>
          <w:noProof/>
          <w:webHidden/>
        </w:rPr>
        <w:tab/>
      </w:r>
      <w:r>
        <w:rPr>
          <w:noProof/>
          <w:webHidden/>
        </w:rPr>
        <w:tab/>
        <w:t>111−191</w:t>
      </w:r>
      <w:r>
        <w:rPr>
          <w:noProof/>
          <w:webHidden/>
        </w:rPr>
        <w:tab/>
        <w:t>37</w:t>
      </w:r>
    </w:p>
    <w:p w:rsidR="00000000" w:rsidRDefault="00000000">
      <w:pPr>
        <w:tabs>
          <w:tab w:val="left" w:pos="567"/>
          <w:tab w:val="left" w:pos="1134"/>
          <w:tab w:val="left" w:pos="1701"/>
          <w:tab w:val="right" w:leader="dot" w:pos="7097"/>
          <w:tab w:val="center" w:pos="8051"/>
          <w:tab w:val="right" w:pos="9185"/>
        </w:tabs>
        <w:spacing w:after="80"/>
        <w:ind w:left="1701" w:hanging="567"/>
        <w:rPr>
          <w:rFonts w:eastAsia="SimSun"/>
          <w:noProof/>
          <w:szCs w:val="24"/>
          <w:lang w:eastAsia="zh-CN"/>
        </w:rPr>
      </w:pPr>
      <w:r>
        <w:rPr>
          <w:noProof/>
        </w:rPr>
        <w:t>1.</w:t>
      </w:r>
      <w:r>
        <w:rPr>
          <w:noProof/>
        </w:rPr>
        <w:tab/>
        <w:t xml:space="preserve">Droit à l’égalité de traitement devant les tribunaux et </w:t>
      </w:r>
      <w:r>
        <w:rPr>
          <w:noProof/>
        </w:rPr>
        <w:br/>
        <w:t xml:space="preserve">tous les autres organes administrant la justice (art. 5, al. </w:t>
      </w:r>
      <w:r>
        <w:rPr>
          <w:i/>
          <w:iCs/>
          <w:noProof/>
        </w:rPr>
        <w:t>a</w:t>
      </w:r>
      <w:r>
        <w:rPr>
          <w:noProof/>
        </w:rPr>
        <w:t>)</w:t>
      </w:r>
      <w:r>
        <w:rPr>
          <w:noProof/>
          <w:webHidden/>
        </w:rPr>
        <w:tab/>
        <w:t>111−121</w:t>
      </w:r>
      <w:r>
        <w:rPr>
          <w:noProof/>
          <w:webHidden/>
        </w:rPr>
        <w:tab/>
        <w:t>37</w:t>
      </w:r>
    </w:p>
    <w:p w:rsidR="00000000" w:rsidRDefault="00000000">
      <w:pPr>
        <w:tabs>
          <w:tab w:val="left" w:pos="567"/>
          <w:tab w:val="left" w:pos="1134"/>
          <w:tab w:val="left" w:pos="1701"/>
          <w:tab w:val="right" w:leader="dot" w:pos="7097"/>
          <w:tab w:val="center" w:pos="8051"/>
          <w:tab w:val="right" w:pos="9185"/>
        </w:tabs>
        <w:spacing w:after="80"/>
        <w:ind w:left="2268" w:hanging="567"/>
        <w:rPr>
          <w:rFonts w:eastAsia="SimSun"/>
          <w:noProof/>
          <w:szCs w:val="24"/>
          <w:lang w:eastAsia="zh-CN"/>
        </w:rPr>
      </w:pPr>
      <w:r>
        <w:rPr>
          <w:bCs/>
          <w:i/>
          <w:iCs/>
          <w:noProof/>
        </w:rPr>
        <w:t>a)</w:t>
      </w:r>
      <w:r>
        <w:rPr>
          <w:bCs/>
          <w:i/>
          <w:iCs/>
          <w:noProof/>
        </w:rPr>
        <w:tab/>
        <w:t>Réforme de la justice</w:t>
      </w:r>
      <w:r>
        <w:rPr>
          <w:noProof/>
          <w:webHidden/>
        </w:rPr>
        <w:tab/>
      </w:r>
      <w:r>
        <w:rPr>
          <w:noProof/>
          <w:webHidden/>
        </w:rPr>
        <w:tab/>
        <w:t>113−117</w:t>
      </w:r>
      <w:r>
        <w:rPr>
          <w:noProof/>
          <w:webHidden/>
        </w:rPr>
        <w:tab/>
        <w:t>38</w:t>
      </w:r>
    </w:p>
    <w:p w:rsidR="00000000" w:rsidRDefault="00000000">
      <w:pPr>
        <w:tabs>
          <w:tab w:val="left" w:pos="567"/>
          <w:tab w:val="left" w:pos="1134"/>
          <w:tab w:val="left" w:pos="1701"/>
          <w:tab w:val="right" w:leader="dot" w:pos="7097"/>
          <w:tab w:val="center" w:pos="8051"/>
          <w:tab w:val="right" w:pos="9185"/>
        </w:tabs>
        <w:spacing w:after="80"/>
        <w:ind w:left="2268" w:hanging="567"/>
        <w:rPr>
          <w:rFonts w:eastAsia="SimSun"/>
          <w:noProof/>
          <w:szCs w:val="24"/>
          <w:lang w:eastAsia="zh-CN"/>
        </w:rPr>
      </w:pPr>
      <w:r>
        <w:rPr>
          <w:bCs/>
          <w:i/>
          <w:iCs/>
          <w:noProof/>
        </w:rPr>
        <w:t>b)</w:t>
      </w:r>
      <w:r>
        <w:rPr>
          <w:bCs/>
          <w:i/>
          <w:iCs/>
          <w:noProof/>
        </w:rPr>
        <w:tab/>
        <w:t>Loi fédérale sur l’investigation secrète et loi</w:t>
      </w:r>
      <w:r>
        <w:rPr>
          <w:bCs/>
          <w:i/>
          <w:iCs/>
          <w:noProof/>
        </w:rPr>
        <w:br/>
        <w:t xml:space="preserve">fédérale sur la surveillance de la correspondance </w:t>
      </w:r>
      <w:r>
        <w:rPr>
          <w:bCs/>
          <w:i/>
          <w:iCs/>
          <w:noProof/>
        </w:rPr>
        <w:br/>
        <w:t>par poste et télécommunication</w:t>
      </w:r>
      <w:r>
        <w:rPr>
          <w:noProof/>
          <w:webHidden/>
        </w:rPr>
        <w:tab/>
      </w:r>
      <w:r>
        <w:rPr>
          <w:noProof/>
          <w:webHidden/>
        </w:rPr>
        <w:tab/>
        <w:t>118−119</w:t>
      </w:r>
      <w:r>
        <w:rPr>
          <w:noProof/>
          <w:webHidden/>
        </w:rPr>
        <w:tab/>
        <w:t>38</w:t>
      </w:r>
    </w:p>
    <w:p w:rsidR="00000000" w:rsidRDefault="00000000">
      <w:pPr>
        <w:tabs>
          <w:tab w:val="left" w:pos="567"/>
          <w:tab w:val="left" w:pos="1134"/>
          <w:tab w:val="left" w:pos="1701"/>
          <w:tab w:val="right" w:leader="dot" w:pos="7097"/>
          <w:tab w:val="center" w:pos="8051"/>
          <w:tab w:val="right" w:pos="9185"/>
        </w:tabs>
        <w:spacing w:after="80"/>
        <w:ind w:left="2268" w:hanging="567"/>
        <w:rPr>
          <w:rFonts w:eastAsia="SimSun"/>
          <w:noProof/>
          <w:szCs w:val="24"/>
          <w:lang w:eastAsia="zh-CN"/>
        </w:rPr>
      </w:pPr>
      <w:r>
        <w:rPr>
          <w:bCs/>
          <w:i/>
          <w:iCs/>
          <w:noProof/>
        </w:rPr>
        <w:t>c)</w:t>
      </w:r>
      <w:r>
        <w:rPr>
          <w:bCs/>
          <w:i/>
          <w:iCs/>
          <w:noProof/>
        </w:rPr>
        <w:tab/>
        <w:t>Révision totale de l’organisation judiciaire fédérale</w:t>
      </w:r>
      <w:r>
        <w:rPr>
          <w:noProof/>
          <w:webHidden/>
        </w:rPr>
        <w:tab/>
        <w:t>120−121</w:t>
      </w:r>
      <w:r>
        <w:rPr>
          <w:noProof/>
          <w:webHidden/>
        </w:rPr>
        <w:tab/>
        <w:t>39</w:t>
      </w:r>
    </w:p>
    <w:p w:rsidR="00000000" w:rsidRDefault="00000000">
      <w:pPr>
        <w:tabs>
          <w:tab w:val="left" w:pos="567"/>
          <w:tab w:val="left" w:pos="1134"/>
          <w:tab w:val="left" w:pos="1701"/>
          <w:tab w:val="right" w:leader="dot" w:pos="7097"/>
          <w:tab w:val="center" w:pos="8051"/>
          <w:tab w:val="right" w:pos="9185"/>
        </w:tabs>
        <w:spacing w:after="80"/>
        <w:ind w:left="1701" w:hanging="567"/>
        <w:rPr>
          <w:rFonts w:eastAsia="SimSun"/>
          <w:noProof/>
          <w:szCs w:val="24"/>
          <w:lang w:eastAsia="zh-CN"/>
        </w:rPr>
      </w:pPr>
      <w:r>
        <w:rPr>
          <w:noProof/>
        </w:rPr>
        <w:t>2.</w:t>
      </w:r>
      <w:r>
        <w:rPr>
          <w:noProof/>
        </w:rPr>
        <w:tab/>
        <w:t xml:space="preserve">Droit à la sûreté de la personne et à la protection de l’État </w:t>
      </w:r>
      <w:r>
        <w:rPr>
          <w:noProof/>
        </w:rPr>
        <w:br/>
        <w:t xml:space="preserve">(art. 5, al. </w:t>
      </w:r>
      <w:r>
        <w:rPr>
          <w:i/>
          <w:iCs/>
          <w:noProof/>
        </w:rPr>
        <w:t>b</w:t>
      </w:r>
      <w:r>
        <w:rPr>
          <w:noProof/>
        </w:rPr>
        <w:t xml:space="preserve">) </w:t>
      </w:r>
      <w:r>
        <w:rPr>
          <w:noProof/>
          <w:webHidden/>
        </w:rPr>
        <w:tab/>
      </w:r>
      <w:r>
        <w:rPr>
          <w:noProof/>
          <w:webHidden/>
        </w:rPr>
        <w:tab/>
        <w:t>122−125</w:t>
      </w:r>
      <w:r>
        <w:rPr>
          <w:noProof/>
          <w:webHidden/>
        </w:rPr>
        <w:tab/>
        <w:t>39</w:t>
      </w:r>
    </w:p>
    <w:p w:rsidR="00000000" w:rsidRDefault="00000000">
      <w:pPr>
        <w:tabs>
          <w:tab w:val="left" w:pos="567"/>
          <w:tab w:val="left" w:pos="1134"/>
          <w:tab w:val="left" w:pos="1701"/>
          <w:tab w:val="right" w:leader="dot" w:pos="7097"/>
          <w:tab w:val="center" w:pos="8051"/>
          <w:tab w:val="right" w:pos="9185"/>
        </w:tabs>
        <w:spacing w:after="80"/>
        <w:ind w:left="1701" w:hanging="567"/>
        <w:rPr>
          <w:rFonts w:eastAsia="SimSun"/>
          <w:noProof/>
          <w:szCs w:val="24"/>
          <w:lang w:eastAsia="zh-CN"/>
        </w:rPr>
      </w:pPr>
      <w:r>
        <w:rPr>
          <w:noProof/>
        </w:rPr>
        <w:t>3.</w:t>
      </w:r>
      <w:r>
        <w:rPr>
          <w:noProof/>
        </w:rPr>
        <w:tab/>
        <w:t xml:space="preserve">Droits politiques (art. 5, al. </w:t>
      </w:r>
      <w:r>
        <w:rPr>
          <w:i/>
          <w:iCs/>
          <w:noProof/>
        </w:rPr>
        <w:t>c</w:t>
      </w:r>
      <w:r>
        <w:rPr>
          <w:noProof/>
        </w:rPr>
        <w:t>)</w:t>
      </w:r>
      <w:r>
        <w:rPr>
          <w:noProof/>
          <w:webHidden/>
        </w:rPr>
        <w:tab/>
      </w:r>
      <w:r>
        <w:rPr>
          <w:noProof/>
          <w:webHidden/>
        </w:rPr>
        <w:tab/>
        <w:t>126−128</w:t>
      </w:r>
      <w:r>
        <w:rPr>
          <w:noProof/>
          <w:webHidden/>
        </w:rPr>
        <w:tab/>
        <w:t>40</w:t>
      </w:r>
    </w:p>
    <w:p w:rsidR="00000000" w:rsidRDefault="00000000">
      <w:pPr>
        <w:tabs>
          <w:tab w:val="left" w:pos="567"/>
          <w:tab w:val="left" w:pos="1134"/>
          <w:tab w:val="left" w:pos="1701"/>
          <w:tab w:val="right" w:leader="dot" w:pos="7097"/>
          <w:tab w:val="center" w:pos="8051"/>
          <w:tab w:val="right" w:pos="9185"/>
        </w:tabs>
        <w:spacing w:after="80"/>
        <w:ind w:left="1701" w:hanging="567"/>
        <w:rPr>
          <w:rFonts w:eastAsia="SimSun"/>
          <w:noProof/>
          <w:szCs w:val="24"/>
          <w:lang w:eastAsia="zh-CN"/>
        </w:rPr>
      </w:pPr>
      <w:r>
        <w:rPr>
          <w:noProof/>
        </w:rPr>
        <w:t>4.</w:t>
      </w:r>
      <w:r>
        <w:rPr>
          <w:noProof/>
        </w:rPr>
        <w:tab/>
        <w:t xml:space="preserve">Autres droits civils (art. 5, al. </w:t>
      </w:r>
      <w:r>
        <w:rPr>
          <w:i/>
          <w:iCs/>
          <w:noProof/>
        </w:rPr>
        <w:t>d</w:t>
      </w:r>
      <w:r>
        <w:rPr>
          <w:noProof/>
        </w:rPr>
        <w:t>)</w:t>
      </w:r>
      <w:r>
        <w:rPr>
          <w:noProof/>
          <w:webHidden/>
        </w:rPr>
        <w:tab/>
      </w:r>
      <w:r>
        <w:rPr>
          <w:noProof/>
          <w:webHidden/>
        </w:rPr>
        <w:tab/>
        <w:t>129−158</w:t>
      </w:r>
      <w:r>
        <w:rPr>
          <w:noProof/>
          <w:webHidden/>
        </w:rPr>
        <w:tab/>
        <w:t>41</w:t>
      </w:r>
    </w:p>
    <w:p w:rsidR="00000000" w:rsidRDefault="00000000">
      <w:pPr>
        <w:tabs>
          <w:tab w:val="left" w:pos="567"/>
          <w:tab w:val="left" w:pos="1134"/>
          <w:tab w:val="left" w:pos="1701"/>
          <w:tab w:val="right" w:leader="dot" w:pos="7097"/>
          <w:tab w:val="center" w:pos="8051"/>
          <w:tab w:val="right" w:pos="9185"/>
        </w:tabs>
        <w:spacing w:after="80"/>
        <w:ind w:left="2268" w:hanging="567"/>
        <w:rPr>
          <w:rFonts w:eastAsia="SimSun"/>
          <w:noProof/>
          <w:szCs w:val="24"/>
          <w:lang w:eastAsia="zh-CN"/>
        </w:rPr>
      </w:pPr>
      <w:r>
        <w:rPr>
          <w:i/>
          <w:iCs/>
          <w:noProof/>
        </w:rPr>
        <w:t>a)</w:t>
      </w:r>
      <w:r>
        <w:rPr>
          <w:i/>
          <w:iCs/>
          <w:noProof/>
        </w:rPr>
        <w:tab/>
      </w:r>
      <w:r>
        <w:rPr>
          <w:bCs/>
          <w:i/>
          <w:iCs/>
          <w:noProof/>
        </w:rPr>
        <w:t xml:space="preserve">Droit de circuler librement et de choisir son lieu </w:t>
      </w:r>
      <w:r>
        <w:rPr>
          <w:bCs/>
          <w:i/>
          <w:iCs/>
          <w:noProof/>
        </w:rPr>
        <w:br/>
        <w:t>de résidence à l’intérieur de l’État (</w:t>
      </w:r>
      <w:r>
        <w:rPr>
          <w:bCs/>
          <w:noProof/>
        </w:rPr>
        <w:t>art</w:t>
      </w:r>
      <w:r>
        <w:rPr>
          <w:bCs/>
          <w:i/>
          <w:iCs/>
          <w:noProof/>
        </w:rPr>
        <w:t xml:space="preserve">. 5, </w:t>
      </w:r>
      <w:r>
        <w:rPr>
          <w:bCs/>
          <w:noProof/>
        </w:rPr>
        <w:t>al</w:t>
      </w:r>
      <w:r>
        <w:rPr>
          <w:bCs/>
          <w:i/>
          <w:iCs/>
          <w:noProof/>
        </w:rPr>
        <w:t xml:space="preserve">. d, </w:t>
      </w:r>
      <w:r>
        <w:rPr>
          <w:bCs/>
          <w:noProof/>
        </w:rPr>
        <w:t>i))</w:t>
      </w:r>
      <w:r>
        <w:rPr>
          <w:noProof/>
          <w:webHidden/>
        </w:rPr>
        <w:tab/>
        <w:t>129−131</w:t>
      </w:r>
      <w:r>
        <w:rPr>
          <w:noProof/>
          <w:webHidden/>
        </w:rPr>
        <w:tab/>
        <w:t>41</w:t>
      </w:r>
    </w:p>
    <w:p w:rsidR="00000000" w:rsidRDefault="00000000">
      <w:pPr>
        <w:tabs>
          <w:tab w:val="left" w:pos="567"/>
          <w:tab w:val="left" w:pos="1134"/>
          <w:tab w:val="left" w:pos="1701"/>
          <w:tab w:val="right" w:leader="dot" w:pos="7097"/>
          <w:tab w:val="center" w:pos="8051"/>
          <w:tab w:val="right" w:pos="9185"/>
        </w:tabs>
        <w:spacing w:after="80"/>
        <w:ind w:left="2268" w:hanging="567"/>
        <w:rPr>
          <w:rFonts w:eastAsia="SimSun"/>
          <w:noProof/>
          <w:szCs w:val="24"/>
          <w:lang w:eastAsia="zh-CN"/>
        </w:rPr>
      </w:pPr>
      <w:r>
        <w:rPr>
          <w:i/>
          <w:iCs/>
          <w:noProof/>
        </w:rPr>
        <w:t>b)</w:t>
      </w:r>
      <w:r>
        <w:rPr>
          <w:i/>
          <w:iCs/>
          <w:noProof/>
        </w:rPr>
        <w:tab/>
      </w:r>
      <w:r>
        <w:rPr>
          <w:bCs/>
          <w:i/>
          <w:iCs/>
          <w:noProof/>
        </w:rPr>
        <w:t xml:space="preserve">Droit de quitter tout pays, y compris le sien, et </w:t>
      </w:r>
      <w:r>
        <w:rPr>
          <w:bCs/>
          <w:i/>
          <w:iCs/>
          <w:noProof/>
        </w:rPr>
        <w:br/>
        <w:t>de revenir dans son propre pays</w:t>
      </w:r>
      <w:r>
        <w:rPr>
          <w:bCs/>
          <w:noProof/>
        </w:rPr>
        <w:t xml:space="preserve"> (art. 5, al. </w:t>
      </w:r>
      <w:r>
        <w:rPr>
          <w:bCs/>
          <w:i/>
          <w:iCs/>
          <w:noProof/>
        </w:rPr>
        <w:t>d</w:t>
      </w:r>
      <w:r>
        <w:rPr>
          <w:bCs/>
          <w:noProof/>
        </w:rPr>
        <w:t>, ii))</w:t>
      </w:r>
      <w:r>
        <w:rPr>
          <w:noProof/>
          <w:webHidden/>
        </w:rPr>
        <w:tab/>
      </w:r>
      <w:r>
        <w:rPr>
          <w:noProof/>
          <w:webHidden/>
        </w:rPr>
        <w:tab/>
        <w:t>132</w:t>
      </w:r>
      <w:r>
        <w:rPr>
          <w:noProof/>
          <w:webHidden/>
        </w:rPr>
        <w:tab/>
        <w:t>42</w:t>
      </w:r>
    </w:p>
    <w:p w:rsidR="00000000" w:rsidRDefault="00000000">
      <w:pPr>
        <w:tabs>
          <w:tab w:val="left" w:pos="567"/>
          <w:tab w:val="left" w:pos="1134"/>
          <w:tab w:val="left" w:pos="1701"/>
          <w:tab w:val="right" w:leader="dot" w:pos="7097"/>
          <w:tab w:val="center" w:pos="8051"/>
          <w:tab w:val="right" w:pos="9185"/>
        </w:tabs>
        <w:spacing w:after="80"/>
        <w:ind w:left="2268" w:hanging="567"/>
        <w:rPr>
          <w:rFonts w:eastAsia="SimSun"/>
          <w:noProof/>
          <w:szCs w:val="24"/>
          <w:lang w:eastAsia="zh-CN"/>
        </w:rPr>
      </w:pPr>
      <w:r>
        <w:rPr>
          <w:i/>
          <w:iCs/>
          <w:noProof/>
        </w:rPr>
        <w:t>c)</w:t>
      </w:r>
      <w:r>
        <w:rPr>
          <w:i/>
          <w:iCs/>
          <w:noProof/>
        </w:rPr>
        <w:tab/>
      </w:r>
      <w:r>
        <w:rPr>
          <w:bCs/>
          <w:i/>
          <w:iCs/>
          <w:noProof/>
        </w:rPr>
        <w:t>Droit à une nationalité</w:t>
      </w:r>
      <w:r>
        <w:rPr>
          <w:bCs/>
          <w:noProof/>
        </w:rPr>
        <w:t xml:space="preserve"> (art. 5, al. </w:t>
      </w:r>
      <w:r>
        <w:rPr>
          <w:bCs/>
          <w:i/>
          <w:iCs/>
          <w:noProof/>
        </w:rPr>
        <w:t>d</w:t>
      </w:r>
      <w:r>
        <w:rPr>
          <w:bCs/>
          <w:noProof/>
        </w:rPr>
        <w:t>, iii))</w:t>
      </w:r>
      <w:r>
        <w:rPr>
          <w:noProof/>
          <w:webHidden/>
        </w:rPr>
        <w:tab/>
      </w:r>
      <w:r>
        <w:rPr>
          <w:noProof/>
          <w:webHidden/>
        </w:rPr>
        <w:tab/>
        <w:t>133−136</w:t>
      </w:r>
      <w:r>
        <w:rPr>
          <w:noProof/>
          <w:webHidden/>
        </w:rPr>
        <w:tab/>
        <w:t>42</w:t>
      </w:r>
    </w:p>
    <w:p w:rsidR="00000000" w:rsidRDefault="00000000">
      <w:pPr>
        <w:tabs>
          <w:tab w:val="left" w:pos="567"/>
          <w:tab w:val="left" w:pos="1134"/>
          <w:tab w:val="left" w:pos="1701"/>
          <w:tab w:val="right" w:leader="dot" w:pos="7097"/>
          <w:tab w:val="center" w:pos="8051"/>
          <w:tab w:val="right" w:pos="9185"/>
        </w:tabs>
        <w:spacing w:after="80"/>
        <w:ind w:left="2268" w:hanging="567"/>
        <w:rPr>
          <w:rFonts w:eastAsia="SimSun"/>
          <w:noProof/>
          <w:szCs w:val="24"/>
          <w:lang w:eastAsia="zh-CN"/>
        </w:rPr>
      </w:pPr>
      <w:r>
        <w:rPr>
          <w:i/>
          <w:iCs/>
          <w:noProof/>
        </w:rPr>
        <w:t>d)</w:t>
      </w:r>
      <w:r>
        <w:rPr>
          <w:i/>
          <w:iCs/>
          <w:noProof/>
        </w:rPr>
        <w:tab/>
      </w:r>
      <w:r>
        <w:rPr>
          <w:bCs/>
          <w:i/>
          <w:iCs/>
          <w:noProof/>
        </w:rPr>
        <w:t xml:space="preserve">Droit de se marier et de choisir son conjoint </w:t>
      </w:r>
      <w:r>
        <w:rPr>
          <w:bCs/>
          <w:i/>
          <w:iCs/>
          <w:noProof/>
        </w:rPr>
        <w:br/>
      </w:r>
      <w:r>
        <w:rPr>
          <w:noProof/>
        </w:rPr>
        <w:t xml:space="preserve">(art. 5, al. </w:t>
      </w:r>
      <w:r>
        <w:rPr>
          <w:i/>
          <w:iCs/>
          <w:noProof/>
        </w:rPr>
        <w:t>d</w:t>
      </w:r>
      <w:r>
        <w:rPr>
          <w:noProof/>
        </w:rPr>
        <w:t>, iv))</w:t>
      </w:r>
      <w:r>
        <w:rPr>
          <w:noProof/>
          <w:webHidden/>
        </w:rPr>
        <w:tab/>
      </w:r>
      <w:r>
        <w:rPr>
          <w:noProof/>
          <w:webHidden/>
        </w:rPr>
        <w:tab/>
        <w:t>137−141</w:t>
      </w:r>
      <w:r>
        <w:rPr>
          <w:noProof/>
          <w:webHidden/>
        </w:rPr>
        <w:tab/>
        <w:t>43</w:t>
      </w:r>
    </w:p>
    <w:p w:rsidR="00000000" w:rsidRDefault="00000000">
      <w:pPr>
        <w:tabs>
          <w:tab w:val="left" w:pos="567"/>
          <w:tab w:val="left" w:pos="1134"/>
          <w:tab w:val="left" w:pos="1701"/>
          <w:tab w:val="right" w:leader="dot" w:pos="7097"/>
          <w:tab w:val="center" w:pos="8051"/>
          <w:tab w:val="right" w:pos="9185"/>
        </w:tabs>
        <w:spacing w:after="80"/>
        <w:ind w:left="2268" w:hanging="567"/>
        <w:rPr>
          <w:rFonts w:eastAsia="SimSun"/>
          <w:noProof/>
          <w:szCs w:val="24"/>
          <w:lang w:eastAsia="zh-CN"/>
        </w:rPr>
      </w:pPr>
      <w:r>
        <w:rPr>
          <w:bCs/>
          <w:i/>
          <w:iCs/>
          <w:noProof/>
        </w:rPr>
        <w:t>e)</w:t>
      </w:r>
      <w:r>
        <w:rPr>
          <w:bCs/>
          <w:i/>
          <w:iCs/>
          <w:noProof/>
        </w:rPr>
        <w:tab/>
        <w:t>Droit à la propriété</w:t>
      </w:r>
      <w:r>
        <w:rPr>
          <w:bCs/>
          <w:noProof/>
        </w:rPr>
        <w:t xml:space="preserve"> (art. 5, al. </w:t>
      </w:r>
      <w:r>
        <w:rPr>
          <w:bCs/>
          <w:i/>
          <w:iCs/>
          <w:noProof/>
        </w:rPr>
        <w:t>d</w:t>
      </w:r>
      <w:r>
        <w:rPr>
          <w:bCs/>
          <w:noProof/>
        </w:rPr>
        <w:t>, v))</w:t>
      </w:r>
      <w:r>
        <w:rPr>
          <w:noProof/>
          <w:webHidden/>
        </w:rPr>
        <w:tab/>
      </w:r>
      <w:r>
        <w:rPr>
          <w:noProof/>
          <w:webHidden/>
        </w:rPr>
        <w:tab/>
        <w:t>142</w:t>
      </w:r>
      <w:r>
        <w:rPr>
          <w:noProof/>
          <w:webHidden/>
        </w:rPr>
        <w:tab/>
        <w:t>44</w:t>
      </w:r>
    </w:p>
    <w:p w:rsidR="00000000" w:rsidRDefault="00000000">
      <w:pPr>
        <w:tabs>
          <w:tab w:val="left" w:pos="567"/>
          <w:tab w:val="left" w:pos="1134"/>
          <w:tab w:val="left" w:pos="1701"/>
          <w:tab w:val="right" w:leader="dot" w:pos="7097"/>
          <w:tab w:val="center" w:pos="8051"/>
          <w:tab w:val="right" w:pos="9185"/>
        </w:tabs>
        <w:spacing w:after="80"/>
        <w:ind w:left="2268" w:hanging="567"/>
        <w:rPr>
          <w:rFonts w:eastAsia="SimSun"/>
          <w:noProof/>
          <w:szCs w:val="24"/>
          <w:lang w:eastAsia="zh-CN"/>
        </w:rPr>
      </w:pPr>
      <w:r>
        <w:rPr>
          <w:bCs/>
          <w:i/>
          <w:iCs/>
          <w:noProof/>
        </w:rPr>
        <w:t>f)</w:t>
      </w:r>
      <w:r>
        <w:rPr>
          <w:bCs/>
          <w:i/>
          <w:iCs/>
          <w:noProof/>
        </w:rPr>
        <w:tab/>
        <w:t>Droit d’hériter</w:t>
      </w:r>
      <w:r>
        <w:rPr>
          <w:bCs/>
          <w:noProof/>
        </w:rPr>
        <w:t xml:space="preserve"> (art. 5, al. </w:t>
      </w:r>
      <w:r>
        <w:rPr>
          <w:bCs/>
          <w:i/>
          <w:iCs/>
          <w:noProof/>
        </w:rPr>
        <w:t>d</w:t>
      </w:r>
      <w:r>
        <w:rPr>
          <w:bCs/>
          <w:noProof/>
        </w:rPr>
        <w:t>, vi))</w:t>
      </w:r>
      <w:r>
        <w:rPr>
          <w:noProof/>
          <w:webHidden/>
        </w:rPr>
        <w:tab/>
      </w:r>
      <w:r>
        <w:rPr>
          <w:noProof/>
          <w:webHidden/>
        </w:rPr>
        <w:tab/>
        <w:t>143</w:t>
      </w:r>
      <w:r>
        <w:rPr>
          <w:noProof/>
          <w:webHidden/>
        </w:rPr>
        <w:tab/>
        <w:t>44</w:t>
      </w:r>
    </w:p>
    <w:p w:rsidR="00000000" w:rsidRDefault="00000000">
      <w:pPr>
        <w:tabs>
          <w:tab w:val="left" w:pos="567"/>
          <w:tab w:val="left" w:pos="1134"/>
          <w:tab w:val="left" w:pos="1701"/>
          <w:tab w:val="right" w:leader="dot" w:pos="7097"/>
          <w:tab w:val="center" w:pos="8051"/>
          <w:tab w:val="right" w:pos="9185"/>
        </w:tabs>
        <w:spacing w:after="80"/>
        <w:ind w:left="2268" w:hanging="567"/>
        <w:rPr>
          <w:rFonts w:eastAsia="SimSun"/>
          <w:noProof/>
          <w:szCs w:val="24"/>
          <w:lang w:eastAsia="zh-CN"/>
        </w:rPr>
      </w:pPr>
      <w:r>
        <w:rPr>
          <w:bCs/>
          <w:i/>
          <w:iCs/>
          <w:noProof/>
        </w:rPr>
        <w:t>g)</w:t>
      </w:r>
      <w:r>
        <w:rPr>
          <w:bCs/>
          <w:noProof/>
        </w:rPr>
        <w:tab/>
      </w:r>
      <w:r>
        <w:rPr>
          <w:bCs/>
          <w:i/>
          <w:iCs/>
          <w:noProof/>
        </w:rPr>
        <w:t xml:space="preserve">Droit à la liberté de pensée, de conscience et </w:t>
      </w:r>
      <w:r>
        <w:rPr>
          <w:bCs/>
          <w:i/>
          <w:iCs/>
          <w:noProof/>
        </w:rPr>
        <w:br/>
        <w:t xml:space="preserve">de religion </w:t>
      </w:r>
      <w:r>
        <w:rPr>
          <w:bCs/>
          <w:noProof/>
        </w:rPr>
        <w:t xml:space="preserve">(art. 5, al. </w:t>
      </w:r>
      <w:r>
        <w:rPr>
          <w:bCs/>
          <w:i/>
          <w:iCs/>
          <w:noProof/>
        </w:rPr>
        <w:t>d</w:t>
      </w:r>
      <w:r>
        <w:rPr>
          <w:bCs/>
          <w:noProof/>
        </w:rPr>
        <w:t>, vii))</w:t>
      </w:r>
      <w:r>
        <w:rPr>
          <w:bCs/>
          <w:noProof/>
        </w:rPr>
        <w:tab/>
      </w:r>
      <w:r>
        <w:rPr>
          <w:bCs/>
          <w:noProof/>
        </w:rPr>
        <w:tab/>
        <w:t>144−153</w:t>
      </w:r>
      <w:r>
        <w:rPr>
          <w:noProof/>
          <w:webHidden/>
        </w:rPr>
        <w:tab/>
        <w:t>44</w:t>
      </w:r>
    </w:p>
    <w:p w:rsidR="00000000" w:rsidRDefault="00000000">
      <w:pPr>
        <w:tabs>
          <w:tab w:val="left" w:pos="567"/>
          <w:tab w:val="left" w:pos="1134"/>
          <w:tab w:val="left" w:pos="1701"/>
          <w:tab w:val="right" w:leader="dot" w:pos="7097"/>
          <w:tab w:val="center" w:pos="8051"/>
          <w:tab w:val="right" w:pos="9185"/>
        </w:tabs>
        <w:spacing w:after="80"/>
        <w:ind w:left="2268" w:hanging="567"/>
        <w:rPr>
          <w:rFonts w:eastAsia="SimSun"/>
          <w:noProof/>
          <w:szCs w:val="24"/>
          <w:lang w:eastAsia="zh-CN"/>
        </w:rPr>
      </w:pPr>
      <w:r>
        <w:rPr>
          <w:i/>
          <w:iCs/>
          <w:noProof/>
        </w:rPr>
        <w:t>h)</w:t>
      </w:r>
      <w:r>
        <w:rPr>
          <w:noProof/>
        </w:rPr>
        <w:tab/>
      </w:r>
      <w:r>
        <w:rPr>
          <w:bCs/>
          <w:i/>
          <w:iCs/>
          <w:noProof/>
        </w:rPr>
        <w:t>Droit à la liberté d’opinion et d’expression</w:t>
      </w:r>
      <w:r>
        <w:rPr>
          <w:noProof/>
        </w:rPr>
        <w:t xml:space="preserve"> </w:t>
      </w:r>
      <w:r>
        <w:rPr>
          <w:noProof/>
        </w:rPr>
        <w:br/>
        <w:t>(art. 5, al. </w:t>
      </w:r>
      <w:r>
        <w:rPr>
          <w:i/>
          <w:iCs/>
          <w:noProof/>
        </w:rPr>
        <w:t>d</w:t>
      </w:r>
      <w:r>
        <w:rPr>
          <w:noProof/>
        </w:rPr>
        <w:t>, vii))</w:t>
      </w:r>
      <w:r>
        <w:rPr>
          <w:noProof/>
          <w:webHidden/>
        </w:rPr>
        <w:tab/>
      </w:r>
      <w:r>
        <w:rPr>
          <w:noProof/>
          <w:webHidden/>
        </w:rPr>
        <w:tab/>
        <w:t>154−156</w:t>
      </w:r>
      <w:r>
        <w:rPr>
          <w:noProof/>
          <w:webHidden/>
        </w:rPr>
        <w:tab/>
        <w:t>47</w:t>
      </w:r>
    </w:p>
    <w:p w:rsidR="00000000" w:rsidRDefault="00000000">
      <w:pPr>
        <w:tabs>
          <w:tab w:val="left" w:pos="567"/>
          <w:tab w:val="left" w:pos="1134"/>
          <w:tab w:val="left" w:pos="1701"/>
          <w:tab w:val="right" w:leader="dot" w:pos="7097"/>
          <w:tab w:val="center" w:pos="8051"/>
          <w:tab w:val="right" w:pos="9185"/>
        </w:tabs>
        <w:spacing w:after="80"/>
        <w:ind w:left="2268" w:hanging="567"/>
        <w:rPr>
          <w:rFonts w:eastAsia="SimSun"/>
          <w:noProof/>
          <w:szCs w:val="24"/>
          <w:lang w:eastAsia="zh-CN"/>
        </w:rPr>
      </w:pPr>
      <w:r>
        <w:rPr>
          <w:i/>
          <w:iCs/>
          <w:noProof/>
        </w:rPr>
        <w:t>i</w:t>
      </w:r>
      <w:r>
        <w:rPr>
          <w:bCs/>
          <w:i/>
          <w:iCs/>
          <w:noProof/>
        </w:rPr>
        <w:t>)</w:t>
      </w:r>
      <w:r>
        <w:rPr>
          <w:bCs/>
          <w:i/>
          <w:iCs/>
          <w:noProof/>
        </w:rPr>
        <w:tab/>
        <w:t xml:space="preserve">Droit à la liberté de réunion et d’association </w:t>
      </w:r>
      <w:r>
        <w:rPr>
          <w:bCs/>
          <w:i/>
          <w:iCs/>
          <w:noProof/>
        </w:rPr>
        <w:br/>
        <w:t xml:space="preserve">pacifiques  </w:t>
      </w:r>
      <w:r>
        <w:rPr>
          <w:bCs/>
          <w:noProof/>
        </w:rPr>
        <w:t xml:space="preserve">(art 5, al. </w:t>
      </w:r>
      <w:r>
        <w:rPr>
          <w:bCs/>
          <w:i/>
          <w:iCs/>
          <w:noProof/>
        </w:rPr>
        <w:t>d</w:t>
      </w:r>
      <w:r>
        <w:rPr>
          <w:bCs/>
          <w:noProof/>
        </w:rPr>
        <w:t>, ix))</w:t>
      </w:r>
      <w:r>
        <w:rPr>
          <w:noProof/>
          <w:webHidden/>
        </w:rPr>
        <w:tab/>
      </w:r>
      <w:r>
        <w:rPr>
          <w:noProof/>
          <w:webHidden/>
        </w:rPr>
        <w:tab/>
        <w:t>157−158</w:t>
      </w:r>
      <w:r>
        <w:rPr>
          <w:noProof/>
          <w:webHidden/>
        </w:rPr>
        <w:tab/>
        <w:t>48</w:t>
      </w:r>
    </w:p>
    <w:p w:rsidR="00000000" w:rsidRDefault="00000000">
      <w:pPr>
        <w:tabs>
          <w:tab w:val="left" w:pos="567"/>
          <w:tab w:val="left" w:pos="1134"/>
          <w:tab w:val="left" w:pos="1701"/>
          <w:tab w:val="right" w:leader="dot" w:pos="7097"/>
          <w:tab w:val="center" w:pos="8051"/>
          <w:tab w:val="right" w:pos="9185"/>
        </w:tabs>
        <w:spacing w:after="80"/>
        <w:ind w:left="1701" w:hanging="567"/>
        <w:rPr>
          <w:rFonts w:eastAsia="SimSun"/>
          <w:noProof/>
          <w:szCs w:val="24"/>
          <w:lang w:eastAsia="zh-CN"/>
        </w:rPr>
      </w:pPr>
      <w:r>
        <w:rPr>
          <w:noProof/>
        </w:rPr>
        <w:t>5.</w:t>
      </w:r>
      <w:r>
        <w:rPr>
          <w:noProof/>
        </w:rPr>
        <w:tab/>
        <w:t xml:space="preserve">Droits économiques, sociaux et culturels (art. 5, al </w:t>
      </w:r>
      <w:r>
        <w:rPr>
          <w:i/>
          <w:iCs/>
          <w:noProof/>
        </w:rPr>
        <w:t>e</w:t>
      </w:r>
      <w:r>
        <w:rPr>
          <w:noProof/>
        </w:rPr>
        <w:t>)</w:t>
      </w:r>
      <w:r>
        <w:rPr>
          <w:noProof/>
        </w:rPr>
        <w:tab/>
      </w:r>
      <w:r>
        <w:rPr>
          <w:noProof/>
          <w:webHidden/>
        </w:rPr>
        <w:tab/>
        <w:t>159−191</w:t>
      </w:r>
      <w:r>
        <w:rPr>
          <w:noProof/>
          <w:webHidden/>
        </w:rPr>
        <w:tab/>
        <w:t>48</w:t>
      </w:r>
    </w:p>
    <w:p w:rsidR="00000000" w:rsidRDefault="00000000">
      <w:pPr>
        <w:tabs>
          <w:tab w:val="left" w:pos="567"/>
          <w:tab w:val="left" w:pos="1134"/>
          <w:tab w:val="left" w:pos="1701"/>
          <w:tab w:val="right" w:leader="dot" w:pos="7097"/>
          <w:tab w:val="center" w:pos="8051"/>
          <w:tab w:val="right" w:pos="9185"/>
        </w:tabs>
        <w:spacing w:after="80"/>
        <w:ind w:left="2268" w:hanging="567"/>
        <w:rPr>
          <w:rFonts w:eastAsia="SimSun"/>
          <w:noProof/>
          <w:szCs w:val="24"/>
          <w:lang w:eastAsia="zh-CN"/>
        </w:rPr>
      </w:pPr>
      <w:r>
        <w:rPr>
          <w:noProof/>
        </w:rPr>
        <w:t>a)</w:t>
      </w:r>
      <w:r>
        <w:rPr>
          <w:noProof/>
        </w:rPr>
        <w:tab/>
      </w:r>
      <w:r>
        <w:rPr>
          <w:bCs/>
          <w:i/>
          <w:iCs/>
          <w:noProof/>
        </w:rPr>
        <w:t>Droit au travail</w:t>
      </w:r>
      <w:r>
        <w:rPr>
          <w:bCs/>
          <w:noProof/>
        </w:rPr>
        <w:t xml:space="preserve"> (art. 5, al. </w:t>
      </w:r>
      <w:r>
        <w:rPr>
          <w:bCs/>
          <w:i/>
          <w:iCs/>
          <w:noProof/>
        </w:rPr>
        <w:t>e</w:t>
      </w:r>
      <w:r>
        <w:rPr>
          <w:bCs/>
          <w:noProof/>
        </w:rPr>
        <w:t>, i))</w:t>
      </w:r>
      <w:r>
        <w:rPr>
          <w:noProof/>
          <w:webHidden/>
        </w:rPr>
        <w:tab/>
      </w:r>
      <w:r>
        <w:rPr>
          <w:noProof/>
          <w:webHidden/>
        </w:rPr>
        <w:tab/>
        <w:t>164−177</w:t>
      </w:r>
      <w:r>
        <w:rPr>
          <w:noProof/>
          <w:webHidden/>
        </w:rPr>
        <w:tab/>
        <w:t>49</w:t>
      </w:r>
    </w:p>
    <w:p w:rsidR="00000000" w:rsidRDefault="00000000">
      <w:pPr>
        <w:tabs>
          <w:tab w:val="left" w:pos="567"/>
          <w:tab w:val="left" w:pos="1134"/>
          <w:tab w:val="left" w:pos="1701"/>
          <w:tab w:val="right" w:leader="dot" w:pos="7097"/>
          <w:tab w:val="center" w:pos="8051"/>
          <w:tab w:val="right" w:pos="9185"/>
        </w:tabs>
        <w:spacing w:after="80"/>
        <w:ind w:left="2268" w:hanging="567"/>
        <w:rPr>
          <w:rFonts w:eastAsia="SimSun"/>
          <w:noProof/>
          <w:szCs w:val="24"/>
          <w:lang w:eastAsia="zh-CN"/>
        </w:rPr>
      </w:pPr>
      <w:r>
        <w:rPr>
          <w:bCs/>
          <w:i/>
          <w:iCs/>
          <w:noProof/>
        </w:rPr>
        <w:t>b)</w:t>
      </w:r>
      <w:r>
        <w:rPr>
          <w:bCs/>
          <w:i/>
          <w:iCs/>
          <w:noProof/>
        </w:rPr>
        <w:tab/>
        <w:t>Droits syndicaux</w:t>
      </w:r>
      <w:r>
        <w:rPr>
          <w:bCs/>
          <w:noProof/>
        </w:rPr>
        <w:t xml:space="preserve"> (art. 5, al. </w:t>
      </w:r>
      <w:r>
        <w:rPr>
          <w:bCs/>
          <w:i/>
          <w:iCs/>
          <w:noProof/>
        </w:rPr>
        <w:t>e</w:t>
      </w:r>
      <w:r>
        <w:rPr>
          <w:bCs/>
          <w:noProof/>
        </w:rPr>
        <w:t>, ii))</w:t>
      </w:r>
      <w:r>
        <w:rPr>
          <w:noProof/>
          <w:webHidden/>
        </w:rPr>
        <w:tab/>
      </w:r>
      <w:r>
        <w:rPr>
          <w:noProof/>
          <w:webHidden/>
        </w:rPr>
        <w:tab/>
        <w:t>178</w:t>
      </w:r>
      <w:r>
        <w:rPr>
          <w:noProof/>
          <w:webHidden/>
        </w:rPr>
        <w:tab/>
        <w:t>52</w:t>
      </w:r>
    </w:p>
    <w:p w:rsidR="00000000" w:rsidRDefault="00000000">
      <w:pPr>
        <w:tabs>
          <w:tab w:val="left" w:pos="567"/>
          <w:tab w:val="left" w:pos="1134"/>
          <w:tab w:val="left" w:pos="1701"/>
          <w:tab w:val="right" w:leader="dot" w:pos="7097"/>
          <w:tab w:val="center" w:pos="8051"/>
          <w:tab w:val="right" w:pos="9185"/>
        </w:tabs>
        <w:spacing w:after="80"/>
        <w:ind w:left="2268" w:hanging="567"/>
        <w:rPr>
          <w:rFonts w:eastAsia="SimSun"/>
          <w:noProof/>
          <w:szCs w:val="24"/>
          <w:lang w:eastAsia="zh-CN"/>
        </w:rPr>
      </w:pPr>
      <w:r>
        <w:rPr>
          <w:bCs/>
          <w:i/>
          <w:iCs/>
          <w:noProof/>
        </w:rPr>
        <w:t>c)</w:t>
      </w:r>
      <w:r>
        <w:rPr>
          <w:bCs/>
          <w:i/>
          <w:iCs/>
          <w:noProof/>
        </w:rPr>
        <w:tab/>
        <w:t xml:space="preserve">Droit au logement </w:t>
      </w:r>
      <w:r>
        <w:rPr>
          <w:bCs/>
          <w:noProof/>
        </w:rPr>
        <w:t>(art. 5, al. e, iii))</w:t>
      </w:r>
      <w:r>
        <w:rPr>
          <w:bCs/>
          <w:noProof/>
        </w:rPr>
        <w:tab/>
      </w:r>
      <w:r>
        <w:rPr>
          <w:noProof/>
          <w:webHidden/>
        </w:rPr>
        <w:tab/>
        <w:t>179−183</w:t>
      </w:r>
      <w:r>
        <w:rPr>
          <w:noProof/>
          <w:webHidden/>
        </w:rPr>
        <w:tab/>
        <w:t>52</w:t>
      </w:r>
    </w:p>
    <w:p w:rsidR="00000000" w:rsidRDefault="00000000">
      <w:pPr>
        <w:tabs>
          <w:tab w:val="left" w:pos="567"/>
          <w:tab w:val="left" w:pos="1134"/>
          <w:tab w:val="left" w:pos="1701"/>
          <w:tab w:val="right" w:leader="dot" w:pos="7097"/>
          <w:tab w:val="center" w:pos="8051"/>
          <w:tab w:val="right" w:pos="9185"/>
        </w:tabs>
        <w:spacing w:after="80"/>
        <w:ind w:left="2268" w:hanging="567"/>
        <w:rPr>
          <w:rFonts w:eastAsia="SimSun"/>
          <w:noProof/>
          <w:szCs w:val="24"/>
          <w:lang w:eastAsia="zh-CN"/>
        </w:rPr>
      </w:pPr>
      <w:r>
        <w:rPr>
          <w:bCs/>
          <w:i/>
          <w:iCs/>
          <w:noProof/>
        </w:rPr>
        <w:t>d)</w:t>
      </w:r>
      <w:r>
        <w:rPr>
          <w:bCs/>
          <w:i/>
          <w:iCs/>
          <w:noProof/>
        </w:rPr>
        <w:tab/>
        <w:t xml:space="preserve">Droit aux soins médicaux publics et à la sécurité </w:t>
      </w:r>
      <w:r>
        <w:rPr>
          <w:bCs/>
          <w:i/>
          <w:iCs/>
          <w:noProof/>
        </w:rPr>
        <w:br/>
        <w:t xml:space="preserve">sociale </w:t>
      </w:r>
      <w:r>
        <w:rPr>
          <w:bCs/>
          <w:noProof/>
        </w:rPr>
        <w:t xml:space="preserve">(art. 5, al. </w:t>
      </w:r>
      <w:r>
        <w:rPr>
          <w:bCs/>
          <w:i/>
          <w:iCs/>
          <w:noProof/>
        </w:rPr>
        <w:t>e</w:t>
      </w:r>
      <w:r>
        <w:rPr>
          <w:bCs/>
          <w:noProof/>
        </w:rPr>
        <w:t>, iv))</w:t>
      </w:r>
      <w:r>
        <w:rPr>
          <w:bCs/>
          <w:noProof/>
        </w:rPr>
        <w:tab/>
      </w:r>
      <w:r>
        <w:rPr>
          <w:noProof/>
          <w:webHidden/>
        </w:rPr>
        <w:tab/>
        <w:t>184−189</w:t>
      </w:r>
      <w:r>
        <w:rPr>
          <w:noProof/>
          <w:webHidden/>
        </w:rPr>
        <w:tab/>
        <w:t>53</w:t>
      </w:r>
    </w:p>
    <w:p w:rsidR="00000000" w:rsidRDefault="00000000">
      <w:pPr>
        <w:tabs>
          <w:tab w:val="left" w:pos="567"/>
          <w:tab w:val="left" w:pos="1134"/>
          <w:tab w:val="left" w:pos="1701"/>
          <w:tab w:val="right" w:leader="dot" w:pos="7097"/>
          <w:tab w:val="center" w:pos="8051"/>
          <w:tab w:val="right" w:pos="9185"/>
        </w:tabs>
        <w:spacing w:after="80"/>
        <w:ind w:left="2268" w:hanging="567"/>
        <w:rPr>
          <w:rFonts w:eastAsia="SimSun"/>
          <w:noProof/>
          <w:szCs w:val="24"/>
          <w:lang w:eastAsia="zh-CN"/>
        </w:rPr>
      </w:pPr>
      <w:r>
        <w:rPr>
          <w:bCs/>
          <w:i/>
          <w:iCs/>
          <w:noProof/>
        </w:rPr>
        <w:t>e</w:t>
      </w:r>
      <w:r>
        <w:rPr>
          <w:i/>
          <w:iCs/>
          <w:noProof/>
        </w:rPr>
        <w:t>)</w:t>
      </w:r>
      <w:r>
        <w:rPr>
          <w:i/>
          <w:iCs/>
          <w:noProof/>
        </w:rPr>
        <w:tab/>
      </w:r>
      <w:r>
        <w:rPr>
          <w:bCs/>
          <w:i/>
          <w:iCs/>
          <w:noProof/>
        </w:rPr>
        <w:t xml:space="preserve">Droit à l’éducation et à la formation </w:t>
      </w:r>
      <w:r>
        <w:rPr>
          <w:bCs/>
          <w:noProof/>
        </w:rPr>
        <w:t xml:space="preserve">(art. 5, al. </w:t>
      </w:r>
      <w:r>
        <w:rPr>
          <w:bCs/>
          <w:i/>
          <w:iCs/>
          <w:noProof/>
        </w:rPr>
        <w:t>e</w:t>
      </w:r>
      <w:r>
        <w:rPr>
          <w:bCs/>
          <w:noProof/>
        </w:rPr>
        <w:t>, v))</w:t>
      </w:r>
      <w:r>
        <w:rPr>
          <w:bCs/>
          <w:noProof/>
        </w:rPr>
        <w:tab/>
      </w:r>
      <w:r>
        <w:rPr>
          <w:noProof/>
          <w:webHidden/>
        </w:rPr>
        <w:t>190</w:t>
      </w:r>
      <w:r>
        <w:rPr>
          <w:noProof/>
          <w:webHidden/>
        </w:rPr>
        <w:tab/>
        <w:t>54</w:t>
      </w:r>
    </w:p>
    <w:p w:rsidR="00000000" w:rsidRDefault="00000000">
      <w:pPr>
        <w:tabs>
          <w:tab w:val="left" w:pos="567"/>
          <w:tab w:val="left" w:pos="1134"/>
          <w:tab w:val="left" w:pos="1701"/>
          <w:tab w:val="right" w:leader="dot" w:pos="6917"/>
          <w:tab w:val="center" w:pos="8051"/>
          <w:tab w:val="right" w:pos="9185"/>
        </w:tabs>
        <w:spacing w:after="100"/>
        <w:ind w:left="2268" w:hanging="567"/>
        <w:rPr>
          <w:rFonts w:eastAsia="SimSun"/>
          <w:noProof/>
          <w:szCs w:val="24"/>
          <w:lang w:eastAsia="zh-CN"/>
        </w:rPr>
      </w:pPr>
      <w:r>
        <w:rPr>
          <w:bCs/>
          <w:i/>
          <w:iCs/>
          <w:noProof/>
        </w:rPr>
        <w:t>f)</w:t>
      </w:r>
      <w:r>
        <w:rPr>
          <w:bCs/>
          <w:i/>
          <w:iCs/>
          <w:noProof/>
        </w:rPr>
        <w:tab/>
        <w:t xml:space="preserve">Droit d’accès à tous les lieux et services destinés </w:t>
      </w:r>
      <w:r>
        <w:rPr>
          <w:bCs/>
          <w:i/>
          <w:iCs/>
          <w:noProof/>
        </w:rPr>
        <w:br/>
        <w:t>à l’usage du public</w:t>
      </w:r>
      <w:r>
        <w:rPr>
          <w:bCs/>
          <w:noProof/>
        </w:rPr>
        <w:t xml:space="preserve"> (art. 5, al. </w:t>
      </w:r>
      <w:r>
        <w:rPr>
          <w:bCs/>
          <w:i/>
          <w:iCs/>
          <w:noProof/>
        </w:rPr>
        <w:t>f</w:t>
      </w:r>
      <w:r>
        <w:rPr>
          <w:bCs/>
          <w:noProof/>
        </w:rPr>
        <w:t>)</w:t>
      </w:r>
      <w:r>
        <w:rPr>
          <w:bCs/>
          <w:noProof/>
        </w:rPr>
        <w:tab/>
      </w:r>
      <w:r>
        <w:rPr>
          <w:noProof/>
          <w:webHidden/>
        </w:rPr>
        <w:tab/>
        <w:t>191</w:t>
      </w:r>
      <w:r>
        <w:rPr>
          <w:noProof/>
          <w:webHidden/>
        </w:rPr>
        <w:tab/>
        <w:t>54</w:t>
      </w:r>
    </w:p>
    <w:p w:rsidR="00000000" w:rsidRDefault="00000000">
      <w:pPr>
        <w:spacing w:after="240"/>
        <w:jc w:val="center"/>
        <w:rPr>
          <w:b/>
          <w:bCs/>
          <w:szCs w:val="24"/>
        </w:rPr>
      </w:pPr>
      <w:r>
        <w:rPr>
          <w:noProof/>
        </w:rPr>
        <w:br w:type="page"/>
      </w:r>
      <w:r>
        <w:rPr>
          <w:b/>
          <w:bCs/>
          <w:szCs w:val="24"/>
        </w:rPr>
        <w:t>TABLE DES MATIÈRES (</w:t>
      </w:r>
      <w:r>
        <w:rPr>
          <w:b/>
          <w:bCs/>
          <w:i/>
          <w:iCs/>
          <w:szCs w:val="24"/>
        </w:rPr>
        <w:t>suite</w:t>
      </w:r>
      <w:r>
        <w:rPr>
          <w:b/>
          <w:bCs/>
          <w:szCs w:val="24"/>
        </w:rPr>
        <w:t>)</w:t>
      </w:r>
    </w:p>
    <w:p w:rsidR="00000000" w:rsidRDefault="00000000">
      <w:pPr>
        <w:tabs>
          <w:tab w:val="center" w:pos="8051"/>
          <w:tab w:val="right" w:pos="9360"/>
        </w:tabs>
        <w:spacing w:after="240"/>
        <w:rPr>
          <w:noProof/>
          <w:webHidden/>
        </w:rPr>
      </w:pPr>
      <w:r>
        <w:rPr>
          <w:i/>
          <w:iCs/>
          <w:lang w:eastAsia="de-CH"/>
        </w:rPr>
        <w:t>Chapitre</w:t>
      </w:r>
      <w:r>
        <w:rPr>
          <w:i/>
          <w:iCs/>
          <w:lang w:eastAsia="de-CH"/>
        </w:rPr>
        <w:tab/>
        <w:t>Paragraphes</w:t>
      </w:r>
      <w:r>
        <w:rPr>
          <w:i/>
          <w:iCs/>
          <w:lang w:eastAsia="de-CH"/>
        </w:rPr>
        <w:tab/>
        <w:t>Page</w:t>
      </w:r>
    </w:p>
    <w:p w:rsidR="00000000" w:rsidRDefault="00000000">
      <w:pPr>
        <w:tabs>
          <w:tab w:val="left" w:pos="567"/>
          <w:tab w:val="left" w:pos="1134"/>
          <w:tab w:val="left" w:pos="1701"/>
          <w:tab w:val="right" w:leader="dot" w:pos="7153"/>
          <w:tab w:val="center" w:pos="8051"/>
          <w:tab w:val="right" w:pos="9185"/>
        </w:tabs>
        <w:spacing w:after="100"/>
        <w:ind w:left="1134" w:hanging="567"/>
        <w:rPr>
          <w:rFonts w:eastAsia="SimSun"/>
          <w:b/>
          <w:noProof/>
          <w:szCs w:val="24"/>
          <w:lang w:eastAsia="zh-CN"/>
        </w:rPr>
      </w:pPr>
      <w:r>
        <w:rPr>
          <w:noProof/>
        </w:rPr>
        <w:t>E.</w:t>
      </w:r>
      <w:r>
        <w:rPr>
          <w:noProof/>
        </w:rPr>
        <w:tab/>
        <w:t>Garantie de voies de recours effectives (art. 6)</w:t>
      </w:r>
      <w:r>
        <w:rPr>
          <w:noProof/>
          <w:webHidden/>
        </w:rPr>
        <w:tab/>
      </w:r>
      <w:r>
        <w:rPr>
          <w:noProof/>
          <w:webHidden/>
        </w:rPr>
        <w:tab/>
        <w:t>192−193</w:t>
      </w:r>
      <w:r>
        <w:rPr>
          <w:noProof/>
          <w:webHidden/>
        </w:rPr>
        <w:tab/>
        <w:t>55</w:t>
      </w:r>
    </w:p>
    <w:p w:rsidR="00000000" w:rsidRDefault="00000000">
      <w:pPr>
        <w:tabs>
          <w:tab w:val="left" w:pos="567"/>
          <w:tab w:val="left" w:pos="1134"/>
          <w:tab w:val="left" w:pos="1701"/>
          <w:tab w:val="right" w:leader="dot" w:pos="7153"/>
          <w:tab w:val="center" w:pos="8051"/>
          <w:tab w:val="right" w:pos="9185"/>
        </w:tabs>
        <w:spacing w:after="100"/>
        <w:ind w:left="1134" w:hanging="567"/>
        <w:rPr>
          <w:rFonts w:eastAsia="SimSun"/>
          <w:b/>
          <w:noProof/>
          <w:szCs w:val="24"/>
          <w:lang w:eastAsia="zh-CN"/>
        </w:rPr>
      </w:pPr>
      <w:r>
        <w:rPr>
          <w:noProof/>
        </w:rPr>
        <w:t>F.</w:t>
      </w:r>
      <w:r>
        <w:rPr>
          <w:noProof/>
        </w:rPr>
        <w:tab/>
        <w:t>Mesures dans les domaines de l’enseignement, de l’éducation,</w:t>
      </w:r>
      <w:r>
        <w:rPr>
          <w:noProof/>
        </w:rPr>
        <w:br/>
        <w:t>de la culture et de l’information (art. 7)</w:t>
      </w:r>
      <w:r>
        <w:rPr>
          <w:noProof/>
          <w:webHidden/>
        </w:rPr>
        <w:tab/>
      </w:r>
      <w:r>
        <w:rPr>
          <w:noProof/>
          <w:webHidden/>
        </w:rPr>
        <w:tab/>
        <w:t>194−233</w:t>
      </w:r>
      <w:r>
        <w:rPr>
          <w:noProof/>
          <w:webHidden/>
        </w:rPr>
        <w:tab/>
        <w:t>55</w:t>
      </w:r>
    </w:p>
    <w:p w:rsidR="00000000" w:rsidRDefault="00000000">
      <w:pPr>
        <w:tabs>
          <w:tab w:val="left" w:pos="567"/>
          <w:tab w:val="left" w:pos="1134"/>
          <w:tab w:val="left" w:pos="1701"/>
          <w:tab w:val="right" w:leader="dot" w:pos="7153"/>
          <w:tab w:val="center" w:pos="8051"/>
          <w:tab w:val="right" w:pos="9185"/>
        </w:tabs>
        <w:spacing w:after="100"/>
        <w:ind w:left="1701" w:hanging="567"/>
        <w:rPr>
          <w:rFonts w:eastAsia="SimSun"/>
          <w:noProof/>
          <w:szCs w:val="24"/>
          <w:lang w:eastAsia="zh-CN"/>
        </w:rPr>
      </w:pPr>
      <w:r>
        <w:rPr>
          <w:noProof/>
        </w:rPr>
        <w:t>1.</w:t>
      </w:r>
      <w:r>
        <w:rPr>
          <w:noProof/>
        </w:rPr>
        <w:tab/>
        <w:t>Service de lutte contre le racisme (SLR)</w:t>
      </w:r>
      <w:r>
        <w:rPr>
          <w:noProof/>
        </w:rPr>
        <w:tab/>
      </w:r>
      <w:r>
        <w:rPr>
          <w:noProof/>
          <w:webHidden/>
        </w:rPr>
        <w:tab/>
        <w:t>194−205</w:t>
      </w:r>
      <w:r>
        <w:rPr>
          <w:noProof/>
          <w:webHidden/>
        </w:rPr>
        <w:tab/>
        <w:t>55</w:t>
      </w:r>
    </w:p>
    <w:p w:rsidR="00000000" w:rsidRDefault="00000000">
      <w:pPr>
        <w:tabs>
          <w:tab w:val="left" w:pos="567"/>
          <w:tab w:val="left" w:pos="1134"/>
          <w:tab w:val="left" w:pos="1701"/>
          <w:tab w:val="right" w:leader="dot" w:pos="7153"/>
          <w:tab w:val="center" w:pos="8051"/>
          <w:tab w:val="right" w:pos="9185"/>
        </w:tabs>
        <w:spacing w:after="100"/>
        <w:ind w:left="2268" w:hanging="567"/>
        <w:rPr>
          <w:rFonts w:eastAsia="SimSun"/>
          <w:noProof/>
          <w:szCs w:val="24"/>
          <w:lang w:eastAsia="zh-CN"/>
        </w:rPr>
      </w:pPr>
      <w:r>
        <w:rPr>
          <w:i/>
          <w:iCs/>
          <w:noProof/>
        </w:rPr>
        <w:t>a)</w:t>
      </w:r>
      <w:r>
        <w:rPr>
          <w:i/>
          <w:iCs/>
          <w:noProof/>
        </w:rPr>
        <w:tab/>
      </w:r>
      <w:r>
        <w:rPr>
          <w:bCs/>
          <w:i/>
          <w:iCs/>
          <w:noProof/>
        </w:rPr>
        <w:t>Activités du SLR</w:t>
      </w:r>
      <w:r>
        <w:rPr>
          <w:noProof/>
          <w:webHidden/>
        </w:rPr>
        <w:tab/>
      </w:r>
      <w:r>
        <w:rPr>
          <w:noProof/>
          <w:webHidden/>
        </w:rPr>
        <w:tab/>
        <w:t>194−198</w:t>
      </w:r>
      <w:r>
        <w:rPr>
          <w:noProof/>
          <w:webHidden/>
        </w:rPr>
        <w:tab/>
        <w:t>56</w:t>
      </w:r>
    </w:p>
    <w:p w:rsidR="00000000" w:rsidRDefault="00000000">
      <w:pPr>
        <w:tabs>
          <w:tab w:val="left" w:pos="567"/>
          <w:tab w:val="left" w:pos="1134"/>
          <w:tab w:val="left" w:pos="1701"/>
          <w:tab w:val="right" w:leader="dot" w:pos="7153"/>
          <w:tab w:val="center" w:pos="8051"/>
          <w:tab w:val="right" w:pos="9185"/>
        </w:tabs>
        <w:spacing w:after="100"/>
        <w:ind w:left="2268" w:hanging="567"/>
        <w:rPr>
          <w:rFonts w:eastAsia="SimSun"/>
          <w:noProof/>
          <w:szCs w:val="24"/>
          <w:lang w:eastAsia="zh-CN"/>
        </w:rPr>
      </w:pPr>
      <w:r>
        <w:rPr>
          <w:i/>
          <w:iCs/>
          <w:noProof/>
        </w:rPr>
        <w:t>b)</w:t>
      </w:r>
      <w:r>
        <w:rPr>
          <w:i/>
          <w:iCs/>
          <w:noProof/>
        </w:rPr>
        <w:tab/>
      </w:r>
      <w:r>
        <w:rPr>
          <w:bCs/>
          <w:i/>
          <w:iCs/>
          <w:noProof/>
        </w:rPr>
        <w:t xml:space="preserve">Fonds de  projets contre le racisme et en faveur </w:t>
      </w:r>
      <w:r>
        <w:rPr>
          <w:bCs/>
          <w:i/>
          <w:iCs/>
          <w:noProof/>
        </w:rPr>
        <w:br/>
        <w:t xml:space="preserve">des </w:t>
      </w:r>
      <w:r>
        <w:rPr>
          <w:i/>
          <w:iCs/>
          <w:noProof/>
        </w:rPr>
        <w:t>droits</w:t>
      </w:r>
      <w:r>
        <w:rPr>
          <w:bCs/>
          <w:i/>
          <w:iCs/>
          <w:noProof/>
        </w:rPr>
        <w:t xml:space="preserve"> humains</w:t>
      </w:r>
      <w:r>
        <w:rPr>
          <w:bCs/>
          <w:i/>
          <w:iCs/>
          <w:noProof/>
        </w:rPr>
        <w:tab/>
      </w:r>
      <w:r>
        <w:rPr>
          <w:bCs/>
          <w:i/>
          <w:iCs/>
          <w:noProof/>
        </w:rPr>
        <w:tab/>
      </w:r>
      <w:r>
        <w:rPr>
          <w:bCs/>
          <w:noProof/>
        </w:rPr>
        <w:t>199−205</w:t>
      </w:r>
      <w:r>
        <w:rPr>
          <w:noProof/>
          <w:webHidden/>
        </w:rPr>
        <w:tab/>
        <w:t>57</w:t>
      </w:r>
    </w:p>
    <w:p w:rsidR="00000000" w:rsidRDefault="00000000">
      <w:pPr>
        <w:tabs>
          <w:tab w:val="left" w:pos="567"/>
          <w:tab w:val="left" w:pos="1134"/>
          <w:tab w:val="left" w:pos="1701"/>
          <w:tab w:val="right" w:leader="dot" w:pos="7153"/>
          <w:tab w:val="center" w:pos="8051"/>
          <w:tab w:val="right" w:pos="9185"/>
        </w:tabs>
        <w:spacing w:after="100"/>
        <w:ind w:left="1701" w:hanging="567"/>
        <w:rPr>
          <w:rFonts w:eastAsia="SimSun"/>
          <w:noProof/>
          <w:szCs w:val="24"/>
          <w:lang w:eastAsia="zh-CN"/>
        </w:rPr>
      </w:pPr>
      <w:r>
        <w:rPr>
          <w:noProof/>
        </w:rPr>
        <w:t>2.</w:t>
      </w:r>
      <w:r>
        <w:rPr>
          <w:noProof/>
        </w:rPr>
        <w:tab/>
        <w:t>Commission fédérale contre le racisme (CFR)</w:t>
      </w:r>
      <w:r>
        <w:rPr>
          <w:noProof/>
          <w:webHidden/>
        </w:rPr>
        <w:tab/>
      </w:r>
      <w:r>
        <w:rPr>
          <w:noProof/>
          <w:webHidden/>
        </w:rPr>
        <w:tab/>
        <w:t>206−211</w:t>
      </w:r>
      <w:r>
        <w:rPr>
          <w:noProof/>
          <w:webHidden/>
        </w:rPr>
        <w:tab/>
        <w:t>59</w:t>
      </w:r>
    </w:p>
    <w:p w:rsidR="00000000" w:rsidRDefault="00000000">
      <w:pPr>
        <w:tabs>
          <w:tab w:val="left" w:pos="567"/>
          <w:tab w:val="left" w:pos="1134"/>
          <w:tab w:val="left" w:pos="1701"/>
          <w:tab w:val="right" w:leader="dot" w:pos="7153"/>
          <w:tab w:val="center" w:pos="8051"/>
          <w:tab w:val="right" w:pos="9185"/>
        </w:tabs>
        <w:spacing w:after="100"/>
        <w:ind w:left="1701" w:hanging="567"/>
        <w:rPr>
          <w:rFonts w:eastAsia="SimSun"/>
          <w:noProof/>
          <w:szCs w:val="24"/>
          <w:lang w:eastAsia="zh-CN"/>
        </w:rPr>
      </w:pPr>
      <w:r>
        <w:rPr>
          <w:noProof/>
        </w:rPr>
        <w:t>3.</w:t>
      </w:r>
      <w:r>
        <w:rPr>
          <w:noProof/>
        </w:rPr>
        <w:tab/>
        <w:t>Commission fédérale des étrangers (CFE)</w:t>
      </w:r>
      <w:r>
        <w:rPr>
          <w:noProof/>
          <w:webHidden/>
        </w:rPr>
        <w:tab/>
      </w:r>
      <w:r>
        <w:rPr>
          <w:noProof/>
          <w:webHidden/>
        </w:rPr>
        <w:tab/>
        <w:t>212−215</w:t>
      </w:r>
      <w:r>
        <w:rPr>
          <w:noProof/>
          <w:webHidden/>
        </w:rPr>
        <w:tab/>
        <w:t>61</w:t>
      </w:r>
    </w:p>
    <w:p w:rsidR="00000000" w:rsidRDefault="00000000">
      <w:pPr>
        <w:tabs>
          <w:tab w:val="left" w:pos="567"/>
          <w:tab w:val="left" w:pos="1134"/>
          <w:tab w:val="left" w:pos="1701"/>
          <w:tab w:val="right" w:leader="dot" w:pos="7153"/>
          <w:tab w:val="center" w:pos="8051"/>
          <w:tab w:val="right" w:pos="9185"/>
        </w:tabs>
        <w:spacing w:after="100"/>
        <w:ind w:left="1701" w:hanging="567"/>
        <w:rPr>
          <w:rFonts w:eastAsia="SimSun"/>
          <w:noProof/>
          <w:szCs w:val="24"/>
          <w:lang w:eastAsia="zh-CN"/>
        </w:rPr>
      </w:pPr>
      <w:r>
        <w:rPr>
          <w:noProof/>
        </w:rPr>
        <w:t>4.</w:t>
      </w:r>
      <w:r>
        <w:rPr>
          <w:noProof/>
        </w:rPr>
        <w:tab/>
        <w:t>Mesures concernant l’enseignement et l’éducation</w:t>
      </w:r>
      <w:r>
        <w:rPr>
          <w:noProof/>
          <w:webHidden/>
        </w:rPr>
        <w:tab/>
      </w:r>
      <w:r>
        <w:rPr>
          <w:noProof/>
          <w:webHidden/>
        </w:rPr>
        <w:tab/>
        <w:t>216−221</w:t>
      </w:r>
      <w:r>
        <w:rPr>
          <w:noProof/>
          <w:webHidden/>
        </w:rPr>
        <w:tab/>
        <w:t>62</w:t>
      </w:r>
    </w:p>
    <w:p w:rsidR="00000000" w:rsidRDefault="00000000">
      <w:pPr>
        <w:tabs>
          <w:tab w:val="left" w:pos="567"/>
          <w:tab w:val="left" w:pos="1134"/>
          <w:tab w:val="left" w:pos="1701"/>
          <w:tab w:val="right" w:leader="dot" w:pos="7153"/>
          <w:tab w:val="center" w:pos="8051"/>
          <w:tab w:val="right" w:pos="9185"/>
        </w:tabs>
        <w:spacing w:after="100"/>
        <w:ind w:left="1701" w:hanging="567"/>
        <w:rPr>
          <w:rFonts w:eastAsia="SimSun"/>
          <w:noProof/>
          <w:szCs w:val="24"/>
          <w:lang w:eastAsia="zh-CN"/>
        </w:rPr>
      </w:pPr>
      <w:r>
        <w:rPr>
          <w:noProof/>
        </w:rPr>
        <w:t>5.</w:t>
      </w:r>
      <w:r>
        <w:rPr>
          <w:noProof/>
        </w:rPr>
        <w:tab/>
        <w:t>Médias</w:t>
      </w:r>
      <w:r>
        <w:rPr>
          <w:noProof/>
        </w:rPr>
        <w:tab/>
      </w:r>
      <w:r>
        <w:rPr>
          <w:noProof/>
          <w:webHidden/>
        </w:rPr>
        <w:tab/>
        <w:t>222−233</w:t>
      </w:r>
      <w:r>
        <w:rPr>
          <w:noProof/>
          <w:webHidden/>
        </w:rPr>
        <w:tab/>
        <w:t>63</w:t>
      </w:r>
    </w:p>
    <w:p w:rsidR="00000000" w:rsidRDefault="00000000">
      <w:pPr>
        <w:tabs>
          <w:tab w:val="left" w:pos="567"/>
          <w:tab w:val="left" w:pos="1134"/>
          <w:tab w:val="left" w:pos="1701"/>
          <w:tab w:val="right" w:leader="dot" w:pos="7153"/>
          <w:tab w:val="center" w:pos="8051"/>
          <w:tab w:val="right" w:pos="9185"/>
        </w:tabs>
        <w:spacing w:after="100"/>
        <w:ind w:left="2268" w:hanging="567"/>
        <w:rPr>
          <w:rFonts w:eastAsia="SimSun"/>
          <w:noProof/>
          <w:szCs w:val="24"/>
          <w:lang w:eastAsia="zh-CN"/>
        </w:rPr>
      </w:pPr>
      <w:r>
        <w:rPr>
          <w:i/>
          <w:iCs/>
          <w:noProof/>
        </w:rPr>
        <w:t>a)</w:t>
      </w:r>
      <w:r>
        <w:rPr>
          <w:noProof/>
        </w:rPr>
        <w:tab/>
      </w:r>
      <w:r>
        <w:rPr>
          <w:bCs/>
          <w:i/>
          <w:iCs/>
          <w:noProof/>
        </w:rPr>
        <w:t>Conseil suisse de la presse</w:t>
      </w:r>
      <w:r>
        <w:rPr>
          <w:noProof/>
          <w:webHidden/>
        </w:rPr>
        <w:tab/>
      </w:r>
      <w:r>
        <w:rPr>
          <w:noProof/>
          <w:webHidden/>
        </w:rPr>
        <w:tab/>
        <w:t>223−224</w:t>
      </w:r>
      <w:r>
        <w:rPr>
          <w:noProof/>
          <w:webHidden/>
        </w:rPr>
        <w:tab/>
        <w:t>64</w:t>
      </w:r>
    </w:p>
    <w:p w:rsidR="00000000" w:rsidRDefault="00000000">
      <w:pPr>
        <w:tabs>
          <w:tab w:val="left" w:pos="567"/>
          <w:tab w:val="left" w:pos="1134"/>
          <w:tab w:val="left" w:pos="1701"/>
          <w:tab w:val="right" w:leader="dot" w:pos="7153"/>
          <w:tab w:val="center" w:pos="8051"/>
          <w:tab w:val="right" w:pos="9185"/>
        </w:tabs>
        <w:spacing w:after="100"/>
        <w:ind w:left="2268" w:hanging="567"/>
        <w:rPr>
          <w:rFonts w:eastAsia="SimSun"/>
          <w:noProof/>
          <w:szCs w:val="24"/>
          <w:lang w:eastAsia="zh-CN"/>
        </w:rPr>
      </w:pPr>
      <w:r>
        <w:rPr>
          <w:bCs/>
          <w:i/>
          <w:iCs/>
          <w:noProof/>
        </w:rPr>
        <w:t>b)</w:t>
      </w:r>
      <w:r>
        <w:rPr>
          <w:bCs/>
          <w:i/>
          <w:iCs/>
          <w:noProof/>
        </w:rPr>
        <w:tab/>
        <w:t xml:space="preserve">Autorité indépendante d’examen des plaintes </w:t>
      </w:r>
      <w:r>
        <w:rPr>
          <w:bCs/>
          <w:i/>
          <w:iCs/>
          <w:noProof/>
        </w:rPr>
        <w:br/>
        <w:t>en matière de radiotélévision (AIEP)</w:t>
      </w:r>
      <w:r>
        <w:rPr>
          <w:noProof/>
          <w:webHidden/>
        </w:rPr>
        <w:tab/>
      </w:r>
      <w:r>
        <w:rPr>
          <w:noProof/>
          <w:webHidden/>
        </w:rPr>
        <w:tab/>
        <w:t>225−227</w:t>
      </w:r>
      <w:r>
        <w:rPr>
          <w:noProof/>
          <w:webHidden/>
        </w:rPr>
        <w:tab/>
        <w:t>65</w:t>
      </w:r>
    </w:p>
    <w:p w:rsidR="00000000" w:rsidRDefault="00000000">
      <w:pPr>
        <w:tabs>
          <w:tab w:val="left" w:pos="567"/>
          <w:tab w:val="left" w:pos="1134"/>
          <w:tab w:val="left" w:pos="1701"/>
          <w:tab w:val="right" w:leader="dot" w:pos="7153"/>
          <w:tab w:val="center" w:pos="8051"/>
          <w:tab w:val="right" w:pos="9185"/>
        </w:tabs>
        <w:spacing w:after="100"/>
        <w:ind w:left="2268" w:hanging="567"/>
        <w:rPr>
          <w:rFonts w:eastAsia="SimSun"/>
          <w:noProof/>
          <w:szCs w:val="24"/>
          <w:lang w:eastAsia="zh-CN"/>
        </w:rPr>
      </w:pPr>
      <w:r>
        <w:rPr>
          <w:i/>
          <w:iCs/>
          <w:noProof/>
        </w:rPr>
        <w:t>c)</w:t>
      </w:r>
      <w:r>
        <w:rPr>
          <w:noProof/>
        </w:rPr>
        <w:tab/>
      </w:r>
      <w:r>
        <w:rPr>
          <w:bCs/>
          <w:i/>
          <w:iCs/>
          <w:noProof/>
        </w:rPr>
        <w:t>Télévision suisse (SRG SSR</w:t>
      </w:r>
      <w:r>
        <w:rPr>
          <w:bCs/>
          <w:noProof/>
        </w:rPr>
        <w:t>)</w:t>
      </w:r>
      <w:r>
        <w:rPr>
          <w:bCs/>
          <w:noProof/>
        </w:rPr>
        <w:tab/>
      </w:r>
      <w:r>
        <w:rPr>
          <w:noProof/>
          <w:webHidden/>
        </w:rPr>
        <w:tab/>
        <w:t>228</w:t>
      </w:r>
      <w:r>
        <w:rPr>
          <w:noProof/>
          <w:webHidden/>
        </w:rPr>
        <w:tab/>
        <w:t>65</w:t>
      </w:r>
    </w:p>
    <w:p w:rsidR="00000000" w:rsidRDefault="00000000">
      <w:pPr>
        <w:tabs>
          <w:tab w:val="left" w:pos="567"/>
          <w:tab w:val="left" w:pos="1134"/>
          <w:tab w:val="left" w:pos="1701"/>
          <w:tab w:val="right" w:leader="dot" w:pos="7153"/>
          <w:tab w:val="center" w:pos="8051"/>
          <w:tab w:val="right" w:pos="9185"/>
        </w:tabs>
        <w:spacing w:after="100"/>
        <w:ind w:left="2268" w:hanging="567"/>
        <w:rPr>
          <w:rFonts w:eastAsia="SimSun"/>
          <w:noProof/>
          <w:szCs w:val="24"/>
          <w:lang w:eastAsia="zh-CN"/>
        </w:rPr>
      </w:pPr>
      <w:r>
        <w:rPr>
          <w:bCs/>
          <w:i/>
          <w:iCs/>
          <w:noProof/>
        </w:rPr>
        <w:t>d)</w:t>
      </w:r>
      <w:r>
        <w:rPr>
          <w:bCs/>
          <w:i/>
          <w:iCs/>
          <w:noProof/>
        </w:rPr>
        <w:tab/>
        <w:t xml:space="preserve">Service national de coordination de la lutte contre </w:t>
      </w:r>
      <w:r>
        <w:rPr>
          <w:bCs/>
          <w:i/>
          <w:iCs/>
          <w:noProof/>
        </w:rPr>
        <w:br/>
        <w:t>la criminalité sur Internet (SCOCI)</w:t>
      </w:r>
      <w:r>
        <w:rPr>
          <w:noProof/>
          <w:webHidden/>
        </w:rPr>
        <w:tab/>
      </w:r>
      <w:r>
        <w:rPr>
          <w:noProof/>
          <w:webHidden/>
        </w:rPr>
        <w:tab/>
        <w:t>229</w:t>
      </w:r>
      <w:r>
        <w:rPr>
          <w:noProof/>
          <w:webHidden/>
        </w:rPr>
        <w:tab/>
        <w:t>65</w:t>
      </w:r>
    </w:p>
    <w:p w:rsidR="00000000" w:rsidRDefault="00000000">
      <w:pPr>
        <w:tabs>
          <w:tab w:val="left" w:pos="567"/>
          <w:tab w:val="left" w:pos="1134"/>
          <w:tab w:val="left" w:pos="1701"/>
          <w:tab w:val="right" w:leader="dot" w:pos="7153"/>
          <w:tab w:val="center" w:pos="8051"/>
          <w:tab w:val="right" w:pos="9185"/>
        </w:tabs>
        <w:spacing w:after="100"/>
        <w:ind w:left="2268" w:hanging="567"/>
        <w:rPr>
          <w:rFonts w:eastAsia="SimSun"/>
          <w:noProof/>
          <w:szCs w:val="24"/>
          <w:lang w:eastAsia="zh-CN"/>
        </w:rPr>
      </w:pPr>
      <w:r>
        <w:rPr>
          <w:bCs/>
          <w:i/>
          <w:iCs/>
          <w:noProof/>
        </w:rPr>
        <w:t>e)</w:t>
      </w:r>
      <w:r>
        <w:rPr>
          <w:bCs/>
          <w:i/>
          <w:iCs/>
          <w:noProof/>
        </w:rPr>
        <w:tab/>
        <w:t xml:space="preserve">Étude sur le stéréotypage d’acteurs juifs dans </w:t>
      </w:r>
      <w:r>
        <w:rPr>
          <w:bCs/>
          <w:i/>
          <w:iCs/>
          <w:noProof/>
        </w:rPr>
        <w:br/>
        <w:t>les médias</w:t>
      </w:r>
      <w:r>
        <w:rPr>
          <w:noProof/>
          <w:webHidden/>
        </w:rPr>
        <w:tab/>
      </w:r>
      <w:r>
        <w:rPr>
          <w:noProof/>
          <w:webHidden/>
        </w:rPr>
        <w:tab/>
        <w:t>230−231</w:t>
      </w:r>
      <w:r>
        <w:rPr>
          <w:noProof/>
          <w:webHidden/>
        </w:rPr>
        <w:tab/>
        <w:t>66</w:t>
      </w:r>
    </w:p>
    <w:p w:rsidR="00000000" w:rsidRDefault="00000000">
      <w:pPr>
        <w:tabs>
          <w:tab w:val="left" w:pos="567"/>
          <w:tab w:val="left" w:pos="1134"/>
          <w:tab w:val="left" w:pos="1701"/>
          <w:tab w:val="right" w:leader="dot" w:pos="7153"/>
          <w:tab w:val="center" w:pos="8051"/>
          <w:tab w:val="right" w:pos="9185"/>
        </w:tabs>
        <w:spacing w:after="100"/>
        <w:ind w:left="2268" w:hanging="567"/>
        <w:rPr>
          <w:rFonts w:eastAsia="SimSun"/>
          <w:noProof/>
          <w:szCs w:val="24"/>
          <w:lang w:eastAsia="zh-CN"/>
        </w:rPr>
      </w:pPr>
      <w:r>
        <w:rPr>
          <w:bCs/>
          <w:i/>
          <w:iCs/>
          <w:noProof/>
        </w:rPr>
        <w:t>f)</w:t>
      </w:r>
      <w:r>
        <w:rPr>
          <w:bCs/>
          <w:i/>
          <w:iCs/>
          <w:noProof/>
        </w:rPr>
        <w:tab/>
        <w:t>Conférences</w:t>
      </w:r>
      <w:r>
        <w:rPr>
          <w:noProof/>
          <w:webHidden/>
        </w:rPr>
        <w:tab/>
      </w:r>
      <w:r>
        <w:rPr>
          <w:noProof/>
          <w:webHidden/>
        </w:rPr>
        <w:tab/>
        <w:t>232−233</w:t>
      </w:r>
      <w:r>
        <w:rPr>
          <w:noProof/>
          <w:webHidden/>
        </w:rPr>
        <w:tab/>
        <w:t>67</w:t>
      </w:r>
    </w:p>
    <w:p w:rsidR="00000000" w:rsidRDefault="00000000">
      <w:pPr>
        <w:tabs>
          <w:tab w:val="left" w:pos="567"/>
          <w:tab w:val="left" w:pos="1134"/>
          <w:tab w:val="left" w:pos="1701"/>
          <w:tab w:val="right" w:leader="dot" w:pos="7153"/>
          <w:tab w:val="center" w:pos="8051"/>
          <w:tab w:val="right" w:pos="9185"/>
        </w:tabs>
        <w:spacing w:after="100"/>
        <w:ind w:left="567" w:hanging="567"/>
        <w:rPr>
          <w:rFonts w:eastAsia="SimSun"/>
          <w:b/>
          <w:noProof/>
          <w:szCs w:val="24"/>
          <w:lang w:eastAsia="zh-CN"/>
        </w:rPr>
      </w:pPr>
      <w:r>
        <w:rPr>
          <w:noProof/>
        </w:rPr>
        <w:t>III.</w:t>
      </w:r>
      <w:r>
        <w:rPr>
          <w:noProof/>
        </w:rPr>
        <w:tab/>
        <w:t xml:space="preserve">PRISE DE POSITION RELATIVE AUX CONCLUSIONS DU </w:t>
      </w:r>
      <w:r>
        <w:rPr>
          <w:noProof/>
        </w:rPr>
        <w:br/>
        <w:t>COMITÉ POUR L’ÉLIMINATION DE LA DISCRIMINATION</w:t>
      </w:r>
      <w:r>
        <w:rPr>
          <w:noProof/>
        </w:rPr>
        <w:br/>
        <w:t>RACIALE DU 21 MARS 2002</w:t>
      </w:r>
      <w:r>
        <w:rPr>
          <w:noProof/>
          <w:webHidden/>
        </w:rPr>
        <w:tab/>
      </w:r>
      <w:r>
        <w:rPr>
          <w:noProof/>
          <w:webHidden/>
        </w:rPr>
        <w:tab/>
        <w:t>234−349</w:t>
      </w:r>
      <w:r>
        <w:rPr>
          <w:noProof/>
          <w:webHidden/>
        </w:rPr>
        <w:tab/>
        <w:t>68</w:t>
      </w:r>
    </w:p>
    <w:p w:rsidR="00000000" w:rsidRDefault="00000000">
      <w:pPr>
        <w:tabs>
          <w:tab w:val="left" w:pos="567"/>
          <w:tab w:val="left" w:pos="1134"/>
          <w:tab w:val="left" w:pos="1701"/>
          <w:tab w:val="right" w:leader="dot" w:pos="7153"/>
          <w:tab w:val="center" w:pos="8051"/>
          <w:tab w:val="right" w:pos="9185"/>
        </w:tabs>
        <w:spacing w:after="100"/>
        <w:ind w:left="1134" w:hanging="567"/>
        <w:rPr>
          <w:rFonts w:eastAsia="SimSun"/>
          <w:b/>
          <w:noProof/>
          <w:szCs w:val="24"/>
          <w:lang w:eastAsia="zh-CN"/>
        </w:rPr>
      </w:pPr>
      <w:r>
        <w:rPr>
          <w:noProof/>
        </w:rPr>
        <w:t>A.</w:t>
      </w:r>
      <w:r>
        <w:rPr>
          <w:noProof/>
        </w:rPr>
        <w:tab/>
        <w:t>Généralités</w:t>
      </w:r>
      <w:r>
        <w:rPr>
          <w:noProof/>
          <w:webHidden/>
        </w:rPr>
        <w:tab/>
      </w:r>
      <w:r>
        <w:rPr>
          <w:noProof/>
          <w:webHidden/>
        </w:rPr>
        <w:tab/>
        <w:t>234−240</w:t>
      </w:r>
      <w:r>
        <w:rPr>
          <w:noProof/>
          <w:webHidden/>
        </w:rPr>
        <w:tab/>
        <w:t>68</w:t>
      </w:r>
    </w:p>
    <w:p w:rsidR="00000000" w:rsidRDefault="00000000">
      <w:pPr>
        <w:tabs>
          <w:tab w:val="left" w:pos="567"/>
          <w:tab w:val="left" w:pos="1134"/>
          <w:tab w:val="left" w:pos="1701"/>
          <w:tab w:val="right" w:leader="dot" w:pos="7153"/>
          <w:tab w:val="center" w:pos="8051"/>
          <w:tab w:val="right" w:pos="9185"/>
        </w:tabs>
        <w:spacing w:after="100"/>
        <w:ind w:left="1134" w:hanging="567"/>
        <w:rPr>
          <w:rFonts w:eastAsia="SimSun"/>
          <w:noProof/>
          <w:szCs w:val="24"/>
          <w:lang w:eastAsia="zh-CN"/>
        </w:rPr>
      </w:pPr>
      <w:r>
        <w:rPr>
          <w:noProof/>
        </w:rPr>
        <w:t>B.</w:t>
      </w:r>
      <w:r>
        <w:rPr>
          <w:noProof/>
        </w:rPr>
        <w:tab/>
        <w:t xml:space="preserve">Fédéralisme </w:t>
      </w:r>
      <w:r>
        <w:rPr>
          <w:iCs/>
          <w:noProof/>
        </w:rPr>
        <w:t>(</w:t>
      </w:r>
      <w:r>
        <w:rPr>
          <w:noProof/>
        </w:rPr>
        <w:t>CERD/C/60/CO/14, par. 8)</w:t>
      </w:r>
      <w:r>
        <w:rPr>
          <w:noProof/>
          <w:webHidden/>
        </w:rPr>
        <w:tab/>
      </w:r>
      <w:r>
        <w:rPr>
          <w:noProof/>
          <w:webHidden/>
        </w:rPr>
        <w:tab/>
        <w:t>235−240</w:t>
      </w:r>
      <w:r>
        <w:rPr>
          <w:noProof/>
          <w:webHidden/>
        </w:rPr>
        <w:tab/>
        <w:t>68</w:t>
      </w:r>
    </w:p>
    <w:p w:rsidR="00000000" w:rsidRDefault="00000000">
      <w:pPr>
        <w:tabs>
          <w:tab w:val="left" w:pos="567"/>
          <w:tab w:val="left" w:pos="1134"/>
          <w:tab w:val="left" w:pos="1701"/>
          <w:tab w:val="right" w:leader="dot" w:pos="7153"/>
          <w:tab w:val="center" w:pos="8051"/>
          <w:tab w:val="right" w:pos="9185"/>
        </w:tabs>
        <w:spacing w:after="100"/>
        <w:ind w:left="1134" w:hanging="567"/>
        <w:rPr>
          <w:rFonts w:eastAsia="SimSun"/>
          <w:noProof/>
          <w:szCs w:val="24"/>
          <w:lang w:eastAsia="zh-CN"/>
        </w:rPr>
      </w:pPr>
      <w:r>
        <w:rPr>
          <w:noProof/>
        </w:rPr>
        <w:t>C.</w:t>
      </w:r>
      <w:r>
        <w:rPr>
          <w:noProof/>
        </w:rPr>
        <w:tab/>
        <w:t xml:space="preserve">Persistance d’attitudes hostiles envers les Noirs, les musulmans </w:t>
      </w:r>
      <w:r>
        <w:rPr>
          <w:noProof/>
        </w:rPr>
        <w:br/>
        <w:t>et les demandeurs d’asile (CERD/C/60/CO/14, par. 9)</w:t>
      </w:r>
      <w:r>
        <w:rPr>
          <w:noProof/>
          <w:webHidden/>
        </w:rPr>
        <w:tab/>
      </w:r>
      <w:r>
        <w:rPr>
          <w:noProof/>
          <w:webHidden/>
        </w:rPr>
        <w:tab/>
        <w:t>241−249</w:t>
      </w:r>
      <w:r>
        <w:rPr>
          <w:noProof/>
          <w:webHidden/>
        </w:rPr>
        <w:tab/>
        <w:t>69</w:t>
      </w:r>
    </w:p>
    <w:p w:rsidR="00000000" w:rsidRDefault="00000000">
      <w:pPr>
        <w:tabs>
          <w:tab w:val="left" w:pos="567"/>
          <w:tab w:val="left" w:pos="1134"/>
          <w:tab w:val="left" w:pos="1701"/>
          <w:tab w:val="right" w:leader="dot" w:pos="7153"/>
          <w:tab w:val="center" w:pos="8051"/>
          <w:tab w:val="right" w:pos="9185"/>
        </w:tabs>
        <w:spacing w:after="100"/>
        <w:ind w:left="1134" w:hanging="567"/>
        <w:rPr>
          <w:rFonts w:eastAsia="SimSun"/>
          <w:noProof/>
          <w:szCs w:val="24"/>
          <w:lang w:eastAsia="zh-CN"/>
        </w:rPr>
      </w:pPr>
      <w:r>
        <w:rPr>
          <w:noProof/>
        </w:rPr>
        <w:t>D.</w:t>
      </w:r>
      <w:r>
        <w:rPr>
          <w:noProof/>
        </w:rPr>
        <w:tab/>
        <w:t>Procédures de naturalisation (CERD/C/60/CO/14, par. 10)</w:t>
      </w:r>
      <w:r>
        <w:rPr>
          <w:noProof/>
          <w:webHidden/>
        </w:rPr>
        <w:tab/>
      </w:r>
      <w:r>
        <w:rPr>
          <w:noProof/>
          <w:webHidden/>
        </w:rPr>
        <w:tab/>
        <w:t>250−269</w:t>
      </w:r>
      <w:r>
        <w:rPr>
          <w:noProof/>
          <w:webHidden/>
        </w:rPr>
        <w:tab/>
        <w:t>71</w:t>
      </w:r>
    </w:p>
    <w:p w:rsidR="00000000" w:rsidRDefault="00000000">
      <w:pPr>
        <w:tabs>
          <w:tab w:val="left" w:pos="567"/>
          <w:tab w:val="left" w:pos="1134"/>
          <w:tab w:val="left" w:pos="1701"/>
          <w:tab w:val="right" w:leader="dot" w:pos="7153"/>
          <w:tab w:val="center" w:pos="8051"/>
          <w:tab w:val="right" w:pos="9185"/>
        </w:tabs>
        <w:spacing w:after="100"/>
        <w:ind w:left="1701" w:hanging="567"/>
        <w:rPr>
          <w:rFonts w:eastAsia="SimSun"/>
          <w:noProof/>
          <w:szCs w:val="24"/>
          <w:lang w:eastAsia="zh-CN"/>
        </w:rPr>
      </w:pPr>
      <w:r>
        <w:rPr>
          <w:noProof/>
        </w:rPr>
        <w:t>1.</w:t>
      </w:r>
      <w:r>
        <w:rPr>
          <w:noProof/>
        </w:rPr>
        <w:tab/>
        <w:t>Jugements du Tribunal fédéral</w:t>
      </w:r>
      <w:r>
        <w:rPr>
          <w:noProof/>
          <w:webHidden/>
        </w:rPr>
        <w:tab/>
      </w:r>
      <w:r>
        <w:rPr>
          <w:noProof/>
          <w:webHidden/>
        </w:rPr>
        <w:tab/>
        <w:t>250−252</w:t>
      </w:r>
      <w:r>
        <w:rPr>
          <w:noProof/>
          <w:webHidden/>
        </w:rPr>
        <w:tab/>
        <w:t>71</w:t>
      </w:r>
    </w:p>
    <w:p w:rsidR="00000000" w:rsidRDefault="00000000">
      <w:pPr>
        <w:tabs>
          <w:tab w:val="left" w:pos="567"/>
          <w:tab w:val="left" w:pos="1134"/>
          <w:tab w:val="left" w:pos="1701"/>
          <w:tab w:val="right" w:leader="dot" w:pos="7153"/>
          <w:tab w:val="center" w:pos="8051"/>
          <w:tab w:val="right" w:pos="9185"/>
        </w:tabs>
        <w:spacing w:after="100"/>
        <w:ind w:left="1701" w:hanging="567"/>
        <w:rPr>
          <w:rFonts w:eastAsia="SimSun"/>
          <w:noProof/>
          <w:szCs w:val="24"/>
          <w:lang w:eastAsia="zh-CN"/>
        </w:rPr>
      </w:pPr>
      <w:r>
        <w:rPr>
          <w:noProof/>
        </w:rPr>
        <w:t>2.</w:t>
      </w:r>
      <w:r>
        <w:rPr>
          <w:noProof/>
        </w:rPr>
        <w:tab/>
        <w:t>Modifications législatives liées aux naturalisations</w:t>
      </w:r>
      <w:r>
        <w:rPr>
          <w:noProof/>
          <w:webHidden/>
        </w:rPr>
        <w:tab/>
      </w:r>
      <w:r>
        <w:rPr>
          <w:noProof/>
          <w:webHidden/>
        </w:rPr>
        <w:tab/>
        <w:t>253−261</w:t>
      </w:r>
      <w:r>
        <w:rPr>
          <w:noProof/>
          <w:webHidden/>
        </w:rPr>
        <w:tab/>
        <w:t>72</w:t>
      </w:r>
    </w:p>
    <w:p w:rsidR="00000000" w:rsidRDefault="00000000">
      <w:pPr>
        <w:tabs>
          <w:tab w:val="left" w:pos="567"/>
          <w:tab w:val="left" w:pos="1134"/>
          <w:tab w:val="left" w:pos="1701"/>
          <w:tab w:val="right" w:leader="dot" w:pos="7153"/>
          <w:tab w:val="center" w:pos="8051"/>
          <w:tab w:val="right" w:pos="9185"/>
        </w:tabs>
        <w:spacing w:after="100"/>
        <w:ind w:left="1701" w:hanging="567"/>
        <w:rPr>
          <w:rFonts w:eastAsia="SimSun"/>
          <w:noProof/>
          <w:szCs w:val="24"/>
          <w:lang w:eastAsia="zh-CN"/>
        </w:rPr>
      </w:pPr>
      <w:r>
        <w:rPr>
          <w:noProof/>
        </w:rPr>
        <w:t>3.</w:t>
      </w:r>
      <w:r>
        <w:rPr>
          <w:noProof/>
        </w:rPr>
        <w:tab/>
        <w:t>Épreuves de langue</w:t>
      </w:r>
      <w:r>
        <w:rPr>
          <w:noProof/>
          <w:webHidden/>
        </w:rPr>
        <w:tab/>
      </w:r>
      <w:r>
        <w:rPr>
          <w:noProof/>
          <w:webHidden/>
        </w:rPr>
        <w:tab/>
        <w:t>262−263</w:t>
      </w:r>
      <w:r>
        <w:rPr>
          <w:noProof/>
          <w:webHidden/>
        </w:rPr>
        <w:tab/>
        <w:t>74</w:t>
      </w:r>
    </w:p>
    <w:p w:rsidR="00000000" w:rsidRDefault="00000000">
      <w:pPr>
        <w:tabs>
          <w:tab w:val="left" w:pos="567"/>
          <w:tab w:val="left" w:pos="1134"/>
          <w:tab w:val="left" w:pos="1701"/>
          <w:tab w:val="right" w:leader="dot" w:pos="7153"/>
          <w:tab w:val="center" w:pos="8051"/>
          <w:tab w:val="right" w:pos="9185"/>
        </w:tabs>
        <w:spacing w:after="100"/>
        <w:ind w:left="1134" w:hanging="567"/>
        <w:rPr>
          <w:noProof/>
          <w:webHidden/>
        </w:rPr>
      </w:pPr>
      <w:r>
        <w:rPr>
          <w:noProof/>
        </w:rPr>
        <w:t>E.</w:t>
      </w:r>
      <w:r>
        <w:rPr>
          <w:noProof/>
        </w:rPr>
        <w:tab/>
        <w:t xml:space="preserve">Création de classes séparées pour les élèves étrangers </w:t>
      </w:r>
      <w:r>
        <w:rPr>
          <w:noProof/>
        </w:rPr>
        <w:br/>
        <w:t>(CERD/C/60/CO/14, par.11)</w:t>
      </w:r>
      <w:r>
        <w:rPr>
          <w:noProof/>
          <w:webHidden/>
        </w:rPr>
        <w:tab/>
      </w:r>
      <w:r>
        <w:rPr>
          <w:noProof/>
          <w:webHidden/>
        </w:rPr>
        <w:tab/>
        <w:t>264−269</w:t>
      </w:r>
      <w:r>
        <w:rPr>
          <w:noProof/>
          <w:webHidden/>
        </w:rPr>
        <w:tab/>
        <w:t>75</w:t>
      </w:r>
    </w:p>
    <w:p w:rsidR="00000000" w:rsidRDefault="00000000">
      <w:pPr>
        <w:spacing w:after="240"/>
        <w:jc w:val="center"/>
        <w:rPr>
          <w:b/>
          <w:bCs/>
          <w:szCs w:val="24"/>
        </w:rPr>
      </w:pPr>
      <w:r>
        <w:rPr>
          <w:noProof/>
          <w:webHidden/>
        </w:rPr>
        <w:br w:type="page"/>
      </w:r>
      <w:r>
        <w:rPr>
          <w:b/>
          <w:bCs/>
          <w:szCs w:val="24"/>
        </w:rPr>
        <w:t>TABLE DES MATIÈRES (</w:t>
      </w:r>
      <w:r>
        <w:rPr>
          <w:b/>
          <w:bCs/>
          <w:i/>
          <w:iCs/>
          <w:szCs w:val="24"/>
        </w:rPr>
        <w:t>suite</w:t>
      </w:r>
      <w:r>
        <w:rPr>
          <w:b/>
          <w:bCs/>
          <w:szCs w:val="24"/>
        </w:rPr>
        <w:t>)</w:t>
      </w:r>
    </w:p>
    <w:p w:rsidR="00000000" w:rsidRDefault="00000000">
      <w:pPr>
        <w:tabs>
          <w:tab w:val="center" w:pos="8051"/>
          <w:tab w:val="right" w:pos="9360"/>
        </w:tabs>
        <w:spacing w:after="240"/>
        <w:rPr>
          <w:noProof/>
          <w:webHidden/>
        </w:rPr>
      </w:pPr>
      <w:r>
        <w:rPr>
          <w:i/>
          <w:iCs/>
          <w:lang w:eastAsia="de-CH"/>
        </w:rPr>
        <w:t>Chapitre</w:t>
      </w:r>
      <w:r>
        <w:rPr>
          <w:i/>
          <w:iCs/>
          <w:lang w:eastAsia="de-CH"/>
        </w:rPr>
        <w:tab/>
        <w:t>Paragraphes</w:t>
      </w:r>
      <w:r>
        <w:rPr>
          <w:i/>
          <w:iCs/>
          <w:lang w:eastAsia="de-CH"/>
        </w:rPr>
        <w:tab/>
        <w:t>Page</w:t>
      </w:r>
    </w:p>
    <w:p w:rsidR="00000000" w:rsidRDefault="00000000">
      <w:pPr>
        <w:tabs>
          <w:tab w:val="left" w:pos="567"/>
          <w:tab w:val="left" w:pos="1134"/>
          <w:tab w:val="left" w:pos="1701"/>
          <w:tab w:val="right" w:leader="dot" w:pos="7139"/>
          <w:tab w:val="center" w:pos="8051"/>
          <w:tab w:val="right" w:pos="9185"/>
        </w:tabs>
        <w:spacing w:after="80"/>
        <w:ind w:left="1134" w:hanging="567"/>
        <w:rPr>
          <w:rFonts w:eastAsia="SimSun"/>
          <w:b/>
          <w:noProof/>
          <w:szCs w:val="24"/>
          <w:lang w:eastAsia="zh-CN"/>
        </w:rPr>
      </w:pPr>
      <w:r>
        <w:rPr>
          <w:noProof/>
        </w:rPr>
        <w:t>F.</w:t>
      </w:r>
      <w:r>
        <w:rPr>
          <w:noProof/>
        </w:rPr>
        <w:tab/>
        <w:t>Police (CERD/C/60/CO/14, par. 12)</w:t>
      </w:r>
      <w:r>
        <w:rPr>
          <w:noProof/>
          <w:webHidden/>
        </w:rPr>
        <w:tab/>
      </w:r>
      <w:r>
        <w:rPr>
          <w:noProof/>
          <w:webHidden/>
        </w:rPr>
        <w:tab/>
        <w:t>270−277</w:t>
      </w:r>
      <w:r>
        <w:rPr>
          <w:noProof/>
          <w:webHidden/>
        </w:rPr>
        <w:tab/>
        <w:t>77</w:t>
      </w:r>
    </w:p>
    <w:p w:rsidR="00000000" w:rsidRDefault="00000000">
      <w:pPr>
        <w:tabs>
          <w:tab w:val="left" w:pos="567"/>
          <w:tab w:val="left" w:pos="1134"/>
          <w:tab w:val="left" w:pos="1701"/>
          <w:tab w:val="right" w:leader="dot" w:pos="7139"/>
          <w:tab w:val="center" w:pos="8051"/>
          <w:tab w:val="right" w:pos="9185"/>
        </w:tabs>
        <w:spacing w:after="80"/>
        <w:ind w:left="1701" w:hanging="567"/>
        <w:rPr>
          <w:noProof/>
        </w:rPr>
      </w:pPr>
      <w:r>
        <w:rPr>
          <w:noProof/>
        </w:rPr>
        <w:t>1.</w:t>
      </w:r>
      <w:r>
        <w:rPr>
          <w:noProof/>
        </w:rPr>
        <w:tab/>
        <w:t>Violence policière</w:t>
      </w:r>
      <w:r>
        <w:rPr>
          <w:noProof/>
          <w:webHidden/>
        </w:rPr>
        <w:tab/>
      </w:r>
      <w:r>
        <w:rPr>
          <w:noProof/>
          <w:webHidden/>
        </w:rPr>
        <w:tab/>
        <w:t>270−272</w:t>
      </w:r>
      <w:r>
        <w:rPr>
          <w:noProof/>
          <w:webHidden/>
        </w:rPr>
        <w:tab/>
        <w:t>77</w:t>
      </w:r>
    </w:p>
    <w:p w:rsidR="00000000" w:rsidRDefault="00000000">
      <w:pPr>
        <w:tabs>
          <w:tab w:val="left" w:pos="567"/>
          <w:tab w:val="left" w:pos="1134"/>
          <w:tab w:val="left" w:pos="1701"/>
          <w:tab w:val="right" w:leader="dot" w:pos="7139"/>
          <w:tab w:val="center" w:pos="8051"/>
          <w:tab w:val="right" w:pos="9185"/>
        </w:tabs>
        <w:spacing w:after="80"/>
        <w:ind w:left="1701" w:hanging="567"/>
        <w:rPr>
          <w:noProof/>
        </w:rPr>
      </w:pPr>
      <w:r>
        <w:rPr>
          <w:noProof/>
        </w:rPr>
        <w:t>2.</w:t>
      </w:r>
      <w:r>
        <w:rPr>
          <w:noProof/>
        </w:rPr>
        <w:tab/>
        <w:t>Médiateur</w:t>
      </w:r>
      <w:r>
        <w:rPr>
          <w:noProof/>
          <w:webHidden/>
        </w:rPr>
        <w:tab/>
      </w:r>
      <w:r>
        <w:rPr>
          <w:noProof/>
          <w:webHidden/>
        </w:rPr>
        <w:tab/>
        <w:t>273</w:t>
      </w:r>
      <w:r>
        <w:rPr>
          <w:noProof/>
          <w:webHidden/>
        </w:rPr>
        <w:tab/>
        <w:t>78</w:t>
      </w:r>
    </w:p>
    <w:p w:rsidR="00000000" w:rsidRDefault="00000000">
      <w:pPr>
        <w:tabs>
          <w:tab w:val="left" w:pos="567"/>
          <w:tab w:val="left" w:pos="1134"/>
          <w:tab w:val="left" w:pos="1701"/>
          <w:tab w:val="right" w:leader="dot" w:pos="7139"/>
          <w:tab w:val="center" w:pos="8051"/>
          <w:tab w:val="right" w:pos="9185"/>
        </w:tabs>
        <w:spacing w:after="80"/>
        <w:ind w:left="1701" w:hanging="567"/>
        <w:rPr>
          <w:noProof/>
        </w:rPr>
      </w:pPr>
      <w:r>
        <w:rPr>
          <w:noProof/>
        </w:rPr>
        <w:t>3.</w:t>
      </w:r>
      <w:r>
        <w:rPr>
          <w:noProof/>
        </w:rPr>
        <w:tab/>
        <w:t xml:space="preserve">Recrutement de membres des groupes minoritaires </w:t>
      </w:r>
      <w:r>
        <w:rPr>
          <w:noProof/>
        </w:rPr>
        <w:br/>
        <w:t>dans la police</w:t>
      </w:r>
      <w:r>
        <w:rPr>
          <w:noProof/>
          <w:webHidden/>
        </w:rPr>
        <w:tab/>
      </w:r>
      <w:r>
        <w:rPr>
          <w:noProof/>
          <w:webHidden/>
        </w:rPr>
        <w:tab/>
        <w:t>274</w:t>
      </w:r>
      <w:r>
        <w:rPr>
          <w:noProof/>
          <w:webHidden/>
        </w:rPr>
        <w:tab/>
        <w:t>78</w:t>
      </w:r>
    </w:p>
    <w:p w:rsidR="00000000" w:rsidRDefault="00000000">
      <w:pPr>
        <w:tabs>
          <w:tab w:val="left" w:pos="567"/>
          <w:tab w:val="left" w:pos="1134"/>
          <w:tab w:val="left" w:pos="1701"/>
          <w:tab w:val="right" w:leader="dot" w:pos="7139"/>
          <w:tab w:val="center" w:pos="8051"/>
          <w:tab w:val="right" w:pos="9185"/>
        </w:tabs>
        <w:spacing w:after="80"/>
        <w:ind w:left="1701" w:hanging="567"/>
        <w:rPr>
          <w:rFonts w:eastAsia="SimSun"/>
          <w:noProof/>
          <w:szCs w:val="24"/>
          <w:lang w:eastAsia="zh-CN"/>
        </w:rPr>
      </w:pPr>
      <w:r>
        <w:rPr>
          <w:noProof/>
        </w:rPr>
        <w:t>4.</w:t>
      </w:r>
      <w:r>
        <w:rPr>
          <w:noProof/>
        </w:rPr>
        <w:tab/>
        <w:t>Formation et sensibilisation</w:t>
      </w:r>
      <w:r>
        <w:rPr>
          <w:noProof/>
          <w:webHidden/>
        </w:rPr>
        <w:tab/>
      </w:r>
      <w:r>
        <w:rPr>
          <w:noProof/>
          <w:webHidden/>
        </w:rPr>
        <w:tab/>
        <w:t>275−277</w:t>
      </w:r>
      <w:r>
        <w:rPr>
          <w:noProof/>
          <w:webHidden/>
        </w:rPr>
        <w:tab/>
        <w:t>78</w:t>
      </w:r>
    </w:p>
    <w:p w:rsidR="00000000" w:rsidRDefault="00000000">
      <w:pPr>
        <w:tabs>
          <w:tab w:val="left" w:pos="567"/>
          <w:tab w:val="left" w:pos="1134"/>
          <w:tab w:val="left" w:pos="1701"/>
          <w:tab w:val="right" w:leader="dot" w:pos="7139"/>
          <w:tab w:val="center" w:pos="8051"/>
          <w:tab w:val="right" w:pos="9185"/>
        </w:tabs>
        <w:spacing w:after="80"/>
        <w:ind w:left="1134" w:hanging="567"/>
        <w:rPr>
          <w:rFonts w:eastAsia="SimSun"/>
          <w:b/>
          <w:noProof/>
          <w:szCs w:val="24"/>
          <w:lang w:eastAsia="zh-CN"/>
        </w:rPr>
      </w:pPr>
      <w:r>
        <w:rPr>
          <w:noProof/>
        </w:rPr>
        <w:t>G.</w:t>
      </w:r>
      <w:r>
        <w:rPr>
          <w:noProof/>
        </w:rPr>
        <w:tab/>
        <w:t xml:space="preserve">Commission fédérale contre le racisme </w:t>
      </w:r>
      <w:r>
        <w:rPr>
          <w:noProof/>
        </w:rPr>
        <w:br/>
        <w:t>(CERD/C/60/CO/14, par. 13)</w:t>
      </w:r>
      <w:r>
        <w:rPr>
          <w:noProof/>
          <w:webHidden/>
        </w:rPr>
        <w:tab/>
      </w:r>
      <w:r>
        <w:rPr>
          <w:noProof/>
          <w:webHidden/>
        </w:rPr>
        <w:tab/>
        <w:t>278−279</w:t>
      </w:r>
      <w:r>
        <w:rPr>
          <w:noProof/>
          <w:webHidden/>
        </w:rPr>
        <w:tab/>
        <w:t>80</w:t>
      </w:r>
    </w:p>
    <w:p w:rsidR="00000000" w:rsidRDefault="00000000">
      <w:pPr>
        <w:tabs>
          <w:tab w:val="left" w:pos="567"/>
          <w:tab w:val="left" w:pos="1134"/>
          <w:tab w:val="left" w:pos="1701"/>
          <w:tab w:val="right" w:leader="dot" w:pos="7139"/>
          <w:tab w:val="center" w:pos="8051"/>
          <w:tab w:val="right" w:pos="9185"/>
        </w:tabs>
        <w:spacing w:after="80"/>
        <w:ind w:left="1701" w:hanging="567"/>
        <w:rPr>
          <w:noProof/>
        </w:rPr>
      </w:pPr>
      <w:r>
        <w:rPr>
          <w:noProof/>
        </w:rPr>
        <w:t>1.</w:t>
      </w:r>
      <w:r>
        <w:rPr>
          <w:noProof/>
        </w:rPr>
        <w:tab/>
        <w:t xml:space="preserve">Commission fédérale contre le racisme et Service </w:t>
      </w:r>
      <w:r>
        <w:rPr>
          <w:noProof/>
        </w:rPr>
        <w:br/>
        <w:t>de lutte contre le racisme</w:t>
      </w:r>
      <w:r>
        <w:rPr>
          <w:noProof/>
        </w:rPr>
        <w:tab/>
      </w:r>
      <w:r>
        <w:rPr>
          <w:noProof/>
        </w:rPr>
        <w:tab/>
        <w:t>278</w:t>
      </w:r>
      <w:r>
        <w:rPr>
          <w:noProof/>
          <w:webHidden/>
        </w:rPr>
        <w:tab/>
        <w:t>80</w:t>
      </w:r>
    </w:p>
    <w:p w:rsidR="00000000" w:rsidRDefault="00000000">
      <w:pPr>
        <w:tabs>
          <w:tab w:val="left" w:pos="567"/>
          <w:tab w:val="left" w:pos="1134"/>
          <w:tab w:val="left" w:pos="1701"/>
          <w:tab w:val="right" w:leader="dot" w:pos="7139"/>
          <w:tab w:val="center" w:pos="8051"/>
          <w:tab w:val="right" w:pos="9185"/>
        </w:tabs>
        <w:spacing w:after="80"/>
        <w:ind w:left="1701" w:hanging="567"/>
        <w:rPr>
          <w:rFonts w:eastAsia="SimSun"/>
          <w:noProof/>
          <w:szCs w:val="24"/>
          <w:lang w:eastAsia="zh-CN"/>
        </w:rPr>
      </w:pPr>
      <w:r>
        <w:rPr>
          <w:noProof/>
        </w:rPr>
        <w:t>2.</w:t>
      </w:r>
      <w:r>
        <w:rPr>
          <w:noProof/>
        </w:rPr>
        <w:tab/>
        <w:t>Organe de protection des droits humains</w:t>
      </w:r>
      <w:r>
        <w:rPr>
          <w:noProof/>
          <w:webHidden/>
        </w:rPr>
        <w:tab/>
      </w:r>
      <w:r>
        <w:rPr>
          <w:noProof/>
          <w:webHidden/>
        </w:rPr>
        <w:tab/>
        <w:t>279</w:t>
      </w:r>
      <w:r>
        <w:rPr>
          <w:noProof/>
          <w:webHidden/>
        </w:rPr>
        <w:tab/>
        <w:t>80</w:t>
      </w:r>
    </w:p>
    <w:p w:rsidR="00000000" w:rsidRDefault="00000000">
      <w:pPr>
        <w:tabs>
          <w:tab w:val="left" w:pos="567"/>
          <w:tab w:val="left" w:pos="1134"/>
          <w:tab w:val="left" w:pos="1701"/>
          <w:tab w:val="right" w:leader="dot" w:pos="7139"/>
          <w:tab w:val="center" w:pos="8051"/>
          <w:tab w:val="right" w:pos="9185"/>
        </w:tabs>
        <w:spacing w:after="80"/>
        <w:ind w:left="1134" w:hanging="567"/>
        <w:rPr>
          <w:rFonts w:eastAsia="SimSun"/>
          <w:b/>
          <w:noProof/>
          <w:szCs w:val="24"/>
          <w:lang w:eastAsia="zh-CN"/>
        </w:rPr>
      </w:pPr>
      <w:r>
        <w:rPr>
          <w:noProof/>
        </w:rPr>
        <w:t>H.</w:t>
      </w:r>
      <w:r>
        <w:rPr>
          <w:noProof/>
        </w:rPr>
        <w:tab/>
        <w:t>Politique d’immigration (CERD/C/60/CO/14, par. 14)</w:t>
      </w:r>
      <w:r>
        <w:rPr>
          <w:noProof/>
          <w:webHidden/>
        </w:rPr>
        <w:tab/>
      </w:r>
      <w:r>
        <w:rPr>
          <w:noProof/>
          <w:webHidden/>
        </w:rPr>
        <w:tab/>
        <w:t>280</w:t>
      </w:r>
      <w:r>
        <w:rPr>
          <w:noProof/>
          <w:webHidden/>
        </w:rPr>
        <w:tab/>
        <w:t>80</w:t>
      </w:r>
    </w:p>
    <w:p w:rsidR="00000000" w:rsidRDefault="00000000">
      <w:pPr>
        <w:tabs>
          <w:tab w:val="left" w:pos="567"/>
          <w:tab w:val="left" w:pos="1134"/>
          <w:tab w:val="left" w:pos="1701"/>
          <w:tab w:val="right" w:leader="dot" w:pos="7139"/>
          <w:tab w:val="center" w:pos="8051"/>
          <w:tab w:val="right" w:pos="9185"/>
        </w:tabs>
        <w:spacing w:after="80"/>
        <w:ind w:left="1134" w:hanging="567"/>
        <w:rPr>
          <w:noProof/>
        </w:rPr>
      </w:pPr>
      <w:r>
        <w:rPr>
          <w:noProof/>
        </w:rPr>
        <w:t>I.</w:t>
      </w:r>
      <w:r>
        <w:rPr>
          <w:noProof/>
        </w:rPr>
        <w:tab/>
        <w:t>Gens du voyage (CERD/C/60/CO/14, par. 15)</w:t>
      </w:r>
      <w:r>
        <w:rPr>
          <w:noProof/>
          <w:webHidden/>
        </w:rPr>
        <w:tab/>
      </w:r>
      <w:r>
        <w:rPr>
          <w:noProof/>
          <w:webHidden/>
        </w:rPr>
        <w:tab/>
        <w:t>281−310</w:t>
      </w:r>
      <w:r>
        <w:rPr>
          <w:noProof/>
          <w:webHidden/>
        </w:rPr>
        <w:tab/>
        <w:t>81</w:t>
      </w:r>
    </w:p>
    <w:p w:rsidR="00000000" w:rsidRDefault="00000000">
      <w:pPr>
        <w:tabs>
          <w:tab w:val="left" w:pos="567"/>
          <w:tab w:val="left" w:pos="1134"/>
          <w:tab w:val="left" w:pos="1701"/>
          <w:tab w:val="right" w:leader="dot" w:pos="7139"/>
          <w:tab w:val="center" w:pos="8051"/>
          <w:tab w:val="right" w:pos="9185"/>
        </w:tabs>
        <w:spacing w:after="80"/>
        <w:ind w:left="1701" w:hanging="567"/>
        <w:rPr>
          <w:noProof/>
        </w:rPr>
      </w:pPr>
      <w:r>
        <w:rPr>
          <w:noProof/>
        </w:rPr>
        <w:t>1.</w:t>
      </w:r>
      <w:r>
        <w:rPr>
          <w:noProof/>
        </w:rPr>
        <w:tab/>
        <w:t>Évolutions au niveau national</w:t>
      </w:r>
      <w:r>
        <w:rPr>
          <w:noProof/>
          <w:webHidden/>
        </w:rPr>
        <w:tab/>
      </w:r>
      <w:r>
        <w:rPr>
          <w:noProof/>
          <w:webHidden/>
        </w:rPr>
        <w:tab/>
        <w:t>282−288</w:t>
      </w:r>
      <w:r>
        <w:rPr>
          <w:noProof/>
          <w:webHidden/>
        </w:rPr>
        <w:tab/>
        <w:t>81</w:t>
      </w:r>
    </w:p>
    <w:p w:rsidR="00000000" w:rsidRDefault="00000000">
      <w:pPr>
        <w:tabs>
          <w:tab w:val="left" w:pos="567"/>
          <w:tab w:val="left" w:pos="1134"/>
          <w:tab w:val="left" w:pos="1701"/>
          <w:tab w:val="right" w:leader="dot" w:pos="7139"/>
          <w:tab w:val="center" w:pos="8051"/>
          <w:tab w:val="right" w:pos="9185"/>
        </w:tabs>
        <w:spacing w:after="80"/>
        <w:ind w:left="1701" w:hanging="567"/>
        <w:rPr>
          <w:noProof/>
        </w:rPr>
      </w:pPr>
      <w:r>
        <w:rPr>
          <w:noProof/>
        </w:rPr>
        <w:t>2.</w:t>
      </w:r>
      <w:r>
        <w:rPr>
          <w:noProof/>
        </w:rPr>
        <w:tab/>
        <w:t>Organisations internationales</w:t>
      </w:r>
      <w:r>
        <w:rPr>
          <w:noProof/>
          <w:webHidden/>
        </w:rPr>
        <w:tab/>
      </w:r>
      <w:r>
        <w:rPr>
          <w:noProof/>
          <w:webHidden/>
        </w:rPr>
        <w:tab/>
        <w:t>289−292</w:t>
      </w:r>
      <w:r>
        <w:rPr>
          <w:noProof/>
          <w:webHidden/>
        </w:rPr>
        <w:tab/>
        <w:t>83</w:t>
      </w:r>
    </w:p>
    <w:p w:rsidR="00000000" w:rsidRDefault="00000000">
      <w:pPr>
        <w:tabs>
          <w:tab w:val="left" w:pos="567"/>
          <w:tab w:val="left" w:pos="1134"/>
          <w:tab w:val="left" w:pos="1701"/>
          <w:tab w:val="right" w:leader="dot" w:pos="7139"/>
          <w:tab w:val="center" w:pos="8051"/>
          <w:tab w:val="right" w:pos="9185"/>
        </w:tabs>
        <w:spacing w:after="80"/>
        <w:ind w:left="1701" w:hanging="567"/>
        <w:rPr>
          <w:noProof/>
        </w:rPr>
      </w:pPr>
      <w:r>
        <w:rPr>
          <w:noProof/>
        </w:rPr>
        <w:t>3.</w:t>
      </w:r>
      <w:r>
        <w:rPr>
          <w:noProof/>
        </w:rPr>
        <w:tab/>
        <w:t>Éducation</w:t>
      </w:r>
      <w:r>
        <w:rPr>
          <w:noProof/>
          <w:webHidden/>
        </w:rPr>
        <w:tab/>
      </w:r>
      <w:r>
        <w:rPr>
          <w:noProof/>
          <w:webHidden/>
        </w:rPr>
        <w:tab/>
        <w:t>293−294</w:t>
      </w:r>
      <w:r>
        <w:rPr>
          <w:noProof/>
          <w:webHidden/>
        </w:rPr>
        <w:tab/>
        <w:t>84</w:t>
      </w:r>
    </w:p>
    <w:p w:rsidR="00000000" w:rsidRDefault="00000000">
      <w:pPr>
        <w:tabs>
          <w:tab w:val="left" w:pos="567"/>
          <w:tab w:val="left" w:pos="1134"/>
          <w:tab w:val="left" w:pos="1701"/>
          <w:tab w:val="right" w:leader="dot" w:pos="7139"/>
          <w:tab w:val="center" w:pos="8051"/>
          <w:tab w:val="right" w:pos="9185"/>
        </w:tabs>
        <w:spacing w:after="80"/>
        <w:ind w:left="1701" w:hanging="567"/>
        <w:rPr>
          <w:noProof/>
        </w:rPr>
      </w:pPr>
      <w:r>
        <w:rPr>
          <w:noProof/>
        </w:rPr>
        <w:t>4.</w:t>
      </w:r>
      <w:r>
        <w:rPr>
          <w:noProof/>
        </w:rPr>
        <w:tab/>
        <w:t>Interdiction du travail des enfants</w:t>
      </w:r>
      <w:r>
        <w:rPr>
          <w:noProof/>
          <w:webHidden/>
        </w:rPr>
        <w:tab/>
      </w:r>
      <w:r>
        <w:rPr>
          <w:noProof/>
          <w:webHidden/>
        </w:rPr>
        <w:tab/>
        <w:t>295−297</w:t>
      </w:r>
      <w:r>
        <w:rPr>
          <w:noProof/>
          <w:webHidden/>
        </w:rPr>
        <w:tab/>
        <w:t>85</w:t>
      </w:r>
    </w:p>
    <w:p w:rsidR="00000000" w:rsidRDefault="00000000">
      <w:pPr>
        <w:tabs>
          <w:tab w:val="left" w:pos="567"/>
          <w:tab w:val="left" w:pos="1134"/>
          <w:tab w:val="left" w:pos="1701"/>
          <w:tab w:val="right" w:leader="dot" w:pos="7139"/>
          <w:tab w:val="center" w:pos="8051"/>
          <w:tab w:val="right" w:pos="9185"/>
        </w:tabs>
        <w:spacing w:after="80"/>
        <w:ind w:left="1701" w:hanging="567"/>
        <w:rPr>
          <w:noProof/>
        </w:rPr>
      </w:pPr>
      <w:r>
        <w:rPr>
          <w:noProof/>
        </w:rPr>
        <w:t>5.</w:t>
      </w:r>
      <w:r>
        <w:rPr>
          <w:noProof/>
        </w:rPr>
        <w:tab/>
        <w:t>Autorisations de pratiquer le commerce itinérant</w:t>
      </w:r>
      <w:r>
        <w:rPr>
          <w:noProof/>
          <w:webHidden/>
        </w:rPr>
        <w:tab/>
      </w:r>
      <w:r>
        <w:rPr>
          <w:noProof/>
          <w:webHidden/>
        </w:rPr>
        <w:tab/>
        <w:t>298</w:t>
      </w:r>
      <w:r>
        <w:rPr>
          <w:noProof/>
          <w:webHidden/>
        </w:rPr>
        <w:tab/>
        <w:t>85</w:t>
      </w:r>
    </w:p>
    <w:p w:rsidR="00000000" w:rsidRDefault="00000000">
      <w:pPr>
        <w:tabs>
          <w:tab w:val="left" w:pos="567"/>
          <w:tab w:val="left" w:pos="1134"/>
          <w:tab w:val="left" w:pos="1701"/>
          <w:tab w:val="right" w:leader="dot" w:pos="7139"/>
          <w:tab w:val="center" w:pos="8051"/>
          <w:tab w:val="right" w:pos="9185"/>
        </w:tabs>
        <w:spacing w:after="80"/>
        <w:ind w:left="1701" w:hanging="567"/>
        <w:rPr>
          <w:noProof/>
        </w:rPr>
      </w:pPr>
      <w:r>
        <w:rPr>
          <w:noProof/>
        </w:rPr>
        <w:t>6.</w:t>
      </w:r>
      <w:r>
        <w:rPr>
          <w:noProof/>
        </w:rPr>
        <w:tab/>
        <w:t>Langue</w:t>
      </w:r>
      <w:r>
        <w:rPr>
          <w:noProof/>
          <w:webHidden/>
        </w:rPr>
        <w:tab/>
      </w:r>
      <w:r>
        <w:rPr>
          <w:noProof/>
          <w:webHidden/>
        </w:rPr>
        <w:tab/>
        <w:t>299−301</w:t>
      </w:r>
      <w:r>
        <w:rPr>
          <w:noProof/>
          <w:webHidden/>
        </w:rPr>
        <w:tab/>
        <w:t>86</w:t>
      </w:r>
    </w:p>
    <w:p w:rsidR="00000000" w:rsidRDefault="00000000">
      <w:pPr>
        <w:tabs>
          <w:tab w:val="left" w:pos="567"/>
          <w:tab w:val="left" w:pos="1134"/>
          <w:tab w:val="left" w:pos="1701"/>
          <w:tab w:val="right" w:leader="dot" w:pos="7139"/>
          <w:tab w:val="center" w:pos="8051"/>
          <w:tab w:val="right" w:pos="9185"/>
        </w:tabs>
        <w:spacing w:after="80"/>
        <w:ind w:left="1701" w:hanging="567"/>
        <w:rPr>
          <w:rFonts w:eastAsia="SimSun"/>
          <w:noProof/>
          <w:szCs w:val="24"/>
          <w:lang w:eastAsia="zh-CN"/>
        </w:rPr>
      </w:pPr>
      <w:r>
        <w:rPr>
          <w:noProof/>
        </w:rPr>
        <w:t>7.</w:t>
      </w:r>
      <w:r>
        <w:rPr>
          <w:noProof/>
        </w:rPr>
        <w:tab/>
        <w:t>Aires de séjour et de transit</w:t>
      </w:r>
      <w:r>
        <w:rPr>
          <w:noProof/>
          <w:webHidden/>
        </w:rPr>
        <w:tab/>
      </w:r>
      <w:r>
        <w:rPr>
          <w:noProof/>
          <w:webHidden/>
        </w:rPr>
        <w:tab/>
        <w:t>302−310</w:t>
      </w:r>
      <w:r>
        <w:rPr>
          <w:noProof/>
          <w:webHidden/>
        </w:rPr>
        <w:tab/>
        <w:t>86</w:t>
      </w:r>
    </w:p>
    <w:p w:rsidR="00000000" w:rsidRDefault="00000000">
      <w:pPr>
        <w:tabs>
          <w:tab w:val="left" w:pos="567"/>
          <w:tab w:val="left" w:pos="1134"/>
          <w:tab w:val="left" w:pos="1701"/>
          <w:tab w:val="right" w:leader="dot" w:pos="7139"/>
          <w:tab w:val="center" w:pos="8051"/>
          <w:tab w:val="right" w:pos="9185"/>
        </w:tabs>
        <w:spacing w:after="80"/>
        <w:ind w:left="2268" w:hanging="567"/>
        <w:rPr>
          <w:rFonts w:eastAsia="SimSun"/>
          <w:noProof/>
          <w:szCs w:val="24"/>
          <w:lang w:eastAsia="zh-CN"/>
        </w:rPr>
      </w:pPr>
      <w:r>
        <w:rPr>
          <w:i/>
          <w:iCs/>
          <w:noProof/>
        </w:rPr>
        <w:t>a)</w:t>
      </w:r>
      <w:r>
        <w:rPr>
          <w:i/>
          <w:iCs/>
          <w:noProof/>
        </w:rPr>
        <w:tab/>
      </w:r>
      <w:r>
        <w:rPr>
          <w:bCs/>
          <w:i/>
          <w:iCs/>
          <w:noProof/>
        </w:rPr>
        <w:t>Situation et besoins</w:t>
      </w:r>
      <w:r>
        <w:rPr>
          <w:noProof/>
          <w:webHidden/>
        </w:rPr>
        <w:tab/>
      </w:r>
      <w:r>
        <w:rPr>
          <w:noProof/>
          <w:webHidden/>
        </w:rPr>
        <w:tab/>
        <w:t>302−306</w:t>
      </w:r>
      <w:r>
        <w:rPr>
          <w:noProof/>
          <w:webHidden/>
        </w:rPr>
        <w:tab/>
        <w:t>86</w:t>
      </w:r>
    </w:p>
    <w:p w:rsidR="00000000" w:rsidRDefault="00000000">
      <w:pPr>
        <w:tabs>
          <w:tab w:val="left" w:pos="567"/>
          <w:tab w:val="left" w:pos="1134"/>
          <w:tab w:val="left" w:pos="1701"/>
          <w:tab w:val="right" w:leader="dot" w:pos="7139"/>
          <w:tab w:val="center" w:pos="8051"/>
          <w:tab w:val="right" w:pos="9185"/>
        </w:tabs>
        <w:spacing w:after="80"/>
        <w:ind w:left="2268" w:hanging="567"/>
        <w:rPr>
          <w:rFonts w:eastAsia="SimSun"/>
          <w:noProof/>
          <w:szCs w:val="24"/>
          <w:lang w:eastAsia="zh-CN"/>
        </w:rPr>
      </w:pPr>
      <w:r>
        <w:rPr>
          <w:i/>
          <w:iCs/>
          <w:noProof/>
        </w:rPr>
        <w:t>b)</w:t>
      </w:r>
      <w:r>
        <w:rPr>
          <w:noProof/>
        </w:rPr>
        <w:tab/>
      </w:r>
      <w:r>
        <w:rPr>
          <w:bCs/>
          <w:i/>
          <w:iCs/>
          <w:noProof/>
        </w:rPr>
        <w:t>Mesures déjà prises</w:t>
      </w:r>
      <w:r>
        <w:rPr>
          <w:noProof/>
          <w:webHidden/>
        </w:rPr>
        <w:tab/>
      </w:r>
      <w:r>
        <w:rPr>
          <w:noProof/>
          <w:webHidden/>
        </w:rPr>
        <w:tab/>
        <w:t>307−309</w:t>
      </w:r>
      <w:r>
        <w:rPr>
          <w:noProof/>
          <w:webHidden/>
        </w:rPr>
        <w:tab/>
        <w:t>88</w:t>
      </w:r>
    </w:p>
    <w:p w:rsidR="00000000" w:rsidRDefault="00000000">
      <w:pPr>
        <w:tabs>
          <w:tab w:val="left" w:pos="567"/>
          <w:tab w:val="left" w:pos="1134"/>
          <w:tab w:val="left" w:pos="1701"/>
          <w:tab w:val="right" w:leader="dot" w:pos="7139"/>
          <w:tab w:val="center" w:pos="8051"/>
          <w:tab w:val="right" w:pos="9185"/>
        </w:tabs>
        <w:spacing w:after="80"/>
        <w:ind w:left="1134" w:hanging="567"/>
        <w:rPr>
          <w:rFonts w:eastAsia="SimSun"/>
          <w:b/>
          <w:noProof/>
          <w:szCs w:val="24"/>
          <w:lang w:eastAsia="zh-CN"/>
        </w:rPr>
      </w:pPr>
      <w:r>
        <w:rPr>
          <w:noProof/>
        </w:rPr>
        <w:t>J.</w:t>
      </w:r>
      <w:r>
        <w:rPr>
          <w:noProof/>
        </w:rPr>
        <w:tab/>
        <w:t xml:space="preserve">Discrimination raciale dans le secteur privé </w:t>
      </w:r>
      <w:r>
        <w:rPr>
          <w:noProof/>
        </w:rPr>
        <w:br/>
        <w:t>(CERD/C/60/CO/14, par. 16)</w:t>
      </w:r>
      <w:r>
        <w:rPr>
          <w:noProof/>
        </w:rPr>
        <w:tab/>
      </w:r>
      <w:r>
        <w:rPr>
          <w:noProof/>
        </w:rPr>
        <w:tab/>
        <w:t>310−344</w:t>
      </w:r>
      <w:r>
        <w:rPr>
          <w:noProof/>
          <w:webHidden/>
        </w:rPr>
        <w:tab/>
        <w:t>89</w:t>
      </w:r>
    </w:p>
    <w:p w:rsidR="00000000" w:rsidRDefault="00000000">
      <w:pPr>
        <w:tabs>
          <w:tab w:val="left" w:pos="567"/>
          <w:tab w:val="left" w:pos="1134"/>
          <w:tab w:val="left" w:pos="1701"/>
          <w:tab w:val="right" w:leader="dot" w:pos="7139"/>
          <w:tab w:val="center" w:pos="8051"/>
          <w:tab w:val="right" w:pos="9185"/>
        </w:tabs>
        <w:spacing w:after="80"/>
        <w:ind w:left="1701" w:hanging="567"/>
        <w:rPr>
          <w:noProof/>
        </w:rPr>
      </w:pPr>
      <w:r>
        <w:rPr>
          <w:noProof/>
        </w:rPr>
        <w:t>1.</w:t>
      </w:r>
      <w:r>
        <w:rPr>
          <w:noProof/>
        </w:rPr>
        <w:tab/>
        <w:t>En général</w:t>
      </w:r>
      <w:r>
        <w:rPr>
          <w:noProof/>
          <w:webHidden/>
        </w:rPr>
        <w:tab/>
      </w:r>
      <w:r>
        <w:rPr>
          <w:noProof/>
          <w:webHidden/>
        </w:rPr>
        <w:tab/>
      </w:r>
      <w:r>
        <w:rPr>
          <w:noProof/>
        </w:rPr>
        <w:t>311−316</w:t>
      </w:r>
      <w:r>
        <w:rPr>
          <w:noProof/>
          <w:webHidden/>
        </w:rPr>
        <w:tab/>
        <w:t>89</w:t>
      </w:r>
    </w:p>
    <w:p w:rsidR="00000000" w:rsidRDefault="00000000">
      <w:pPr>
        <w:tabs>
          <w:tab w:val="left" w:pos="567"/>
          <w:tab w:val="left" w:pos="1134"/>
          <w:tab w:val="left" w:pos="1701"/>
          <w:tab w:val="right" w:leader="dot" w:pos="7139"/>
          <w:tab w:val="center" w:pos="8051"/>
          <w:tab w:val="right" w:pos="9185"/>
        </w:tabs>
        <w:spacing w:after="80"/>
        <w:ind w:left="1701" w:hanging="567"/>
        <w:rPr>
          <w:noProof/>
        </w:rPr>
      </w:pPr>
      <w:r>
        <w:rPr>
          <w:noProof/>
        </w:rPr>
        <w:t>2.</w:t>
      </w:r>
      <w:r>
        <w:rPr>
          <w:noProof/>
        </w:rPr>
        <w:tab/>
        <w:t>Emploi</w:t>
      </w:r>
      <w:r>
        <w:rPr>
          <w:noProof/>
          <w:webHidden/>
        </w:rPr>
        <w:tab/>
      </w:r>
      <w:r>
        <w:rPr>
          <w:noProof/>
          <w:webHidden/>
        </w:rPr>
        <w:tab/>
        <w:t>317−325</w:t>
      </w:r>
      <w:r>
        <w:rPr>
          <w:noProof/>
          <w:webHidden/>
        </w:rPr>
        <w:tab/>
        <w:t>90</w:t>
      </w:r>
    </w:p>
    <w:p w:rsidR="00000000" w:rsidRDefault="00000000">
      <w:pPr>
        <w:tabs>
          <w:tab w:val="left" w:pos="567"/>
          <w:tab w:val="left" w:pos="1134"/>
          <w:tab w:val="left" w:pos="1701"/>
          <w:tab w:val="right" w:leader="dot" w:pos="7139"/>
          <w:tab w:val="center" w:pos="8051"/>
          <w:tab w:val="right" w:pos="9185"/>
        </w:tabs>
        <w:spacing w:after="80"/>
        <w:ind w:left="1701" w:hanging="567"/>
        <w:rPr>
          <w:noProof/>
        </w:rPr>
      </w:pPr>
      <w:r>
        <w:rPr>
          <w:noProof/>
        </w:rPr>
        <w:t>3.</w:t>
      </w:r>
      <w:r>
        <w:rPr>
          <w:noProof/>
        </w:rPr>
        <w:tab/>
        <w:t>Logement</w:t>
      </w:r>
      <w:r>
        <w:rPr>
          <w:noProof/>
          <w:webHidden/>
        </w:rPr>
        <w:tab/>
      </w:r>
      <w:r>
        <w:rPr>
          <w:noProof/>
          <w:webHidden/>
        </w:rPr>
        <w:tab/>
        <w:t>326−329</w:t>
      </w:r>
      <w:r>
        <w:rPr>
          <w:noProof/>
          <w:webHidden/>
        </w:rPr>
        <w:tab/>
        <w:t>92</w:t>
      </w:r>
    </w:p>
    <w:p w:rsidR="00000000" w:rsidRDefault="00000000">
      <w:pPr>
        <w:tabs>
          <w:tab w:val="left" w:pos="567"/>
          <w:tab w:val="left" w:pos="1134"/>
          <w:tab w:val="left" w:pos="1701"/>
          <w:tab w:val="right" w:leader="dot" w:pos="7139"/>
          <w:tab w:val="center" w:pos="8051"/>
          <w:tab w:val="right" w:pos="9185"/>
        </w:tabs>
        <w:spacing w:after="80"/>
        <w:ind w:left="1701" w:hanging="567"/>
        <w:rPr>
          <w:noProof/>
        </w:rPr>
      </w:pPr>
      <w:r>
        <w:rPr>
          <w:noProof/>
        </w:rPr>
        <w:t>4.</w:t>
      </w:r>
      <w:r>
        <w:rPr>
          <w:noProof/>
        </w:rPr>
        <w:tab/>
        <w:t>Éducation</w:t>
      </w:r>
      <w:r>
        <w:rPr>
          <w:noProof/>
          <w:webHidden/>
        </w:rPr>
        <w:tab/>
      </w:r>
      <w:r>
        <w:rPr>
          <w:noProof/>
          <w:webHidden/>
        </w:rPr>
        <w:tab/>
        <w:t>330−336</w:t>
      </w:r>
      <w:r>
        <w:rPr>
          <w:noProof/>
          <w:webHidden/>
        </w:rPr>
        <w:tab/>
        <w:t>93</w:t>
      </w:r>
    </w:p>
    <w:p w:rsidR="00000000" w:rsidRDefault="00000000">
      <w:pPr>
        <w:tabs>
          <w:tab w:val="left" w:pos="567"/>
          <w:tab w:val="left" w:pos="1134"/>
          <w:tab w:val="left" w:pos="1701"/>
          <w:tab w:val="right" w:leader="dot" w:pos="7139"/>
          <w:tab w:val="center" w:pos="8051"/>
          <w:tab w:val="right" w:pos="9185"/>
        </w:tabs>
        <w:spacing w:after="80"/>
        <w:ind w:left="1701" w:hanging="567"/>
        <w:rPr>
          <w:noProof/>
        </w:rPr>
      </w:pPr>
      <w:r>
        <w:rPr>
          <w:noProof/>
        </w:rPr>
        <w:t>5.</w:t>
      </w:r>
      <w:r>
        <w:rPr>
          <w:noProof/>
        </w:rPr>
        <w:tab/>
        <w:t>Santé publique</w:t>
      </w:r>
      <w:r>
        <w:rPr>
          <w:noProof/>
          <w:webHidden/>
        </w:rPr>
        <w:tab/>
      </w:r>
      <w:r>
        <w:rPr>
          <w:noProof/>
          <w:webHidden/>
        </w:rPr>
        <w:tab/>
        <w:t>337−341</w:t>
      </w:r>
      <w:r>
        <w:rPr>
          <w:noProof/>
          <w:webHidden/>
        </w:rPr>
        <w:tab/>
        <w:t>95</w:t>
      </w:r>
    </w:p>
    <w:p w:rsidR="00000000" w:rsidRDefault="00000000">
      <w:pPr>
        <w:tabs>
          <w:tab w:val="left" w:pos="567"/>
          <w:tab w:val="left" w:pos="1134"/>
          <w:tab w:val="left" w:pos="1701"/>
          <w:tab w:val="right" w:leader="dot" w:pos="7139"/>
          <w:tab w:val="center" w:pos="8051"/>
          <w:tab w:val="right" w:pos="9185"/>
        </w:tabs>
        <w:spacing w:after="80"/>
        <w:ind w:left="1701" w:hanging="567"/>
        <w:rPr>
          <w:rFonts w:eastAsia="SimSun"/>
          <w:noProof/>
          <w:szCs w:val="24"/>
          <w:lang w:eastAsia="zh-CN"/>
        </w:rPr>
      </w:pPr>
      <w:r>
        <w:rPr>
          <w:noProof/>
        </w:rPr>
        <w:t>6.</w:t>
      </w:r>
      <w:r>
        <w:rPr>
          <w:noProof/>
        </w:rPr>
        <w:tab/>
        <w:t>Accès à tous les lieux et services destinés à l’usage public</w:t>
      </w:r>
      <w:r>
        <w:rPr>
          <w:noProof/>
          <w:webHidden/>
        </w:rPr>
        <w:tab/>
        <w:t>342−344</w:t>
      </w:r>
      <w:r>
        <w:rPr>
          <w:noProof/>
          <w:webHidden/>
        </w:rPr>
        <w:tab/>
        <w:t>97</w:t>
      </w:r>
    </w:p>
    <w:p w:rsidR="00000000" w:rsidRDefault="00000000">
      <w:pPr>
        <w:tabs>
          <w:tab w:val="left" w:pos="567"/>
          <w:tab w:val="left" w:pos="1134"/>
          <w:tab w:val="left" w:pos="1701"/>
          <w:tab w:val="right" w:leader="dot" w:pos="7139"/>
          <w:tab w:val="center" w:pos="8051"/>
          <w:tab w:val="right" w:pos="9185"/>
        </w:tabs>
        <w:spacing w:after="80"/>
        <w:ind w:left="1134" w:hanging="567"/>
        <w:rPr>
          <w:rFonts w:eastAsia="SimSun"/>
          <w:b/>
          <w:noProof/>
          <w:szCs w:val="24"/>
          <w:lang w:eastAsia="zh-CN"/>
        </w:rPr>
      </w:pPr>
      <w:r>
        <w:rPr>
          <w:noProof/>
        </w:rPr>
        <w:t>K.</w:t>
      </w:r>
      <w:r>
        <w:rPr>
          <w:noProof/>
        </w:rPr>
        <w:tab/>
        <w:t>Article 14 de la Convention (CERD/C/60/CO/14, par. 17)</w:t>
      </w:r>
      <w:r>
        <w:rPr>
          <w:noProof/>
          <w:webHidden/>
        </w:rPr>
        <w:tab/>
      </w:r>
      <w:r>
        <w:rPr>
          <w:noProof/>
          <w:webHidden/>
        </w:rPr>
        <w:tab/>
        <w:t>345</w:t>
      </w:r>
      <w:r>
        <w:rPr>
          <w:noProof/>
          <w:webHidden/>
        </w:rPr>
        <w:tab/>
        <w:t>97</w:t>
      </w:r>
    </w:p>
    <w:p w:rsidR="00000000" w:rsidRDefault="00000000">
      <w:pPr>
        <w:tabs>
          <w:tab w:val="left" w:pos="567"/>
          <w:tab w:val="left" w:pos="1134"/>
          <w:tab w:val="left" w:pos="1701"/>
          <w:tab w:val="right" w:leader="dot" w:pos="7153"/>
          <w:tab w:val="center" w:pos="8051"/>
          <w:tab w:val="right" w:pos="9185"/>
        </w:tabs>
        <w:spacing w:after="80"/>
        <w:ind w:left="1134" w:hanging="567"/>
        <w:rPr>
          <w:rFonts w:eastAsia="SimSun"/>
          <w:b/>
          <w:noProof/>
          <w:szCs w:val="24"/>
          <w:lang w:eastAsia="zh-CN"/>
        </w:rPr>
      </w:pPr>
      <w:r>
        <w:rPr>
          <w:noProof/>
        </w:rPr>
        <w:t>L.</w:t>
      </w:r>
      <w:r>
        <w:rPr>
          <w:noProof/>
        </w:rPr>
        <w:tab/>
        <w:t xml:space="preserve">Mise en œuvre de la Déclaration et du Programme d’action </w:t>
      </w:r>
      <w:r>
        <w:rPr>
          <w:noProof/>
        </w:rPr>
        <w:br/>
        <w:t>de Durban (CERD/C/60/CO/14, par. 18)</w:t>
      </w:r>
      <w:r>
        <w:rPr>
          <w:noProof/>
        </w:rPr>
        <w:tab/>
      </w:r>
      <w:r>
        <w:rPr>
          <w:noProof/>
          <w:webHidden/>
        </w:rPr>
        <w:tab/>
        <w:t>346−348</w:t>
      </w:r>
      <w:r>
        <w:rPr>
          <w:noProof/>
          <w:webHidden/>
        </w:rPr>
        <w:tab/>
        <w:t>98</w:t>
      </w:r>
      <w:r>
        <w:rPr>
          <w:noProof/>
          <w:webHidden/>
        </w:rPr>
        <w:br/>
      </w:r>
    </w:p>
    <w:p w:rsidR="00000000" w:rsidRDefault="00000000">
      <w:pPr>
        <w:tabs>
          <w:tab w:val="left" w:pos="567"/>
          <w:tab w:val="left" w:pos="1134"/>
          <w:tab w:val="left" w:pos="1701"/>
          <w:tab w:val="right" w:leader="dot" w:pos="7153"/>
          <w:tab w:val="center" w:pos="8051"/>
          <w:tab w:val="right" w:pos="9185"/>
        </w:tabs>
        <w:spacing w:after="80"/>
        <w:ind w:left="567" w:hanging="567"/>
        <w:rPr>
          <w:rFonts w:eastAsia="SimSun"/>
          <w:b/>
          <w:noProof/>
          <w:szCs w:val="24"/>
          <w:lang w:eastAsia="zh-CN"/>
        </w:rPr>
      </w:pPr>
      <w:r>
        <w:rPr>
          <w:noProof/>
        </w:rPr>
        <w:t>Liste des abréviations</w:t>
      </w:r>
      <w:r>
        <w:rPr>
          <w:noProof/>
          <w:webHidden/>
        </w:rPr>
        <w:tab/>
      </w:r>
      <w:r>
        <w:rPr>
          <w:noProof/>
          <w:webHidden/>
        </w:rPr>
        <w:tab/>
      </w:r>
      <w:r>
        <w:rPr>
          <w:noProof/>
          <w:webHidden/>
        </w:rPr>
        <w:tab/>
        <w:t>100</w:t>
      </w:r>
    </w:p>
    <w:p w:rsidR="00000000" w:rsidRDefault="00000000">
      <w:pPr>
        <w:spacing w:after="240"/>
        <w:jc w:val="center"/>
        <w:rPr>
          <w:b/>
          <w:bCs/>
          <w:szCs w:val="28"/>
        </w:rPr>
      </w:pPr>
      <w:bookmarkStart w:id="5" w:name="_Toc150668802"/>
      <w:bookmarkStart w:id="6" w:name="_Toc163552172"/>
      <w:r>
        <w:rPr>
          <w:sz w:val="28"/>
          <w:szCs w:val="28"/>
        </w:rPr>
        <w:br w:type="page"/>
      </w:r>
      <w:r>
        <w:rPr>
          <w:b/>
          <w:bCs/>
          <w:szCs w:val="28"/>
        </w:rPr>
        <w:t>Introduction</w:t>
      </w:r>
      <w:bookmarkEnd w:id="5"/>
      <w:bookmarkEnd w:id="6"/>
    </w:p>
    <w:p w:rsidR="00000000" w:rsidRDefault="00000000">
      <w:pPr>
        <w:spacing w:after="240"/>
      </w:pPr>
      <w:r>
        <w:t>1.</w:t>
      </w:r>
      <w:r>
        <w:tab/>
        <w:t>Le 29 novembre 1994, la Suisse a adhéré à la Convention internationale de 1965 sur l’élimination de toutes les formes de discrimination raciale (</w:t>
      </w:r>
      <w:proofErr w:type="spellStart"/>
      <w:r>
        <w:t>ci</w:t>
      </w:r>
      <w:r>
        <w:noBreakHyphen/>
        <w:t>après</w:t>
      </w:r>
      <w:proofErr w:type="spellEnd"/>
      <w:r>
        <w:t xml:space="preserve"> «la Convention»)</w:t>
      </w:r>
      <w:r>
        <w:rPr>
          <w:rStyle w:val="FootnoteReference"/>
        </w:rPr>
        <w:footnoteReference w:id="2"/>
      </w:r>
      <w:r>
        <w:t>. Pour la Suisse, la Convention est entrée en vigueur le 29 décembre 1994</w:t>
      </w:r>
      <w:r>
        <w:rPr>
          <w:rStyle w:val="FootnoteReference"/>
        </w:rPr>
        <w:footnoteReference w:id="3"/>
      </w:r>
      <w:r>
        <w:t>. Conformément à l’article 9 de la Convention, les États parties s’engagent à présenter des rapports périodiques sur les mesures d’ordre législatif, judiciaire, administratif ou autre qu’ils ont arrêtées pour donner effet aux dispositions de la Convention.</w:t>
      </w:r>
    </w:p>
    <w:p w:rsidR="00000000" w:rsidRDefault="00000000">
      <w:pPr>
        <w:spacing w:after="240"/>
      </w:pPr>
      <w:r>
        <w:t>2.</w:t>
      </w:r>
      <w:r>
        <w:tab/>
        <w:t>Dans ses conclusions (CERD/C/60/CO/14), le Comité pour l’élimination de la discrim</w:t>
      </w:r>
      <w:r>
        <w:t>i</w:t>
      </w:r>
      <w:r>
        <w:t>nation raciale (</w:t>
      </w:r>
      <w:proofErr w:type="spellStart"/>
      <w:r>
        <w:t>ci</w:t>
      </w:r>
      <w:r>
        <w:noBreakHyphen/>
        <w:t>après</w:t>
      </w:r>
      <w:proofErr w:type="spellEnd"/>
      <w:r>
        <w:t xml:space="preserve"> «le Comité») a recommandé à la Suisse de présenter son quatrième rapport périodique, a</w:t>
      </w:r>
      <w:r>
        <w:t>t</w:t>
      </w:r>
      <w:r>
        <w:t>tendu depuis le 29 décembre 2003, et son cinquième rapport périodique, attendu depuis le 29 décembre 2005, sous la forme d’un seul et même rapport (qui pourrait même englober aussi le sixième rapport périodique).</w:t>
      </w:r>
    </w:p>
    <w:p w:rsidR="00000000" w:rsidRDefault="00000000">
      <w:pPr>
        <w:spacing w:after="240"/>
      </w:pPr>
      <w:r>
        <w:t>3.</w:t>
      </w:r>
      <w:r>
        <w:tab/>
        <w:t>Le présent rapport a été établi conformément aux principes directeurs du Comité (CERD/C/70/Rev.5). Les principaux paramètres démographiques, économiques et sociaux ainsi qu’une description du système politique suisse peuvent être retrouvés dans le document de base relatif à la Suisse (</w:t>
      </w:r>
      <w:proofErr w:type="spellStart"/>
      <w:r>
        <w:t>HRI</w:t>
      </w:r>
      <w:proofErr w:type="spellEnd"/>
      <w:r>
        <w:t>/</w:t>
      </w:r>
      <w:proofErr w:type="spellStart"/>
      <w:r>
        <w:t>CORE</w:t>
      </w:r>
      <w:proofErr w:type="spellEnd"/>
      <w:r>
        <w:t>/</w:t>
      </w:r>
      <w:proofErr w:type="spellStart"/>
      <w:r>
        <w:t>Add.29</w:t>
      </w:r>
      <w:proofErr w:type="spellEnd"/>
      <w:r>
        <w:t>/</w:t>
      </w:r>
      <w:proofErr w:type="spellStart"/>
      <w:r>
        <w:t>Rev.1</w:t>
      </w:r>
      <w:proofErr w:type="spellEnd"/>
      <w:r>
        <w:t>). Le pr</w:t>
      </w:r>
      <w:r>
        <w:t>é</w:t>
      </w:r>
      <w:r>
        <w:t>sent rapport conjoint, réunissant les quatrième, cinquième et sixième rapports périod</w:t>
      </w:r>
      <w:r>
        <w:t>i</w:t>
      </w:r>
      <w:r>
        <w:t>ques, couvre la période comprise entre février 2002 et avril 2006</w:t>
      </w:r>
      <w:r>
        <w:rPr>
          <w:rStyle w:val="FootnoteReference"/>
        </w:rPr>
        <w:footnoteReference w:id="4"/>
      </w:r>
      <w:r>
        <w:t>. Il fait suite aux deuxième et tro</w:t>
      </w:r>
      <w:r>
        <w:t>i</w:t>
      </w:r>
      <w:r>
        <w:t>sième rapports périodiques, avec rapport complémentaire (CERD/C/351/Add.2), que la délégation suisse a pr</w:t>
      </w:r>
      <w:r>
        <w:t>é</w:t>
      </w:r>
      <w:r>
        <w:t>sentés au Comité les 4 et 5 mars 2002</w:t>
      </w:r>
      <w:r>
        <w:rPr>
          <w:rStyle w:val="FootnoteReference"/>
        </w:rPr>
        <w:footnoteReference w:id="5"/>
      </w:r>
      <w:r>
        <w:t>. Il vient actualiser et compléter les rapports présentés jusqu’ici.</w:t>
      </w:r>
    </w:p>
    <w:p w:rsidR="00000000" w:rsidRDefault="00000000">
      <w:pPr>
        <w:keepNext/>
        <w:spacing w:after="240"/>
      </w:pPr>
      <w:r>
        <w:t>4.</w:t>
      </w:r>
      <w:r>
        <w:tab/>
        <w:t>Par souci de clarté, nous avons subdivisé le présent rapport en trois parties:</w:t>
      </w:r>
    </w:p>
    <w:p w:rsidR="00000000" w:rsidRDefault="00000000">
      <w:pPr>
        <w:numPr>
          <w:ilvl w:val="0"/>
          <w:numId w:val="87"/>
        </w:numPr>
        <w:spacing w:after="240"/>
      </w:pPr>
      <w:r>
        <w:t>La première partie, intitulée «Informations générales», contient quelques considérations relatives à l’évolution de la structure démographique en Suisse et fournit des indications sur le développement du droit et de la politique suisses en général dans les domaines co</w:t>
      </w:r>
      <w:r>
        <w:t>u</w:t>
      </w:r>
      <w:r>
        <w:t>verts par la Convention depuis la présentation des deuxième et troisième rapports;</w:t>
      </w:r>
    </w:p>
    <w:p w:rsidR="00000000" w:rsidRDefault="00000000">
      <w:pPr>
        <w:numPr>
          <w:ilvl w:val="0"/>
          <w:numId w:val="87"/>
        </w:numPr>
        <w:spacing w:after="240"/>
      </w:pPr>
      <w:r>
        <w:t>Dans la deuxième partie, ce développement est examiné à la lumière des dispositions de la Convention et contient un commentaire actualisé des articles 2 à 7 de cet instrument;</w:t>
      </w:r>
    </w:p>
    <w:p w:rsidR="00000000" w:rsidRDefault="00000000">
      <w:pPr>
        <w:numPr>
          <w:ilvl w:val="0"/>
          <w:numId w:val="87"/>
        </w:numPr>
        <w:spacing w:after="240"/>
      </w:pPr>
      <w:r>
        <w:t>La troisième et dernière partie est consacrée aux observations finales du Comité au sujet des deuxième et troisième rapports périodiques de la Suisse. Elle présente les observations de la Suisse relatives aux questions qui avaient pr</w:t>
      </w:r>
      <w:r>
        <w:t>é</w:t>
      </w:r>
      <w:r>
        <w:t>occupé le Comité et au sujet desquelles il avait demandé des informations complémenta</w:t>
      </w:r>
      <w:r>
        <w:t>i</w:t>
      </w:r>
      <w:r>
        <w:t>res.</w:t>
      </w:r>
    </w:p>
    <w:p w:rsidR="00000000" w:rsidRDefault="00000000">
      <w:pPr>
        <w:spacing w:after="240"/>
      </w:pPr>
      <w:r>
        <w:t>5.</w:t>
      </w:r>
      <w:r>
        <w:tab/>
        <w:t>Le présent rapport a été conçu et rédigé par la Direction du droit international public. Les offices concernés ont été consultés dans le cadre de la procédure de consultation des offices. La Commission fédérale contre le racisme, la Commission fédérale des étrangers ainsi que certains organismes indépendants ont ég</w:t>
      </w:r>
      <w:r>
        <w:t>a</w:t>
      </w:r>
      <w:r>
        <w:t>lement été invités à donner leur avis.</w:t>
      </w:r>
    </w:p>
    <w:p w:rsidR="00000000" w:rsidRDefault="00000000">
      <w:pPr>
        <w:spacing w:after="240"/>
      </w:pPr>
      <w:r>
        <w:t>6.</w:t>
      </w:r>
      <w:r>
        <w:tab/>
        <w:t>Le rapport est publié en français, en allemand et en italien. Il pourra être consulté sur le site Internet du Département fédéral des affaires étrangères</w:t>
      </w:r>
      <w:r>
        <w:rPr>
          <w:b/>
          <w:bCs/>
          <w:vertAlign w:val="superscript"/>
        </w:rPr>
        <w:footnoteReference w:id="6"/>
      </w:r>
      <w:r>
        <w:t>.</w:t>
      </w:r>
    </w:p>
    <w:p w:rsidR="00000000" w:rsidRDefault="00000000">
      <w:pPr>
        <w:keepNext/>
        <w:spacing w:after="240"/>
        <w:jc w:val="center"/>
        <w:rPr>
          <w:b/>
          <w:bCs/>
          <w:szCs w:val="24"/>
        </w:rPr>
      </w:pPr>
      <w:bookmarkStart w:id="7" w:name="_Toc150668803"/>
      <w:bookmarkStart w:id="8" w:name="_Toc163552173"/>
      <w:r>
        <w:rPr>
          <w:b/>
          <w:bCs/>
          <w:szCs w:val="24"/>
        </w:rPr>
        <w:t>I.  PREMIÈRE PARTIE:</w:t>
      </w:r>
      <w:bookmarkEnd w:id="7"/>
      <w:r>
        <w:rPr>
          <w:b/>
          <w:bCs/>
          <w:szCs w:val="24"/>
        </w:rPr>
        <w:t xml:space="preserve"> INFORMATIONS GÉNÉRALES</w:t>
      </w:r>
      <w:bookmarkEnd w:id="8"/>
    </w:p>
    <w:p w:rsidR="00000000" w:rsidRDefault="00000000">
      <w:pPr>
        <w:keepNext/>
        <w:spacing w:after="240"/>
        <w:jc w:val="center"/>
        <w:rPr>
          <w:b/>
          <w:bCs/>
          <w:szCs w:val="24"/>
        </w:rPr>
      </w:pPr>
      <w:bookmarkStart w:id="9" w:name="_Toc477524875"/>
      <w:bookmarkStart w:id="10" w:name="_Toc477525147"/>
      <w:bookmarkStart w:id="11" w:name="_Toc150668805"/>
      <w:bookmarkStart w:id="12" w:name="_Toc163552174"/>
      <w:r>
        <w:rPr>
          <w:b/>
          <w:bCs/>
          <w:szCs w:val="24"/>
        </w:rPr>
        <w:t>A.  Remarque liminaire</w:t>
      </w:r>
      <w:bookmarkEnd w:id="9"/>
      <w:bookmarkEnd w:id="10"/>
      <w:bookmarkEnd w:id="11"/>
      <w:bookmarkEnd w:id="12"/>
    </w:p>
    <w:p w:rsidR="00000000" w:rsidRDefault="00000000">
      <w:pPr>
        <w:spacing w:after="240"/>
      </w:pPr>
      <w:r>
        <w:t>7.</w:t>
      </w:r>
      <w:r>
        <w:tab/>
        <w:t>Le présent chapitre contient d’abord une présentation succincte de l’évolution de la population résidant en Suisse depuis la présentation des deuxième et troisième rapports p</w:t>
      </w:r>
      <w:r>
        <w:t>é</w:t>
      </w:r>
      <w:r>
        <w:t>riodiques. Par ailleurs, il fournit de premières indications générales sur le développement du droit interne depuis lors, et donne un aperçu de la politique menée actuellement par les autor</w:t>
      </w:r>
      <w:r>
        <w:t>i</w:t>
      </w:r>
      <w:r>
        <w:t>tés suisses pour lutter contre toutes les formes de discrimination raciale.</w:t>
      </w:r>
    </w:p>
    <w:p w:rsidR="00000000" w:rsidRDefault="00000000">
      <w:pPr>
        <w:keepNext/>
        <w:spacing w:after="240"/>
        <w:jc w:val="center"/>
        <w:rPr>
          <w:b/>
          <w:bCs/>
        </w:rPr>
      </w:pPr>
      <w:bookmarkStart w:id="13" w:name="_Toc150668806"/>
      <w:bookmarkStart w:id="14" w:name="_Toc163552175"/>
      <w:r>
        <w:rPr>
          <w:b/>
          <w:bCs/>
        </w:rPr>
        <w:t>B</w:t>
      </w:r>
      <w:r>
        <w:rPr>
          <w:b/>
          <w:bCs/>
          <w:szCs w:val="24"/>
        </w:rPr>
        <w:t>.  Évolution de la structure démographique</w:t>
      </w:r>
      <w:bookmarkEnd w:id="13"/>
      <w:bookmarkEnd w:id="14"/>
    </w:p>
    <w:p w:rsidR="00000000" w:rsidRDefault="00000000">
      <w:pPr>
        <w:keepNext/>
        <w:spacing w:after="240"/>
        <w:jc w:val="center"/>
        <w:rPr>
          <w:b/>
          <w:bCs/>
          <w:szCs w:val="24"/>
        </w:rPr>
      </w:pPr>
      <w:bookmarkStart w:id="15" w:name="_Toc163552176"/>
      <w:r>
        <w:rPr>
          <w:b/>
          <w:bCs/>
          <w:szCs w:val="24"/>
        </w:rPr>
        <w:t>1.  Population étrangère résidente</w:t>
      </w:r>
      <w:bookmarkEnd w:id="15"/>
    </w:p>
    <w:p w:rsidR="00000000" w:rsidRDefault="00000000">
      <w:pPr>
        <w:spacing w:after="240"/>
      </w:pPr>
      <w:r>
        <w:t>8.</w:t>
      </w:r>
      <w:r>
        <w:tab/>
        <w:t>À la fin de l’année 2004, le nombre de personnes résidant en Suisse à titre permanent était de 7 415 102, dont 20,6 % n’avaient pas la nationalité suisse</w:t>
      </w:r>
      <w:r>
        <w:rPr>
          <w:rStyle w:val="FootnoteReference"/>
        </w:rPr>
        <w:footnoteReference w:id="7"/>
      </w:r>
      <w:r>
        <w:t>. En 2004, la popul</w:t>
      </w:r>
      <w:r>
        <w:t>a</w:t>
      </w:r>
      <w:r>
        <w:t>tion étrangère résidant en Suisse à titre permanent a augmenté de 23 756 (1,6 %) par rapport à l’année précédente, pour atteindre1 524 663 personnes. Relevons que la part des titulaires d’un permis de courte durée (au plus douze mois) a augmenté de 57 %, alors que la part des étrangers établis est restée pratiquement stable</w:t>
      </w:r>
      <w:r>
        <w:rPr>
          <w:rStyle w:val="FootnoteReference"/>
        </w:rPr>
        <w:footnoteReference w:id="8"/>
      </w:r>
      <w:r>
        <w:t>. La proportion entre ho</w:t>
      </w:r>
      <w:r>
        <w:t>m</w:t>
      </w:r>
      <w:r>
        <w:t>mes et femmes dans la population étrangère était de 53 % d’hommes pour 47 % de femmes</w:t>
      </w:r>
      <w:r>
        <w:rPr>
          <w:rStyle w:val="FootnoteReference"/>
        </w:rPr>
        <w:footnoteReference w:id="9"/>
      </w:r>
      <w:r>
        <w:t>.</w:t>
      </w:r>
    </w:p>
    <w:p w:rsidR="00000000" w:rsidRDefault="00000000">
      <w:pPr>
        <w:keepNext/>
        <w:spacing w:after="120"/>
        <w:jc w:val="center"/>
        <w:rPr>
          <w:b/>
          <w:bCs/>
          <w:sz w:val="22"/>
        </w:rPr>
      </w:pPr>
      <w:r>
        <w:rPr>
          <w:b/>
          <w:bCs/>
          <w:sz w:val="22"/>
        </w:rPr>
        <w:t xml:space="preserve">Tableau 1: Population résidente permanente étrangère, </w:t>
      </w:r>
      <w:r>
        <w:rPr>
          <w:b/>
          <w:bCs/>
          <w:sz w:val="22"/>
        </w:rPr>
        <w:br/>
        <w:t>par nationalité, 2001-2004</w:t>
      </w:r>
    </w:p>
    <w:tbl>
      <w:tblPr>
        <w:tblW w:w="94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BF" w:firstRow="1" w:lastRow="0" w:firstColumn="1" w:lastColumn="0" w:noHBand="0" w:noVBand="0"/>
      </w:tblPr>
      <w:tblGrid>
        <w:gridCol w:w="3400"/>
        <w:gridCol w:w="1281"/>
        <w:gridCol w:w="1409"/>
        <w:gridCol w:w="1281"/>
        <w:gridCol w:w="1063"/>
        <w:gridCol w:w="1063"/>
      </w:tblGrid>
      <w:tr w:rsidR="00000000">
        <w:tblPrEx>
          <w:tblCellMar>
            <w:top w:w="0" w:type="dxa"/>
            <w:bottom w:w="0" w:type="dxa"/>
          </w:tblCellMar>
        </w:tblPrEx>
        <w:tc>
          <w:tcPr>
            <w:tcW w:w="2921" w:type="dxa"/>
            <w:noWrap/>
          </w:tcPr>
          <w:p w:rsidR="00000000" w:rsidRDefault="00000000">
            <w:pPr>
              <w:keepNext/>
              <w:spacing w:before="30" w:after="30"/>
              <w:jc w:val="center"/>
              <w:rPr>
                <w:sz w:val="22"/>
              </w:rPr>
            </w:pPr>
            <w:r>
              <w:rPr>
                <w:sz w:val="22"/>
              </w:rPr>
              <w:t>Nationalité</w:t>
            </w:r>
          </w:p>
        </w:tc>
        <w:tc>
          <w:tcPr>
            <w:tcW w:w="1100" w:type="dxa"/>
            <w:noWrap/>
          </w:tcPr>
          <w:p w:rsidR="00000000" w:rsidRDefault="00000000">
            <w:pPr>
              <w:keepNext/>
              <w:spacing w:before="30" w:after="30"/>
              <w:jc w:val="center"/>
              <w:rPr>
                <w:sz w:val="22"/>
              </w:rPr>
            </w:pPr>
            <w:r>
              <w:rPr>
                <w:sz w:val="22"/>
              </w:rPr>
              <w:t>2001</w:t>
            </w:r>
          </w:p>
        </w:tc>
        <w:tc>
          <w:tcPr>
            <w:tcW w:w="1210" w:type="dxa"/>
            <w:noWrap/>
          </w:tcPr>
          <w:p w:rsidR="00000000" w:rsidRDefault="00000000">
            <w:pPr>
              <w:keepNext/>
              <w:spacing w:before="30" w:after="30"/>
              <w:jc w:val="center"/>
              <w:rPr>
                <w:sz w:val="22"/>
              </w:rPr>
            </w:pPr>
            <w:r>
              <w:rPr>
                <w:sz w:val="22"/>
              </w:rPr>
              <w:t>2002</w:t>
            </w:r>
          </w:p>
        </w:tc>
        <w:tc>
          <w:tcPr>
            <w:tcW w:w="1100" w:type="dxa"/>
            <w:noWrap/>
          </w:tcPr>
          <w:p w:rsidR="00000000" w:rsidRDefault="00000000">
            <w:pPr>
              <w:keepNext/>
              <w:spacing w:before="30" w:after="30"/>
              <w:jc w:val="center"/>
              <w:rPr>
                <w:sz w:val="22"/>
              </w:rPr>
            </w:pPr>
            <w:r>
              <w:rPr>
                <w:sz w:val="22"/>
              </w:rPr>
              <w:t>2003</w:t>
            </w:r>
          </w:p>
        </w:tc>
        <w:tc>
          <w:tcPr>
            <w:tcW w:w="913" w:type="dxa"/>
            <w:noWrap/>
          </w:tcPr>
          <w:p w:rsidR="00000000" w:rsidRDefault="00000000">
            <w:pPr>
              <w:keepNext/>
              <w:spacing w:before="30" w:after="30"/>
              <w:jc w:val="center"/>
              <w:rPr>
                <w:sz w:val="22"/>
              </w:rPr>
            </w:pPr>
            <w:r>
              <w:rPr>
                <w:sz w:val="22"/>
              </w:rPr>
              <w:t>2004</w:t>
            </w:r>
          </w:p>
        </w:tc>
        <w:tc>
          <w:tcPr>
            <w:tcW w:w="913" w:type="dxa"/>
            <w:noWrap/>
          </w:tcPr>
          <w:p w:rsidR="00000000" w:rsidRDefault="00000000">
            <w:pPr>
              <w:keepNext/>
              <w:spacing w:before="30" w:after="30"/>
              <w:jc w:val="center"/>
              <w:rPr>
                <w:sz w:val="22"/>
              </w:rPr>
            </w:pPr>
            <w:r>
              <w:rPr>
                <w:sz w:val="22"/>
              </w:rPr>
              <w:t>en %</w:t>
            </w:r>
          </w:p>
        </w:tc>
      </w:tr>
      <w:tr w:rsidR="00000000">
        <w:tblPrEx>
          <w:tblCellMar>
            <w:top w:w="0" w:type="dxa"/>
            <w:bottom w:w="0" w:type="dxa"/>
          </w:tblCellMar>
        </w:tblPrEx>
        <w:tc>
          <w:tcPr>
            <w:tcW w:w="2921" w:type="dxa"/>
            <w:noWrap/>
          </w:tcPr>
          <w:p w:rsidR="00000000" w:rsidRDefault="00000000">
            <w:pPr>
              <w:keepNext/>
              <w:spacing w:before="30" w:after="30"/>
              <w:rPr>
                <w:sz w:val="22"/>
              </w:rPr>
            </w:pPr>
            <w:r>
              <w:rPr>
                <w:sz w:val="22"/>
              </w:rPr>
              <w:t>Italie</w:t>
            </w:r>
          </w:p>
        </w:tc>
        <w:tc>
          <w:tcPr>
            <w:tcW w:w="1100" w:type="dxa"/>
            <w:noWrap/>
          </w:tcPr>
          <w:p w:rsidR="00000000" w:rsidRDefault="00000000">
            <w:pPr>
              <w:keepNext/>
              <w:spacing w:before="30" w:after="30"/>
              <w:ind w:right="170"/>
              <w:jc w:val="right"/>
              <w:rPr>
                <w:sz w:val="22"/>
              </w:rPr>
            </w:pPr>
            <w:r>
              <w:rPr>
                <w:sz w:val="22"/>
              </w:rPr>
              <w:t>315 619</w:t>
            </w:r>
          </w:p>
        </w:tc>
        <w:tc>
          <w:tcPr>
            <w:tcW w:w="1210" w:type="dxa"/>
            <w:noWrap/>
          </w:tcPr>
          <w:p w:rsidR="00000000" w:rsidRDefault="00000000">
            <w:pPr>
              <w:keepNext/>
              <w:spacing w:before="30" w:after="30"/>
              <w:ind w:right="170"/>
              <w:jc w:val="right"/>
              <w:rPr>
                <w:sz w:val="22"/>
              </w:rPr>
            </w:pPr>
            <w:r>
              <w:rPr>
                <w:sz w:val="22"/>
              </w:rPr>
              <w:t>309 913</w:t>
            </w:r>
          </w:p>
        </w:tc>
        <w:tc>
          <w:tcPr>
            <w:tcW w:w="1100" w:type="dxa"/>
            <w:noWrap/>
          </w:tcPr>
          <w:p w:rsidR="00000000" w:rsidRDefault="00000000">
            <w:pPr>
              <w:keepNext/>
              <w:spacing w:before="30" w:after="30"/>
              <w:ind w:right="170"/>
              <w:jc w:val="right"/>
              <w:rPr>
                <w:sz w:val="22"/>
              </w:rPr>
            </w:pPr>
            <w:r>
              <w:rPr>
                <w:sz w:val="22"/>
              </w:rPr>
              <w:t>305 371</w:t>
            </w:r>
          </w:p>
        </w:tc>
        <w:tc>
          <w:tcPr>
            <w:tcW w:w="913" w:type="dxa"/>
            <w:noWrap/>
          </w:tcPr>
          <w:p w:rsidR="00000000" w:rsidRDefault="00000000">
            <w:pPr>
              <w:keepNext/>
              <w:spacing w:before="30" w:after="30"/>
              <w:ind w:right="170"/>
              <w:jc w:val="right"/>
              <w:rPr>
                <w:sz w:val="22"/>
              </w:rPr>
            </w:pPr>
            <w:r>
              <w:rPr>
                <w:sz w:val="22"/>
              </w:rPr>
              <w:t>301 736</w:t>
            </w:r>
          </w:p>
        </w:tc>
        <w:tc>
          <w:tcPr>
            <w:tcW w:w="913" w:type="dxa"/>
            <w:noWrap/>
          </w:tcPr>
          <w:p w:rsidR="00000000" w:rsidRDefault="00000000">
            <w:pPr>
              <w:keepNext/>
              <w:spacing w:before="30" w:after="30"/>
              <w:ind w:right="170"/>
              <w:jc w:val="right"/>
              <w:rPr>
                <w:sz w:val="22"/>
              </w:rPr>
            </w:pPr>
            <w:r>
              <w:rPr>
                <w:sz w:val="22"/>
              </w:rPr>
              <w:t>19,8</w:t>
            </w:r>
          </w:p>
        </w:tc>
      </w:tr>
      <w:tr w:rsidR="00000000">
        <w:tblPrEx>
          <w:tblCellMar>
            <w:top w:w="0" w:type="dxa"/>
            <w:bottom w:w="0" w:type="dxa"/>
          </w:tblCellMar>
        </w:tblPrEx>
        <w:tc>
          <w:tcPr>
            <w:tcW w:w="2921" w:type="dxa"/>
            <w:noWrap/>
          </w:tcPr>
          <w:p w:rsidR="00000000" w:rsidRDefault="00000000">
            <w:pPr>
              <w:keepNext/>
              <w:spacing w:before="30" w:after="30"/>
              <w:rPr>
                <w:sz w:val="22"/>
              </w:rPr>
            </w:pPr>
            <w:proofErr w:type="spellStart"/>
            <w:r>
              <w:rPr>
                <w:sz w:val="22"/>
              </w:rPr>
              <w:t>Serbie</w:t>
            </w:r>
            <w:r>
              <w:rPr>
                <w:sz w:val="22"/>
              </w:rPr>
              <w:noBreakHyphen/>
              <w:t>et</w:t>
            </w:r>
            <w:r>
              <w:rPr>
                <w:sz w:val="22"/>
              </w:rPr>
              <w:noBreakHyphen/>
              <w:t>Monténégro</w:t>
            </w:r>
            <w:proofErr w:type="spellEnd"/>
          </w:p>
        </w:tc>
        <w:tc>
          <w:tcPr>
            <w:tcW w:w="1100" w:type="dxa"/>
            <w:noWrap/>
          </w:tcPr>
          <w:p w:rsidR="00000000" w:rsidRDefault="00000000">
            <w:pPr>
              <w:keepNext/>
              <w:spacing w:before="30" w:after="30"/>
              <w:ind w:right="170"/>
              <w:jc w:val="right"/>
              <w:rPr>
                <w:sz w:val="22"/>
              </w:rPr>
            </w:pPr>
            <w:r>
              <w:rPr>
                <w:sz w:val="22"/>
              </w:rPr>
              <w:t>195 436</w:t>
            </w:r>
          </w:p>
        </w:tc>
        <w:tc>
          <w:tcPr>
            <w:tcW w:w="1210" w:type="dxa"/>
            <w:noWrap/>
          </w:tcPr>
          <w:p w:rsidR="00000000" w:rsidRDefault="00000000">
            <w:pPr>
              <w:keepNext/>
              <w:spacing w:before="30" w:after="30"/>
              <w:ind w:right="170"/>
              <w:jc w:val="right"/>
              <w:rPr>
                <w:sz w:val="22"/>
              </w:rPr>
            </w:pPr>
            <w:r>
              <w:rPr>
                <w:sz w:val="22"/>
              </w:rPr>
              <w:t>198 700</w:t>
            </w:r>
          </w:p>
        </w:tc>
        <w:tc>
          <w:tcPr>
            <w:tcW w:w="1100" w:type="dxa"/>
            <w:noWrap/>
          </w:tcPr>
          <w:p w:rsidR="00000000" w:rsidRDefault="00000000">
            <w:pPr>
              <w:keepNext/>
              <w:spacing w:before="30" w:after="30"/>
              <w:ind w:right="170"/>
              <w:jc w:val="right"/>
              <w:rPr>
                <w:sz w:val="22"/>
              </w:rPr>
            </w:pPr>
            <w:r>
              <w:rPr>
                <w:sz w:val="22"/>
              </w:rPr>
              <w:t>200 349</w:t>
            </w:r>
          </w:p>
        </w:tc>
        <w:tc>
          <w:tcPr>
            <w:tcW w:w="913" w:type="dxa"/>
            <w:noWrap/>
          </w:tcPr>
          <w:p w:rsidR="00000000" w:rsidRDefault="00000000">
            <w:pPr>
              <w:keepNext/>
              <w:spacing w:before="30" w:after="30"/>
              <w:ind w:right="170"/>
              <w:jc w:val="right"/>
              <w:rPr>
                <w:sz w:val="22"/>
              </w:rPr>
            </w:pPr>
            <w:r>
              <w:rPr>
                <w:sz w:val="22"/>
              </w:rPr>
              <w:t>199 739</w:t>
            </w:r>
          </w:p>
        </w:tc>
        <w:tc>
          <w:tcPr>
            <w:tcW w:w="913" w:type="dxa"/>
            <w:noWrap/>
          </w:tcPr>
          <w:p w:rsidR="00000000" w:rsidRDefault="00000000">
            <w:pPr>
              <w:keepNext/>
              <w:spacing w:before="30" w:after="30"/>
              <w:ind w:right="170"/>
              <w:jc w:val="right"/>
              <w:rPr>
                <w:sz w:val="22"/>
              </w:rPr>
            </w:pPr>
            <w:r>
              <w:rPr>
                <w:sz w:val="22"/>
              </w:rPr>
              <w:t>13,1</w:t>
            </w:r>
          </w:p>
        </w:tc>
      </w:tr>
      <w:tr w:rsidR="00000000">
        <w:tblPrEx>
          <w:tblCellMar>
            <w:top w:w="0" w:type="dxa"/>
            <w:bottom w:w="0" w:type="dxa"/>
          </w:tblCellMar>
        </w:tblPrEx>
        <w:tc>
          <w:tcPr>
            <w:tcW w:w="2921" w:type="dxa"/>
            <w:noWrap/>
          </w:tcPr>
          <w:p w:rsidR="00000000" w:rsidRDefault="00000000">
            <w:pPr>
              <w:keepNext/>
              <w:spacing w:before="30" w:after="30"/>
              <w:rPr>
                <w:sz w:val="22"/>
              </w:rPr>
            </w:pPr>
            <w:r>
              <w:rPr>
                <w:sz w:val="22"/>
              </w:rPr>
              <w:t>Portugal</w:t>
            </w:r>
          </w:p>
        </w:tc>
        <w:tc>
          <w:tcPr>
            <w:tcW w:w="1100" w:type="dxa"/>
            <w:noWrap/>
          </w:tcPr>
          <w:p w:rsidR="00000000" w:rsidRDefault="00000000">
            <w:pPr>
              <w:keepNext/>
              <w:spacing w:before="30" w:after="30"/>
              <w:ind w:right="170"/>
              <w:jc w:val="right"/>
              <w:rPr>
                <w:sz w:val="22"/>
              </w:rPr>
            </w:pPr>
            <w:r>
              <w:rPr>
                <w:sz w:val="22"/>
              </w:rPr>
              <w:t>136 135</w:t>
            </w:r>
          </w:p>
        </w:tc>
        <w:tc>
          <w:tcPr>
            <w:tcW w:w="1210" w:type="dxa"/>
            <w:noWrap/>
          </w:tcPr>
          <w:p w:rsidR="00000000" w:rsidRDefault="00000000">
            <w:pPr>
              <w:keepNext/>
              <w:spacing w:before="30" w:after="30"/>
              <w:ind w:right="170"/>
              <w:jc w:val="right"/>
              <w:rPr>
                <w:sz w:val="22"/>
              </w:rPr>
            </w:pPr>
            <w:r>
              <w:rPr>
                <w:sz w:val="22"/>
              </w:rPr>
              <w:t>141 696</w:t>
            </w:r>
          </w:p>
        </w:tc>
        <w:tc>
          <w:tcPr>
            <w:tcW w:w="1100" w:type="dxa"/>
            <w:noWrap/>
          </w:tcPr>
          <w:p w:rsidR="00000000" w:rsidRDefault="00000000">
            <w:pPr>
              <w:keepNext/>
              <w:spacing w:before="30" w:after="30"/>
              <w:ind w:right="170"/>
              <w:jc w:val="right"/>
              <w:rPr>
                <w:sz w:val="22"/>
              </w:rPr>
            </w:pPr>
            <w:r>
              <w:rPr>
                <w:sz w:val="22"/>
              </w:rPr>
              <w:t>150 448</w:t>
            </w:r>
          </w:p>
        </w:tc>
        <w:tc>
          <w:tcPr>
            <w:tcW w:w="913" w:type="dxa"/>
            <w:noWrap/>
          </w:tcPr>
          <w:p w:rsidR="00000000" w:rsidRDefault="00000000">
            <w:pPr>
              <w:keepNext/>
              <w:spacing w:before="30" w:after="30"/>
              <w:ind w:right="170"/>
              <w:jc w:val="right"/>
              <w:rPr>
                <w:sz w:val="22"/>
              </w:rPr>
            </w:pPr>
            <w:r>
              <w:rPr>
                <w:sz w:val="22"/>
              </w:rPr>
              <w:t>160 249</w:t>
            </w:r>
          </w:p>
        </w:tc>
        <w:tc>
          <w:tcPr>
            <w:tcW w:w="913" w:type="dxa"/>
            <w:noWrap/>
          </w:tcPr>
          <w:p w:rsidR="00000000" w:rsidRDefault="00000000">
            <w:pPr>
              <w:keepNext/>
              <w:spacing w:before="30" w:after="30"/>
              <w:ind w:right="170"/>
              <w:jc w:val="right"/>
              <w:rPr>
                <w:sz w:val="22"/>
              </w:rPr>
            </w:pPr>
            <w:r>
              <w:rPr>
                <w:sz w:val="22"/>
              </w:rPr>
              <w:t>10,5</w:t>
            </w:r>
          </w:p>
        </w:tc>
      </w:tr>
      <w:tr w:rsidR="00000000">
        <w:tblPrEx>
          <w:tblCellMar>
            <w:top w:w="0" w:type="dxa"/>
            <w:bottom w:w="0" w:type="dxa"/>
          </w:tblCellMar>
        </w:tblPrEx>
        <w:tc>
          <w:tcPr>
            <w:tcW w:w="2921" w:type="dxa"/>
            <w:noWrap/>
          </w:tcPr>
          <w:p w:rsidR="00000000" w:rsidRDefault="00000000">
            <w:pPr>
              <w:keepNext/>
              <w:spacing w:before="30" w:after="30"/>
              <w:rPr>
                <w:sz w:val="22"/>
              </w:rPr>
            </w:pPr>
            <w:r>
              <w:rPr>
                <w:sz w:val="22"/>
              </w:rPr>
              <w:t>Allemagne</w:t>
            </w:r>
          </w:p>
        </w:tc>
        <w:tc>
          <w:tcPr>
            <w:tcW w:w="1100" w:type="dxa"/>
            <w:noWrap/>
          </w:tcPr>
          <w:p w:rsidR="00000000" w:rsidRDefault="00000000">
            <w:pPr>
              <w:keepNext/>
              <w:spacing w:before="30" w:after="30"/>
              <w:ind w:right="170"/>
              <w:jc w:val="right"/>
              <w:rPr>
                <w:sz w:val="22"/>
              </w:rPr>
            </w:pPr>
            <w:r>
              <w:rPr>
                <w:sz w:val="22"/>
              </w:rPr>
              <w:t>117 656</w:t>
            </w:r>
          </w:p>
        </w:tc>
        <w:tc>
          <w:tcPr>
            <w:tcW w:w="1210" w:type="dxa"/>
            <w:noWrap/>
          </w:tcPr>
          <w:p w:rsidR="00000000" w:rsidRDefault="00000000">
            <w:pPr>
              <w:keepNext/>
              <w:spacing w:before="30" w:after="30"/>
              <w:ind w:right="170"/>
              <w:jc w:val="right"/>
              <w:rPr>
                <w:sz w:val="22"/>
              </w:rPr>
            </w:pPr>
            <w:r>
              <w:rPr>
                <w:sz w:val="22"/>
              </w:rPr>
              <w:t>126 048</w:t>
            </w:r>
          </w:p>
        </w:tc>
        <w:tc>
          <w:tcPr>
            <w:tcW w:w="1100" w:type="dxa"/>
            <w:noWrap/>
          </w:tcPr>
          <w:p w:rsidR="00000000" w:rsidRDefault="00000000">
            <w:pPr>
              <w:keepNext/>
              <w:spacing w:before="30" w:after="30"/>
              <w:ind w:right="170"/>
              <w:jc w:val="right"/>
              <w:rPr>
                <w:sz w:val="22"/>
              </w:rPr>
            </w:pPr>
            <w:r>
              <w:rPr>
                <w:sz w:val="22"/>
              </w:rPr>
              <w:t>134 681</w:t>
            </w:r>
          </w:p>
        </w:tc>
        <w:tc>
          <w:tcPr>
            <w:tcW w:w="913" w:type="dxa"/>
            <w:noWrap/>
          </w:tcPr>
          <w:p w:rsidR="00000000" w:rsidRDefault="00000000">
            <w:pPr>
              <w:keepNext/>
              <w:spacing w:before="30" w:after="30"/>
              <w:ind w:right="170"/>
              <w:jc w:val="right"/>
              <w:rPr>
                <w:sz w:val="22"/>
              </w:rPr>
            </w:pPr>
            <w:r>
              <w:rPr>
                <w:sz w:val="22"/>
              </w:rPr>
              <w:t>145 967</w:t>
            </w:r>
          </w:p>
        </w:tc>
        <w:tc>
          <w:tcPr>
            <w:tcW w:w="913" w:type="dxa"/>
            <w:noWrap/>
          </w:tcPr>
          <w:p w:rsidR="00000000" w:rsidRDefault="00000000">
            <w:pPr>
              <w:keepNext/>
              <w:spacing w:before="30" w:after="30"/>
              <w:ind w:right="170"/>
              <w:jc w:val="right"/>
              <w:rPr>
                <w:sz w:val="22"/>
              </w:rPr>
            </w:pPr>
            <w:r>
              <w:rPr>
                <w:sz w:val="22"/>
              </w:rPr>
              <w:t>9,6</w:t>
            </w:r>
          </w:p>
        </w:tc>
      </w:tr>
      <w:tr w:rsidR="00000000">
        <w:tblPrEx>
          <w:tblCellMar>
            <w:top w:w="0" w:type="dxa"/>
            <w:bottom w:w="0" w:type="dxa"/>
          </w:tblCellMar>
        </w:tblPrEx>
        <w:tc>
          <w:tcPr>
            <w:tcW w:w="2921" w:type="dxa"/>
            <w:noWrap/>
          </w:tcPr>
          <w:p w:rsidR="00000000" w:rsidRDefault="00000000">
            <w:pPr>
              <w:keepNext/>
              <w:spacing w:before="30" w:after="30"/>
              <w:rPr>
                <w:sz w:val="22"/>
              </w:rPr>
            </w:pPr>
            <w:r>
              <w:rPr>
                <w:sz w:val="22"/>
              </w:rPr>
              <w:t>Turquie</w:t>
            </w:r>
          </w:p>
        </w:tc>
        <w:tc>
          <w:tcPr>
            <w:tcW w:w="1100" w:type="dxa"/>
            <w:noWrap/>
          </w:tcPr>
          <w:p w:rsidR="00000000" w:rsidRDefault="00000000">
            <w:pPr>
              <w:keepNext/>
              <w:spacing w:before="30" w:after="30"/>
              <w:ind w:right="170"/>
              <w:jc w:val="right"/>
              <w:rPr>
                <w:sz w:val="22"/>
              </w:rPr>
            </w:pPr>
            <w:r>
              <w:rPr>
                <w:sz w:val="22"/>
              </w:rPr>
              <w:t>79 990</w:t>
            </w:r>
          </w:p>
        </w:tc>
        <w:tc>
          <w:tcPr>
            <w:tcW w:w="1210" w:type="dxa"/>
            <w:noWrap/>
          </w:tcPr>
          <w:p w:rsidR="00000000" w:rsidRDefault="00000000">
            <w:pPr>
              <w:keepNext/>
              <w:spacing w:before="30" w:after="30"/>
              <w:ind w:right="170"/>
              <w:jc w:val="right"/>
              <w:rPr>
                <w:sz w:val="22"/>
              </w:rPr>
            </w:pPr>
            <w:r>
              <w:rPr>
                <w:sz w:val="22"/>
              </w:rPr>
              <w:t>79 330</w:t>
            </w:r>
          </w:p>
        </w:tc>
        <w:tc>
          <w:tcPr>
            <w:tcW w:w="1100" w:type="dxa"/>
            <w:noWrap/>
          </w:tcPr>
          <w:p w:rsidR="00000000" w:rsidRDefault="00000000">
            <w:pPr>
              <w:keepNext/>
              <w:spacing w:before="30" w:after="30"/>
              <w:ind w:right="170"/>
              <w:jc w:val="right"/>
              <w:rPr>
                <w:sz w:val="22"/>
              </w:rPr>
            </w:pPr>
            <w:r>
              <w:rPr>
                <w:sz w:val="22"/>
              </w:rPr>
              <w:t>78 120</w:t>
            </w:r>
          </w:p>
        </w:tc>
        <w:tc>
          <w:tcPr>
            <w:tcW w:w="913" w:type="dxa"/>
            <w:noWrap/>
          </w:tcPr>
          <w:p w:rsidR="00000000" w:rsidRDefault="00000000">
            <w:pPr>
              <w:keepNext/>
              <w:spacing w:before="30" w:after="30"/>
              <w:ind w:right="170"/>
              <w:jc w:val="right"/>
              <w:rPr>
                <w:sz w:val="22"/>
              </w:rPr>
            </w:pPr>
            <w:r>
              <w:rPr>
                <w:sz w:val="22"/>
              </w:rPr>
              <w:t>77 058</w:t>
            </w:r>
          </w:p>
        </w:tc>
        <w:tc>
          <w:tcPr>
            <w:tcW w:w="913" w:type="dxa"/>
            <w:noWrap/>
          </w:tcPr>
          <w:p w:rsidR="00000000" w:rsidRDefault="00000000">
            <w:pPr>
              <w:keepNext/>
              <w:spacing w:before="30" w:after="30"/>
              <w:ind w:right="170"/>
              <w:jc w:val="right"/>
              <w:rPr>
                <w:sz w:val="22"/>
              </w:rPr>
            </w:pPr>
            <w:r>
              <w:rPr>
                <w:sz w:val="22"/>
              </w:rPr>
              <w:t>5,0</w:t>
            </w:r>
          </w:p>
        </w:tc>
      </w:tr>
      <w:tr w:rsidR="00000000">
        <w:tblPrEx>
          <w:tblCellMar>
            <w:top w:w="0" w:type="dxa"/>
            <w:bottom w:w="0" w:type="dxa"/>
          </w:tblCellMar>
        </w:tblPrEx>
        <w:tc>
          <w:tcPr>
            <w:tcW w:w="2921" w:type="dxa"/>
            <w:noWrap/>
          </w:tcPr>
          <w:p w:rsidR="00000000" w:rsidRDefault="00000000">
            <w:pPr>
              <w:keepNext/>
              <w:spacing w:before="30" w:after="30"/>
              <w:rPr>
                <w:sz w:val="22"/>
              </w:rPr>
            </w:pPr>
            <w:r>
              <w:rPr>
                <w:sz w:val="22"/>
              </w:rPr>
              <w:t>Espagne</w:t>
            </w:r>
          </w:p>
        </w:tc>
        <w:tc>
          <w:tcPr>
            <w:tcW w:w="1100" w:type="dxa"/>
            <w:noWrap/>
          </w:tcPr>
          <w:p w:rsidR="00000000" w:rsidRDefault="00000000">
            <w:pPr>
              <w:keepNext/>
              <w:spacing w:before="30" w:after="30"/>
              <w:ind w:right="170"/>
              <w:jc w:val="right"/>
              <w:rPr>
                <w:sz w:val="22"/>
              </w:rPr>
            </w:pPr>
            <w:r>
              <w:rPr>
                <w:sz w:val="22"/>
              </w:rPr>
              <w:t>81 806</w:t>
            </w:r>
          </w:p>
        </w:tc>
        <w:tc>
          <w:tcPr>
            <w:tcW w:w="1210" w:type="dxa"/>
            <w:noWrap/>
          </w:tcPr>
          <w:p w:rsidR="00000000" w:rsidRDefault="00000000">
            <w:pPr>
              <w:keepNext/>
              <w:spacing w:before="30" w:after="30"/>
              <w:ind w:right="170"/>
              <w:jc w:val="right"/>
              <w:rPr>
                <w:sz w:val="22"/>
              </w:rPr>
            </w:pPr>
            <w:r>
              <w:rPr>
                <w:sz w:val="22"/>
              </w:rPr>
              <w:t>79 729</w:t>
            </w:r>
          </w:p>
        </w:tc>
        <w:tc>
          <w:tcPr>
            <w:tcW w:w="1100" w:type="dxa"/>
            <w:noWrap/>
          </w:tcPr>
          <w:p w:rsidR="00000000" w:rsidRDefault="00000000">
            <w:pPr>
              <w:keepNext/>
              <w:spacing w:before="30" w:after="30"/>
              <w:ind w:right="170"/>
              <w:jc w:val="right"/>
              <w:rPr>
                <w:sz w:val="22"/>
              </w:rPr>
            </w:pPr>
            <w:r>
              <w:rPr>
                <w:sz w:val="22"/>
              </w:rPr>
              <w:t>77 578</w:t>
            </w:r>
          </w:p>
        </w:tc>
        <w:tc>
          <w:tcPr>
            <w:tcW w:w="913" w:type="dxa"/>
            <w:noWrap/>
          </w:tcPr>
          <w:p w:rsidR="00000000" w:rsidRDefault="00000000">
            <w:pPr>
              <w:keepNext/>
              <w:spacing w:before="30" w:after="30"/>
              <w:ind w:right="170"/>
              <w:jc w:val="right"/>
              <w:rPr>
                <w:sz w:val="22"/>
              </w:rPr>
            </w:pPr>
            <w:r>
              <w:rPr>
                <w:sz w:val="22"/>
              </w:rPr>
              <w:t>75 085</w:t>
            </w:r>
          </w:p>
        </w:tc>
        <w:tc>
          <w:tcPr>
            <w:tcW w:w="913" w:type="dxa"/>
            <w:noWrap/>
          </w:tcPr>
          <w:p w:rsidR="00000000" w:rsidRDefault="00000000">
            <w:pPr>
              <w:keepNext/>
              <w:spacing w:before="30" w:after="30"/>
              <w:ind w:right="170"/>
              <w:jc w:val="right"/>
              <w:rPr>
                <w:sz w:val="22"/>
              </w:rPr>
            </w:pPr>
            <w:r>
              <w:rPr>
                <w:sz w:val="22"/>
              </w:rPr>
              <w:t>4,9</w:t>
            </w:r>
          </w:p>
        </w:tc>
      </w:tr>
      <w:tr w:rsidR="00000000">
        <w:tblPrEx>
          <w:tblCellMar>
            <w:top w:w="0" w:type="dxa"/>
            <w:bottom w:w="0" w:type="dxa"/>
          </w:tblCellMar>
        </w:tblPrEx>
        <w:tc>
          <w:tcPr>
            <w:tcW w:w="2921" w:type="dxa"/>
            <w:noWrap/>
          </w:tcPr>
          <w:p w:rsidR="00000000" w:rsidRDefault="00000000">
            <w:pPr>
              <w:keepNext/>
              <w:spacing w:before="30" w:after="30"/>
              <w:rPr>
                <w:sz w:val="22"/>
              </w:rPr>
            </w:pPr>
            <w:r>
              <w:rPr>
                <w:sz w:val="22"/>
              </w:rPr>
              <w:t>France</w:t>
            </w:r>
          </w:p>
        </w:tc>
        <w:tc>
          <w:tcPr>
            <w:tcW w:w="1100" w:type="dxa"/>
            <w:noWrap/>
          </w:tcPr>
          <w:p w:rsidR="00000000" w:rsidRDefault="00000000">
            <w:pPr>
              <w:keepNext/>
              <w:spacing w:before="30" w:after="30"/>
              <w:ind w:right="170"/>
              <w:jc w:val="right"/>
              <w:rPr>
                <w:sz w:val="22"/>
              </w:rPr>
            </w:pPr>
            <w:r>
              <w:rPr>
                <w:sz w:val="22"/>
              </w:rPr>
              <w:t>63 329</w:t>
            </w:r>
          </w:p>
        </w:tc>
        <w:tc>
          <w:tcPr>
            <w:tcW w:w="1210" w:type="dxa"/>
            <w:noWrap/>
          </w:tcPr>
          <w:p w:rsidR="00000000" w:rsidRDefault="00000000">
            <w:pPr>
              <w:keepNext/>
              <w:spacing w:before="30" w:after="30"/>
              <w:ind w:right="170"/>
              <w:jc w:val="right"/>
              <w:rPr>
                <w:sz w:val="22"/>
              </w:rPr>
            </w:pPr>
            <w:r>
              <w:rPr>
                <w:sz w:val="22"/>
              </w:rPr>
              <w:t>65 113</w:t>
            </w:r>
          </w:p>
        </w:tc>
        <w:tc>
          <w:tcPr>
            <w:tcW w:w="1100" w:type="dxa"/>
            <w:noWrap/>
          </w:tcPr>
          <w:p w:rsidR="00000000" w:rsidRDefault="00000000">
            <w:pPr>
              <w:keepNext/>
              <w:spacing w:before="30" w:after="30"/>
              <w:ind w:right="170"/>
              <w:jc w:val="right"/>
              <w:rPr>
                <w:sz w:val="22"/>
              </w:rPr>
            </w:pPr>
            <w:r>
              <w:rPr>
                <w:sz w:val="22"/>
              </w:rPr>
              <w:t>66 917</w:t>
            </w:r>
          </w:p>
        </w:tc>
        <w:tc>
          <w:tcPr>
            <w:tcW w:w="913" w:type="dxa"/>
            <w:noWrap/>
          </w:tcPr>
          <w:p w:rsidR="00000000" w:rsidRDefault="00000000">
            <w:pPr>
              <w:keepNext/>
              <w:spacing w:before="30" w:after="30"/>
              <w:ind w:right="170"/>
              <w:jc w:val="right"/>
              <w:rPr>
                <w:sz w:val="22"/>
              </w:rPr>
            </w:pPr>
            <w:r>
              <w:rPr>
                <w:sz w:val="22"/>
              </w:rPr>
              <w:t>68 850</w:t>
            </w:r>
          </w:p>
        </w:tc>
        <w:tc>
          <w:tcPr>
            <w:tcW w:w="913" w:type="dxa"/>
            <w:noWrap/>
          </w:tcPr>
          <w:p w:rsidR="00000000" w:rsidRDefault="00000000">
            <w:pPr>
              <w:keepNext/>
              <w:spacing w:before="30" w:after="30"/>
              <w:ind w:right="170"/>
              <w:jc w:val="right"/>
              <w:rPr>
                <w:sz w:val="22"/>
              </w:rPr>
            </w:pPr>
            <w:r>
              <w:rPr>
                <w:sz w:val="22"/>
              </w:rPr>
              <w:t>4,5</w:t>
            </w:r>
          </w:p>
        </w:tc>
      </w:tr>
      <w:tr w:rsidR="00000000">
        <w:tblPrEx>
          <w:tblCellMar>
            <w:top w:w="0" w:type="dxa"/>
            <w:bottom w:w="0" w:type="dxa"/>
          </w:tblCellMar>
        </w:tblPrEx>
        <w:tc>
          <w:tcPr>
            <w:tcW w:w="2921" w:type="dxa"/>
            <w:noWrap/>
          </w:tcPr>
          <w:p w:rsidR="00000000" w:rsidRDefault="00000000">
            <w:pPr>
              <w:keepNext/>
              <w:spacing w:before="30" w:after="30"/>
              <w:rPr>
                <w:sz w:val="22"/>
              </w:rPr>
            </w:pPr>
            <w:r>
              <w:rPr>
                <w:sz w:val="22"/>
              </w:rPr>
              <w:t>Macédoine</w:t>
            </w:r>
          </w:p>
        </w:tc>
        <w:tc>
          <w:tcPr>
            <w:tcW w:w="1100" w:type="dxa"/>
            <w:noWrap/>
          </w:tcPr>
          <w:p w:rsidR="00000000" w:rsidRDefault="00000000">
            <w:pPr>
              <w:keepNext/>
              <w:spacing w:before="30" w:after="30"/>
              <w:ind w:right="170"/>
              <w:jc w:val="right"/>
              <w:rPr>
                <w:sz w:val="22"/>
              </w:rPr>
            </w:pPr>
            <w:r>
              <w:rPr>
                <w:sz w:val="22"/>
              </w:rPr>
              <w:t>58 549</w:t>
            </w:r>
          </w:p>
        </w:tc>
        <w:tc>
          <w:tcPr>
            <w:tcW w:w="1210" w:type="dxa"/>
            <w:noWrap/>
          </w:tcPr>
          <w:p w:rsidR="00000000" w:rsidRDefault="00000000">
            <w:pPr>
              <w:keepNext/>
              <w:spacing w:before="30" w:after="30"/>
              <w:ind w:right="170"/>
              <w:jc w:val="right"/>
              <w:rPr>
                <w:sz w:val="22"/>
              </w:rPr>
            </w:pPr>
            <w:r>
              <w:rPr>
                <w:sz w:val="22"/>
              </w:rPr>
              <w:t>59 926</w:t>
            </w:r>
          </w:p>
        </w:tc>
        <w:tc>
          <w:tcPr>
            <w:tcW w:w="1100" w:type="dxa"/>
            <w:noWrap/>
          </w:tcPr>
          <w:p w:rsidR="00000000" w:rsidRDefault="00000000">
            <w:pPr>
              <w:keepNext/>
              <w:spacing w:before="30" w:after="30"/>
              <w:ind w:right="170"/>
              <w:jc w:val="right"/>
              <w:rPr>
                <w:sz w:val="22"/>
              </w:rPr>
            </w:pPr>
            <w:r>
              <w:rPr>
                <w:sz w:val="22"/>
              </w:rPr>
              <w:t>60 676</w:t>
            </w:r>
          </w:p>
        </w:tc>
        <w:tc>
          <w:tcPr>
            <w:tcW w:w="913" w:type="dxa"/>
            <w:noWrap/>
          </w:tcPr>
          <w:p w:rsidR="00000000" w:rsidRDefault="00000000">
            <w:pPr>
              <w:keepNext/>
              <w:spacing w:before="30" w:after="30"/>
              <w:ind w:right="170"/>
              <w:jc w:val="right"/>
              <w:rPr>
                <w:sz w:val="22"/>
              </w:rPr>
            </w:pPr>
            <w:r>
              <w:rPr>
                <w:sz w:val="22"/>
              </w:rPr>
              <w:t>61 008</w:t>
            </w:r>
          </w:p>
        </w:tc>
        <w:tc>
          <w:tcPr>
            <w:tcW w:w="913" w:type="dxa"/>
            <w:noWrap/>
          </w:tcPr>
          <w:p w:rsidR="00000000" w:rsidRDefault="00000000">
            <w:pPr>
              <w:keepNext/>
              <w:spacing w:before="30" w:after="30"/>
              <w:ind w:right="170"/>
              <w:jc w:val="right"/>
              <w:rPr>
                <w:sz w:val="22"/>
              </w:rPr>
            </w:pPr>
            <w:r>
              <w:rPr>
                <w:sz w:val="22"/>
              </w:rPr>
              <w:t>4,0</w:t>
            </w:r>
          </w:p>
        </w:tc>
      </w:tr>
      <w:tr w:rsidR="00000000">
        <w:tblPrEx>
          <w:tblCellMar>
            <w:top w:w="0" w:type="dxa"/>
            <w:bottom w:w="0" w:type="dxa"/>
          </w:tblCellMar>
        </w:tblPrEx>
        <w:tc>
          <w:tcPr>
            <w:tcW w:w="2921" w:type="dxa"/>
            <w:noWrap/>
          </w:tcPr>
          <w:p w:rsidR="00000000" w:rsidRDefault="00000000">
            <w:pPr>
              <w:keepNext/>
              <w:spacing w:before="30" w:after="30"/>
              <w:rPr>
                <w:sz w:val="22"/>
              </w:rPr>
            </w:pPr>
            <w:proofErr w:type="spellStart"/>
            <w:r>
              <w:rPr>
                <w:sz w:val="22"/>
              </w:rPr>
              <w:t>Bosnie</w:t>
            </w:r>
            <w:r>
              <w:rPr>
                <w:sz w:val="22"/>
              </w:rPr>
              <w:noBreakHyphen/>
              <w:t>Herzégovine</w:t>
            </w:r>
            <w:proofErr w:type="spellEnd"/>
          </w:p>
        </w:tc>
        <w:tc>
          <w:tcPr>
            <w:tcW w:w="1100" w:type="dxa"/>
            <w:noWrap/>
          </w:tcPr>
          <w:p w:rsidR="00000000" w:rsidRDefault="00000000">
            <w:pPr>
              <w:keepNext/>
              <w:spacing w:before="30" w:after="30"/>
              <w:ind w:right="170"/>
              <w:jc w:val="right"/>
              <w:rPr>
                <w:sz w:val="22"/>
              </w:rPr>
            </w:pPr>
            <w:r>
              <w:rPr>
                <w:sz w:val="22"/>
              </w:rPr>
              <w:t>45 913</w:t>
            </w:r>
          </w:p>
        </w:tc>
        <w:tc>
          <w:tcPr>
            <w:tcW w:w="1210" w:type="dxa"/>
            <w:noWrap/>
          </w:tcPr>
          <w:p w:rsidR="00000000" w:rsidRDefault="00000000">
            <w:pPr>
              <w:keepNext/>
              <w:spacing w:before="30" w:after="30"/>
              <w:ind w:right="170"/>
              <w:jc w:val="right"/>
              <w:rPr>
                <w:sz w:val="22"/>
              </w:rPr>
            </w:pPr>
            <w:r>
              <w:rPr>
                <w:sz w:val="22"/>
              </w:rPr>
              <w:t>46 138</w:t>
            </w:r>
          </w:p>
        </w:tc>
        <w:tc>
          <w:tcPr>
            <w:tcW w:w="1100" w:type="dxa"/>
            <w:noWrap/>
          </w:tcPr>
          <w:p w:rsidR="00000000" w:rsidRDefault="00000000">
            <w:pPr>
              <w:keepNext/>
              <w:spacing w:before="30" w:after="30"/>
              <w:ind w:right="170"/>
              <w:jc w:val="right"/>
              <w:rPr>
                <w:sz w:val="22"/>
              </w:rPr>
            </w:pPr>
            <w:r>
              <w:rPr>
                <w:sz w:val="22"/>
              </w:rPr>
              <w:t>45 554</w:t>
            </w:r>
          </w:p>
        </w:tc>
        <w:tc>
          <w:tcPr>
            <w:tcW w:w="913" w:type="dxa"/>
            <w:noWrap/>
          </w:tcPr>
          <w:p w:rsidR="00000000" w:rsidRDefault="00000000">
            <w:pPr>
              <w:keepNext/>
              <w:spacing w:before="30" w:after="30"/>
              <w:ind w:right="170"/>
              <w:jc w:val="right"/>
              <w:rPr>
                <w:sz w:val="22"/>
              </w:rPr>
            </w:pPr>
            <w:r>
              <w:rPr>
                <w:sz w:val="22"/>
              </w:rPr>
              <w:t>44 872</w:t>
            </w:r>
          </w:p>
        </w:tc>
        <w:tc>
          <w:tcPr>
            <w:tcW w:w="913" w:type="dxa"/>
            <w:noWrap/>
          </w:tcPr>
          <w:p w:rsidR="00000000" w:rsidRDefault="00000000">
            <w:pPr>
              <w:keepNext/>
              <w:spacing w:before="30" w:after="30"/>
              <w:ind w:right="170"/>
              <w:jc w:val="right"/>
              <w:rPr>
                <w:sz w:val="22"/>
              </w:rPr>
            </w:pPr>
            <w:r>
              <w:rPr>
                <w:sz w:val="22"/>
              </w:rPr>
              <w:t>2,9</w:t>
            </w:r>
          </w:p>
        </w:tc>
      </w:tr>
      <w:tr w:rsidR="00000000">
        <w:tblPrEx>
          <w:tblCellMar>
            <w:top w:w="0" w:type="dxa"/>
            <w:bottom w:w="0" w:type="dxa"/>
          </w:tblCellMar>
        </w:tblPrEx>
        <w:tc>
          <w:tcPr>
            <w:tcW w:w="2921" w:type="dxa"/>
            <w:noWrap/>
          </w:tcPr>
          <w:p w:rsidR="00000000" w:rsidRDefault="00000000">
            <w:pPr>
              <w:keepNext/>
              <w:spacing w:before="30" w:after="30"/>
              <w:rPr>
                <w:sz w:val="22"/>
              </w:rPr>
            </w:pPr>
            <w:r>
              <w:rPr>
                <w:sz w:val="22"/>
              </w:rPr>
              <w:t>Croatie</w:t>
            </w:r>
          </w:p>
        </w:tc>
        <w:tc>
          <w:tcPr>
            <w:tcW w:w="1100" w:type="dxa"/>
            <w:noWrap/>
          </w:tcPr>
          <w:p w:rsidR="00000000" w:rsidRDefault="00000000">
            <w:pPr>
              <w:keepNext/>
              <w:spacing w:before="30" w:after="30"/>
              <w:ind w:right="170"/>
              <w:jc w:val="right"/>
              <w:rPr>
                <w:sz w:val="22"/>
              </w:rPr>
            </w:pPr>
            <w:r>
              <w:rPr>
                <w:sz w:val="22"/>
              </w:rPr>
              <w:t>44 035</w:t>
            </w:r>
          </w:p>
        </w:tc>
        <w:tc>
          <w:tcPr>
            <w:tcW w:w="1210" w:type="dxa"/>
            <w:noWrap/>
          </w:tcPr>
          <w:p w:rsidR="00000000" w:rsidRDefault="00000000">
            <w:pPr>
              <w:keepNext/>
              <w:spacing w:before="30" w:after="30"/>
              <w:ind w:right="170"/>
              <w:jc w:val="right"/>
              <w:rPr>
                <w:sz w:val="22"/>
              </w:rPr>
            </w:pPr>
            <w:r>
              <w:rPr>
                <w:sz w:val="22"/>
              </w:rPr>
              <w:t>43 510</w:t>
            </w:r>
          </w:p>
        </w:tc>
        <w:tc>
          <w:tcPr>
            <w:tcW w:w="1100" w:type="dxa"/>
            <w:noWrap/>
          </w:tcPr>
          <w:p w:rsidR="00000000" w:rsidRDefault="00000000">
            <w:pPr>
              <w:keepNext/>
              <w:spacing w:before="30" w:after="30"/>
              <w:ind w:right="170"/>
              <w:jc w:val="right"/>
              <w:rPr>
                <w:sz w:val="22"/>
              </w:rPr>
            </w:pPr>
            <w:r>
              <w:rPr>
                <w:sz w:val="22"/>
              </w:rPr>
              <w:t>42 852</w:t>
            </w:r>
          </w:p>
        </w:tc>
        <w:tc>
          <w:tcPr>
            <w:tcW w:w="913" w:type="dxa"/>
            <w:noWrap/>
          </w:tcPr>
          <w:p w:rsidR="00000000" w:rsidRDefault="00000000">
            <w:pPr>
              <w:keepNext/>
              <w:spacing w:before="30" w:after="30"/>
              <w:ind w:right="170"/>
              <w:jc w:val="right"/>
              <w:rPr>
                <w:sz w:val="22"/>
              </w:rPr>
            </w:pPr>
            <w:r>
              <w:rPr>
                <w:sz w:val="22"/>
              </w:rPr>
              <w:t>41 908</w:t>
            </w:r>
          </w:p>
        </w:tc>
        <w:tc>
          <w:tcPr>
            <w:tcW w:w="913" w:type="dxa"/>
            <w:noWrap/>
          </w:tcPr>
          <w:p w:rsidR="00000000" w:rsidRDefault="00000000">
            <w:pPr>
              <w:keepNext/>
              <w:spacing w:before="30" w:after="30"/>
              <w:ind w:right="170"/>
              <w:jc w:val="right"/>
              <w:rPr>
                <w:sz w:val="22"/>
              </w:rPr>
            </w:pPr>
            <w:r>
              <w:rPr>
                <w:sz w:val="22"/>
              </w:rPr>
              <w:t>2,7</w:t>
            </w:r>
          </w:p>
        </w:tc>
      </w:tr>
      <w:tr w:rsidR="00000000">
        <w:tblPrEx>
          <w:tblCellMar>
            <w:top w:w="0" w:type="dxa"/>
            <w:bottom w:w="0" w:type="dxa"/>
          </w:tblCellMar>
        </w:tblPrEx>
        <w:tc>
          <w:tcPr>
            <w:tcW w:w="2921" w:type="dxa"/>
            <w:noWrap/>
          </w:tcPr>
          <w:p w:rsidR="00000000" w:rsidRDefault="00000000">
            <w:pPr>
              <w:keepNext/>
              <w:spacing w:before="30" w:after="30"/>
              <w:rPr>
                <w:sz w:val="22"/>
              </w:rPr>
            </w:pPr>
            <w:r>
              <w:rPr>
                <w:sz w:val="22"/>
              </w:rPr>
              <w:t>Autres</w:t>
            </w:r>
          </w:p>
        </w:tc>
        <w:tc>
          <w:tcPr>
            <w:tcW w:w="1100" w:type="dxa"/>
            <w:noWrap/>
          </w:tcPr>
          <w:p w:rsidR="00000000" w:rsidRDefault="00000000">
            <w:pPr>
              <w:keepNext/>
              <w:spacing w:before="30" w:after="30"/>
              <w:ind w:right="170"/>
              <w:jc w:val="right"/>
              <w:rPr>
                <w:sz w:val="22"/>
              </w:rPr>
            </w:pPr>
            <w:r>
              <w:rPr>
                <w:sz w:val="22"/>
              </w:rPr>
              <w:t>305 739</w:t>
            </w:r>
          </w:p>
        </w:tc>
        <w:tc>
          <w:tcPr>
            <w:tcW w:w="1210" w:type="dxa"/>
            <w:noWrap/>
          </w:tcPr>
          <w:p w:rsidR="00000000" w:rsidRDefault="00000000">
            <w:pPr>
              <w:keepNext/>
              <w:spacing w:before="30" w:after="30"/>
              <w:ind w:right="170"/>
              <w:jc w:val="right"/>
              <w:rPr>
                <w:sz w:val="22"/>
              </w:rPr>
            </w:pPr>
            <w:r>
              <w:rPr>
                <w:sz w:val="22"/>
              </w:rPr>
              <w:t>323 459</w:t>
            </w:r>
          </w:p>
        </w:tc>
        <w:tc>
          <w:tcPr>
            <w:tcW w:w="1100" w:type="dxa"/>
            <w:noWrap/>
          </w:tcPr>
          <w:p w:rsidR="00000000" w:rsidRDefault="00000000">
            <w:pPr>
              <w:keepNext/>
              <w:spacing w:before="30" w:after="30"/>
              <w:ind w:right="170"/>
              <w:jc w:val="right"/>
              <w:rPr>
                <w:sz w:val="22"/>
              </w:rPr>
            </w:pPr>
            <w:r>
              <w:rPr>
                <w:sz w:val="22"/>
              </w:rPr>
              <w:t>334 952</w:t>
            </w:r>
          </w:p>
        </w:tc>
        <w:tc>
          <w:tcPr>
            <w:tcW w:w="913" w:type="dxa"/>
            <w:noWrap/>
          </w:tcPr>
          <w:p w:rsidR="00000000" w:rsidRDefault="00000000">
            <w:pPr>
              <w:keepNext/>
              <w:spacing w:before="30" w:after="30"/>
              <w:ind w:right="170"/>
              <w:jc w:val="right"/>
              <w:rPr>
                <w:sz w:val="22"/>
              </w:rPr>
            </w:pPr>
            <w:r>
              <w:rPr>
                <w:sz w:val="22"/>
              </w:rPr>
              <w:t>348 191</w:t>
            </w:r>
          </w:p>
        </w:tc>
        <w:tc>
          <w:tcPr>
            <w:tcW w:w="913" w:type="dxa"/>
            <w:noWrap/>
          </w:tcPr>
          <w:p w:rsidR="00000000" w:rsidRDefault="00000000">
            <w:pPr>
              <w:keepNext/>
              <w:spacing w:before="30" w:after="30"/>
              <w:ind w:right="170"/>
              <w:jc w:val="right"/>
              <w:rPr>
                <w:sz w:val="22"/>
              </w:rPr>
            </w:pPr>
            <w:r>
              <w:rPr>
                <w:sz w:val="22"/>
              </w:rPr>
              <w:t>22,8</w:t>
            </w:r>
          </w:p>
        </w:tc>
      </w:tr>
    </w:tbl>
    <w:p w:rsidR="00000000" w:rsidRDefault="00000000">
      <w:pPr>
        <w:spacing w:before="120" w:after="240"/>
      </w:pPr>
      <w:r>
        <w:rPr>
          <w:i/>
          <w:iCs/>
        </w:rPr>
        <w:t>Source</w:t>
      </w:r>
      <w:r>
        <w:t>: Office fédéral de la statistique, Statistique de la population résidente de n</w:t>
      </w:r>
      <w:r>
        <w:t>a</w:t>
      </w:r>
      <w:r>
        <w:t>tionalité étrangère (</w:t>
      </w:r>
      <w:proofErr w:type="spellStart"/>
      <w:r>
        <w:t>P</w:t>
      </w:r>
      <w:r>
        <w:t>E</w:t>
      </w:r>
      <w:r>
        <w:t>TRA</w:t>
      </w:r>
      <w:proofErr w:type="spellEnd"/>
      <w:r>
        <w:t>), au 31 décembre.</w:t>
      </w:r>
      <w:r>
        <w:br/>
      </w:r>
    </w:p>
    <w:p w:rsidR="00000000" w:rsidRDefault="00000000">
      <w:pPr>
        <w:keepNext/>
        <w:spacing w:after="120"/>
        <w:jc w:val="center"/>
        <w:rPr>
          <w:b/>
          <w:bCs/>
          <w:sz w:val="22"/>
        </w:rPr>
      </w:pPr>
      <w:bookmarkStart w:id="16" w:name="_Toc477525152"/>
      <w:bookmarkStart w:id="17" w:name="_Toc163552177"/>
      <w:r>
        <w:rPr>
          <w:b/>
          <w:bCs/>
          <w:sz w:val="22"/>
        </w:rPr>
        <w:t>Tableau 2: Origine, par continent</w:t>
      </w:r>
      <w:bookmarkEnd w:id="16"/>
      <w:bookmarkEnd w:id="17"/>
    </w:p>
    <w:tbl>
      <w:tblPr>
        <w:tblW w:w="94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BF" w:firstRow="1" w:lastRow="0" w:firstColumn="1" w:lastColumn="0" w:noHBand="0" w:noVBand="0"/>
      </w:tblPr>
      <w:tblGrid>
        <w:gridCol w:w="3402"/>
        <w:gridCol w:w="1215"/>
        <w:gridCol w:w="1215"/>
        <w:gridCol w:w="1215"/>
        <w:gridCol w:w="1215"/>
        <w:gridCol w:w="1215"/>
      </w:tblGrid>
      <w:tr w:rsidR="00000000">
        <w:tblPrEx>
          <w:tblCellMar>
            <w:top w:w="0" w:type="dxa"/>
            <w:bottom w:w="0" w:type="dxa"/>
          </w:tblCellMar>
        </w:tblPrEx>
        <w:tc>
          <w:tcPr>
            <w:tcW w:w="3402" w:type="dxa"/>
            <w:noWrap/>
          </w:tcPr>
          <w:p w:rsidR="00000000" w:rsidRDefault="00000000">
            <w:pPr>
              <w:keepNext/>
              <w:spacing w:before="30" w:after="30"/>
              <w:jc w:val="center"/>
              <w:rPr>
                <w:bCs/>
                <w:sz w:val="22"/>
              </w:rPr>
            </w:pPr>
            <w:r>
              <w:rPr>
                <w:bCs/>
                <w:sz w:val="22"/>
              </w:rPr>
              <w:t>Continent</w:t>
            </w:r>
          </w:p>
        </w:tc>
        <w:tc>
          <w:tcPr>
            <w:tcW w:w="1215" w:type="dxa"/>
            <w:noWrap/>
          </w:tcPr>
          <w:p w:rsidR="00000000" w:rsidRDefault="00000000">
            <w:pPr>
              <w:keepNext/>
              <w:spacing w:before="30" w:after="30"/>
              <w:jc w:val="center"/>
              <w:rPr>
                <w:bCs/>
                <w:sz w:val="22"/>
              </w:rPr>
            </w:pPr>
            <w:r>
              <w:rPr>
                <w:bCs/>
                <w:sz w:val="22"/>
              </w:rPr>
              <w:t>2001</w:t>
            </w:r>
          </w:p>
        </w:tc>
        <w:tc>
          <w:tcPr>
            <w:tcW w:w="1215" w:type="dxa"/>
            <w:noWrap/>
          </w:tcPr>
          <w:p w:rsidR="00000000" w:rsidRDefault="00000000">
            <w:pPr>
              <w:keepNext/>
              <w:spacing w:before="30" w:after="30"/>
              <w:jc w:val="center"/>
              <w:rPr>
                <w:bCs/>
                <w:sz w:val="22"/>
              </w:rPr>
            </w:pPr>
            <w:r>
              <w:rPr>
                <w:bCs/>
                <w:sz w:val="22"/>
              </w:rPr>
              <w:t>2002</w:t>
            </w:r>
          </w:p>
        </w:tc>
        <w:tc>
          <w:tcPr>
            <w:tcW w:w="1215" w:type="dxa"/>
            <w:noWrap/>
          </w:tcPr>
          <w:p w:rsidR="00000000" w:rsidRDefault="00000000">
            <w:pPr>
              <w:keepNext/>
              <w:spacing w:before="30" w:after="30"/>
              <w:jc w:val="center"/>
              <w:rPr>
                <w:bCs/>
                <w:sz w:val="22"/>
              </w:rPr>
            </w:pPr>
            <w:r>
              <w:rPr>
                <w:bCs/>
                <w:sz w:val="22"/>
              </w:rPr>
              <w:t>2003</w:t>
            </w:r>
          </w:p>
        </w:tc>
        <w:tc>
          <w:tcPr>
            <w:tcW w:w="1215" w:type="dxa"/>
            <w:noWrap/>
          </w:tcPr>
          <w:p w:rsidR="00000000" w:rsidRDefault="00000000">
            <w:pPr>
              <w:keepNext/>
              <w:spacing w:before="30" w:after="30"/>
              <w:jc w:val="center"/>
              <w:rPr>
                <w:bCs/>
                <w:sz w:val="22"/>
              </w:rPr>
            </w:pPr>
            <w:r>
              <w:rPr>
                <w:bCs/>
                <w:sz w:val="22"/>
              </w:rPr>
              <w:t>2004</w:t>
            </w:r>
          </w:p>
        </w:tc>
        <w:tc>
          <w:tcPr>
            <w:tcW w:w="1215" w:type="dxa"/>
            <w:noWrap/>
          </w:tcPr>
          <w:p w:rsidR="00000000" w:rsidRDefault="00000000">
            <w:pPr>
              <w:keepNext/>
              <w:spacing w:before="30" w:after="30"/>
              <w:jc w:val="center"/>
              <w:rPr>
                <w:bCs/>
                <w:sz w:val="22"/>
              </w:rPr>
            </w:pPr>
            <w:r>
              <w:rPr>
                <w:bCs/>
                <w:sz w:val="22"/>
              </w:rPr>
              <w:t>en %</w:t>
            </w:r>
          </w:p>
        </w:tc>
      </w:tr>
      <w:tr w:rsidR="00000000">
        <w:tblPrEx>
          <w:tblCellMar>
            <w:top w:w="0" w:type="dxa"/>
            <w:bottom w:w="0" w:type="dxa"/>
          </w:tblCellMar>
        </w:tblPrEx>
        <w:tc>
          <w:tcPr>
            <w:tcW w:w="3402" w:type="dxa"/>
            <w:noWrap/>
          </w:tcPr>
          <w:p w:rsidR="00000000" w:rsidRDefault="00000000">
            <w:pPr>
              <w:keepNext/>
              <w:spacing w:before="30" w:after="30"/>
              <w:rPr>
                <w:sz w:val="22"/>
              </w:rPr>
            </w:pPr>
            <w:r>
              <w:rPr>
                <w:sz w:val="22"/>
              </w:rPr>
              <w:t>Europe</w:t>
            </w:r>
          </w:p>
        </w:tc>
        <w:tc>
          <w:tcPr>
            <w:tcW w:w="1215" w:type="dxa"/>
            <w:noWrap/>
          </w:tcPr>
          <w:p w:rsidR="00000000" w:rsidRDefault="00000000">
            <w:pPr>
              <w:keepNext/>
              <w:spacing w:before="30" w:after="30"/>
              <w:ind w:right="170"/>
              <w:jc w:val="right"/>
              <w:rPr>
                <w:sz w:val="22"/>
              </w:rPr>
            </w:pPr>
            <w:r>
              <w:rPr>
                <w:sz w:val="22"/>
              </w:rPr>
              <w:t>1 272 457</w:t>
            </w:r>
          </w:p>
        </w:tc>
        <w:tc>
          <w:tcPr>
            <w:tcW w:w="1215" w:type="dxa"/>
            <w:noWrap/>
          </w:tcPr>
          <w:p w:rsidR="00000000" w:rsidRDefault="00000000">
            <w:pPr>
              <w:keepNext/>
              <w:spacing w:before="30" w:after="30"/>
              <w:ind w:right="170"/>
              <w:jc w:val="right"/>
              <w:rPr>
                <w:sz w:val="22"/>
              </w:rPr>
            </w:pPr>
            <w:r>
              <w:rPr>
                <w:sz w:val="22"/>
              </w:rPr>
              <w:t>1 288 587</w:t>
            </w:r>
          </w:p>
        </w:tc>
        <w:tc>
          <w:tcPr>
            <w:tcW w:w="1215" w:type="dxa"/>
            <w:noWrap/>
          </w:tcPr>
          <w:p w:rsidR="00000000" w:rsidRDefault="00000000">
            <w:pPr>
              <w:keepNext/>
              <w:spacing w:before="30" w:after="30"/>
              <w:ind w:right="170"/>
              <w:jc w:val="right"/>
              <w:rPr>
                <w:sz w:val="22"/>
              </w:rPr>
            </w:pPr>
            <w:r>
              <w:rPr>
                <w:sz w:val="22"/>
              </w:rPr>
              <w:t>1 304 169</w:t>
            </w:r>
          </w:p>
        </w:tc>
        <w:tc>
          <w:tcPr>
            <w:tcW w:w="1215" w:type="dxa"/>
            <w:noWrap/>
          </w:tcPr>
          <w:p w:rsidR="00000000" w:rsidRDefault="00000000">
            <w:pPr>
              <w:keepNext/>
              <w:spacing w:before="30" w:after="30"/>
              <w:ind w:right="170"/>
              <w:jc w:val="right"/>
              <w:rPr>
                <w:sz w:val="22"/>
              </w:rPr>
            </w:pPr>
            <w:r>
              <w:rPr>
                <w:sz w:val="22"/>
              </w:rPr>
              <w:t>1 321 981</w:t>
            </w:r>
          </w:p>
        </w:tc>
        <w:tc>
          <w:tcPr>
            <w:tcW w:w="1215" w:type="dxa"/>
            <w:noWrap/>
          </w:tcPr>
          <w:p w:rsidR="00000000" w:rsidRDefault="00000000">
            <w:pPr>
              <w:keepNext/>
              <w:spacing w:before="30" w:after="30"/>
              <w:ind w:right="170"/>
              <w:jc w:val="right"/>
              <w:rPr>
                <w:sz w:val="22"/>
              </w:rPr>
            </w:pPr>
            <w:r>
              <w:rPr>
                <w:sz w:val="22"/>
              </w:rPr>
              <w:t>86,7  </w:t>
            </w:r>
          </w:p>
        </w:tc>
      </w:tr>
      <w:tr w:rsidR="00000000">
        <w:tblPrEx>
          <w:tblCellMar>
            <w:top w:w="0" w:type="dxa"/>
            <w:bottom w:w="0" w:type="dxa"/>
          </w:tblCellMar>
        </w:tblPrEx>
        <w:tc>
          <w:tcPr>
            <w:tcW w:w="3402" w:type="dxa"/>
            <w:noWrap/>
          </w:tcPr>
          <w:p w:rsidR="00000000" w:rsidRDefault="00000000">
            <w:pPr>
              <w:keepNext/>
              <w:spacing w:before="30" w:after="30"/>
              <w:ind w:left="284"/>
              <w:rPr>
                <w:sz w:val="22"/>
              </w:rPr>
            </w:pPr>
            <w:r>
              <w:rPr>
                <w:sz w:val="22"/>
              </w:rPr>
              <w:t>dont États de l’UE/AELE</w:t>
            </w:r>
          </w:p>
        </w:tc>
        <w:tc>
          <w:tcPr>
            <w:tcW w:w="1215" w:type="dxa"/>
            <w:noWrap/>
          </w:tcPr>
          <w:p w:rsidR="00000000" w:rsidRDefault="00000000">
            <w:pPr>
              <w:keepNext/>
              <w:spacing w:before="30" w:after="30"/>
              <w:ind w:right="170"/>
              <w:jc w:val="right"/>
              <w:rPr>
                <w:sz w:val="22"/>
              </w:rPr>
            </w:pPr>
            <w:r>
              <w:rPr>
                <w:sz w:val="22"/>
              </w:rPr>
              <w:t>(833 515)</w:t>
            </w:r>
          </w:p>
        </w:tc>
        <w:tc>
          <w:tcPr>
            <w:tcW w:w="1215" w:type="dxa"/>
            <w:noWrap/>
          </w:tcPr>
          <w:p w:rsidR="00000000" w:rsidRDefault="00000000">
            <w:pPr>
              <w:keepNext/>
              <w:spacing w:before="30" w:after="30"/>
              <w:ind w:right="170"/>
              <w:jc w:val="right"/>
              <w:rPr>
                <w:sz w:val="22"/>
              </w:rPr>
            </w:pPr>
            <w:r>
              <w:rPr>
                <w:sz w:val="22"/>
              </w:rPr>
              <w:t>(844 828)</w:t>
            </w:r>
          </w:p>
        </w:tc>
        <w:tc>
          <w:tcPr>
            <w:tcW w:w="1215" w:type="dxa"/>
            <w:noWrap/>
          </w:tcPr>
          <w:p w:rsidR="00000000" w:rsidRDefault="00000000">
            <w:pPr>
              <w:keepNext/>
              <w:spacing w:before="30" w:after="30"/>
              <w:ind w:right="170"/>
              <w:jc w:val="right"/>
              <w:rPr>
                <w:sz w:val="22"/>
              </w:rPr>
            </w:pPr>
            <w:r>
              <w:rPr>
                <w:sz w:val="22"/>
              </w:rPr>
              <w:t>(859 489)</w:t>
            </w:r>
          </w:p>
        </w:tc>
        <w:tc>
          <w:tcPr>
            <w:tcW w:w="1215" w:type="dxa"/>
            <w:noWrap/>
          </w:tcPr>
          <w:p w:rsidR="00000000" w:rsidRDefault="00000000">
            <w:pPr>
              <w:keepNext/>
              <w:spacing w:before="30" w:after="30"/>
              <w:ind w:right="170"/>
              <w:jc w:val="right"/>
              <w:rPr>
                <w:sz w:val="22"/>
              </w:rPr>
            </w:pPr>
            <w:r>
              <w:rPr>
                <w:sz w:val="22"/>
              </w:rPr>
              <w:t>(879 153)</w:t>
            </w:r>
          </w:p>
        </w:tc>
        <w:tc>
          <w:tcPr>
            <w:tcW w:w="1215" w:type="dxa"/>
            <w:noWrap/>
          </w:tcPr>
          <w:p w:rsidR="00000000" w:rsidRDefault="00000000">
            <w:pPr>
              <w:keepNext/>
              <w:spacing w:before="30" w:after="30"/>
              <w:ind w:right="170"/>
              <w:jc w:val="right"/>
              <w:rPr>
                <w:sz w:val="22"/>
              </w:rPr>
            </w:pPr>
            <w:r>
              <w:rPr>
                <w:sz w:val="22"/>
              </w:rPr>
              <w:t>(57,6) </w:t>
            </w:r>
          </w:p>
        </w:tc>
      </w:tr>
      <w:tr w:rsidR="00000000">
        <w:tblPrEx>
          <w:tblCellMar>
            <w:top w:w="0" w:type="dxa"/>
            <w:bottom w:w="0" w:type="dxa"/>
          </w:tblCellMar>
        </w:tblPrEx>
        <w:tc>
          <w:tcPr>
            <w:tcW w:w="3402" w:type="dxa"/>
            <w:noWrap/>
          </w:tcPr>
          <w:p w:rsidR="00000000" w:rsidRDefault="00000000">
            <w:pPr>
              <w:keepNext/>
              <w:spacing w:before="30" w:after="30"/>
              <w:rPr>
                <w:sz w:val="22"/>
              </w:rPr>
            </w:pPr>
            <w:r>
              <w:rPr>
                <w:sz w:val="22"/>
              </w:rPr>
              <w:t>Afrique</w:t>
            </w:r>
          </w:p>
        </w:tc>
        <w:tc>
          <w:tcPr>
            <w:tcW w:w="1215" w:type="dxa"/>
            <w:noWrap/>
          </w:tcPr>
          <w:p w:rsidR="00000000" w:rsidRDefault="00000000">
            <w:pPr>
              <w:keepNext/>
              <w:spacing w:before="30" w:after="30"/>
              <w:ind w:right="170"/>
              <w:jc w:val="right"/>
              <w:rPr>
                <w:sz w:val="22"/>
              </w:rPr>
            </w:pPr>
            <w:r>
              <w:rPr>
                <w:sz w:val="22"/>
              </w:rPr>
              <w:t>38 785</w:t>
            </w:r>
          </w:p>
        </w:tc>
        <w:tc>
          <w:tcPr>
            <w:tcW w:w="1215" w:type="dxa"/>
            <w:noWrap/>
          </w:tcPr>
          <w:p w:rsidR="00000000" w:rsidRDefault="00000000">
            <w:pPr>
              <w:keepNext/>
              <w:spacing w:before="30" w:after="30"/>
              <w:ind w:right="170"/>
              <w:jc w:val="right"/>
              <w:rPr>
                <w:sz w:val="22"/>
              </w:rPr>
            </w:pPr>
            <w:r>
              <w:rPr>
                <w:sz w:val="22"/>
              </w:rPr>
              <w:t>41 676</w:t>
            </w:r>
          </w:p>
        </w:tc>
        <w:tc>
          <w:tcPr>
            <w:tcW w:w="1215" w:type="dxa"/>
            <w:noWrap/>
          </w:tcPr>
          <w:p w:rsidR="00000000" w:rsidRDefault="00000000">
            <w:pPr>
              <w:keepNext/>
              <w:spacing w:before="30" w:after="30"/>
              <w:ind w:right="170"/>
              <w:jc w:val="right"/>
              <w:rPr>
                <w:sz w:val="22"/>
              </w:rPr>
            </w:pPr>
            <w:r>
              <w:rPr>
                <w:sz w:val="22"/>
              </w:rPr>
              <w:t>44 326</w:t>
            </w:r>
          </w:p>
        </w:tc>
        <w:tc>
          <w:tcPr>
            <w:tcW w:w="1215" w:type="dxa"/>
            <w:noWrap/>
          </w:tcPr>
          <w:p w:rsidR="00000000" w:rsidRDefault="00000000">
            <w:pPr>
              <w:keepNext/>
              <w:spacing w:before="30" w:after="30"/>
              <w:ind w:right="170"/>
              <w:jc w:val="right"/>
              <w:rPr>
                <w:sz w:val="22"/>
              </w:rPr>
            </w:pPr>
            <w:r>
              <w:rPr>
                <w:sz w:val="22"/>
              </w:rPr>
              <w:t>46 578</w:t>
            </w:r>
          </w:p>
        </w:tc>
        <w:tc>
          <w:tcPr>
            <w:tcW w:w="1215" w:type="dxa"/>
            <w:noWrap/>
          </w:tcPr>
          <w:p w:rsidR="00000000" w:rsidRDefault="00000000">
            <w:pPr>
              <w:keepNext/>
              <w:spacing w:before="30" w:after="30"/>
              <w:ind w:right="170"/>
              <w:jc w:val="right"/>
              <w:rPr>
                <w:sz w:val="22"/>
              </w:rPr>
            </w:pPr>
            <w:r>
              <w:rPr>
                <w:sz w:val="22"/>
              </w:rPr>
              <w:t>3,0  </w:t>
            </w:r>
          </w:p>
        </w:tc>
      </w:tr>
      <w:tr w:rsidR="00000000">
        <w:tblPrEx>
          <w:tblCellMar>
            <w:top w:w="0" w:type="dxa"/>
            <w:bottom w:w="0" w:type="dxa"/>
          </w:tblCellMar>
        </w:tblPrEx>
        <w:tc>
          <w:tcPr>
            <w:tcW w:w="3402" w:type="dxa"/>
            <w:noWrap/>
          </w:tcPr>
          <w:p w:rsidR="00000000" w:rsidRDefault="00000000">
            <w:pPr>
              <w:keepNext/>
              <w:spacing w:before="30" w:after="30"/>
              <w:rPr>
                <w:sz w:val="22"/>
              </w:rPr>
            </w:pPr>
            <w:r>
              <w:rPr>
                <w:sz w:val="22"/>
              </w:rPr>
              <w:t>Amérique</w:t>
            </w:r>
          </w:p>
        </w:tc>
        <w:tc>
          <w:tcPr>
            <w:tcW w:w="1215" w:type="dxa"/>
            <w:noWrap/>
          </w:tcPr>
          <w:p w:rsidR="00000000" w:rsidRDefault="00000000">
            <w:pPr>
              <w:keepNext/>
              <w:spacing w:before="30" w:after="30"/>
              <w:ind w:right="170"/>
              <w:jc w:val="right"/>
              <w:rPr>
                <w:sz w:val="22"/>
              </w:rPr>
            </w:pPr>
            <w:r>
              <w:rPr>
                <w:sz w:val="22"/>
              </w:rPr>
              <w:t>53 268</w:t>
            </w:r>
          </w:p>
        </w:tc>
        <w:tc>
          <w:tcPr>
            <w:tcW w:w="1215" w:type="dxa"/>
            <w:noWrap/>
          </w:tcPr>
          <w:p w:rsidR="00000000" w:rsidRDefault="00000000">
            <w:pPr>
              <w:keepNext/>
              <w:spacing w:before="30" w:after="30"/>
              <w:ind w:right="170"/>
              <w:jc w:val="right"/>
              <w:rPr>
                <w:sz w:val="22"/>
              </w:rPr>
            </w:pPr>
            <w:r>
              <w:rPr>
                <w:sz w:val="22"/>
              </w:rPr>
              <w:t>55 875</w:t>
            </w:r>
          </w:p>
        </w:tc>
        <w:tc>
          <w:tcPr>
            <w:tcW w:w="1215" w:type="dxa"/>
            <w:noWrap/>
          </w:tcPr>
          <w:p w:rsidR="00000000" w:rsidRDefault="00000000">
            <w:pPr>
              <w:keepNext/>
              <w:spacing w:before="30" w:after="30"/>
              <w:ind w:right="170"/>
              <w:jc w:val="right"/>
              <w:rPr>
                <w:sz w:val="22"/>
              </w:rPr>
            </w:pPr>
            <w:r>
              <w:rPr>
                <w:sz w:val="22"/>
              </w:rPr>
              <w:t>57 560</w:t>
            </w:r>
          </w:p>
        </w:tc>
        <w:tc>
          <w:tcPr>
            <w:tcW w:w="1215" w:type="dxa"/>
            <w:noWrap/>
          </w:tcPr>
          <w:p w:rsidR="00000000" w:rsidRDefault="00000000">
            <w:pPr>
              <w:keepNext/>
              <w:spacing w:before="30" w:after="30"/>
              <w:ind w:right="170"/>
              <w:jc w:val="right"/>
              <w:rPr>
                <w:sz w:val="22"/>
              </w:rPr>
            </w:pPr>
            <w:r>
              <w:rPr>
                <w:sz w:val="22"/>
              </w:rPr>
              <w:t>59 325</w:t>
            </w:r>
          </w:p>
        </w:tc>
        <w:tc>
          <w:tcPr>
            <w:tcW w:w="1215" w:type="dxa"/>
            <w:noWrap/>
          </w:tcPr>
          <w:p w:rsidR="00000000" w:rsidRDefault="00000000">
            <w:pPr>
              <w:keepNext/>
              <w:spacing w:before="30" w:after="30"/>
              <w:ind w:right="170"/>
              <w:jc w:val="right"/>
              <w:rPr>
                <w:sz w:val="22"/>
              </w:rPr>
            </w:pPr>
            <w:r>
              <w:rPr>
                <w:sz w:val="22"/>
              </w:rPr>
              <w:t>3,9  </w:t>
            </w:r>
          </w:p>
        </w:tc>
      </w:tr>
      <w:tr w:rsidR="00000000">
        <w:tblPrEx>
          <w:tblCellMar>
            <w:top w:w="0" w:type="dxa"/>
            <w:bottom w:w="0" w:type="dxa"/>
          </w:tblCellMar>
        </w:tblPrEx>
        <w:tc>
          <w:tcPr>
            <w:tcW w:w="3402" w:type="dxa"/>
            <w:noWrap/>
          </w:tcPr>
          <w:p w:rsidR="00000000" w:rsidRDefault="00000000">
            <w:pPr>
              <w:keepNext/>
              <w:spacing w:before="30" w:after="30"/>
              <w:rPr>
                <w:sz w:val="22"/>
              </w:rPr>
            </w:pPr>
            <w:r>
              <w:rPr>
                <w:sz w:val="22"/>
              </w:rPr>
              <w:t>Asie</w:t>
            </w:r>
          </w:p>
        </w:tc>
        <w:tc>
          <w:tcPr>
            <w:tcW w:w="1215" w:type="dxa"/>
            <w:noWrap/>
          </w:tcPr>
          <w:p w:rsidR="00000000" w:rsidRDefault="00000000">
            <w:pPr>
              <w:keepNext/>
              <w:spacing w:before="30" w:after="30"/>
              <w:ind w:right="170"/>
              <w:jc w:val="right"/>
              <w:rPr>
                <w:sz w:val="22"/>
              </w:rPr>
            </w:pPr>
            <w:r>
              <w:rPr>
                <w:sz w:val="22"/>
              </w:rPr>
              <w:t>79 609</w:t>
            </w:r>
          </w:p>
        </w:tc>
        <w:tc>
          <w:tcPr>
            <w:tcW w:w="1215" w:type="dxa"/>
            <w:noWrap/>
          </w:tcPr>
          <w:p w:rsidR="00000000" w:rsidRDefault="00000000">
            <w:pPr>
              <w:keepNext/>
              <w:spacing w:before="30" w:after="30"/>
              <w:ind w:right="170"/>
              <w:jc w:val="right"/>
              <w:rPr>
                <w:sz w:val="22"/>
              </w:rPr>
            </w:pPr>
            <w:r>
              <w:rPr>
                <w:sz w:val="22"/>
              </w:rPr>
              <w:t>87 260</w:t>
            </w:r>
          </w:p>
        </w:tc>
        <w:tc>
          <w:tcPr>
            <w:tcW w:w="1215" w:type="dxa"/>
            <w:noWrap/>
          </w:tcPr>
          <w:p w:rsidR="00000000" w:rsidRDefault="00000000">
            <w:pPr>
              <w:keepNext/>
              <w:spacing w:before="30" w:after="30"/>
              <w:ind w:right="170"/>
              <w:jc w:val="right"/>
              <w:rPr>
                <w:sz w:val="22"/>
              </w:rPr>
            </w:pPr>
            <w:r>
              <w:rPr>
                <w:sz w:val="22"/>
              </w:rPr>
              <w:t>91 369</w:t>
            </w:r>
          </w:p>
        </w:tc>
        <w:tc>
          <w:tcPr>
            <w:tcW w:w="1215" w:type="dxa"/>
            <w:noWrap/>
          </w:tcPr>
          <w:p w:rsidR="00000000" w:rsidRDefault="00000000">
            <w:pPr>
              <w:keepNext/>
              <w:spacing w:before="30" w:after="30"/>
              <w:ind w:right="170"/>
              <w:jc w:val="right"/>
              <w:rPr>
                <w:sz w:val="22"/>
              </w:rPr>
            </w:pPr>
            <w:r>
              <w:rPr>
                <w:sz w:val="22"/>
              </w:rPr>
              <w:t>93 275</w:t>
            </w:r>
          </w:p>
        </w:tc>
        <w:tc>
          <w:tcPr>
            <w:tcW w:w="1215" w:type="dxa"/>
            <w:noWrap/>
          </w:tcPr>
          <w:p w:rsidR="00000000" w:rsidRDefault="00000000">
            <w:pPr>
              <w:keepNext/>
              <w:spacing w:before="30" w:after="30"/>
              <w:ind w:right="170"/>
              <w:jc w:val="right"/>
              <w:rPr>
                <w:sz w:val="22"/>
              </w:rPr>
            </w:pPr>
            <w:r>
              <w:rPr>
                <w:sz w:val="22"/>
              </w:rPr>
              <w:t>6,1  </w:t>
            </w:r>
          </w:p>
        </w:tc>
      </w:tr>
      <w:tr w:rsidR="00000000">
        <w:tblPrEx>
          <w:tblCellMar>
            <w:top w:w="0" w:type="dxa"/>
            <w:bottom w:w="0" w:type="dxa"/>
          </w:tblCellMar>
        </w:tblPrEx>
        <w:tc>
          <w:tcPr>
            <w:tcW w:w="3402" w:type="dxa"/>
            <w:noWrap/>
          </w:tcPr>
          <w:p w:rsidR="00000000" w:rsidRDefault="00000000">
            <w:pPr>
              <w:keepNext/>
              <w:spacing w:before="30" w:after="30"/>
              <w:rPr>
                <w:sz w:val="22"/>
              </w:rPr>
            </w:pPr>
            <w:r>
              <w:rPr>
                <w:sz w:val="22"/>
              </w:rPr>
              <w:t>Australie, Océanie</w:t>
            </w:r>
          </w:p>
        </w:tc>
        <w:tc>
          <w:tcPr>
            <w:tcW w:w="1215" w:type="dxa"/>
            <w:noWrap/>
          </w:tcPr>
          <w:p w:rsidR="00000000" w:rsidRDefault="00000000">
            <w:pPr>
              <w:keepNext/>
              <w:spacing w:before="30" w:after="30"/>
              <w:ind w:right="170"/>
              <w:jc w:val="right"/>
              <w:rPr>
                <w:sz w:val="22"/>
              </w:rPr>
            </w:pPr>
            <w:r>
              <w:rPr>
                <w:sz w:val="22"/>
              </w:rPr>
              <w:t>3 180</w:t>
            </w:r>
          </w:p>
        </w:tc>
        <w:tc>
          <w:tcPr>
            <w:tcW w:w="1215" w:type="dxa"/>
            <w:noWrap/>
          </w:tcPr>
          <w:p w:rsidR="00000000" w:rsidRDefault="00000000">
            <w:pPr>
              <w:keepNext/>
              <w:spacing w:before="30" w:after="30"/>
              <w:ind w:right="170"/>
              <w:jc w:val="right"/>
              <w:rPr>
                <w:sz w:val="22"/>
              </w:rPr>
            </w:pPr>
            <w:r>
              <w:rPr>
                <w:sz w:val="22"/>
              </w:rPr>
              <w:t>3 317</w:t>
            </w:r>
          </w:p>
        </w:tc>
        <w:tc>
          <w:tcPr>
            <w:tcW w:w="1215" w:type="dxa"/>
            <w:noWrap/>
          </w:tcPr>
          <w:p w:rsidR="00000000" w:rsidRDefault="00000000">
            <w:pPr>
              <w:keepNext/>
              <w:spacing w:before="30" w:after="30"/>
              <w:ind w:right="170"/>
              <w:jc w:val="right"/>
              <w:rPr>
                <w:sz w:val="22"/>
              </w:rPr>
            </w:pPr>
            <w:r>
              <w:rPr>
                <w:sz w:val="22"/>
              </w:rPr>
              <w:t>3 259</w:t>
            </w:r>
          </w:p>
        </w:tc>
        <w:tc>
          <w:tcPr>
            <w:tcW w:w="1215" w:type="dxa"/>
            <w:noWrap/>
          </w:tcPr>
          <w:p w:rsidR="00000000" w:rsidRDefault="00000000">
            <w:pPr>
              <w:keepNext/>
              <w:spacing w:before="30" w:after="30"/>
              <w:ind w:right="170"/>
              <w:jc w:val="right"/>
              <w:rPr>
                <w:sz w:val="22"/>
              </w:rPr>
            </w:pPr>
            <w:r>
              <w:rPr>
                <w:sz w:val="22"/>
              </w:rPr>
              <w:t>3 278</w:t>
            </w:r>
          </w:p>
        </w:tc>
        <w:tc>
          <w:tcPr>
            <w:tcW w:w="1215" w:type="dxa"/>
            <w:noWrap/>
          </w:tcPr>
          <w:p w:rsidR="00000000" w:rsidRDefault="00000000">
            <w:pPr>
              <w:keepNext/>
              <w:spacing w:before="30" w:after="30"/>
              <w:ind w:right="170"/>
              <w:jc w:val="right"/>
              <w:rPr>
                <w:sz w:val="22"/>
              </w:rPr>
            </w:pPr>
            <w:r>
              <w:rPr>
                <w:sz w:val="22"/>
              </w:rPr>
              <w:t>0,2  </w:t>
            </w:r>
          </w:p>
        </w:tc>
      </w:tr>
      <w:tr w:rsidR="00000000">
        <w:tblPrEx>
          <w:tblCellMar>
            <w:top w:w="0" w:type="dxa"/>
            <w:bottom w:w="0" w:type="dxa"/>
          </w:tblCellMar>
        </w:tblPrEx>
        <w:tc>
          <w:tcPr>
            <w:tcW w:w="3402" w:type="dxa"/>
            <w:noWrap/>
          </w:tcPr>
          <w:p w:rsidR="00000000" w:rsidRDefault="00000000">
            <w:pPr>
              <w:keepNext/>
              <w:spacing w:before="30" w:after="30"/>
              <w:rPr>
                <w:sz w:val="22"/>
              </w:rPr>
            </w:pPr>
            <w:r>
              <w:rPr>
                <w:sz w:val="22"/>
              </w:rPr>
              <w:t>Apatrides ou origine inconnue</w:t>
            </w:r>
          </w:p>
        </w:tc>
        <w:tc>
          <w:tcPr>
            <w:tcW w:w="1215" w:type="dxa"/>
            <w:noWrap/>
          </w:tcPr>
          <w:p w:rsidR="00000000" w:rsidRDefault="00000000">
            <w:pPr>
              <w:keepNext/>
              <w:spacing w:before="30" w:after="30"/>
              <w:ind w:right="170"/>
              <w:jc w:val="right"/>
              <w:rPr>
                <w:sz w:val="22"/>
              </w:rPr>
            </w:pPr>
            <w:r>
              <w:rPr>
                <w:sz w:val="22"/>
              </w:rPr>
              <w:t>254</w:t>
            </w:r>
          </w:p>
        </w:tc>
        <w:tc>
          <w:tcPr>
            <w:tcW w:w="1215" w:type="dxa"/>
            <w:noWrap/>
          </w:tcPr>
          <w:p w:rsidR="00000000" w:rsidRDefault="00000000">
            <w:pPr>
              <w:keepNext/>
              <w:spacing w:before="30" w:after="30"/>
              <w:ind w:right="170"/>
              <w:jc w:val="right"/>
              <w:rPr>
                <w:sz w:val="22"/>
              </w:rPr>
            </w:pPr>
            <w:r>
              <w:rPr>
                <w:sz w:val="22"/>
              </w:rPr>
              <w:t>251</w:t>
            </w:r>
          </w:p>
        </w:tc>
        <w:tc>
          <w:tcPr>
            <w:tcW w:w="1215" w:type="dxa"/>
            <w:noWrap/>
          </w:tcPr>
          <w:p w:rsidR="00000000" w:rsidRDefault="00000000">
            <w:pPr>
              <w:keepNext/>
              <w:spacing w:before="30" w:after="30"/>
              <w:ind w:right="170"/>
              <w:jc w:val="right"/>
              <w:rPr>
                <w:sz w:val="22"/>
              </w:rPr>
            </w:pPr>
            <w:r>
              <w:rPr>
                <w:sz w:val="22"/>
              </w:rPr>
              <w:t>224</w:t>
            </w:r>
          </w:p>
        </w:tc>
        <w:tc>
          <w:tcPr>
            <w:tcW w:w="1215" w:type="dxa"/>
            <w:noWrap/>
          </w:tcPr>
          <w:p w:rsidR="00000000" w:rsidRDefault="00000000">
            <w:pPr>
              <w:keepNext/>
              <w:spacing w:before="30" w:after="30"/>
              <w:ind w:right="170"/>
              <w:jc w:val="right"/>
              <w:rPr>
                <w:sz w:val="22"/>
              </w:rPr>
            </w:pPr>
            <w:r>
              <w:rPr>
                <w:sz w:val="22"/>
              </w:rPr>
              <w:t>226</w:t>
            </w:r>
          </w:p>
        </w:tc>
        <w:tc>
          <w:tcPr>
            <w:tcW w:w="1215" w:type="dxa"/>
            <w:noWrap/>
          </w:tcPr>
          <w:p w:rsidR="00000000" w:rsidRDefault="00000000">
            <w:pPr>
              <w:keepNext/>
              <w:spacing w:before="30" w:after="30"/>
              <w:ind w:right="170"/>
              <w:jc w:val="right"/>
              <w:rPr>
                <w:sz w:val="22"/>
              </w:rPr>
            </w:pPr>
            <w:r>
              <w:rPr>
                <w:sz w:val="22"/>
              </w:rPr>
              <w:t>0,02</w:t>
            </w:r>
          </w:p>
        </w:tc>
      </w:tr>
      <w:tr w:rsidR="00000000">
        <w:tblPrEx>
          <w:tblCellMar>
            <w:top w:w="0" w:type="dxa"/>
            <w:bottom w:w="0" w:type="dxa"/>
          </w:tblCellMar>
        </w:tblPrEx>
        <w:tc>
          <w:tcPr>
            <w:tcW w:w="3402" w:type="dxa"/>
            <w:noWrap/>
          </w:tcPr>
          <w:p w:rsidR="00000000" w:rsidRDefault="00000000">
            <w:pPr>
              <w:keepNext/>
              <w:spacing w:before="30" w:after="30"/>
              <w:rPr>
                <w:b/>
                <w:bCs/>
                <w:sz w:val="22"/>
              </w:rPr>
            </w:pPr>
            <w:r>
              <w:rPr>
                <w:b/>
                <w:bCs/>
                <w:sz w:val="22"/>
              </w:rPr>
              <w:tab/>
              <w:t>Total</w:t>
            </w:r>
          </w:p>
        </w:tc>
        <w:tc>
          <w:tcPr>
            <w:tcW w:w="1215" w:type="dxa"/>
            <w:noWrap/>
          </w:tcPr>
          <w:p w:rsidR="00000000" w:rsidRDefault="00000000">
            <w:pPr>
              <w:keepNext/>
              <w:spacing w:before="30" w:after="30"/>
              <w:ind w:right="170"/>
              <w:jc w:val="right"/>
              <w:rPr>
                <w:b/>
                <w:bCs/>
                <w:sz w:val="22"/>
              </w:rPr>
            </w:pPr>
            <w:r>
              <w:rPr>
                <w:b/>
                <w:sz w:val="22"/>
              </w:rPr>
              <w:t>1 447 553</w:t>
            </w:r>
          </w:p>
        </w:tc>
        <w:tc>
          <w:tcPr>
            <w:tcW w:w="1215" w:type="dxa"/>
            <w:noWrap/>
          </w:tcPr>
          <w:p w:rsidR="00000000" w:rsidRDefault="00000000">
            <w:pPr>
              <w:keepNext/>
              <w:spacing w:before="30" w:after="30"/>
              <w:ind w:right="170"/>
              <w:jc w:val="right"/>
              <w:rPr>
                <w:b/>
                <w:bCs/>
                <w:sz w:val="22"/>
              </w:rPr>
            </w:pPr>
            <w:r>
              <w:rPr>
                <w:b/>
                <w:sz w:val="22"/>
              </w:rPr>
              <w:t>1 476 966</w:t>
            </w:r>
          </w:p>
        </w:tc>
        <w:tc>
          <w:tcPr>
            <w:tcW w:w="1215" w:type="dxa"/>
            <w:noWrap/>
          </w:tcPr>
          <w:p w:rsidR="00000000" w:rsidRDefault="00000000">
            <w:pPr>
              <w:keepNext/>
              <w:spacing w:before="30" w:after="30"/>
              <w:ind w:right="170"/>
              <w:jc w:val="right"/>
              <w:rPr>
                <w:b/>
                <w:bCs/>
                <w:sz w:val="22"/>
              </w:rPr>
            </w:pPr>
            <w:r>
              <w:rPr>
                <w:b/>
                <w:sz w:val="22"/>
              </w:rPr>
              <w:t>1 500 907</w:t>
            </w:r>
          </w:p>
        </w:tc>
        <w:tc>
          <w:tcPr>
            <w:tcW w:w="1215" w:type="dxa"/>
            <w:noWrap/>
          </w:tcPr>
          <w:p w:rsidR="00000000" w:rsidRDefault="00000000">
            <w:pPr>
              <w:keepNext/>
              <w:spacing w:before="30" w:after="30"/>
              <w:ind w:right="170"/>
              <w:jc w:val="right"/>
              <w:rPr>
                <w:b/>
                <w:bCs/>
                <w:sz w:val="22"/>
              </w:rPr>
            </w:pPr>
            <w:r>
              <w:rPr>
                <w:b/>
                <w:sz w:val="22"/>
              </w:rPr>
              <w:t>1 524 663</w:t>
            </w:r>
          </w:p>
        </w:tc>
        <w:tc>
          <w:tcPr>
            <w:tcW w:w="1215" w:type="dxa"/>
            <w:noWrap/>
          </w:tcPr>
          <w:p w:rsidR="00000000" w:rsidRDefault="00000000">
            <w:pPr>
              <w:keepNext/>
              <w:spacing w:before="30" w:after="30"/>
              <w:ind w:right="170"/>
              <w:jc w:val="right"/>
              <w:rPr>
                <w:b/>
                <w:bCs/>
                <w:sz w:val="22"/>
              </w:rPr>
            </w:pPr>
          </w:p>
        </w:tc>
      </w:tr>
    </w:tbl>
    <w:p w:rsidR="00000000" w:rsidRDefault="00000000">
      <w:pPr>
        <w:spacing w:before="120" w:after="240"/>
      </w:pPr>
      <w:bookmarkStart w:id="18" w:name="_Toc477525153"/>
      <w:r>
        <w:rPr>
          <w:i/>
          <w:iCs/>
        </w:rPr>
        <w:t>Source</w:t>
      </w:r>
      <w:r>
        <w:t>: Office fédéral de la statistique, Statistique de la population résidente de n</w:t>
      </w:r>
      <w:r>
        <w:t>a</w:t>
      </w:r>
      <w:r>
        <w:t>tionalité étrangère (</w:t>
      </w:r>
      <w:proofErr w:type="spellStart"/>
      <w:r>
        <w:t>P</w:t>
      </w:r>
      <w:r>
        <w:t>E</w:t>
      </w:r>
      <w:r>
        <w:t>TRA</w:t>
      </w:r>
      <w:proofErr w:type="spellEnd"/>
      <w:r>
        <w:t>), au 31 décembre.</w:t>
      </w:r>
      <w:r>
        <w:br/>
      </w:r>
    </w:p>
    <w:p w:rsidR="00000000" w:rsidRDefault="00000000">
      <w:pPr>
        <w:keepNext/>
        <w:spacing w:after="200"/>
        <w:jc w:val="center"/>
        <w:rPr>
          <w:b/>
          <w:bCs/>
          <w:szCs w:val="24"/>
        </w:rPr>
      </w:pPr>
      <w:bookmarkStart w:id="19" w:name="_Toc163552178"/>
      <w:r>
        <w:rPr>
          <w:b/>
          <w:bCs/>
          <w:szCs w:val="24"/>
        </w:rPr>
        <w:t>2.  Immigration</w:t>
      </w:r>
      <w:bookmarkEnd w:id="19"/>
    </w:p>
    <w:p w:rsidR="00000000" w:rsidRDefault="00000000">
      <w:pPr>
        <w:keepNext/>
        <w:spacing w:after="200"/>
        <w:rPr>
          <w:b/>
          <w:bCs/>
          <w:i/>
          <w:iCs/>
        </w:rPr>
      </w:pPr>
      <w:bookmarkStart w:id="20" w:name="_Toc163552179"/>
      <w:bookmarkEnd w:id="18"/>
      <w:r>
        <w:rPr>
          <w:b/>
          <w:bCs/>
          <w:i/>
          <w:iCs/>
        </w:rPr>
        <w:t>a)</w:t>
      </w:r>
      <w:r>
        <w:rPr>
          <w:b/>
          <w:bCs/>
          <w:i/>
          <w:iCs/>
        </w:rPr>
        <w:tab/>
        <w:t>Immigration, par nationalité</w:t>
      </w:r>
      <w:bookmarkEnd w:id="20"/>
    </w:p>
    <w:p w:rsidR="00000000" w:rsidRDefault="00000000">
      <w:pPr>
        <w:spacing w:after="200"/>
      </w:pPr>
      <w:r>
        <w:t>9.</w:t>
      </w:r>
      <w:r>
        <w:tab/>
        <w:t>En 2004, le nombre total des immigrants étrangers a de nouveau connu une légère augmentation par rapport à l’année précédente. Si l’on tient compte de toutes les autoris</w:t>
      </w:r>
      <w:r>
        <w:t>a</w:t>
      </w:r>
      <w:r>
        <w:t>tions de séjour octroyées en vertu de la législation sur les étrangers, le nombre des imm</w:t>
      </w:r>
      <w:r>
        <w:t>i</w:t>
      </w:r>
      <w:r>
        <w:t>grants étrangers a tendance à augmenter depuis 1995, à l’exception des années 1997, 2000 et 2003, qui se sont soldées par de légers reculs</w:t>
      </w:r>
      <w:r>
        <w:rPr>
          <w:rStyle w:val="FootnoteReference"/>
        </w:rPr>
        <w:footnoteReference w:id="10"/>
      </w:r>
      <w:r>
        <w:t>.</w:t>
      </w:r>
    </w:p>
    <w:p w:rsidR="00000000" w:rsidRDefault="00000000">
      <w:pPr>
        <w:keepNext/>
        <w:spacing w:after="120"/>
        <w:jc w:val="center"/>
        <w:rPr>
          <w:b/>
          <w:bCs/>
        </w:rPr>
      </w:pPr>
      <w:r>
        <w:rPr>
          <w:b/>
          <w:bCs/>
          <w:sz w:val="22"/>
        </w:rPr>
        <w:t xml:space="preserve">Tableau </w:t>
      </w:r>
      <w:proofErr w:type="spellStart"/>
      <w:r>
        <w:rPr>
          <w:b/>
          <w:bCs/>
          <w:sz w:val="22"/>
        </w:rPr>
        <w:t>3a</w:t>
      </w:r>
      <w:proofErr w:type="spellEnd"/>
      <w:r>
        <w:rPr>
          <w:b/>
          <w:bCs/>
          <w:sz w:val="22"/>
        </w:rPr>
        <w:t>: Immigration, par nationalité</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BF" w:firstRow="1" w:lastRow="0" w:firstColumn="1" w:lastColumn="0" w:noHBand="0" w:noVBand="0"/>
      </w:tblPr>
      <w:tblGrid>
        <w:gridCol w:w="3401"/>
        <w:gridCol w:w="1219"/>
        <w:gridCol w:w="1219"/>
        <w:gridCol w:w="1219"/>
        <w:gridCol w:w="1219"/>
        <w:gridCol w:w="1220"/>
      </w:tblGrid>
      <w:tr w:rsidR="00000000">
        <w:tblPrEx>
          <w:tblCellMar>
            <w:top w:w="0" w:type="dxa"/>
            <w:bottom w:w="0" w:type="dxa"/>
          </w:tblCellMar>
        </w:tblPrEx>
        <w:trPr>
          <w:jc w:val="center"/>
        </w:trPr>
        <w:tc>
          <w:tcPr>
            <w:tcW w:w="3401" w:type="dxa"/>
            <w:noWrap/>
          </w:tcPr>
          <w:p w:rsidR="00000000" w:rsidRDefault="00000000">
            <w:pPr>
              <w:spacing w:before="20" w:after="20"/>
              <w:jc w:val="center"/>
              <w:rPr>
                <w:bCs/>
                <w:sz w:val="22"/>
              </w:rPr>
            </w:pPr>
            <w:r>
              <w:rPr>
                <w:bCs/>
                <w:sz w:val="22"/>
              </w:rPr>
              <w:t>Immigrants, par nationalité</w:t>
            </w:r>
          </w:p>
        </w:tc>
        <w:tc>
          <w:tcPr>
            <w:tcW w:w="1219" w:type="dxa"/>
            <w:noWrap/>
          </w:tcPr>
          <w:p w:rsidR="00000000" w:rsidRDefault="00000000">
            <w:pPr>
              <w:spacing w:before="20" w:after="20"/>
              <w:ind w:right="170"/>
              <w:jc w:val="center"/>
              <w:rPr>
                <w:bCs/>
                <w:sz w:val="22"/>
              </w:rPr>
            </w:pPr>
            <w:r>
              <w:rPr>
                <w:bCs/>
                <w:sz w:val="22"/>
              </w:rPr>
              <w:t>2000</w:t>
            </w:r>
          </w:p>
        </w:tc>
        <w:tc>
          <w:tcPr>
            <w:tcW w:w="1219" w:type="dxa"/>
            <w:noWrap/>
          </w:tcPr>
          <w:p w:rsidR="00000000" w:rsidRDefault="00000000">
            <w:pPr>
              <w:spacing w:before="20" w:after="20"/>
              <w:ind w:right="170"/>
              <w:jc w:val="center"/>
              <w:rPr>
                <w:bCs/>
                <w:sz w:val="22"/>
              </w:rPr>
            </w:pPr>
            <w:r>
              <w:rPr>
                <w:bCs/>
                <w:sz w:val="22"/>
              </w:rPr>
              <w:t>2001</w:t>
            </w:r>
          </w:p>
        </w:tc>
        <w:tc>
          <w:tcPr>
            <w:tcW w:w="1219" w:type="dxa"/>
            <w:noWrap/>
          </w:tcPr>
          <w:p w:rsidR="00000000" w:rsidRDefault="00000000">
            <w:pPr>
              <w:spacing w:before="20" w:after="20"/>
              <w:ind w:right="170"/>
              <w:jc w:val="center"/>
              <w:rPr>
                <w:bCs/>
                <w:sz w:val="22"/>
              </w:rPr>
            </w:pPr>
            <w:r>
              <w:rPr>
                <w:bCs/>
                <w:sz w:val="22"/>
              </w:rPr>
              <w:t>2002</w:t>
            </w:r>
          </w:p>
        </w:tc>
        <w:tc>
          <w:tcPr>
            <w:tcW w:w="1219" w:type="dxa"/>
            <w:noWrap/>
          </w:tcPr>
          <w:p w:rsidR="00000000" w:rsidRDefault="00000000">
            <w:pPr>
              <w:spacing w:before="20" w:after="20"/>
              <w:ind w:right="170"/>
              <w:jc w:val="center"/>
              <w:rPr>
                <w:bCs/>
                <w:sz w:val="22"/>
              </w:rPr>
            </w:pPr>
            <w:r>
              <w:rPr>
                <w:bCs/>
                <w:sz w:val="22"/>
              </w:rPr>
              <w:t>2003</w:t>
            </w:r>
          </w:p>
        </w:tc>
        <w:tc>
          <w:tcPr>
            <w:tcW w:w="1220" w:type="dxa"/>
            <w:noWrap/>
          </w:tcPr>
          <w:p w:rsidR="00000000" w:rsidRDefault="00000000">
            <w:pPr>
              <w:spacing w:before="20" w:after="20"/>
              <w:ind w:right="170"/>
              <w:jc w:val="center"/>
              <w:rPr>
                <w:bCs/>
                <w:sz w:val="22"/>
              </w:rPr>
            </w:pPr>
            <w:r>
              <w:rPr>
                <w:bCs/>
                <w:sz w:val="22"/>
              </w:rPr>
              <w:t>2004</w:t>
            </w:r>
          </w:p>
        </w:tc>
      </w:tr>
      <w:tr w:rsidR="00000000">
        <w:tblPrEx>
          <w:tblCellMar>
            <w:top w:w="0" w:type="dxa"/>
            <w:bottom w:w="0" w:type="dxa"/>
          </w:tblCellMar>
        </w:tblPrEx>
        <w:trPr>
          <w:jc w:val="center"/>
        </w:trPr>
        <w:tc>
          <w:tcPr>
            <w:tcW w:w="3401" w:type="dxa"/>
            <w:noWrap/>
          </w:tcPr>
          <w:p w:rsidR="00000000" w:rsidRDefault="00000000">
            <w:pPr>
              <w:spacing w:before="20" w:after="20"/>
              <w:rPr>
                <w:b/>
                <w:sz w:val="22"/>
              </w:rPr>
            </w:pPr>
            <w:r>
              <w:rPr>
                <w:b/>
                <w:sz w:val="22"/>
              </w:rPr>
              <w:t>Europe</w:t>
            </w:r>
          </w:p>
        </w:tc>
        <w:tc>
          <w:tcPr>
            <w:tcW w:w="1219" w:type="dxa"/>
            <w:noWrap/>
          </w:tcPr>
          <w:p w:rsidR="00000000" w:rsidRDefault="00000000">
            <w:pPr>
              <w:spacing w:before="20" w:after="20"/>
              <w:ind w:right="170"/>
              <w:jc w:val="right"/>
              <w:rPr>
                <w:b/>
                <w:sz w:val="22"/>
              </w:rPr>
            </w:pPr>
          </w:p>
        </w:tc>
        <w:tc>
          <w:tcPr>
            <w:tcW w:w="1219" w:type="dxa"/>
            <w:noWrap/>
          </w:tcPr>
          <w:p w:rsidR="00000000" w:rsidRDefault="00000000">
            <w:pPr>
              <w:spacing w:before="20" w:after="20"/>
              <w:ind w:right="170"/>
              <w:jc w:val="right"/>
              <w:rPr>
                <w:b/>
                <w:sz w:val="22"/>
              </w:rPr>
            </w:pPr>
          </w:p>
        </w:tc>
        <w:tc>
          <w:tcPr>
            <w:tcW w:w="1219" w:type="dxa"/>
            <w:noWrap/>
          </w:tcPr>
          <w:p w:rsidR="00000000" w:rsidRDefault="00000000">
            <w:pPr>
              <w:spacing w:before="20" w:after="20"/>
              <w:ind w:right="170"/>
              <w:jc w:val="right"/>
              <w:rPr>
                <w:b/>
                <w:sz w:val="22"/>
              </w:rPr>
            </w:pPr>
          </w:p>
        </w:tc>
        <w:tc>
          <w:tcPr>
            <w:tcW w:w="1219" w:type="dxa"/>
            <w:noWrap/>
          </w:tcPr>
          <w:p w:rsidR="00000000" w:rsidRDefault="00000000">
            <w:pPr>
              <w:spacing w:before="20" w:after="20"/>
              <w:ind w:right="170"/>
              <w:jc w:val="right"/>
              <w:rPr>
                <w:b/>
                <w:sz w:val="22"/>
              </w:rPr>
            </w:pPr>
          </w:p>
        </w:tc>
        <w:tc>
          <w:tcPr>
            <w:tcW w:w="1220" w:type="dxa"/>
            <w:noWrap/>
          </w:tcPr>
          <w:p w:rsidR="00000000" w:rsidRDefault="00000000">
            <w:pPr>
              <w:spacing w:before="20" w:after="20"/>
              <w:ind w:right="170"/>
              <w:jc w:val="right"/>
              <w:rPr>
                <w:b/>
                <w:sz w:val="22"/>
              </w:rPr>
            </w:pPr>
          </w:p>
        </w:tc>
      </w:tr>
      <w:tr w:rsidR="00000000">
        <w:tblPrEx>
          <w:tblCellMar>
            <w:top w:w="0" w:type="dxa"/>
            <w:bottom w:w="0" w:type="dxa"/>
          </w:tblCellMar>
        </w:tblPrEx>
        <w:trPr>
          <w:jc w:val="center"/>
        </w:trPr>
        <w:tc>
          <w:tcPr>
            <w:tcW w:w="3401" w:type="dxa"/>
            <w:noWrap/>
          </w:tcPr>
          <w:p w:rsidR="00000000" w:rsidRDefault="00000000">
            <w:pPr>
              <w:spacing w:before="20" w:after="20"/>
              <w:ind w:left="284"/>
              <w:rPr>
                <w:sz w:val="22"/>
              </w:rPr>
            </w:pPr>
            <w:r>
              <w:rPr>
                <w:sz w:val="22"/>
              </w:rPr>
              <w:t>Allemagne</w:t>
            </w:r>
          </w:p>
        </w:tc>
        <w:tc>
          <w:tcPr>
            <w:tcW w:w="1219" w:type="dxa"/>
            <w:noWrap/>
          </w:tcPr>
          <w:p w:rsidR="00000000" w:rsidRDefault="00000000">
            <w:pPr>
              <w:spacing w:before="20" w:after="20"/>
              <w:ind w:right="170"/>
              <w:jc w:val="right"/>
              <w:rPr>
                <w:sz w:val="22"/>
              </w:rPr>
            </w:pPr>
            <w:r>
              <w:rPr>
                <w:sz w:val="22"/>
              </w:rPr>
              <w:t>12 011</w:t>
            </w:r>
          </w:p>
        </w:tc>
        <w:tc>
          <w:tcPr>
            <w:tcW w:w="1219" w:type="dxa"/>
            <w:noWrap/>
          </w:tcPr>
          <w:p w:rsidR="00000000" w:rsidRDefault="00000000">
            <w:pPr>
              <w:spacing w:before="20" w:after="20"/>
              <w:ind w:right="170"/>
              <w:jc w:val="right"/>
              <w:rPr>
                <w:sz w:val="22"/>
              </w:rPr>
            </w:pPr>
            <w:r>
              <w:rPr>
                <w:sz w:val="22"/>
              </w:rPr>
              <w:t>14 121</w:t>
            </w:r>
          </w:p>
        </w:tc>
        <w:tc>
          <w:tcPr>
            <w:tcW w:w="1219" w:type="dxa"/>
            <w:noWrap/>
          </w:tcPr>
          <w:p w:rsidR="00000000" w:rsidRDefault="00000000">
            <w:pPr>
              <w:spacing w:before="20" w:after="20"/>
              <w:ind w:right="170"/>
              <w:jc w:val="right"/>
              <w:rPr>
                <w:sz w:val="22"/>
              </w:rPr>
            </w:pPr>
            <w:r>
              <w:rPr>
                <w:sz w:val="22"/>
              </w:rPr>
              <w:t>15 574</w:t>
            </w:r>
          </w:p>
        </w:tc>
        <w:tc>
          <w:tcPr>
            <w:tcW w:w="1219" w:type="dxa"/>
            <w:noWrap/>
          </w:tcPr>
          <w:p w:rsidR="00000000" w:rsidRDefault="00000000">
            <w:pPr>
              <w:spacing w:before="20" w:after="20"/>
              <w:ind w:right="170"/>
              <w:jc w:val="right"/>
              <w:rPr>
                <w:sz w:val="22"/>
              </w:rPr>
            </w:pPr>
            <w:r>
              <w:rPr>
                <w:sz w:val="22"/>
              </w:rPr>
              <w:t>15 133</w:t>
            </w:r>
          </w:p>
        </w:tc>
        <w:tc>
          <w:tcPr>
            <w:tcW w:w="1220" w:type="dxa"/>
            <w:noWrap/>
          </w:tcPr>
          <w:p w:rsidR="00000000" w:rsidRDefault="00000000">
            <w:pPr>
              <w:spacing w:before="20" w:after="20"/>
              <w:ind w:right="170"/>
              <w:jc w:val="right"/>
              <w:rPr>
                <w:sz w:val="22"/>
              </w:rPr>
            </w:pPr>
            <w:r>
              <w:rPr>
                <w:sz w:val="22"/>
              </w:rPr>
              <w:t>18 221</w:t>
            </w:r>
          </w:p>
        </w:tc>
      </w:tr>
      <w:tr w:rsidR="00000000">
        <w:tblPrEx>
          <w:tblCellMar>
            <w:top w:w="0" w:type="dxa"/>
            <w:bottom w:w="0" w:type="dxa"/>
          </w:tblCellMar>
        </w:tblPrEx>
        <w:trPr>
          <w:jc w:val="center"/>
        </w:trPr>
        <w:tc>
          <w:tcPr>
            <w:tcW w:w="3401" w:type="dxa"/>
            <w:noWrap/>
          </w:tcPr>
          <w:p w:rsidR="00000000" w:rsidRDefault="00000000">
            <w:pPr>
              <w:spacing w:before="20" w:after="20"/>
              <w:ind w:left="284"/>
              <w:rPr>
                <w:sz w:val="22"/>
              </w:rPr>
            </w:pPr>
            <w:r>
              <w:rPr>
                <w:sz w:val="22"/>
              </w:rPr>
              <w:t>Portugal</w:t>
            </w:r>
          </w:p>
        </w:tc>
        <w:tc>
          <w:tcPr>
            <w:tcW w:w="1219" w:type="dxa"/>
            <w:noWrap/>
          </w:tcPr>
          <w:p w:rsidR="00000000" w:rsidRDefault="00000000">
            <w:pPr>
              <w:spacing w:before="20" w:after="20"/>
              <w:ind w:right="170"/>
              <w:jc w:val="right"/>
              <w:rPr>
                <w:sz w:val="22"/>
              </w:rPr>
            </w:pPr>
            <w:r>
              <w:rPr>
                <w:sz w:val="22"/>
              </w:rPr>
              <w:t>4 311</w:t>
            </w:r>
          </w:p>
        </w:tc>
        <w:tc>
          <w:tcPr>
            <w:tcW w:w="1219" w:type="dxa"/>
            <w:noWrap/>
          </w:tcPr>
          <w:p w:rsidR="00000000" w:rsidRDefault="00000000">
            <w:pPr>
              <w:spacing w:before="20" w:after="20"/>
              <w:ind w:right="170"/>
              <w:jc w:val="right"/>
              <w:rPr>
                <w:sz w:val="22"/>
              </w:rPr>
            </w:pPr>
            <w:r>
              <w:rPr>
                <w:sz w:val="22"/>
              </w:rPr>
              <w:t>4 347</w:t>
            </w:r>
          </w:p>
        </w:tc>
        <w:tc>
          <w:tcPr>
            <w:tcW w:w="1219" w:type="dxa"/>
            <w:noWrap/>
          </w:tcPr>
          <w:p w:rsidR="00000000" w:rsidRDefault="00000000">
            <w:pPr>
              <w:spacing w:before="20" w:after="20"/>
              <w:ind w:right="170"/>
              <w:jc w:val="right"/>
              <w:rPr>
                <w:sz w:val="22"/>
              </w:rPr>
            </w:pPr>
            <w:r>
              <w:rPr>
                <w:sz w:val="22"/>
              </w:rPr>
              <w:t>9 005</w:t>
            </w:r>
          </w:p>
        </w:tc>
        <w:tc>
          <w:tcPr>
            <w:tcW w:w="1219" w:type="dxa"/>
            <w:noWrap/>
          </w:tcPr>
          <w:p w:rsidR="00000000" w:rsidRDefault="00000000">
            <w:pPr>
              <w:spacing w:before="20" w:after="20"/>
              <w:ind w:right="170"/>
              <w:jc w:val="right"/>
              <w:rPr>
                <w:sz w:val="22"/>
              </w:rPr>
            </w:pPr>
            <w:r>
              <w:rPr>
                <w:sz w:val="22"/>
              </w:rPr>
              <w:t>12 228</w:t>
            </w:r>
          </w:p>
        </w:tc>
        <w:tc>
          <w:tcPr>
            <w:tcW w:w="1220" w:type="dxa"/>
            <w:noWrap/>
          </w:tcPr>
          <w:p w:rsidR="00000000" w:rsidRDefault="00000000">
            <w:pPr>
              <w:spacing w:before="20" w:after="20"/>
              <w:ind w:right="170"/>
              <w:jc w:val="right"/>
              <w:rPr>
                <w:sz w:val="22"/>
              </w:rPr>
            </w:pPr>
            <w:r>
              <w:rPr>
                <w:sz w:val="22"/>
              </w:rPr>
              <w:t>13 539</w:t>
            </w:r>
          </w:p>
        </w:tc>
      </w:tr>
      <w:tr w:rsidR="00000000">
        <w:tblPrEx>
          <w:tblCellMar>
            <w:top w:w="0" w:type="dxa"/>
            <w:bottom w:w="0" w:type="dxa"/>
          </w:tblCellMar>
        </w:tblPrEx>
        <w:trPr>
          <w:jc w:val="center"/>
        </w:trPr>
        <w:tc>
          <w:tcPr>
            <w:tcW w:w="3401" w:type="dxa"/>
            <w:noWrap/>
          </w:tcPr>
          <w:p w:rsidR="00000000" w:rsidRDefault="00000000">
            <w:pPr>
              <w:spacing w:before="20" w:after="20"/>
              <w:ind w:left="284"/>
              <w:rPr>
                <w:sz w:val="22"/>
              </w:rPr>
            </w:pPr>
            <w:proofErr w:type="spellStart"/>
            <w:r>
              <w:rPr>
                <w:sz w:val="22"/>
              </w:rPr>
              <w:t>Ex</w:t>
            </w:r>
            <w:r>
              <w:rPr>
                <w:sz w:val="22"/>
              </w:rPr>
              <w:noBreakHyphen/>
              <w:t>Yougoslavie</w:t>
            </w:r>
            <w:proofErr w:type="spellEnd"/>
          </w:p>
        </w:tc>
        <w:tc>
          <w:tcPr>
            <w:tcW w:w="1219" w:type="dxa"/>
            <w:noWrap/>
          </w:tcPr>
          <w:p w:rsidR="00000000" w:rsidRDefault="00000000">
            <w:pPr>
              <w:spacing w:before="20" w:after="20"/>
              <w:ind w:right="170"/>
              <w:jc w:val="right"/>
              <w:rPr>
                <w:sz w:val="22"/>
              </w:rPr>
            </w:pPr>
            <w:r>
              <w:rPr>
                <w:sz w:val="22"/>
              </w:rPr>
              <w:t>9 868</w:t>
            </w:r>
          </w:p>
        </w:tc>
        <w:tc>
          <w:tcPr>
            <w:tcW w:w="1219" w:type="dxa"/>
            <w:noWrap/>
          </w:tcPr>
          <w:p w:rsidR="00000000" w:rsidRDefault="00000000">
            <w:pPr>
              <w:spacing w:before="20" w:after="20"/>
              <w:ind w:right="170"/>
              <w:jc w:val="right"/>
              <w:rPr>
                <w:sz w:val="22"/>
              </w:rPr>
            </w:pPr>
            <w:r>
              <w:rPr>
                <w:sz w:val="22"/>
              </w:rPr>
              <w:t>11 628</w:t>
            </w:r>
          </w:p>
        </w:tc>
        <w:tc>
          <w:tcPr>
            <w:tcW w:w="1219" w:type="dxa"/>
            <w:noWrap/>
          </w:tcPr>
          <w:p w:rsidR="00000000" w:rsidRDefault="00000000">
            <w:pPr>
              <w:spacing w:before="20" w:after="20"/>
              <w:ind w:right="170"/>
              <w:jc w:val="right"/>
              <w:rPr>
                <w:sz w:val="22"/>
              </w:rPr>
            </w:pPr>
            <w:r>
              <w:rPr>
                <w:sz w:val="22"/>
              </w:rPr>
              <w:t>11 609</w:t>
            </w:r>
          </w:p>
        </w:tc>
        <w:tc>
          <w:tcPr>
            <w:tcW w:w="1219" w:type="dxa"/>
            <w:noWrap/>
          </w:tcPr>
          <w:p w:rsidR="00000000" w:rsidRDefault="00000000">
            <w:pPr>
              <w:spacing w:before="20" w:after="20"/>
              <w:ind w:right="170"/>
              <w:jc w:val="right"/>
              <w:rPr>
                <w:sz w:val="22"/>
              </w:rPr>
            </w:pPr>
            <w:r>
              <w:rPr>
                <w:sz w:val="22"/>
              </w:rPr>
              <w:t>9 705</w:t>
            </w:r>
          </w:p>
        </w:tc>
        <w:tc>
          <w:tcPr>
            <w:tcW w:w="1220" w:type="dxa"/>
            <w:noWrap/>
          </w:tcPr>
          <w:p w:rsidR="00000000" w:rsidRDefault="00000000">
            <w:pPr>
              <w:spacing w:before="20" w:after="20"/>
              <w:ind w:right="170"/>
              <w:jc w:val="right"/>
              <w:rPr>
                <w:sz w:val="22"/>
              </w:rPr>
            </w:pPr>
            <w:r>
              <w:rPr>
                <w:sz w:val="22"/>
              </w:rPr>
              <w:t>8 906</w:t>
            </w:r>
          </w:p>
        </w:tc>
      </w:tr>
      <w:tr w:rsidR="00000000">
        <w:tblPrEx>
          <w:tblCellMar>
            <w:top w:w="0" w:type="dxa"/>
            <w:bottom w:w="0" w:type="dxa"/>
          </w:tblCellMar>
        </w:tblPrEx>
        <w:trPr>
          <w:jc w:val="center"/>
        </w:trPr>
        <w:tc>
          <w:tcPr>
            <w:tcW w:w="3401" w:type="dxa"/>
            <w:noWrap/>
          </w:tcPr>
          <w:p w:rsidR="00000000" w:rsidRDefault="00000000">
            <w:pPr>
              <w:spacing w:before="20" w:after="20"/>
              <w:ind w:left="284"/>
              <w:rPr>
                <w:sz w:val="22"/>
              </w:rPr>
            </w:pPr>
            <w:r>
              <w:rPr>
                <w:sz w:val="22"/>
              </w:rPr>
              <w:t>France</w:t>
            </w:r>
          </w:p>
        </w:tc>
        <w:tc>
          <w:tcPr>
            <w:tcW w:w="1219" w:type="dxa"/>
            <w:noWrap/>
          </w:tcPr>
          <w:p w:rsidR="00000000" w:rsidRDefault="00000000">
            <w:pPr>
              <w:spacing w:before="20" w:after="20"/>
              <w:ind w:right="170"/>
              <w:jc w:val="right"/>
              <w:rPr>
                <w:sz w:val="22"/>
              </w:rPr>
            </w:pPr>
            <w:r>
              <w:rPr>
                <w:sz w:val="22"/>
              </w:rPr>
              <w:t>6 365</w:t>
            </w:r>
          </w:p>
        </w:tc>
        <w:tc>
          <w:tcPr>
            <w:tcW w:w="1219" w:type="dxa"/>
            <w:noWrap/>
          </w:tcPr>
          <w:p w:rsidR="00000000" w:rsidRDefault="00000000">
            <w:pPr>
              <w:spacing w:before="20" w:after="20"/>
              <w:ind w:right="170"/>
              <w:jc w:val="right"/>
              <w:rPr>
                <w:sz w:val="22"/>
              </w:rPr>
            </w:pPr>
            <w:r>
              <w:rPr>
                <w:sz w:val="22"/>
              </w:rPr>
              <w:t>6 491</w:t>
            </w:r>
          </w:p>
        </w:tc>
        <w:tc>
          <w:tcPr>
            <w:tcW w:w="1219" w:type="dxa"/>
            <w:noWrap/>
          </w:tcPr>
          <w:p w:rsidR="00000000" w:rsidRDefault="00000000">
            <w:pPr>
              <w:spacing w:before="20" w:after="20"/>
              <w:ind w:right="170"/>
              <w:jc w:val="right"/>
              <w:rPr>
                <w:sz w:val="22"/>
              </w:rPr>
            </w:pPr>
            <w:r>
              <w:rPr>
                <w:sz w:val="22"/>
              </w:rPr>
              <w:t>6 936</w:t>
            </w:r>
          </w:p>
        </w:tc>
        <w:tc>
          <w:tcPr>
            <w:tcW w:w="1219" w:type="dxa"/>
            <w:noWrap/>
          </w:tcPr>
          <w:p w:rsidR="00000000" w:rsidRDefault="00000000">
            <w:pPr>
              <w:spacing w:before="20" w:after="20"/>
              <w:ind w:right="170"/>
              <w:jc w:val="right"/>
              <w:rPr>
                <w:sz w:val="22"/>
              </w:rPr>
            </w:pPr>
            <w:r>
              <w:rPr>
                <w:sz w:val="22"/>
              </w:rPr>
              <w:t>6 865</w:t>
            </w:r>
          </w:p>
        </w:tc>
        <w:tc>
          <w:tcPr>
            <w:tcW w:w="1220" w:type="dxa"/>
            <w:noWrap/>
          </w:tcPr>
          <w:p w:rsidR="00000000" w:rsidRDefault="00000000">
            <w:pPr>
              <w:spacing w:before="20" w:after="20"/>
              <w:ind w:right="170"/>
              <w:jc w:val="right"/>
              <w:rPr>
                <w:sz w:val="22"/>
              </w:rPr>
            </w:pPr>
            <w:r>
              <w:rPr>
                <w:sz w:val="22"/>
              </w:rPr>
              <w:t>6 936</w:t>
            </w:r>
          </w:p>
        </w:tc>
      </w:tr>
      <w:tr w:rsidR="00000000">
        <w:tblPrEx>
          <w:tblCellMar>
            <w:top w:w="0" w:type="dxa"/>
            <w:bottom w:w="0" w:type="dxa"/>
          </w:tblCellMar>
        </w:tblPrEx>
        <w:trPr>
          <w:jc w:val="center"/>
        </w:trPr>
        <w:tc>
          <w:tcPr>
            <w:tcW w:w="3401" w:type="dxa"/>
            <w:noWrap/>
          </w:tcPr>
          <w:p w:rsidR="00000000" w:rsidRDefault="00000000">
            <w:pPr>
              <w:spacing w:before="20" w:after="20"/>
              <w:ind w:left="284"/>
              <w:rPr>
                <w:sz w:val="22"/>
              </w:rPr>
            </w:pPr>
            <w:r>
              <w:rPr>
                <w:sz w:val="22"/>
              </w:rPr>
              <w:t>Italie</w:t>
            </w:r>
          </w:p>
        </w:tc>
        <w:tc>
          <w:tcPr>
            <w:tcW w:w="1219" w:type="dxa"/>
            <w:noWrap/>
          </w:tcPr>
          <w:p w:rsidR="00000000" w:rsidRDefault="00000000">
            <w:pPr>
              <w:spacing w:before="20" w:after="20"/>
              <w:ind w:right="170"/>
              <w:jc w:val="right"/>
              <w:rPr>
                <w:sz w:val="22"/>
              </w:rPr>
            </w:pPr>
            <w:r>
              <w:rPr>
                <w:sz w:val="22"/>
              </w:rPr>
              <w:t>4 541</w:t>
            </w:r>
          </w:p>
        </w:tc>
        <w:tc>
          <w:tcPr>
            <w:tcW w:w="1219" w:type="dxa"/>
            <w:noWrap/>
          </w:tcPr>
          <w:p w:rsidR="00000000" w:rsidRDefault="00000000">
            <w:pPr>
              <w:spacing w:before="20" w:after="20"/>
              <w:ind w:right="170"/>
              <w:jc w:val="right"/>
              <w:rPr>
                <w:sz w:val="22"/>
              </w:rPr>
            </w:pPr>
            <w:r>
              <w:rPr>
                <w:sz w:val="22"/>
              </w:rPr>
              <w:t>4 625</w:t>
            </w:r>
          </w:p>
        </w:tc>
        <w:tc>
          <w:tcPr>
            <w:tcW w:w="1219" w:type="dxa"/>
            <w:noWrap/>
          </w:tcPr>
          <w:p w:rsidR="00000000" w:rsidRDefault="00000000">
            <w:pPr>
              <w:spacing w:before="20" w:after="20"/>
              <w:ind w:right="170"/>
              <w:jc w:val="right"/>
              <w:rPr>
                <w:sz w:val="22"/>
              </w:rPr>
            </w:pPr>
            <w:r>
              <w:rPr>
                <w:sz w:val="22"/>
              </w:rPr>
              <w:t>5 961</w:t>
            </w:r>
          </w:p>
        </w:tc>
        <w:tc>
          <w:tcPr>
            <w:tcW w:w="1219" w:type="dxa"/>
            <w:noWrap/>
          </w:tcPr>
          <w:p w:rsidR="00000000" w:rsidRDefault="00000000">
            <w:pPr>
              <w:spacing w:before="20" w:after="20"/>
              <w:ind w:right="170"/>
              <w:jc w:val="right"/>
              <w:rPr>
                <w:sz w:val="22"/>
              </w:rPr>
            </w:pPr>
            <w:r>
              <w:rPr>
                <w:sz w:val="22"/>
              </w:rPr>
              <w:t>5 820</w:t>
            </w:r>
          </w:p>
        </w:tc>
        <w:tc>
          <w:tcPr>
            <w:tcW w:w="1220" w:type="dxa"/>
            <w:noWrap/>
          </w:tcPr>
          <w:p w:rsidR="00000000" w:rsidRDefault="00000000">
            <w:pPr>
              <w:spacing w:before="20" w:after="20"/>
              <w:ind w:right="170"/>
              <w:jc w:val="right"/>
              <w:rPr>
                <w:sz w:val="22"/>
              </w:rPr>
            </w:pPr>
            <w:r>
              <w:rPr>
                <w:sz w:val="22"/>
              </w:rPr>
              <w:t>5 859</w:t>
            </w:r>
          </w:p>
        </w:tc>
      </w:tr>
      <w:tr w:rsidR="00000000">
        <w:tblPrEx>
          <w:tblCellMar>
            <w:top w:w="0" w:type="dxa"/>
            <w:bottom w:w="0" w:type="dxa"/>
          </w:tblCellMar>
        </w:tblPrEx>
        <w:trPr>
          <w:jc w:val="center"/>
        </w:trPr>
        <w:tc>
          <w:tcPr>
            <w:tcW w:w="3401" w:type="dxa"/>
            <w:noWrap/>
          </w:tcPr>
          <w:p w:rsidR="00000000" w:rsidRDefault="00000000">
            <w:pPr>
              <w:spacing w:before="20" w:after="20"/>
              <w:ind w:left="284"/>
              <w:rPr>
                <w:sz w:val="22"/>
              </w:rPr>
            </w:pPr>
            <w:proofErr w:type="spellStart"/>
            <w:r>
              <w:rPr>
                <w:sz w:val="22"/>
              </w:rPr>
              <w:t>Royaume</w:t>
            </w:r>
            <w:r>
              <w:rPr>
                <w:sz w:val="22"/>
              </w:rPr>
              <w:noBreakHyphen/>
              <w:t>Uni</w:t>
            </w:r>
            <w:proofErr w:type="spellEnd"/>
          </w:p>
        </w:tc>
        <w:tc>
          <w:tcPr>
            <w:tcW w:w="1219" w:type="dxa"/>
            <w:noWrap/>
          </w:tcPr>
          <w:p w:rsidR="00000000" w:rsidRDefault="00000000">
            <w:pPr>
              <w:spacing w:before="20" w:after="20"/>
              <w:ind w:right="170"/>
              <w:jc w:val="right"/>
              <w:rPr>
                <w:sz w:val="22"/>
              </w:rPr>
            </w:pPr>
            <w:r>
              <w:rPr>
                <w:sz w:val="22"/>
              </w:rPr>
              <w:t>3 631</w:t>
            </w:r>
          </w:p>
        </w:tc>
        <w:tc>
          <w:tcPr>
            <w:tcW w:w="1219" w:type="dxa"/>
            <w:noWrap/>
          </w:tcPr>
          <w:p w:rsidR="00000000" w:rsidRDefault="00000000">
            <w:pPr>
              <w:spacing w:before="20" w:after="20"/>
              <w:ind w:right="170"/>
              <w:jc w:val="right"/>
              <w:rPr>
                <w:sz w:val="22"/>
              </w:rPr>
            </w:pPr>
            <w:r>
              <w:rPr>
                <w:sz w:val="22"/>
              </w:rPr>
              <w:t>3 948</w:t>
            </w:r>
          </w:p>
        </w:tc>
        <w:tc>
          <w:tcPr>
            <w:tcW w:w="1219" w:type="dxa"/>
            <w:noWrap/>
          </w:tcPr>
          <w:p w:rsidR="00000000" w:rsidRDefault="00000000">
            <w:pPr>
              <w:spacing w:before="20" w:after="20"/>
              <w:ind w:right="170"/>
              <w:jc w:val="right"/>
              <w:rPr>
                <w:sz w:val="22"/>
              </w:rPr>
            </w:pPr>
            <w:r>
              <w:rPr>
                <w:sz w:val="22"/>
              </w:rPr>
              <w:t>3 248</w:t>
            </w:r>
          </w:p>
        </w:tc>
        <w:tc>
          <w:tcPr>
            <w:tcW w:w="1219" w:type="dxa"/>
            <w:noWrap/>
          </w:tcPr>
          <w:p w:rsidR="00000000" w:rsidRDefault="00000000">
            <w:pPr>
              <w:spacing w:before="20" w:after="20"/>
              <w:ind w:right="170"/>
              <w:jc w:val="right"/>
              <w:rPr>
                <w:sz w:val="22"/>
              </w:rPr>
            </w:pPr>
            <w:r>
              <w:rPr>
                <w:sz w:val="22"/>
              </w:rPr>
              <w:t>2 980</w:t>
            </w:r>
          </w:p>
        </w:tc>
        <w:tc>
          <w:tcPr>
            <w:tcW w:w="1220" w:type="dxa"/>
            <w:noWrap/>
          </w:tcPr>
          <w:p w:rsidR="00000000" w:rsidRDefault="00000000">
            <w:pPr>
              <w:spacing w:before="20" w:after="20"/>
              <w:ind w:right="170"/>
              <w:jc w:val="right"/>
              <w:rPr>
                <w:sz w:val="22"/>
              </w:rPr>
            </w:pPr>
            <w:r>
              <w:rPr>
                <w:sz w:val="22"/>
              </w:rPr>
              <w:t>3 069</w:t>
            </w:r>
          </w:p>
        </w:tc>
      </w:tr>
      <w:tr w:rsidR="00000000">
        <w:tblPrEx>
          <w:tblCellMar>
            <w:top w:w="0" w:type="dxa"/>
            <w:bottom w:w="0" w:type="dxa"/>
          </w:tblCellMar>
        </w:tblPrEx>
        <w:trPr>
          <w:jc w:val="center"/>
        </w:trPr>
        <w:tc>
          <w:tcPr>
            <w:tcW w:w="3401" w:type="dxa"/>
            <w:noWrap/>
          </w:tcPr>
          <w:p w:rsidR="00000000" w:rsidRDefault="00000000">
            <w:pPr>
              <w:spacing w:before="20" w:after="20"/>
              <w:ind w:left="284"/>
              <w:rPr>
                <w:sz w:val="22"/>
              </w:rPr>
            </w:pPr>
            <w:r>
              <w:rPr>
                <w:sz w:val="22"/>
              </w:rPr>
              <w:t>Turquie</w:t>
            </w:r>
          </w:p>
        </w:tc>
        <w:tc>
          <w:tcPr>
            <w:tcW w:w="1219" w:type="dxa"/>
            <w:noWrap/>
          </w:tcPr>
          <w:p w:rsidR="00000000" w:rsidRDefault="00000000">
            <w:pPr>
              <w:spacing w:before="20" w:after="20"/>
              <w:ind w:right="170"/>
              <w:jc w:val="right"/>
              <w:rPr>
                <w:sz w:val="22"/>
              </w:rPr>
            </w:pPr>
            <w:r>
              <w:rPr>
                <w:sz w:val="22"/>
              </w:rPr>
              <w:t>2 403</w:t>
            </w:r>
          </w:p>
        </w:tc>
        <w:tc>
          <w:tcPr>
            <w:tcW w:w="1219" w:type="dxa"/>
            <w:noWrap/>
          </w:tcPr>
          <w:p w:rsidR="00000000" w:rsidRDefault="00000000">
            <w:pPr>
              <w:spacing w:before="20" w:after="20"/>
              <w:ind w:right="170"/>
              <w:jc w:val="right"/>
              <w:rPr>
                <w:sz w:val="22"/>
              </w:rPr>
            </w:pPr>
            <w:r>
              <w:rPr>
                <w:sz w:val="22"/>
              </w:rPr>
              <w:t>2 858</w:t>
            </w:r>
          </w:p>
        </w:tc>
        <w:tc>
          <w:tcPr>
            <w:tcW w:w="1219" w:type="dxa"/>
            <w:noWrap/>
          </w:tcPr>
          <w:p w:rsidR="00000000" w:rsidRDefault="00000000">
            <w:pPr>
              <w:spacing w:before="20" w:after="20"/>
              <w:ind w:right="170"/>
              <w:jc w:val="right"/>
              <w:rPr>
                <w:sz w:val="22"/>
              </w:rPr>
            </w:pPr>
            <w:r>
              <w:rPr>
                <w:sz w:val="22"/>
              </w:rPr>
              <w:t>3 063</w:t>
            </w:r>
          </w:p>
        </w:tc>
        <w:tc>
          <w:tcPr>
            <w:tcW w:w="1219" w:type="dxa"/>
            <w:noWrap/>
          </w:tcPr>
          <w:p w:rsidR="00000000" w:rsidRDefault="00000000">
            <w:pPr>
              <w:spacing w:before="20" w:after="20"/>
              <w:ind w:right="170"/>
              <w:jc w:val="right"/>
              <w:rPr>
                <w:sz w:val="22"/>
              </w:rPr>
            </w:pPr>
            <w:r>
              <w:rPr>
                <w:sz w:val="22"/>
              </w:rPr>
              <w:t>2 806</w:t>
            </w:r>
          </w:p>
        </w:tc>
        <w:tc>
          <w:tcPr>
            <w:tcW w:w="1220" w:type="dxa"/>
            <w:noWrap/>
          </w:tcPr>
          <w:p w:rsidR="00000000" w:rsidRDefault="00000000">
            <w:pPr>
              <w:spacing w:before="20" w:after="20"/>
              <w:ind w:right="170"/>
              <w:jc w:val="right"/>
              <w:rPr>
                <w:sz w:val="22"/>
              </w:rPr>
            </w:pPr>
            <w:r>
              <w:rPr>
                <w:sz w:val="22"/>
              </w:rPr>
              <w:t>2 467</w:t>
            </w:r>
          </w:p>
        </w:tc>
      </w:tr>
      <w:tr w:rsidR="00000000">
        <w:tblPrEx>
          <w:tblCellMar>
            <w:top w:w="0" w:type="dxa"/>
            <w:bottom w:w="0" w:type="dxa"/>
          </w:tblCellMar>
        </w:tblPrEx>
        <w:trPr>
          <w:jc w:val="center"/>
        </w:trPr>
        <w:tc>
          <w:tcPr>
            <w:tcW w:w="3401" w:type="dxa"/>
            <w:noWrap/>
          </w:tcPr>
          <w:p w:rsidR="00000000" w:rsidRDefault="00000000">
            <w:pPr>
              <w:spacing w:before="20" w:after="20"/>
              <w:ind w:left="284"/>
              <w:rPr>
                <w:sz w:val="22"/>
              </w:rPr>
            </w:pPr>
            <w:r>
              <w:rPr>
                <w:sz w:val="22"/>
              </w:rPr>
              <w:t>Autriche</w:t>
            </w:r>
          </w:p>
        </w:tc>
        <w:tc>
          <w:tcPr>
            <w:tcW w:w="1219" w:type="dxa"/>
            <w:noWrap/>
          </w:tcPr>
          <w:p w:rsidR="00000000" w:rsidRDefault="00000000">
            <w:pPr>
              <w:spacing w:before="20" w:after="20"/>
              <w:ind w:right="170"/>
              <w:jc w:val="right"/>
              <w:rPr>
                <w:sz w:val="22"/>
              </w:rPr>
            </w:pPr>
            <w:r>
              <w:rPr>
                <w:sz w:val="22"/>
              </w:rPr>
              <w:t>1 887</w:t>
            </w:r>
          </w:p>
        </w:tc>
        <w:tc>
          <w:tcPr>
            <w:tcW w:w="1219" w:type="dxa"/>
            <w:noWrap/>
          </w:tcPr>
          <w:p w:rsidR="00000000" w:rsidRDefault="00000000">
            <w:pPr>
              <w:spacing w:before="20" w:after="20"/>
              <w:ind w:right="170"/>
              <w:jc w:val="right"/>
              <w:rPr>
                <w:sz w:val="22"/>
              </w:rPr>
            </w:pPr>
            <w:r>
              <w:rPr>
                <w:sz w:val="22"/>
              </w:rPr>
              <w:t>2 350</w:t>
            </w:r>
          </w:p>
        </w:tc>
        <w:tc>
          <w:tcPr>
            <w:tcW w:w="1219" w:type="dxa"/>
            <w:noWrap/>
          </w:tcPr>
          <w:p w:rsidR="00000000" w:rsidRDefault="00000000">
            <w:pPr>
              <w:spacing w:before="20" w:after="20"/>
              <w:ind w:right="170"/>
              <w:jc w:val="right"/>
              <w:rPr>
                <w:sz w:val="22"/>
              </w:rPr>
            </w:pPr>
            <w:r>
              <w:rPr>
                <w:sz w:val="22"/>
              </w:rPr>
              <w:t>2 629</w:t>
            </w:r>
          </w:p>
        </w:tc>
        <w:tc>
          <w:tcPr>
            <w:tcW w:w="1219" w:type="dxa"/>
            <w:noWrap/>
          </w:tcPr>
          <w:p w:rsidR="00000000" w:rsidRDefault="00000000">
            <w:pPr>
              <w:spacing w:before="20" w:after="20"/>
              <w:ind w:right="170"/>
              <w:jc w:val="right"/>
              <w:rPr>
                <w:sz w:val="22"/>
              </w:rPr>
            </w:pPr>
            <w:r>
              <w:rPr>
                <w:sz w:val="22"/>
              </w:rPr>
              <w:t>2 046</w:t>
            </w:r>
          </w:p>
        </w:tc>
        <w:tc>
          <w:tcPr>
            <w:tcW w:w="1220" w:type="dxa"/>
            <w:noWrap/>
          </w:tcPr>
          <w:p w:rsidR="00000000" w:rsidRDefault="00000000">
            <w:pPr>
              <w:spacing w:before="20" w:after="20"/>
              <w:ind w:right="170"/>
              <w:jc w:val="right"/>
              <w:rPr>
                <w:sz w:val="22"/>
              </w:rPr>
            </w:pPr>
            <w:r>
              <w:rPr>
                <w:sz w:val="22"/>
              </w:rPr>
              <w:t>2 273</w:t>
            </w:r>
          </w:p>
        </w:tc>
      </w:tr>
      <w:tr w:rsidR="00000000">
        <w:tblPrEx>
          <w:tblCellMar>
            <w:top w:w="0" w:type="dxa"/>
            <w:bottom w:w="0" w:type="dxa"/>
          </w:tblCellMar>
        </w:tblPrEx>
        <w:trPr>
          <w:jc w:val="center"/>
        </w:trPr>
        <w:tc>
          <w:tcPr>
            <w:tcW w:w="3401" w:type="dxa"/>
            <w:noWrap/>
          </w:tcPr>
          <w:p w:rsidR="00000000" w:rsidRDefault="00000000">
            <w:pPr>
              <w:spacing w:before="20" w:after="20"/>
              <w:ind w:left="284"/>
              <w:rPr>
                <w:sz w:val="22"/>
              </w:rPr>
            </w:pPr>
            <w:r>
              <w:rPr>
                <w:sz w:val="22"/>
              </w:rPr>
              <w:t>Espagne</w:t>
            </w:r>
          </w:p>
        </w:tc>
        <w:tc>
          <w:tcPr>
            <w:tcW w:w="1219" w:type="dxa"/>
            <w:noWrap/>
          </w:tcPr>
          <w:p w:rsidR="00000000" w:rsidRDefault="00000000">
            <w:pPr>
              <w:spacing w:before="20" w:after="20"/>
              <w:ind w:right="170"/>
              <w:jc w:val="right"/>
              <w:rPr>
                <w:sz w:val="22"/>
              </w:rPr>
            </w:pPr>
            <w:r>
              <w:rPr>
                <w:sz w:val="22"/>
              </w:rPr>
              <w:t>1 490</w:t>
            </w:r>
          </w:p>
        </w:tc>
        <w:tc>
          <w:tcPr>
            <w:tcW w:w="1219" w:type="dxa"/>
            <w:noWrap/>
          </w:tcPr>
          <w:p w:rsidR="00000000" w:rsidRDefault="00000000">
            <w:pPr>
              <w:spacing w:before="20" w:after="20"/>
              <w:ind w:right="170"/>
              <w:jc w:val="right"/>
              <w:rPr>
                <w:sz w:val="22"/>
              </w:rPr>
            </w:pPr>
            <w:r>
              <w:rPr>
                <w:sz w:val="22"/>
              </w:rPr>
              <w:t>1 540</w:t>
            </w:r>
          </w:p>
        </w:tc>
        <w:tc>
          <w:tcPr>
            <w:tcW w:w="1219" w:type="dxa"/>
            <w:noWrap/>
          </w:tcPr>
          <w:p w:rsidR="00000000" w:rsidRDefault="00000000">
            <w:pPr>
              <w:spacing w:before="20" w:after="20"/>
              <w:ind w:right="170"/>
              <w:jc w:val="right"/>
              <w:rPr>
                <w:sz w:val="22"/>
              </w:rPr>
            </w:pPr>
            <w:r>
              <w:rPr>
                <w:sz w:val="22"/>
              </w:rPr>
              <w:t>1 833</w:t>
            </w:r>
          </w:p>
        </w:tc>
        <w:tc>
          <w:tcPr>
            <w:tcW w:w="1219" w:type="dxa"/>
            <w:noWrap/>
          </w:tcPr>
          <w:p w:rsidR="00000000" w:rsidRDefault="00000000">
            <w:pPr>
              <w:spacing w:before="20" w:after="20"/>
              <w:ind w:right="170"/>
              <w:jc w:val="right"/>
              <w:rPr>
                <w:sz w:val="22"/>
              </w:rPr>
            </w:pPr>
            <w:r>
              <w:rPr>
                <w:sz w:val="22"/>
              </w:rPr>
              <w:t>1 819</w:t>
            </w:r>
          </w:p>
        </w:tc>
        <w:tc>
          <w:tcPr>
            <w:tcW w:w="1220" w:type="dxa"/>
            <w:noWrap/>
          </w:tcPr>
          <w:p w:rsidR="00000000" w:rsidRDefault="00000000">
            <w:pPr>
              <w:spacing w:before="20" w:after="20"/>
              <w:ind w:right="170"/>
              <w:jc w:val="right"/>
              <w:rPr>
                <w:sz w:val="22"/>
              </w:rPr>
            </w:pPr>
            <w:r>
              <w:rPr>
                <w:sz w:val="22"/>
              </w:rPr>
              <w:t>1 752</w:t>
            </w:r>
          </w:p>
        </w:tc>
      </w:tr>
      <w:tr w:rsidR="00000000">
        <w:tblPrEx>
          <w:tblCellMar>
            <w:top w:w="0" w:type="dxa"/>
            <w:bottom w:w="0" w:type="dxa"/>
          </w:tblCellMar>
        </w:tblPrEx>
        <w:trPr>
          <w:jc w:val="center"/>
        </w:trPr>
        <w:tc>
          <w:tcPr>
            <w:tcW w:w="3401" w:type="dxa"/>
            <w:noWrap/>
          </w:tcPr>
          <w:p w:rsidR="00000000" w:rsidRDefault="00000000">
            <w:pPr>
              <w:spacing w:before="20" w:after="20"/>
              <w:ind w:left="284"/>
              <w:rPr>
                <w:sz w:val="22"/>
              </w:rPr>
            </w:pPr>
            <w:proofErr w:type="spellStart"/>
            <w:r>
              <w:rPr>
                <w:sz w:val="22"/>
              </w:rPr>
              <w:t>Pays</w:t>
            </w:r>
            <w:r>
              <w:rPr>
                <w:sz w:val="22"/>
              </w:rPr>
              <w:noBreakHyphen/>
              <w:t>Bas</w:t>
            </w:r>
            <w:proofErr w:type="spellEnd"/>
          </w:p>
        </w:tc>
        <w:tc>
          <w:tcPr>
            <w:tcW w:w="1219" w:type="dxa"/>
            <w:noWrap/>
          </w:tcPr>
          <w:p w:rsidR="00000000" w:rsidRDefault="00000000">
            <w:pPr>
              <w:spacing w:before="20" w:after="20"/>
              <w:ind w:right="170"/>
              <w:jc w:val="right"/>
              <w:rPr>
                <w:sz w:val="22"/>
              </w:rPr>
            </w:pPr>
            <w:r>
              <w:rPr>
                <w:sz w:val="22"/>
              </w:rPr>
              <w:t>1 215</w:t>
            </w:r>
          </w:p>
        </w:tc>
        <w:tc>
          <w:tcPr>
            <w:tcW w:w="1219" w:type="dxa"/>
            <w:noWrap/>
          </w:tcPr>
          <w:p w:rsidR="00000000" w:rsidRDefault="00000000">
            <w:pPr>
              <w:spacing w:before="20" w:after="20"/>
              <w:ind w:right="170"/>
              <w:jc w:val="right"/>
              <w:rPr>
                <w:sz w:val="22"/>
              </w:rPr>
            </w:pPr>
            <w:r>
              <w:rPr>
                <w:sz w:val="22"/>
              </w:rPr>
              <w:t>1 322</w:t>
            </w:r>
          </w:p>
        </w:tc>
        <w:tc>
          <w:tcPr>
            <w:tcW w:w="1219" w:type="dxa"/>
            <w:noWrap/>
          </w:tcPr>
          <w:p w:rsidR="00000000" w:rsidRDefault="00000000">
            <w:pPr>
              <w:spacing w:before="20" w:after="20"/>
              <w:ind w:right="170"/>
              <w:jc w:val="right"/>
              <w:rPr>
                <w:sz w:val="22"/>
              </w:rPr>
            </w:pPr>
            <w:r>
              <w:rPr>
                <w:sz w:val="22"/>
              </w:rPr>
              <w:t>1 209</w:t>
            </w:r>
          </w:p>
        </w:tc>
        <w:tc>
          <w:tcPr>
            <w:tcW w:w="1219" w:type="dxa"/>
            <w:noWrap/>
          </w:tcPr>
          <w:p w:rsidR="00000000" w:rsidRDefault="00000000">
            <w:pPr>
              <w:spacing w:before="20" w:after="20"/>
              <w:ind w:right="170"/>
              <w:jc w:val="right"/>
              <w:rPr>
                <w:sz w:val="22"/>
              </w:rPr>
            </w:pPr>
            <w:r>
              <w:rPr>
                <w:sz w:val="22"/>
              </w:rPr>
              <w:t>1 100</w:t>
            </w:r>
          </w:p>
        </w:tc>
        <w:tc>
          <w:tcPr>
            <w:tcW w:w="1220" w:type="dxa"/>
            <w:noWrap/>
          </w:tcPr>
          <w:p w:rsidR="00000000" w:rsidRDefault="00000000">
            <w:pPr>
              <w:spacing w:before="20" w:after="20"/>
              <w:ind w:right="170"/>
              <w:jc w:val="right"/>
              <w:rPr>
                <w:sz w:val="22"/>
              </w:rPr>
            </w:pPr>
            <w:r>
              <w:rPr>
                <w:sz w:val="22"/>
              </w:rPr>
              <w:t>1 137</w:t>
            </w:r>
          </w:p>
        </w:tc>
      </w:tr>
      <w:tr w:rsidR="00000000">
        <w:tblPrEx>
          <w:tblCellMar>
            <w:top w:w="0" w:type="dxa"/>
            <w:bottom w:w="0" w:type="dxa"/>
          </w:tblCellMar>
        </w:tblPrEx>
        <w:trPr>
          <w:jc w:val="center"/>
        </w:trPr>
        <w:tc>
          <w:tcPr>
            <w:tcW w:w="3401" w:type="dxa"/>
            <w:noWrap/>
          </w:tcPr>
          <w:p w:rsidR="00000000" w:rsidRDefault="00000000">
            <w:pPr>
              <w:spacing w:before="20" w:after="20"/>
              <w:ind w:left="284"/>
              <w:rPr>
                <w:sz w:val="22"/>
              </w:rPr>
            </w:pPr>
            <w:r>
              <w:rPr>
                <w:sz w:val="22"/>
              </w:rPr>
              <w:t>Autres États européens</w:t>
            </w:r>
          </w:p>
        </w:tc>
        <w:tc>
          <w:tcPr>
            <w:tcW w:w="1219" w:type="dxa"/>
            <w:noWrap/>
          </w:tcPr>
          <w:p w:rsidR="00000000" w:rsidRDefault="00000000">
            <w:pPr>
              <w:spacing w:before="20" w:after="20"/>
              <w:ind w:right="170"/>
              <w:jc w:val="right"/>
              <w:rPr>
                <w:sz w:val="22"/>
              </w:rPr>
            </w:pPr>
            <w:r>
              <w:rPr>
                <w:sz w:val="22"/>
              </w:rPr>
              <w:t>9 171</w:t>
            </w:r>
          </w:p>
        </w:tc>
        <w:tc>
          <w:tcPr>
            <w:tcW w:w="1219" w:type="dxa"/>
            <w:noWrap/>
          </w:tcPr>
          <w:p w:rsidR="00000000" w:rsidRDefault="00000000">
            <w:pPr>
              <w:spacing w:before="20" w:after="20"/>
              <w:ind w:right="170"/>
              <w:jc w:val="right"/>
              <w:rPr>
                <w:sz w:val="22"/>
              </w:rPr>
            </w:pPr>
            <w:r>
              <w:rPr>
                <w:sz w:val="22"/>
              </w:rPr>
              <w:t>10 348</w:t>
            </w:r>
          </w:p>
        </w:tc>
        <w:tc>
          <w:tcPr>
            <w:tcW w:w="1219" w:type="dxa"/>
            <w:noWrap/>
          </w:tcPr>
          <w:p w:rsidR="00000000" w:rsidRDefault="00000000">
            <w:pPr>
              <w:spacing w:before="20" w:after="20"/>
              <w:ind w:right="170"/>
              <w:jc w:val="right"/>
              <w:rPr>
                <w:sz w:val="22"/>
              </w:rPr>
            </w:pPr>
            <w:r>
              <w:rPr>
                <w:sz w:val="22"/>
              </w:rPr>
              <w:t>9 481</w:t>
            </w:r>
          </w:p>
        </w:tc>
        <w:tc>
          <w:tcPr>
            <w:tcW w:w="1219" w:type="dxa"/>
            <w:noWrap/>
          </w:tcPr>
          <w:p w:rsidR="00000000" w:rsidRDefault="00000000">
            <w:pPr>
              <w:spacing w:before="20" w:after="20"/>
              <w:ind w:right="170"/>
              <w:jc w:val="right"/>
              <w:rPr>
                <w:sz w:val="22"/>
              </w:rPr>
            </w:pPr>
            <w:r>
              <w:rPr>
                <w:sz w:val="22"/>
              </w:rPr>
              <w:t>8 776</w:t>
            </w:r>
          </w:p>
        </w:tc>
        <w:tc>
          <w:tcPr>
            <w:tcW w:w="1220" w:type="dxa"/>
            <w:noWrap/>
          </w:tcPr>
          <w:p w:rsidR="00000000" w:rsidRDefault="00000000">
            <w:pPr>
              <w:spacing w:before="20" w:after="20"/>
              <w:ind w:right="170"/>
              <w:jc w:val="right"/>
              <w:rPr>
                <w:sz w:val="22"/>
              </w:rPr>
            </w:pPr>
            <w:r>
              <w:rPr>
                <w:sz w:val="22"/>
              </w:rPr>
              <w:t>9 050</w:t>
            </w:r>
          </w:p>
        </w:tc>
      </w:tr>
      <w:tr w:rsidR="00000000">
        <w:tblPrEx>
          <w:tblCellMar>
            <w:top w:w="0" w:type="dxa"/>
            <w:bottom w:w="0" w:type="dxa"/>
          </w:tblCellMar>
        </w:tblPrEx>
        <w:trPr>
          <w:jc w:val="center"/>
        </w:trPr>
        <w:tc>
          <w:tcPr>
            <w:tcW w:w="3401" w:type="dxa"/>
            <w:noWrap/>
          </w:tcPr>
          <w:p w:rsidR="00000000" w:rsidRDefault="00000000">
            <w:pPr>
              <w:spacing w:before="20" w:after="20"/>
              <w:rPr>
                <w:b/>
                <w:sz w:val="22"/>
              </w:rPr>
            </w:pPr>
            <w:r>
              <w:rPr>
                <w:b/>
                <w:sz w:val="22"/>
              </w:rPr>
              <w:t>Autres continents</w:t>
            </w:r>
          </w:p>
        </w:tc>
        <w:tc>
          <w:tcPr>
            <w:tcW w:w="1219" w:type="dxa"/>
            <w:noWrap/>
            <w:vAlign w:val="center"/>
          </w:tcPr>
          <w:p w:rsidR="00000000" w:rsidRDefault="00000000">
            <w:pPr>
              <w:spacing w:before="20" w:after="20"/>
              <w:ind w:right="170"/>
              <w:jc w:val="right"/>
              <w:rPr>
                <w:b/>
                <w:sz w:val="22"/>
              </w:rPr>
            </w:pPr>
            <w:r>
              <w:rPr>
                <w:b/>
                <w:sz w:val="22"/>
              </w:rPr>
              <w:t>2000</w:t>
            </w:r>
          </w:p>
        </w:tc>
        <w:tc>
          <w:tcPr>
            <w:tcW w:w="1219" w:type="dxa"/>
            <w:noWrap/>
          </w:tcPr>
          <w:p w:rsidR="00000000" w:rsidRDefault="00000000">
            <w:pPr>
              <w:spacing w:before="20" w:after="20"/>
              <w:ind w:right="170"/>
              <w:jc w:val="right"/>
              <w:rPr>
                <w:b/>
                <w:sz w:val="22"/>
              </w:rPr>
            </w:pPr>
            <w:r>
              <w:rPr>
                <w:b/>
                <w:sz w:val="22"/>
              </w:rPr>
              <w:t>2001</w:t>
            </w:r>
          </w:p>
        </w:tc>
        <w:tc>
          <w:tcPr>
            <w:tcW w:w="1219" w:type="dxa"/>
            <w:noWrap/>
          </w:tcPr>
          <w:p w:rsidR="00000000" w:rsidRDefault="00000000">
            <w:pPr>
              <w:spacing w:before="20" w:after="20"/>
              <w:ind w:right="170"/>
              <w:jc w:val="right"/>
              <w:rPr>
                <w:b/>
                <w:sz w:val="22"/>
              </w:rPr>
            </w:pPr>
            <w:r>
              <w:rPr>
                <w:b/>
                <w:sz w:val="22"/>
              </w:rPr>
              <w:t>2002</w:t>
            </w:r>
          </w:p>
        </w:tc>
        <w:tc>
          <w:tcPr>
            <w:tcW w:w="1219" w:type="dxa"/>
            <w:noWrap/>
          </w:tcPr>
          <w:p w:rsidR="00000000" w:rsidRDefault="00000000">
            <w:pPr>
              <w:spacing w:before="20" w:after="20"/>
              <w:ind w:right="170"/>
              <w:jc w:val="right"/>
              <w:rPr>
                <w:b/>
                <w:sz w:val="22"/>
              </w:rPr>
            </w:pPr>
            <w:r>
              <w:rPr>
                <w:b/>
                <w:sz w:val="22"/>
              </w:rPr>
              <w:t>2003</w:t>
            </w:r>
          </w:p>
        </w:tc>
        <w:tc>
          <w:tcPr>
            <w:tcW w:w="1220" w:type="dxa"/>
            <w:noWrap/>
          </w:tcPr>
          <w:p w:rsidR="00000000" w:rsidRDefault="00000000">
            <w:pPr>
              <w:spacing w:before="20" w:after="20"/>
              <w:ind w:right="170"/>
              <w:jc w:val="right"/>
              <w:rPr>
                <w:b/>
                <w:sz w:val="22"/>
              </w:rPr>
            </w:pPr>
            <w:r>
              <w:rPr>
                <w:b/>
                <w:sz w:val="22"/>
              </w:rPr>
              <w:t>2004</w:t>
            </w:r>
          </w:p>
        </w:tc>
      </w:tr>
      <w:tr w:rsidR="00000000">
        <w:tblPrEx>
          <w:tblCellMar>
            <w:top w:w="0" w:type="dxa"/>
            <w:bottom w:w="0" w:type="dxa"/>
          </w:tblCellMar>
        </w:tblPrEx>
        <w:trPr>
          <w:jc w:val="center"/>
        </w:trPr>
        <w:tc>
          <w:tcPr>
            <w:tcW w:w="3401" w:type="dxa"/>
            <w:noWrap/>
          </w:tcPr>
          <w:p w:rsidR="00000000" w:rsidRDefault="00000000">
            <w:pPr>
              <w:spacing w:before="20" w:after="20"/>
              <w:ind w:left="284"/>
              <w:rPr>
                <w:sz w:val="22"/>
              </w:rPr>
            </w:pPr>
            <w:r>
              <w:rPr>
                <w:sz w:val="22"/>
              </w:rPr>
              <w:t>Asie</w:t>
            </w:r>
          </w:p>
        </w:tc>
        <w:tc>
          <w:tcPr>
            <w:tcW w:w="1219" w:type="dxa"/>
            <w:noWrap/>
          </w:tcPr>
          <w:p w:rsidR="00000000" w:rsidRDefault="00000000">
            <w:pPr>
              <w:spacing w:before="20" w:after="20"/>
              <w:ind w:right="170"/>
              <w:jc w:val="right"/>
              <w:rPr>
                <w:sz w:val="22"/>
              </w:rPr>
            </w:pPr>
            <w:r>
              <w:rPr>
                <w:sz w:val="22"/>
              </w:rPr>
              <w:t>11 535</w:t>
            </w:r>
          </w:p>
        </w:tc>
        <w:tc>
          <w:tcPr>
            <w:tcW w:w="1219" w:type="dxa"/>
            <w:noWrap/>
          </w:tcPr>
          <w:p w:rsidR="00000000" w:rsidRDefault="00000000">
            <w:pPr>
              <w:spacing w:before="20" w:after="20"/>
              <w:ind w:right="170"/>
              <w:jc w:val="right"/>
              <w:rPr>
                <w:sz w:val="22"/>
              </w:rPr>
            </w:pPr>
            <w:r>
              <w:rPr>
                <w:sz w:val="22"/>
              </w:rPr>
              <w:t>18 189</w:t>
            </w:r>
          </w:p>
        </w:tc>
        <w:tc>
          <w:tcPr>
            <w:tcW w:w="1219" w:type="dxa"/>
            <w:noWrap/>
          </w:tcPr>
          <w:p w:rsidR="00000000" w:rsidRDefault="00000000">
            <w:pPr>
              <w:spacing w:before="20" w:after="20"/>
              <w:ind w:right="170"/>
              <w:jc w:val="right"/>
              <w:rPr>
                <w:sz w:val="22"/>
              </w:rPr>
            </w:pPr>
            <w:r>
              <w:rPr>
                <w:sz w:val="22"/>
              </w:rPr>
              <w:t>16 486</w:t>
            </w:r>
          </w:p>
        </w:tc>
        <w:tc>
          <w:tcPr>
            <w:tcW w:w="1219" w:type="dxa"/>
            <w:noWrap/>
          </w:tcPr>
          <w:p w:rsidR="00000000" w:rsidRDefault="00000000">
            <w:pPr>
              <w:spacing w:before="20" w:after="20"/>
              <w:ind w:right="170"/>
              <w:jc w:val="right"/>
              <w:rPr>
                <w:sz w:val="22"/>
              </w:rPr>
            </w:pPr>
            <w:r>
              <w:rPr>
                <w:sz w:val="22"/>
              </w:rPr>
              <w:t>12 911</w:t>
            </w:r>
          </w:p>
        </w:tc>
        <w:tc>
          <w:tcPr>
            <w:tcW w:w="1220" w:type="dxa"/>
            <w:noWrap/>
          </w:tcPr>
          <w:p w:rsidR="00000000" w:rsidRDefault="00000000">
            <w:pPr>
              <w:spacing w:before="20" w:after="20"/>
              <w:ind w:right="170"/>
              <w:jc w:val="right"/>
              <w:rPr>
                <w:sz w:val="22"/>
              </w:rPr>
            </w:pPr>
            <w:r>
              <w:rPr>
                <w:sz w:val="22"/>
              </w:rPr>
              <w:t>11 569</w:t>
            </w:r>
          </w:p>
        </w:tc>
      </w:tr>
      <w:tr w:rsidR="00000000">
        <w:tblPrEx>
          <w:tblCellMar>
            <w:top w:w="0" w:type="dxa"/>
            <w:bottom w:w="0" w:type="dxa"/>
          </w:tblCellMar>
        </w:tblPrEx>
        <w:trPr>
          <w:jc w:val="center"/>
        </w:trPr>
        <w:tc>
          <w:tcPr>
            <w:tcW w:w="3401" w:type="dxa"/>
            <w:noWrap/>
          </w:tcPr>
          <w:p w:rsidR="00000000" w:rsidRDefault="00000000">
            <w:pPr>
              <w:spacing w:before="20" w:after="20"/>
              <w:ind w:left="284"/>
              <w:rPr>
                <w:sz w:val="22"/>
              </w:rPr>
            </w:pPr>
            <w:r>
              <w:rPr>
                <w:sz w:val="22"/>
              </w:rPr>
              <w:t>Amérique</w:t>
            </w:r>
          </w:p>
        </w:tc>
        <w:tc>
          <w:tcPr>
            <w:tcW w:w="1219" w:type="dxa"/>
            <w:noWrap/>
          </w:tcPr>
          <w:p w:rsidR="00000000" w:rsidRDefault="00000000">
            <w:pPr>
              <w:spacing w:before="20" w:after="20"/>
              <w:ind w:right="170"/>
              <w:jc w:val="right"/>
              <w:rPr>
                <w:sz w:val="22"/>
              </w:rPr>
            </w:pPr>
            <w:r>
              <w:rPr>
                <w:sz w:val="22"/>
              </w:rPr>
              <w:t>9 764</w:t>
            </w:r>
          </w:p>
        </w:tc>
        <w:tc>
          <w:tcPr>
            <w:tcW w:w="1219" w:type="dxa"/>
            <w:noWrap/>
          </w:tcPr>
          <w:p w:rsidR="00000000" w:rsidRDefault="00000000">
            <w:pPr>
              <w:spacing w:before="20" w:after="20"/>
              <w:ind w:right="170"/>
              <w:jc w:val="right"/>
              <w:rPr>
                <w:sz w:val="22"/>
              </w:rPr>
            </w:pPr>
            <w:r>
              <w:rPr>
                <w:sz w:val="22"/>
              </w:rPr>
              <w:t>10 750</w:t>
            </w:r>
          </w:p>
        </w:tc>
        <w:tc>
          <w:tcPr>
            <w:tcW w:w="1219" w:type="dxa"/>
            <w:noWrap/>
          </w:tcPr>
          <w:p w:rsidR="00000000" w:rsidRDefault="00000000">
            <w:pPr>
              <w:spacing w:before="20" w:after="20"/>
              <w:ind w:right="170"/>
              <w:jc w:val="right"/>
              <w:rPr>
                <w:sz w:val="22"/>
              </w:rPr>
            </w:pPr>
            <w:r>
              <w:rPr>
                <w:sz w:val="22"/>
              </w:rPr>
              <w:t>10 604</w:t>
            </w:r>
          </w:p>
        </w:tc>
        <w:tc>
          <w:tcPr>
            <w:tcW w:w="1219" w:type="dxa"/>
            <w:noWrap/>
          </w:tcPr>
          <w:p w:rsidR="00000000" w:rsidRDefault="00000000">
            <w:pPr>
              <w:spacing w:before="20" w:after="20"/>
              <w:ind w:right="170"/>
              <w:jc w:val="right"/>
              <w:rPr>
                <w:sz w:val="22"/>
              </w:rPr>
            </w:pPr>
            <w:r>
              <w:rPr>
                <w:sz w:val="22"/>
              </w:rPr>
              <w:t>9 697</w:t>
            </w:r>
          </w:p>
        </w:tc>
        <w:tc>
          <w:tcPr>
            <w:tcW w:w="1220" w:type="dxa"/>
            <w:noWrap/>
          </w:tcPr>
          <w:p w:rsidR="00000000" w:rsidRDefault="00000000">
            <w:pPr>
              <w:spacing w:before="20" w:after="20"/>
              <w:ind w:right="170"/>
              <w:jc w:val="right"/>
              <w:rPr>
                <w:sz w:val="22"/>
              </w:rPr>
            </w:pPr>
            <w:r>
              <w:rPr>
                <w:sz w:val="22"/>
              </w:rPr>
              <w:t>9 582</w:t>
            </w:r>
          </w:p>
        </w:tc>
      </w:tr>
      <w:tr w:rsidR="00000000">
        <w:tblPrEx>
          <w:tblCellMar>
            <w:top w:w="0" w:type="dxa"/>
            <w:bottom w:w="0" w:type="dxa"/>
          </w:tblCellMar>
        </w:tblPrEx>
        <w:trPr>
          <w:jc w:val="center"/>
        </w:trPr>
        <w:tc>
          <w:tcPr>
            <w:tcW w:w="3401" w:type="dxa"/>
            <w:noWrap/>
          </w:tcPr>
          <w:p w:rsidR="00000000" w:rsidRDefault="00000000">
            <w:pPr>
              <w:spacing w:before="20" w:after="20"/>
              <w:ind w:left="284"/>
              <w:rPr>
                <w:sz w:val="22"/>
              </w:rPr>
            </w:pPr>
            <w:r>
              <w:rPr>
                <w:sz w:val="22"/>
              </w:rPr>
              <w:t>Afrique</w:t>
            </w:r>
          </w:p>
        </w:tc>
        <w:tc>
          <w:tcPr>
            <w:tcW w:w="1219" w:type="dxa"/>
            <w:noWrap/>
          </w:tcPr>
          <w:p w:rsidR="00000000" w:rsidRDefault="00000000">
            <w:pPr>
              <w:spacing w:before="20" w:after="20"/>
              <w:ind w:right="170"/>
              <w:jc w:val="right"/>
              <w:rPr>
                <w:sz w:val="22"/>
              </w:rPr>
            </w:pPr>
            <w:r>
              <w:rPr>
                <w:sz w:val="22"/>
              </w:rPr>
              <w:t>5 158</w:t>
            </w:r>
          </w:p>
        </w:tc>
        <w:tc>
          <w:tcPr>
            <w:tcW w:w="1219" w:type="dxa"/>
            <w:noWrap/>
          </w:tcPr>
          <w:p w:rsidR="00000000" w:rsidRDefault="00000000">
            <w:pPr>
              <w:spacing w:before="20" w:after="20"/>
              <w:ind w:right="170"/>
              <w:jc w:val="right"/>
              <w:rPr>
                <w:sz w:val="22"/>
              </w:rPr>
            </w:pPr>
            <w:r>
              <w:rPr>
                <w:sz w:val="22"/>
              </w:rPr>
              <w:t>6 265</w:t>
            </w:r>
          </w:p>
        </w:tc>
        <w:tc>
          <w:tcPr>
            <w:tcW w:w="1219" w:type="dxa"/>
            <w:noWrap/>
          </w:tcPr>
          <w:p w:rsidR="00000000" w:rsidRDefault="00000000">
            <w:pPr>
              <w:spacing w:before="20" w:after="20"/>
              <w:ind w:right="170"/>
              <w:jc w:val="right"/>
              <w:rPr>
                <w:sz w:val="22"/>
              </w:rPr>
            </w:pPr>
            <w:r>
              <w:rPr>
                <w:sz w:val="22"/>
              </w:rPr>
              <w:t>6 536</w:t>
            </w:r>
          </w:p>
        </w:tc>
        <w:tc>
          <w:tcPr>
            <w:tcW w:w="1219" w:type="dxa"/>
            <w:noWrap/>
          </w:tcPr>
          <w:p w:rsidR="00000000" w:rsidRDefault="00000000">
            <w:pPr>
              <w:spacing w:before="20" w:after="20"/>
              <w:ind w:right="170"/>
              <w:jc w:val="right"/>
              <w:rPr>
                <w:sz w:val="22"/>
              </w:rPr>
            </w:pPr>
            <w:r>
              <w:rPr>
                <w:sz w:val="22"/>
              </w:rPr>
              <w:t>6 254</w:t>
            </w:r>
          </w:p>
        </w:tc>
        <w:tc>
          <w:tcPr>
            <w:tcW w:w="1220" w:type="dxa"/>
            <w:noWrap/>
          </w:tcPr>
          <w:p w:rsidR="00000000" w:rsidRDefault="00000000">
            <w:pPr>
              <w:spacing w:before="20" w:after="20"/>
              <w:ind w:right="170"/>
              <w:jc w:val="right"/>
              <w:rPr>
                <w:sz w:val="22"/>
              </w:rPr>
            </w:pPr>
            <w:r>
              <w:rPr>
                <w:sz w:val="22"/>
              </w:rPr>
              <w:t>5 800</w:t>
            </w:r>
          </w:p>
        </w:tc>
      </w:tr>
      <w:tr w:rsidR="00000000">
        <w:tblPrEx>
          <w:tblCellMar>
            <w:top w:w="0" w:type="dxa"/>
            <w:bottom w:w="0" w:type="dxa"/>
          </w:tblCellMar>
        </w:tblPrEx>
        <w:trPr>
          <w:jc w:val="center"/>
        </w:trPr>
        <w:tc>
          <w:tcPr>
            <w:tcW w:w="3401" w:type="dxa"/>
            <w:noWrap/>
          </w:tcPr>
          <w:p w:rsidR="00000000" w:rsidRDefault="00000000">
            <w:pPr>
              <w:spacing w:before="20" w:after="20"/>
              <w:ind w:left="284"/>
              <w:rPr>
                <w:sz w:val="22"/>
              </w:rPr>
            </w:pPr>
            <w:r>
              <w:rPr>
                <w:sz w:val="22"/>
              </w:rPr>
              <w:t>Australie, Océanie</w:t>
            </w:r>
          </w:p>
        </w:tc>
        <w:tc>
          <w:tcPr>
            <w:tcW w:w="1219" w:type="dxa"/>
            <w:noWrap/>
          </w:tcPr>
          <w:p w:rsidR="00000000" w:rsidRDefault="00000000">
            <w:pPr>
              <w:spacing w:before="20" w:after="20"/>
              <w:ind w:right="170"/>
              <w:jc w:val="right"/>
              <w:rPr>
                <w:sz w:val="22"/>
              </w:rPr>
            </w:pPr>
            <w:r>
              <w:rPr>
                <w:sz w:val="22"/>
              </w:rPr>
              <w:t>824</w:t>
            </w:r>
          </w:p>
        </w:tc>
        <w:tc>
          <w:tcPr>
            <w:tcW w:w="1219" w:type="dxa"/>
            <w:noWrap/>
          </w:tcPr>
          <w:p w:rsidR="00000000" w:rsidRDefault="00000000">
            <w:pPr>
              <w:spacing w:before="20" w:after="20"/>
              <w:ind w:right="170"/>
              <w:jc w:val="right"/>
              <w:rPr>
                <w:sz w:val="22"/>
              </w:rPr>
            </w:pPr>
            <w:r>
              <w:rPr>
                <w:sz w:val="22"/>
              </w:rPr>
              <w:t>943</w:t>
            </w:r>
          </w:p>
        </w:tc>
        <w:tc>
          <w:tcPr>
            <w:tcW w:w="1219" w:type="dxa"/>
            <w:noWrap/>
          </w:tcPr>
          <w:p w:rsidR="00000000" w:rsidRDefault="00000000">
            <w:pPr>
              <w:spacing w:before="20" w:after="20"/>
              <w:ind w:right="170"/>
              <w:jc w:val="right"/>
              <w:rPr>
                <w:sz w:val="22"/>
              </w:rPr>
            </w:pPr>
            <w:r>
              <w:rPr>
                <w:sz w:val="22"/>
              </w:rPr>
              <w:t>814</w:t>
            </w:r>
          </w:p>
        </w:tc>
        <w:tc>
          <w:tcPr>
            <w:tcW w:w="1219" w:type="dxa"/>
            <w:noWrap/>
          </w:tcPr>
          <w:p w:rsidR="00000000" w:rsidRDefault="00000000">
            <w:pPr>
              <w:spacing w:before="20" w:after="20"/>
              <w:ind w:right="170"/>
              <w:jc w:val="right"/>
              <w:rPr>
                <w:sz w:val="22"/>
              </w:rPr>
            </w:pPr>
            <w:r>
              <w:rPr>
                <w:sz w:val="22"/>
              </w:rPr>
              <w:t>652</w:t>
            </w:r>
          </w:p>
        </w:tc>
        <w:tc>
          <w:tcPr>
            <w:tcW w:w="1220" w:type="dxa"/>
            <w:noWrap/>
          </w:tcPr>
          <w:p w:rsidR="00000000" w:rsidRDefault="00000000">
            <w:pPr>
              <w:spacing w:before="20" w:after="20"/>
              <w:ind w:right="170"/>
              <w:jc w:val="right"/>
              <w:rPr>
                <w:sz w:val="22"/>
              </w:rPr>
            </w:pPr>
            <w:r>
              <w:rPr>
                <w:sz w:val="22"/>
              </w:rPr>
              <w:t>637</w:t>
            </w:r>
          </w:p>
        </w:tc>
      </w:tr>
      <w:tr w:rsidR="00000000">
        <w:tblPrEx>
          <w:tblCellMar>
            <w:top w:w="0" w:type="dxa"/>
            <w:bottom w:w="0" w:type="dxa"/>
          </w:tblCellMar>
        </w:tblPrEx>
        <w:trPr>
          <w:jc w:val="center"/>
        </w:trPr>
        <w:tc>
          <w:tcPr>
            <w:tcW w:w="3401" w:type="dxa"/>
            <w:noWrap/>
          </w:tcPr>
          <w:p w:rsidR="00000000" w:rsidRDefault="00000000">
            <w:pPr>
              <w:spacing w:before="20" w:after="20"/>
              <w:ind w:left="284"/>
              <w:rPr>
                <w:sz w:val="22"/>
              </w:rPr>
            </w:pPr>
            <w:r>
              <w:rPr>
                <w:sz w:val="22"/>
              </w:rPr>
              <w:t>Apatrides ou origine inconnue</w:t>
            </w:r>
          </w:p>
        </w:tc>
        <w:tc>
          <w:tcPr>
            <w:tcW w:w="1219" w:type="dxa"/>
            <w:noWrap/>
          </w:tcPr>
          <w:p w:rsidR="00000000" w:rsidRDefault="00000000">
            <w:pPr>
              <w:spacing w:before="20" w:after="20"/>
              <w:ind w:right="170"/>
              <w:jc w:val="right"/>
              <w:rPr>
                <w:sz w:val="22"/>
              </w:rPr>
            </w:pPr>
            <w:r>
              <w:rPr>
                <w:sz w:val="22"/>
              </w:rPr>
              <w:t>26</w:t>
            </w:r>
          </w:p>
        </w:tc>
        <w:tc>
          <w:tcPr>
            <w:tcW w:w="1219" w:type="dxa"/>
            <w:noWrap/>
          </w:tcPr>
          <w:p w:rsidR="00000000" w:rsidRDefault="00000000">
            <w:pPr>
              <w:spacing w:before="20" w:after="20"/>
              <w:ind w:right="170"/>
              <w:jc w:val="right"/>
              <w:rPr>
                <w:sz w:val="22"/>
              </w:rPr>
            </w:pPr>
            <w:r>
              <w:rPr>
                <w:sz w:val="22"/>
              </w:rPr>
              <w:t>21</w:t>
            </w:r>
          </w:p>
        </w:tc>
        <w:tc>
          <w:tcPr>
            <w:tcW w:w="1219" w:type="dxa"/>
            <w:noWrap/>
          </w:tcPr>
          <w:p w:rsidR="00000000" w:rsidRDefault="00000000">
            <w:pPr>
              <w:spacing w:before="20" w:after="20"/>
              <w:ind w:right="170"/>
              <w:jc w:val="right"/>
              <w:rPr>
                <w:sz w:val="22"/>
              </w:rPr>
            </w:pPr>
            <w:r>
              <w:rPr>
                <w:sz w:val="22"/>
              </w:rPr>
              <w:t>26</w:t>
            </w:r>
          </w:p>
        </w:tc>
        <w:tc>
          <w:tcPr>
            <w:tcW w:w="1219" w:type="dxa"/>
            <w:noWrap/>
          </w:tcPr>
          <w:p w:rsidR="00000000" w:rsidRDefault="00000000">
            <w:pPr>
              <w:spacing w:before="20" w:after="20"/>
              <w:ind w:right="170"/>
              <w:jc w:val="right"/>
              <w:rPr>
                <w:sz w:val="22"/>
              </w:rPr>
            </w:pPr>
            <w:r>
              <w:rPr>
                <w:sz w:val="22"/>
              </w:rPr>
              <w:t>20</w:t>
            </w:r>
          </w:p>
        </w:tc>
        <w:tc>
          <w:tcPr>
            <w:tcW w:w="1220" w:type="dxa"/>
            <w:noWrap/>
          </w:tcPr>
          <w:p w:rsidR="00000000" w:rsidRDefault="00000000">
            <w:pPr>
              <w:spacing w:before="20" w:after="20"/>
              <w:ind w:right="170"/>
              <w:jc w:val="right"/>
              <w:rPr>
                <w:sz w:val="22"/>
              </w:rPr>
            </w:pPr>
            <w:r>
              <w:rPr>
                <w:sz w:val="22"/>
              </w:rPr>
              <w:t>37</w:t>
            </w:r>
          </w:p>
        </w:tc>
      </w:tr>
      <w:tr w:rsidR="00000000">
        <w:tblPrEx>
          <w:tblCellMar>
            <w:top w:w="0" w:type="dxa"/>
            <w:bottom w:w="0" w:type="dxa"/>
          </w:tblCellMar>
        </w:tblPrEx>
        <w:trPr>
          <w:jc w:val="center"/>
        </w:trPr>
        <w:tc>
          <w:tcPr>
            <w:tcW w:w="3401" w:type="dxa"/>
            <w:noWrap/>
          </w:tcPr>
          <w:p w:rsidR="00000000" w:rsidRDefault="00000000">
            <w:pPr>
              <w:spacing w:before="20" w:after="20"/>
              <w:rPr>
                <w:b/>
                <w:sz w:val="22"/>
              </w:rPr>
            </w:pPr>
            <w:r>
              <w:rPr>
                <w:b/>
                <w:sz w:val="22"/>
              </w:rPr>
              <w:tab/>
              <w:t>Total</w:t>
            </w:r>
          </w:p>
        </w:tc>
        <w:tc>
          <w:tcPr>
            <w:tcW w:w="1219" w:type="dxa"/>
            <w:noWrap/>
          </w:tcPr>
          <w:p w:rsidR="00000000" w:rsidRDefault="00000000">
            <w:pPr>
              <w:spacing w:before="20" w:after="20"/>
              <w:ind w:right="170"/>
              <w:jc w:val="right"/>
              <w:rPr>
                <w:b/>
                <w:sz w:val="22"/>
              </w:rPr>
            </w:pPr>
            <w:r>
              <w:rPr>
                <w:b/>
                <w:sz w:val="22"/>
              </w:rPr>
              <w:t>84 200</w:t>
            </w:r>
          </w:p>
        </w:tc>
        <w:tc>
          <w:tcPr>
            <w:tcW w:w="1219" w:type="dxa"/>
            <w:noWrap/>
          </w:tcPr>
          <w:p w:rsidR="00000000" w:rsidRDefault="00000000">
            <w:pPr>
              <w:spacing w:before="20" w:after="20"/>
              <w:ind w:right="170"/>
              <w:jc w:val="right"/>
              <w:rPr>
                <w:b/>
                <w:sz w:val="22"/>
              </w:rPr>
            </w:pPr>
            <w:r>
              <w:rPr>
                <w:b/>
                <w:sz w:val="22"/>
              </w:rPr>
              <w:t>99 746</w:t>
            </w:r>
          </w:p>
        </w:tc>
        <w:tc>
          <w:tcPr>
            <w:tcW w:w="1219" w:type="dxa"/>
            <w:noWrap/>
          </w:tcPr>
          <w:p w:rsidR="00000000" w:rsidRDefault="00000000">
            <w:pPr>
              <w:spacing w:before="20" w:after="20"/>
              <w:ind w:right="170"/>
              <w:jc w:val="right"/>
              <w:rPr>
                <w:b/>
                <w:sz w:val="22"/>
              </w:rPr>
            </w:pPr>
            <w:r>
              <w:rPr>
                <w:b/>
                <w:sz w:val="22"/>
              </w:rPr>
              <w:t>105 014</w:t>
            </w:r>
          </w:p>
        </w:tc>
        <w:tc>
          <w:tcPr>
            <w:tcW w:w="1219" w:type="dxa"/>
            <w:noWrap/>
          </w:tcPr>
          <w:p w:rsidR="00000000" w:rsidRDefault="00000000">
            <w:pPr>
              <w:spacing w:before="20" w:after="20"/>
              <w:ind w:right="170"/>
              <w:jc w:val="right"/>
              <w:rPr>
                <w:b/>
                <w:sz w:val="22"/>
              </w:rPr>
            </w:pPr>
            <w:r>
              <w:rPr>
                <w:b/>
                <w:sz w:val="22"/>
              </w:rPr>
              <w:t>98 812</w:t>
            </w:r>
          </w:p>
        </w:tc>
        <w:tc>
          <w:tcPr>
            <w:tcW w:w="1220" w:type="dxa"/>
            <w:noWrap/>
          </w:tcPr>
          <w:p w:rsidR="00000000" w:rsidRDefault="00000000">
            <w:pPr>
              <w:spacing w:before="20" w:after="20"/>
              <w:ind w:right="170"/>
              <w:jc w:val="right"/>
              <w:rPr>
                <w:b/>
                <w:sz w:val="22"/>
              </w:rPr>
            </w:pPr>
            <w:r>
              <w:rPr>
                <w:b/>
                <w:sz w:val="22"/>
              </w:rPr>
              <w:t>100 834</w:t>
            </w:r>
          </w:p>
        </w:tc>
      </w:tr>
    </w:tbl>
    <w:p w:rsidR="00000000" w:rsidRDefault="00000000">
      <w:pPr>
        <w:spacing w:before="120" w:after="240"/>
        <w:rPr>
          <w:sz w:val="20"/>
        </w:rPr>
      </w:pPr>
      <w:r>
        <w:rPr>
          <w:i/>
          <w:iCs/>
        </w:rPr>
        <w:t>Source</w:t>
      </w:r>
      <w:r>
        <w:t>: Office fédéral de la statistique, Statistique de la population résidente de n</w:t>
      </w:r>
      <w:r>
        <w:t>a</w:t>
      </w:r>
      <w:r>
        <w:t>tionalité étrangère (PETRA). Sans les titulaires d’un permis de courte durée et sans les personnes s</w:t>
      </w:r>
      <w:r>
        <w:t>é</w:t>
      </w:r>
      <w:r>
        <w:t>journant en Suisse en vertu du droit d’asile.</w:t>
      </w:r>
    </w:p>
    <w:p w:rsidR="00000000" w:rsidRDefault="00000000">
      <w:pPr>
        <w:keepNext/>
        <w:spacing w:after="200"/>
        <w:rPr>
          <w:i/>
          <w:iCs/>
        </w:rPr>
      </w:pPr>
      <w:bookmarkStart w:id="21" w:name="_Toc163552180"/>
      <w:r>
        <w:rPr>
          <w:b/>
          <w:bCs/>
          <w:i/>
          <w:iCs/>
        </w:rPr>
        <w:t>b)</w:t>
      </w:r>
      <w:r>
        <w:rPr>
          <w:b/>
          <w:bCs/>
          <w:i/>
          <w:iCs/>
        </w:rPr>
        <w:tab/>
        <w:t>Motifs d’immigration</w:t>
      </w:r>
      <w:bookmarkEnd w:id="21"/>
    </w:p>
    <w:p w:rsidR="00000000" w:rsidRDefault="00000000">
      <w:pPr>
        <w:spacing w:after="240"/>
      </w:pPr>
      <w:r>
        <w:t>10.</w:t>
      </w:r>
      <w:r>
        <w:tab/>
        <w:t>La tendance à une profonde mutation des motifs d’immigration constatée depuis le début des années 90 s’est confirmée une nouvelle fois en 2004: à peine un tiers (31,7 %) des immigrants de longue durée sont arrivés en Suisse dans le cadre des contingents de tr</w:t>
      </w:r>
      <w:r>
        <w:t>a</w:t>
      </w:r>
      <w:r>
        <w:t>vailleurs étrangers. Dans 40,3 % des cas, l’entrée en Suisse était due à des raisons familiales (regroupement familial, mariage avec un(e) citoyen(ne) suisse). La part des personnes arrivées en Suisse pour un séjour de plusieurs années par rapport au nombre total des immigrés était de 36,9 % en 2004. Cette même année, les personnes arrivées dans notre pays pour un s</w:t>
      </w:r>
      <w:r>
        <w:t>é</w:t>
      </w:r>
      <w:r>
        <w:t>jour de courte durée étaient en majorité (55,4 %). En 2004 toujours, les étrangers entrés en Suisse en vertu de la législation sur l’asile ne représentaient plus que 7,7 %</w:t>
      </w:r>
      <w:r>
        <w:rPr>
          <w:rStyle w:val="FootnoteReference"/>
        </w:rPr>
        <w:footnoteReference w:id="11"/>
      </w:r>
      <w:r>
        <w:t>.</w:t>
      </w:r>
    </w:p>
    <w:p w:rsidR="00000000" w:rsidRDefault="00000000">
      <w:pPr>
        <w:keepNext/>
        <w:spacing w:after="120"/>
        <w:jc w:val="center"/>
        <w:rPr>
          <w:b/>
          <w:bCs/>
          <w:szCs w:val="22"/>
        </w:rPr>
      </w:pPr>
      <w:r>
        <w:rPr>
          <w:b/>
          <w:bCs/>
          <w:sz w:val="22"/>
        </w:rPr>
        <w:t>Tableau </w:t>
      </w:r>
      <w:proofErr w:type="spellStart"/>
      <w:r>
        <w:rPr>
          <w:b/>
          <w:bCs/>
          <w:sz w:val="22"/>
        </w:rPr>
        <w:t>3b</w:t>
      </w:r>
      <w:proofErr w:type="spellEnd"/>
      <w:r>
        <w:rPr>
          <w:b/>
          <w:bCs/>
          <w:sz w:val="22"/>
        </w:rPr>
        <w:t>: Immigration en 2004, par motif d’immigration</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BF" w:firstRow="1" w:lastRow="0" w:firstColumn="1" w:lastColumn="0" w:noHBand="0" w:noVBand="0"/>
      </w:tblPr>
      <w:tblGrid>
        <w:gridCol w:w="6732"/>
        <w:gridCol w:w="1508"/>
        <w:gridCol w:w="1257"/>
      </w:tblGrid>
      <w:tr w:rsidR="00000000">
        <w:tblPrEx>
          <w:tblCellMar>
            <w:top w:w="0" w:type="dxa"/>
            <w:bottom w:w="0" w:type="dxa"/>
          </w:tblCellMar>
        </w:tblPrEx>
        <w:tc>
          <w:tcPr>
            <w:tcW w:w="5891" w:type="dxa"/>
            <w:noWrap/>
            <w:vAlign w:val="center"/>
          </w:tcPr>
          <w:p w:rsidR="00000000" w:rsidRDefault="00000000">
            <w:pPr>
              <w:keepNext/>
              <w:spacing w:before="10" w:after="10"/>
              <w:jc w:val="center"/>
              <w:rPr>
                <w:bCs/>
                <w:sz w:val="22"/>
              </w:rPr>
            </w:pPr>
            <w:r>
              <w:rPr>
                <w:bCs/>
                <w:sz w:val="22"/>
              </w:rPr>
              <w:t>Immigration en 2004, par motif d’immigration − Total</w:t>
            </w:r>
          </w:p>
        </w:tc>
        <w:tc>
          <w:tcPr>
            <w:tcW w:w="1320" w:type="dxa"/>
            <w:noWrap/>
            <w:vAlign w:val="center"/>
          </w:tcPr>
          <w:p w:rsidR="00000000" w:rsidRDefault="00000000">
            <w:pPr>
              <w:keepNext/>
              <w:spacing w:before="10" w:after="10"/>
              <w:jc w:val="center"/>
              <w:rPr>
                <w:bCs/>
                <w:sz w:val="22"/>
              </w:rPr>
            </w:pPr>
          </w:p>
        </w:tc>
        <w:tc>
          <w:tcPr>
            <w:tcW w:w="1100" w:type="dxa"/>
            <w:noWrap/>
            <w:vAlign w:val="center"/>
          </w:tcPr>
          <w:p w:rsidR="00000000" w:rsidRDefault="00000000">
            <w:pPr>
              <w:keepNext/>
              <w:spacing w:before="10" w:after="10"/>
              <w:jc w:val="center"/>
              <w:rPr>
                <w:bCs/>
                <w:sz w:val="22"/>
              </w:rPr>
            </w:pPr>
            <w:r>
              <w:rPr>
                <w:bCs/>
                <w:sz w:val="22"/>
              </w:rPr>
              <w:t>en %</w:t>
            </w:r>
          </w:p>
        </w:tc>
      </w:tr>
      <w:tr w:rsidR="00000000">
        <w:tblPrEx>
          <w:tblCellMar>
            <w:top w:w="0" w:type="dxa"/>
            <w:bottom w:w="0" w:type="dxa"/>
          </w:tblCellMar>
        </w:tblPrEx>
        <w:tc>
          <w:tcPr>
            <w:tcW w:w="5891" w:type="dxa"/>
            <w:noWrap/>
          </w:tcPr>
          <w:p w:rsidR="00000000" w:rsidRDefault="00000000">
            <w:pPr>
              <w:keepNext/>
              <w:spacing w:before="10" w:after="10"/>
              <w:rPr>
                <w:sz w:val="22"/>
              </w:rPr>
            </w:pPr>
            <w:r>
              <w:rPr>
                <w:sz w:val="22"/>
              </w:rPr>
              <w:t>Regroupement familial</w:t>
            </w:r>
          </w:p>
        </w:tc>
        <w:tc>
          <w:tcPr>
            <w:tcW w:w="1320" w:type="dxa"/>
            <w:noWrap/>
          </w:tcPr>
          <w:p w:rsidR="00000000" w:rsidRDefault="00000000">
            <w:pPr>
              <w:keepNext/>
              <w:spacing w:before="10" w:after="10"/>
              <w:ind w:right="284"/>
              <w:jc w:val="right"/>
              <w:rPr>
                <w:sz w:val="22"/>
              </w:rPr>
            </w:pPr>
            <w:r>
              <w:rPr>
                <w:sz w:val="22"/>
              </w:rPr>
              <w:t>38 836</w:t>
            </w:r>
          </w:p>
        </w:tc>
        <w:tc>
          <w:tcPr>
            <w:tcW w:w="1100" w:type="dxa"/>
            <w:noWrap/>
          </w:tcPr>
          <w:p w:rsidR="00000000" w:rsidRDefault="00000000">
            <w:pPr>
              <w:keepNext/>
              <w:spacing w:before="10" w:after="10"/>
              <w:ind w:right="284"/>
              <w:jc w:val="right"/>
              <w:rPr>
                <w:sz w:val="22"/>
              </w:rPr>
            </w:pPr>
            <w:r>
              <w:rPr>
                <w:sz w:val="22"/>
              </w:rPr>
              <w:t>40,3</w:t>
            </w:r>
          </w:p>
        </w:tc>
      </w:tr>
      <w:tr w:rsidR="00000000">
        <w:tblPrEx>
          <w:tblCellMar>
            <w:top w:w="0" w:type="dxa"/>
            <w:bottom w:w="0" w:type="dxa"/>
          </w:tblCellMar>
        </w:tblPrEx>
        <w:tc>
          <w:tcPr>
            <w:tcW w:w="5891" w:type="dxa"/>
            <w:noWrap/>
          </w:tcPr>
          <w:p w:rsidR="00000000" w:rsidRDefault="00000000">
            <w:pPr>
              <w:keepNext/>
              <w:spacing w:before="10" w:after="10"/>
              <w:rPr>
                <w:sz w:val="22"/>
              </w:rPr>
            </w:pPr>
            <w:r>
              <w:rPr>
                <w:sz w:val="22"/>
              </w:rPr>
              <w:t>Étrangers avec activité lucrative contingentée</w:t>
            </w:r>
          </w:p>
        </w:tc>
        <w:tc>
          <w:tcPr>
            <w:tcW w:w="1320" w:type="dxa"/>
            <w:noWrap/>
          </w:tcPr>
          <w:p w:rsidR="00000000" w:rsidRDefault="00000000">
            <w:pPr>
              <w:keepNext/>
              <w:spacing w:before="10" w:after="10"/>
              <w:ind w:right="284"/>
              <w:jc w:val="right"/>
              <w:rPr>
                <w:sz w:val="22"/>
              </w:rPr>
            </w:pPr>
            <w:r>
              <w:rPr>
                <w:sz w:val="22"/>
              </w:rPr>
              <w:t>30 487</w:t>
            </w:r>
          </w:p>
        </w:tc>
        <w:tc>
          <w:tcPr>
            <w:tcW w:w="1100" w:type="dxa"/>
            <w:noWrap/>
          </w:tcPr>
          <w:p w:rsidR="00000000" w:rsidRDefault="00000000">
            <w:pPr>
              <w:keepNext/>
              <w:spacing w:before="10" w:after="10"/>
              <w:ind w:right="284"/>
              <w:jc w:val="right"/>
              <w:rPr>
                <w:sz w:val="22"/>
              </w:rPr>
            </w:pPr>
            <w:r>
              <w:rPr>
                <w:sz w:val="22"/>
              </w:rPr>
              <w:t>31,7</w:t>
            </w:r>
          </w:p>
        </w:tc>
      </w:tr>
      <w:tr w:rsidR="00000000">
        <w:tblPrEx>
          <w:tblCellMar>
            <w:top w:w="0" w:type="dxa"/>
            <w:bottom w:w="0" w:type="dxa"/>
          </w:tblCellMar>
        </w:tblPrEx>
        <w:tc>
          <w:tcPr>
            <w:tcW w:w="5891" w:type="dxa"/>
            <w:noWrap/>
          </w:tcPr>
          <w:p w:rsidR="00000000" w:rsidRDefault="00000000">
            <w:pPr>
              <w:keepNext/>
              <w:spacing w:before="10" w:after="10"/>
              <w:rPr>
                <w:sz w:val="22"/>
              </w:rPr>
            </w:pPr>
            <w:r>
              <w:rPr>
                <w:sz w:val="22"/>
              </w:rPr>
              <w:t>Étrangers avec activité lucrative non contingentée</w:t>
            </w:r>
          </w:p>
        </w:tc>
        <w:tc>
          <w:tcPr>
            <w:tcW w:w="1320" w:type="dxa"/>
            <w:noWrap/>
          </w:tcPr>
          <w:p w:rsidR="00000000" w:rsidRDefault="00000000">
            <w:pPr>
              <w:keepNext/>
              <w:spacing w:before="10" w:after="10"/>
              <w:ind w:right="284"/>
              <w:jc w:val="right"/>
              <w:rPr>
                <w:sz w:val="22"/>
              </w:rPr>
            </w:pPr>
            <w:r>
              <w:rPr>
                <w:sz w:val="22"/>
              </w:rPr>
              <w:t>3 633</w:t>
            </w:r>
          </w:p>
        </w:tc>
        <w:tc>
          <w:tcPr>
            <w:tcW w:w="1100" w:type="dxa"/>
            <w:noWrap/>
          </w:tcPr>
          <w:p w:rsidR="00000000" w:rsidRDefault="00000000">
            <w:pPr>
              <w:keepNext/>
              <w:spacing w:before="10" w:after="10"/>
              <w:ind w:right="284"/>
              <w:jc w:val="right"/>
              <w:rPr>
                <w:sz w:val="22"/>
              </w:rPr>
            </w:pPr>
            <w:r>
              <w:rPr>
                <w:sz w:val="22"/>
              </w:rPr>
              <w:t>3,8</w:t>
            </w:r>
          </w:p>
        </w:tc>
      </w:tr>
      <w:tr w:rsidR="00000000">
        <w:tblPrEx>
          <w:tblCellMar>
            <w:top w:w="0" w:type="dxa"/>
            <w:bottom w:w="0" w:type="dxa"/>
          </w:tblCellMar>
        </w:tblPrEx>
        <w:tc>
          <w:tcPr>
            <w:tcW w:w="5891" w:type="dxa"/>
            <w:noWrap/>
          </w:tcPr>
          <w:p w:rsidR="00000000" w:rsidRDefault="00000000">
            <w:pPr>
              <w:keepNext/>
              <w:spacing w:before="10" w:after="10"/>
              <w:rPr>
                <w:sz w:val="22"/>
              </w:rPr>
            </w:pPr>
            <w:r>
              <w:rPr>
                <w:sz w:val="22"/>
              </w:rPr>
              <w:t>Étrangers sans activité lucrative</w:t>
            </w:r>
          </w:p>
        </w:tc>
        <w:tc>
          <w:tcPr>
            <w:tcW w:w="1320" w:type="dxa"/>
            <w:noWrap/>
          </w:tcPr>
          <w:p w:rsidR="00000000" w:rsidRDefault="00000000">
            <w:pPr>
              <w:keepNext/>
              <w:spacing w:before="10" w:after="10"/>
              <w:ind w:right="284"/>
              <w:jc w:val="right"/>
              <w:rPr>
                <w:sz w:val="22"/>
              </w:rPr>
            </w:pPr>
            <w:r>
              <w:rPr>
                <w:sz w:val="22"/>
              </w:rPr>
              <w:t>4 765</w:t>
            </w:r>
          </w:p>
        </w:tc>
        <w:tc>
          <w:tcPr>
            <w:tcW w:w="1100" w:type="dxa"/>
            <w:noWrap/>
          </w:tcPr>
          <w:p w:rsidR="00000000" w:rsidRDefault="00000000">
            <w:pPr>
              <w:keepNext/>
              <w:spacing w:before="10" w:after="10"/>
              <w:ind w:right="284"/>
              <w:jc w:val="right"/>
              <w:rPr>
                <w:sz w:val="22"/>
              </w:rPr>
            </w:pPr>
            <w:r>
              <w:rPr>
                <w:sz w:val="22"/>
              </w:rPr>
              <w:t>4,9</w:t>
            </w:r>
          </w:p>
        </w:tc>
      </w:tr>
      <w:tr w:rsidR="00000000">
        <w:tblPrEx>
          <w:tblCellMar>
            <w:top w:w="0" w:type="dxa"/>
            <w:bottom w:w="0" w:type="dxa"/>
          </w:tblCellMar>
        </w:tblPrEx>
        <w:tc>
          <w:tcPr>
            <w:tcW w:w="5891" w:type="dxa"/>
            <w:noWrap/>
          </w:tcPr>
          <w:p w:rsidR="00000000" w:rsidRDefault="00000000">
            <w:pPr>
              <w:keepNext/>
              <w:spacing w:before="10" w:after="10"/>
              <w:rPr>
                <w:sz w:val="22"/>
              </w:rPr>
            </w:pPr>
            <w:r>
              <w:rPr>
                <w:sz w:val="22"/>
              </w:rPr>
              <w:t>Retours en Suisse</w:t>
            </w:r>
          </w:p>
        </w:tc>
        <w:tc>
          <w:tcPr>
            <w:tcW w:w="1320" w:type="dxa"/>
            <w:noWrap/>
          </w:tcPr>
          <w:p w:rsidR="00000000" w:rsidRDefault="00000000">
            <w:pPr>
              <w:keepNext/>
              <w:spacing w:before="10" w:after="10"/>
              <w:ind w:right="284"/>
              <w:jc w:val="right"/>
              <w:rPr>
                <w:sz w:val="22"/>
              </w:rPr>
            </w:pPr>
            <w:r>
              <w:rPr>
                <w:sz w:val="22"/>
              </w:rPr>
              <w:t>148</w:t>
            </w:r>
          </w:p>
        </w:tc>
        <w:tc>
          <w:tcPr>
            <w:tcW w:w="1100" w:type="dxa"/>
            <w:noWrap/>
          </w:tcPr>
          <w:p w:rsidR="00000000" w:rsidRDefault="00000000">
            <w:pPr>
              <w:keepNext/>
              <w:spacing w:before="10" w:after="10"/>
              <w:ind w:right="284"/>
              <w:jc w:val="right"/>
              <w:rPr>
                <w:sz w:val="22"/>
              </w:rPr>
            </w:pPr>
            <w:r>
              <w:rPr>
                <w:sz w:val="22"/>
              </w:rPr>
              <w:t>0,2</w:t>
            </w:r>
          </w:p>
        </w:tc>
      </w:tr>
      <w:tr w:rsidR="00000000">
        <w:tblPrEx>
          <w:tblCellMar>
            <w:top w:w="0" w:type="dxa"/>
            <w:bottom w:w="0" w:type="dxa"/>
          </w:tblCellMar>
        </w:tblPrEx>
        <w:tc>
          <w:tcPr>
            <w:tcW w:w="5891" w:type="dxa"/>
            <w:noWrap/>
          </w:tcPr>
          <w:p w:rsidR="00000000" w:rsidRDefault="00000000">
            <w:pPr>
              <w:keepNext/>
              <w:spacing w:before="10" w:after="10"/>
              <w:rPr>
                <w:sz w:val="22"/>
              </w:rPr>
            </w:pPr>
            <w:r>
              <w:rPr>
                <w:sz w:val="22"/>
              </w:rPr>
              <w:t>Formation et perfectionnement professionnels</w:t>
            </w:r>
          </w:p>
        </w:tc>
        <w:tc>
          <w:tcPr>
            <w:tcW w:w="1320" w:type="dxa"/>
            <w:noWrap/>
          </w:tcPr>
          <w:p w:rsidR="00000000" w:rsidRDefault="00000000">
            <w:pPr>
              <w:keepNext/>
              <w:spacing w:before="10" w:after="10"/>
              <w:ind w:right="284"/>
              <w:jc w:val="right"/>
              <w:rPr>
                <w:sz w:val="22"/>
              </w:rPr>
            </w:pPr>
            <w:r>
              <w:rPr>
                <w:sz w:val="22"/>
              </w:rPr>
              <w:t>13 003</w:t>
            </w:r>
          </w:p>
        </w:tc>
        <w:tc>
          <w:tcPr>
            <w:tcW w:w="1100" w:type="dxa"/>
            <w:noWrap/>
          </w:tcPr>
          <w:p w:rsidR="00000000" w:rsidRDefault="00000000">
            <w:pPr>
              <w:keepNext/>
              <w:spacing w:before="10" w:after="10"/>
              <w:ind w:right="284"/>
              <w:jc w:val="right"/>
              <w:rPr>
                <w:sz w:val="22"/>
              </w:rPr>
            </w:pPr>
            <w:r>
              <w:rPr>
                <w:sz w:val="22"/>
              </w:rPr>
              <w:t>13,5</w:t>
            </w:r>
          </w:p>
        </w:tc>
      </w:tr>
      <w:tr w:rsidR="00000000">
        <w:tblPrEx>
          <w:tblCellMar>
            <w:top w:w="0" w:type="dxa"/>
            <w:bottom w:w="0" w:type="dxa"/>
          </w:tblCellMar>
        </w:tblPrEx>
        <w:tc>
          <w:tcPr>
            <w:tcW w:w="5891" w:type="dxa"/>
            <w:noWrap/>
          </w:tcPr>
          <w:p w:rsidR="00000000" w:rsidRDefault="00000000">
            <w:pPr>
              <w:keepNext/>
              <w:spacing w:before="10" w:after="10"/>
              <w:rPr>
                <w:sz w:val="22"/>
              </w:rPr>
            </w:pPr>
            <w:r>
              <w:rPr>
                <w:sz w:val="22"/>
              </w:rPr>
              <w:t>Réfugiés reconnus</w:t>
            </w:r>
          </w:p>
        </w:tc>
        <w:tc>
          <w:tcPr>
            <w:tcW w:w="1320" w:type="dxa"/>
            <w:noWrap/>
          </w:tcPr>
          <w:p w:rsidR="00000000" w:rsidRDefault="00000000">
            <w:pPr>
              <w:keepNext/>
              <w:spacing w:before="10" w:after="10"/>
              <w:ind w:right="284"/>
              <w:jc w:val="right"/>
              <w:rPr>
                <w:sz w:val="22"/>
              </w:rPr>
            </w:pPr>
            <w:r>
              <w:rPr>
                <w:sz w:val="22"/>
              </w:rPr>
              <w:t>1 007</w:t>
            </w:r>
          </w:p>
        </w:tc>
        <w:tc>
          <w:tcPr>
            <w:tcW w:w="1100" w:type="dxa"/>
            <w:noWrap/>
          </w:tcPr>
          <w:p w:rsidR="00000000" w:rsidRDefault="00000000">
            <w:pPr>
              <w:keepNext/>
              <w:spacing w:before="10" w:after="10"/>
              <w:ind w:right="284"/>
              <w:jc w:val="right"/>
              <w:rPr>
                <w:sz w:val="22"/>
              </w:rPr>
            </w:pPr>
            <w:r>
              <w:rPr>
                <w:sz w:val="22"/>
              </w:rPr>
              <w:t>1,0</w:t>
            </w:r>
          </w:p>
        </w:tc>
      </w:tr>
      <w:tr w:rsidR="00000000">
        <w:tblPrEx>
          <w:tblCellMar>
            <w:top w:w="0" w:type="dxa"/>
            <w:bottom w:w="0" w:type="dxa"/>
          </w:tblCellMar>
        </w:tblPrEx>
        <w:tc>
          <w:tcPr>
            <w:tcW w:w="5891" w:type="dxa"/>
            <w:noWrap/>
          </w:tcPr>
          <w:p w:rsidR="00000000" w:rsidRDefault="00000000">
            <w:pPr>
              <w:keepNext/>
              <w:spacing w:before="10" w:after="10"/>
              <w:rPr>
                <w:sz w:val="22"/>
              </w:rPr>
            </w:pPr>
            <w:r>
              <w:rPr>
                <w:sz w:val="22"/>
              </w:rPr>
              <w:t>Cas de rigueur</w:t>
            </w:r>
          </w:p>
        </w:tc>
        <w:tc>
          <w:tcPr>
            <w:tcW w:w="1320" w:type="dxa"/>
            <w:noWrap/>
          </w:tcPr>
          <w:p w:rsidR="00000000" w:rsidRDefault="00000000">
            <w:pPr>
              <w:keepNext/>
              <w:spacing w:before="10" w:after="10"/>
              <w:ind w:right="284"/>
              <w:jc w:val="right"/>
              <w:rPr>
                <w:sz w:val="22"/>
              </w:rPr>
            </w:pPr>
            <w:r>
              <w:rPr>
                <w:sz w:val="22"/>
              </w:rPr>
              <w:t>3 344</w:t>
            </w:r>
          </w:p>
        </w:tc>
        <w:tc>
          <w:tcPr>
            <w:tcW w:w="1100" w:type="dxa"/>
            <w:noWrap/>
          </w:tcPr>
          <w:p w:rsidR="00000000" w:rsidRDefault="00000000">
            <w:pPr>
              <w:keepNext/>
              <w:spacing w:before="10" w:after="10"/>
              <w:ind w:right="284"/>
              <w:jc w:val="right"/>
              <w:rPr>
                <w:sz w:val="22"/>
              </w:rPr>
            </w:pPr>
            <w:r>
              <w:rPr>
                <w:sz w:val="22"/>
              </w:rPr>
              <w:t>3,5</w:t>
            </w:r>
          </w:p>
        </w:tc>
      </w:tr>
      <w:tr w:rsidR="00000000">
        <w:tblPrEx>
          <w:tblCellMar>
            <w:top w:w="0" w:type="dxa"/>
            <w:bottom w:w="0" w:type="dxa"/>
          </w:tblCellMar>
        </w:tblPrEx>
        <w:tc>
          <w:tcPr>
            <w:tcW w:w="5891" w:type="dxa"/>
            <w:noWrap/>
          </w:tcPr>
          <w:p w:rsidR="00000000" w:rsidRDefault="00000000">
            <w:pPr>
              <w:keepNext/>
              <w:spacing w:before="10" w:after="10"/>
              <w:rPr>
                <w:sz w:val="22"/>
              </w:rPr>
            </w:pPr>
            <w:r>
              <w:rPr>
                <w:sz w:val="22"/>
              </w:rPr>
              <w:t>Autres entrées en Suisse</w:t>
            </w:r>
          </w:p>
        </w:tc>
        <w:tc>
          <w:tcPr>
            <w:tcW w:w="1320" w:type="dxa"/>
            <w:noWrap/>
          </w:tcPr>
          <w:p w:rsidR="00000000" w:rsidRDefault="00000000">
            <w:pPr>
              <w:keepNext/>
              <w:spacing w:before="10" w:after="10"/>
              <w:ind w:right="284"/>
              <w:jc w:val="right"/>
              <w:rPr>
                <w:sz w:val="22"/>
              </w:rPr>
            </w:pPr>
            <w:r>
              <w:rPr>
                <w:sz w:val="22"/>
              </w:rPr>
              <w:t>1 047</w:t>
            </w:r>
          </w:p>
        </w:tc>
        <w:tc>
          <w:tcPr>
            <w:tcW w:w="1100" w:type="dxa"/>
            <w:noWrap/>
          </w:tcPr>
          <w:p w:rsidR="00000000" w:rsidRDefault="00000000">
            <w:pPr>
              <w:keepNext/>
              <w:spacing w:before="10" w:after="10"/>
              <w:ind w:right="284"/>
              <w:jc w:val="right"/>
              <w:rPr>
                <w:sz w:val="22"/>
              </w:rPr>
            </w:pPr>
            <w:r>
              <w:rPr>
                <w:sz w:val="22"/>
              </w:rPr>
              <w:t>1,1</w:t>
            </w:r>
          </w:p>
        </w:tc>
      </w:tr>
      <w:tr w:rsidR="00000000">
        <w:tblPrEx>
          <w:tblCellMar>
            <w:top w:w="0" w:type="dxa"/>
            <w:bottom w:w="0" w:type="dxa"/>
          </w:tblCellMar>
        </w:tblPrEx>
        <w:tc>
          <w:tcPr>
            <w:tcW w:w="5891" w:type="dxa"/>
            <w:noWrap/>
          </w:tcPr>
          <w:p w:rsidR="00000000" w:rsidRDefault="00000000">
            <w:pPr>
              <w:keepNext/>
              <w:spacing w:before="10" w:after="10"/>
              <w:ind w:left="284"/>
              <w:rPr>
                <w:b/>
                <w:bCs/>
                <w:sz w:val="22"/>
              </w:rPr>
            </w:pPr>
            <w:r>
              <w:rPr>
                <w:b/>
                <w:bCs/>
                <w:sz w:val="22"/>
              </w:rPr>
              <w:t>Total</w:t>
            </w:r>
          </w:p>
        </w:tc>
        <w:tc>
          <w:tcPr>
            <w:tcW w:w="1320" w:type="dxa"/>
            <w:noWrap/>
          </w:tcPr>
          <w:p w:rsidR="00000000" w:rsidRDefault="00000000">
            <w:pPr>
              <w:keepNext/>
              <w:spacing w:before="10" w:after="10"/>
              <w:ind w:right="284"/>
              <w:jc w:val="right"/>
              <w:rPr>
                <w:sz w:val="22"/>
              </w:rPr>
            </w:pPr>
            <w:r>
              <w:rPr>
                <w:b/>
                <w:sz w:val="22"/>
              </w:rPr>
              <w:t>96 270</w:t>
            </w:r>
          </w:p>
        </w:tc>
        <w:tc>
          <w:tcPr>
            <w:tcW w:w="1100" w:type="dxa"/>
            <w:noWrap/>
          </w:tcPr>
          <w:p w:rsidR="00000000" w:rsidRDefault="00000000">
            <w:pPr>
              <w:keepNext/>
              <w:spacing w:before="10" w:after="10"/>
              <w:ind w:right="284"/>
              <w:jc w:val="right"/>
              <w:rPr>
                <w:sz w:val="22"/>
              </w:rPr>
            </w:pPr>
            <w:r>
              <w:rPr>
                <w:b/>
                <w:sz w:val="22"/>
              </w:rPr>
              <w:t>100 %</w:t>
            </w:r>
          </w:p>
        </w:tc>
      </w:tr>
    </w:tbl>
    <w:p w:rsidR="00000000" w:rsidRDefault="00000000">
      <w:pPr>
        <w:spacing w:before="120" w:after="200"/>
        <w:rPr>
          <w:szCs w:val="22"/>
        </w:rPr>
      </w:pPr>
      <w:r>
        <w:rPr>
          <w:i/>
          <w:iCs/>
          <w:szCs w:val="22"/>
        </w:rPr>
        <w:t>Source</w:t>
      </w:r>
      <w:r>
        <w:rPr>
          <w:szCs w:val="22"/>
        </w:rPr>
        <w:t>: Office fédéral des migrations.</w:t>
      </w:r>
    </w:p>
    <w:p w:rsidR="00000000" w:rsidRDefault="00000000">
      <w:pPr>
        <w:keepNext/>
        <w:spacing w:after="200"/>
        <w:jc w:val="center"/>
        <w:rPr>
          <w:b/>
          <w:bCs/>
        </w:rPr>
      </w:pPr>
      <w:bookmarkStart w:id="22" w:name="_Toc163552181"/>
      <w:r>
        <w:rPr>
          <w:b/>
          <w:bCs/>
        </w:rPr>
        <w:t>3.  Asile</w:t>
      </w:r>
      <w:bookmarkEnd w:id="22"/>
    </w:p>
    <w:p w:rsidR="00000000" w:rsidRDefault="00000000">
      <w:pPr>
        <w:spacing w:after="200"/>
      </w:pPr>
      <w:r>
        <w:t>11.</w:t>
      </w:r>
      <w:r>
        <w:tab/>
        <w:t>En 2004, le nombre des nouvelles demandes d’asile a diminué en Suisse de façon plus marquée que dans le reste de l’Europe. Si l’on a enregistré une baisse généralisée des r</w:t>
      </w:r>
      <w:r>
        <w:t>e</w:t>
      </w:r>
      <w:r>
        <w:t xml:space="preserve">quêtes en Europe occidentale, cette tendance a été encore plus marquée en Suisse où la réduction par rapport à l’année précédente a atteint 32,3 %. Le nombre de 14 248 nouvelles requêtes présentées était le plus bas depuis 1987. L’Europe du </w:t>
      </w:r>
      <w:proofErr w:type="spellStart"/>
      <w:r>
        <w:t>Sud</w:t>
      </w:r>
      <w:r>
        <w:noBreakHyphen/>
        <w:t>Est</w:t>
      </w:r>
      <w:proofErr w:type="spellEnd"/>
      <w:r>
        <w:t xml:space="preserve"> est toujours la région dont proviennent le plus de requérants d’asile, devant la Communauté des États indépe</w:t>
      </w:r>
      <w:r>
        <w:t>n</w:t>
      </w:r>
      <w:r>
        <w:t>dants, qui occupe la deuxième place depuis quelque temps déjà. Les requérants originaires d’Afrique occidentale, par contre, sont beaucoup moins nombreux qu’il y a quelques a</w:t>
      </w:r>
      <w:r>
        <w:t>n</w:t>
      </w:r>
      <w:r>
        <w:t>nées</w:t>
      </w:r>
      <w:r>
        <w:rPr>
          <w:rStyle w:val="FootnoteReference"/>
        </w:rPr>
        <w:footnoteReference w:id="12"/>
      </w:r>
      <w:r>
        <w:t>.</w:t>
      </w:r>
    </w:p>
    <w:p w:rsidR="00000000" w:rsidRDefault="00000000">
      <w:pPr>
        <w:keepNext/>
        <w:spacing w:after="120"/>
        <w:jc w:val="center"/>
        <w:rPr>
          <w:b/>
          <w:bCs/>
        </w:rPr>
      </w:pPr>
      <w:r>
        <w:rPr>
          <w:b/>
          <w:bCs/>
          <w:sz w:val="22"/>
        </w:rPr>
        <w:t>Tableau 4: Personnes relevant du domaine de l’asile, par nationalité</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BF" w:firstRow="1" w:lastRow="0" w:firstColumn="1" w:lastColumn="0" w:noHBand="0" w:noVBand="0"/>
      </w:tblPr>
      <w:tblGrid>
        <w:gridCol w:w="5642"/>
        <w:gridCol w:w="963"/>
        <w:gridCol w:w="964"/>
        <w:gridCol w:w="964"/>
        <w:gridCol w:w="964"/>
      </w:tblGrid>
      <w:tr w:rsidR="00000000">
        <w:tblPrEx>
          <w:tblCellMar>
            <w:top w:w="0" w:type="dxa"/>
            <w:bottom w:w="0" w:type="dxa"/>
          </w:tblCellMar>
        </w:tblPrEx>
        <w:trPr>
          <w:cantSplit/>
        </w:trPr>
        <w:tc>
          <w:tcPr>
            <w:tcW w:w="5642" w:type="dxa"/>
            <w:vAlign w:val="center"/>
          </w:tcPr>
          <w:p w:rsidR="00000000" w:rsidRDefault="00000000">
            <w:pPr>
              <w:keepNext/>
              <w:spacing w:before="10" w:after="10"/>
              <w:jc w:val="center"/>
              <w:rPr>
                <w:bCs/>
                <w:sz w:val="22"/>
              </w:rPr>
            </w:pPr>
            <w:r>
              <w:rPr>
                <w:bCs/>
                <w:sz w:val="22"/>
              </w:rPr>
              <w:t xml:space="preserve">Personnes relevant du domaine de l’asile, par nationalité </w:t>
            </w:r>
            <w:r>
              <w:rPr>
                <w:bCs/>
                <w:sz w:val="22"/>
              </w:rPr>
              <w:br/>
              <w:t>(au 31 décembre, par millier de personnes)</w:t>
            </w:r>
          </w:p>
        </w:tc>
        <w:tc>
          <w:tcPr>
            <w:tcW w:w="963" w:type="dxa"/>
            <w:vAlign w:val="center"/>
          </w:tcPr>
          <w:p w:rsidR="00000000" w:rsidRDefault="00000000">
            <w:pPr>
              <w:keepNext/>
              <w:spacing w:before="10" w:after="10"/>
              <w:jc w:val="center"/>
              <w:rPr>
                <w:bCs/>
                <w:sz w:val="22"/>
              </w:rPr>
            </w:pPr>
            <w:r>
              <w:rPr>
                <w:bCs/>
                <w:sz w:val="22"/>
              </w:rPr>
              <w:t>2001</w:t>
            </w:r>
          </w:p>
        </w:tc>
        <w:tc>
          <w:tcPr>
            <w:tcW w:w="964" w:type="dxa"/>
            <w:vAlign w:val="center"/>
          </w:tcPr>
          <w:p w:rsidR="00000000" w:rsidRDefault="00000000">
            <w:pPr>
              <w:keepNext/>
              <w:spacing w:before="10" w:after="10"/>
              <w:jc w:val="center"/>
              <w:rPr>
                <w:bCs/>
                <w:sz w:val="22"/>
              </w:rPr>
            </w:pPr>
            <w:r>
              <w:rPr>
                <w:bCs/>
                <w:sz w:val="22"/>
              </w:rPr>
              <w:t>2002</w:t>
            </w:r>
          </w:p>
        </w:tc>
        <w:tc>
          <w:tcPr>
            <w:tcW w:w="964" w:type="dxa"/>
            <w:vAlign w:val="center"/>
          </w:tcPr>
          <w:p w:rsidR="00000000" w:rsidRDefault="00000000">
            <w:pPr>
              <w:keepNext/>
              <w:spacing w:before="10" w:after="10"/>
              <w:jc w:val="center"/>
              <w:rPr>
                <w:bCs/>
                <w:sz w:val="22"/>
              </w:rPr>
            </w:pPr>
            <w:r>
              <w:rPr>
                <w:bCs/>
                <w:sz w:val="22"/>
              </w:rPr>
              <w:t>2003</w:t>
            </w:r>
          </w:p>
        </w:tc>
        <w:tc>
          <w:tcPr>
            <w:tcW w:w="964" w:type="dxa"/>
            <w:vAlign w:val="center"/>
          </w:tcPr>
          <w:p w:rsidR="00000000" w:rsidRDefault="00000000">
            <w:pPr>
              <w:keepNext/>
              <w:spacing w:before="10" w:after="10"/>
              <w:jc w:val="center"/>
              <w:rPr>
                <w:bCs/>
                <w:sz w:val="22"/>
              </w:rPr>
            </w:pPr>
            <w:r>
              <w:rPr>
                <w:bCs/>
                <w:sz w:val="22"/>
              </w:rPr>
              <w:t>2004</w:t>
            </w:r>
          </w:p>
        </w:tc>
      </w:tr>
      <w:tr w:rsidR="00000000">
        <w:tblPrEx>
          <w:tblCellMar>
            <w:top w:w="0" w:type="dxa"/>
            <w:bottom w:w="0" w:type="dxa"/>
          </w:tblCellMar>
        </w:tblPrEx>
        <w:trPr>
          <w:cantSplit/>
        </w:trPr>
        <w:tc>
          <w:tcPr>
            <w:tcW w:w="5642" w:type="dxa"/>
          </w:tcPr>
          <w:p w:rsidR="00000000" w:rsidRDefault="00000000">
            <w:pPr>
              <w:keepNext/>
              <w:spacing w:before="10" w:after="10"/>
              <w:rPr>
                <w:b/>
                <w:sz w:val="22"/>
              </w:rPr>
            </w:pPr>
            <w:r>
              <w:rPr>
                <w:b/>
                <w:sz w:val="22"/>
              </w:rPr>
              <w:t>Total</w:t>
            </w:r>
          </w:p>
        </w:tc>
        <w:tc>
          <w:tcPr>
            <w:tcW w:w="963" w:type="dxa"/>
          </w:tcPr>
          <w:p w:rsidR="00000000" w:rsidRDefault="00000000">
            <w:pPr>
              <w:keepNext/>
              <w:spacing w:before="10" w:after="10"/>
              <w:ind w:right="170"/>
              <w:jc w:val="right"/>
              <w:rPr>
                <w:b/>
                <w:sz w:val="22"/>
              </w:rPr>
            </w:pPr>
            <w:r>
              <w:rPr>
                <w:b/>
                <w:sz w:val="22"/>
              </w:rPr>
              <w:t>65,7</w:t>
            </w:r>
          </w:p>
        </w:tc>
        <w:tc>
          <w:tcPr>
            <w:tcW w:w="964" w:type="dxa"/>
          </w:tcPr>
          <w:p w:rsidR="00000000" w:rsidRDefault="00000000">
            <w:pPr>
              <w:keepNext/>
              <w:spacing w:before="10" w:after="10"/>
              <w:ind w:right="170"/>
              <w:jc w:val="right"/>
              <w:rPr>
                <w:b/>
                <w:sz w:val="22"/>
              </w:rPr>
            </w:pPr>
            <w:r>
              <w:rPr>
                <w:b/>
                <w:sz w:val="22"/>
              </w:rPr>
              <w:t>66,5</w:t>
            </w:r>
          </w:p>
        </w:tc>
        <w:tc>
          <w:tcPr>
            <w:tcW w:w="964" w:type="dxa"/>
          </w:tcPr>
          <w:p w:rsidR="00000000" w:rsidRDefault="00000000">
            <w:pPr>
              <w:keepNext/>
              <w:spacing w:before="10" w:after="10"/>
              <w:ind w:right="170"/>
              <w:jc w:val="right"/>
              <w:rPr>
                <w:b/>
                <w:sz w:val="22"/>
              </w:rPr>
            </w:pPr>
            <w:r>
              <w:rPr>
                <w:b/>
                <w:sz w:val="22"/>
              </w:rPr>
              <w:t>64,6</w:t>
            </w:r>
          </w:p>
        </w:tc>
        <w:tc>
          <w:tcPr>
            <w:tcW w:w="964" w:type="dxa"/>
          </w:tcPr>
          <w:p w:rsidR="00000000" w:rsidRDefault="00000000">
            <w:pPr>
              <w:keepNext/>
              <w:spacing w:before="10" w:after="10"/>
              <w:ind w:right="170"/>
              <w:jc w:val="right"/>
              <w:rPr>
                <w:b/>
                <w:sz w:val="22"/>
              </w:rPr>
            </w:pPr>
            <w:r>
              <w:rPr>
                <w:b/>
                <w:sz w:val="22"/>
              </w:rPr>
              <w:t>55,1</w:t>
            </w:r>
          </w:p>
        </w:tc>
      </w:tr>
      <w:tr w:rsidR="00000000">
        <w:tblPrEx>
          <w:tblCellMar>
            <w:top w:w="0" w:type="dxa"/>
            <w:bottom w:w="0" w:type="dxa"/>
          </w:tblCellMar>
        </w:tblPrEx>
        <w:trPr>
          <w:cantSplit/>
        </w:trPr>
        <w:tc>
          <w:tcPr>
            <w:tcW w:w="5642" w:type="dxa"/>
          </w:tcPr>
          <w:p w:rsidR="00000000" w:rsidRDefault="00000000">
            <w:pPr>
              <w:keepNext/>
              <w:spacing w:before="10" w:after="10"/>
              <w:ind w:left="284"/>
              <w:rPr>
                <w:sz w:val="22"/>
              </w:rPr>
            </w:pPr>
            <w:proofErr w:type="spellStart"/>
            <w:r>
              <w:rPr>
                <w:sz w:val="22"/>
              </w:rPr>
              <w:t>Serbie</w:t>
            </w:r>
            <w:r>
              <w:rPr>
                <w:sz w:val="22"/>
              </w:rPr>
              <w:noBreakHyphen/>
              <w:t>et</w:t>
            </w:r>
            <w:r>
              <w:rPr>
                <w:sz w:val="22"/>
              </w:rPr>
              <w:noBreakHyphen/>
              <w:t>Monténégro</w:t>
            </w:r>
            <w:proofErr w:type="spellEnd"/>
          </w:p>
        </w:tc>
        <w:tc>
          <w:tcPr>
            <w:tcW w:w="963" w:type="dxa"/>
          </w:tcPr>
          <w:p w:rsidR="00000000" w:rsidRDefault="00000000">
            <w:pPr>
              <w:keepNext/>
              <w:spacing w:before="10" w:after="10"/>
              <w:ind w:right="170"/>
              <w:jc w:val="right"/>
              <w:rPr>
                <w:sz w:val="22"/>
              </w:rPr>
            </w:pPr>
            <w:r>
              <w:rPr>
                <w:sz w:val="22"/>
              </w:rPr>
              <w:t>17,0</w:t>
            </w:r>
          </w:p>
        </w:tc>
        <w:tc>
          <w:tcPr>
            <w:tcW w:w="964" w:type="dxa"/>
          </w:tcPr>
          <w:p w:rsidR="00000000" w:rsidRDefault="00000000">
            <w:pPr>
              <w:keepNext/>
              <w:spacing w:before="10" w:after="10"/>
              <w:ind w:right="170"/>
              <w:jc w:val="right"/>
              <w:rPr>
                <w:sz w:val="22"/>
              </w:rPr>
            </w:pPr>
            <w:r>
              <w:rPr>
                <w:sz w:val="22"/>
              </w:rPr>
              <w:t>15,3</w:t>
            </w:r>
          </w:p>
        </w:tc>
        <w:tc>
          <w:tcPr>
            <w:tcW w:w="964" w:type="dxa"/>
          </w:tcPr>
          <w:p w:rsidR="00000000" w:rsidRDefault="00000000">
            <w:pPr>
              <w:keepNext/>
              <w:spacing w:before="10" w:after="10"/>
              <w:ind w:right="170"/>
              <w:jc w:val="right"/>
              <w:rPr>
                <w:sz w:val="22"/>
              </w:rPr>
            </w:pPr>
            <w:r>
              <w:rPr>
                <w:sz w:val="22"/>
              </w:rPr>
              <w:t>13,4</w:t>
            </w:r>
          </w:p>
        </w:tc>
        <w:tc>
          <w:tcPr>
            <w:tcW w:w="964" w:type="dxa"/>
          </w:tcPr>
          <w:p w:rsidR="00000000" w:rsidRDefault="00000000">
            <w:pPr>
              <w:keepNext/>
              <w:spacing w:before="10" w:after="10"/>
              <w:ind w:right="170"/>
              <w:jc w:val="right"/>
              <w:rPr>
                <w:sz w:val="22"/>
              </w:rPr>
            </w:pPr>
            <w:r>
              <w:rPr>
                <w:sz w:val="22"/>
              </w:rPr>
              <w:t>11,4</w:t>
            </w:r>
          </w:p>
        </w:tc>
      </w:tr>
      <w:tr w:rsidR="00000000">
        <w:tblPrEx>
          <w:tblCellMar>
            <w:top w:w="0" w:type="dxa"/>
            <w:bottom w:w="0" w:type="dxa"/>
          </w:tblCellMar>
        </w:tblPrEx>
        <w:trPr>
          <w:cantSplit/>
        </w:trPr>
        <w:tc>
          <w:tcPr>
            <w:tcW w:w="5642" w:type="dxa"/>
          </w:tcPr>
          <w:p w:rsidR="00000000" w:rsidRDefault="00000000">
            <w:pPr>
              <w:keepNext/>
              <w:spacing w:before="10" w:after="10"/>
              <w:ind w:left="284"/>
              <w:rPr>
                <w:sz w:val="22"/>
              </w:rPr>
            </w:pPr>
            <w:proofErr w:type="spellStart"/>
            <w:r>
              <w:rPr>
                <w:sz w:val="22"/>
              </w:rPr>
              <w:t>Bosnie</w:t>
            </w:r>
            <w:r>
              <w:rPr>
                <w:sz w:val="22"/>
              </w:rPr>
              <w:noBreakHyphen/>
              <w:t>Herzégovine</w:t>
            </w:r>
            <w:proofErr w:type="spellEnd"/>
          </w:p>
        </w:tc>
        <w:tc>
          <w:tcPr>
            <w:tcW w:w="963" w:type="dxa"/>
          </w:tcPr>
          <w:p w:rsidR="00000000" w:rsidRDefault="00000000">
            <w:pPr>
              <w:keepNext/>
              <w:spacing w:before="10" w:after="10"/>
              <w:ind w:right="170"/>
              <w:jc w:val="right"/>
              <w:rPr>
                <w:sz w:val="22"/>
              </w:rPr>
            </w:pPr>
            <w:r>
              <w:rPr>
                <w:sz w:val="22"/>
              </w:rPr>
              <w:t>5,5</w:t>
            </w:r>
          </w:p>
        </w:tc>
        <w:tc>
          <w:tcPr>
            <w:tcW w:w="964" w:type="dxa"/>
          </w:tcPr>
          <w:p w:rsidR="00000000" w:rsidRDefault="00000000">
            <w:pPr>
              <w:keepNext/>
              <w:spacing w:before="10" w:after="10"/>
              <w:ind w:right="170"/>
              <w:jc w:val="right"/>
              <w:rPr>
                <w:sz w:val="22"/>
              </w:rPr>
            </w:pPr>
            <w:r>
              <w:rPr>
                <w:sz w:val="22"/>
              </w:rPr>
              <w:t>5,6</w:t>
            </w:r>
          </w:p>
        </w:tc>
        <w:tc>
          <w:tcPr>
            <w:tcW w:w="964" w:type="dxa"/>
          </w:tcPr>
          <w:p w:rsidR="00000000" w:rsidRDefault="00000000">
            <w:pPr>
              <w:keepNext/>
              <w:spacing w:before="10" w:after="10"/>
              <w:ind w:right="170"/>
              <w:jc w:val="right"/>
              <w:rPr>
                <w:sz w:val="22"/>
              </w:rPr>
            </w:pPr>
            <w:r>
              <w:rPr>
                <w:sz w:val="22"/>
              </w:rPr>
              <w:t>5,0</w:t>
            </w:r>
          </w:p>
        </w:tc>
        <w:tc>
          <w:tcPr>
            <w:tcW w:w="964" w:type="dxa"/>
          </w:tcPr>
          <w:p w:rsidR="00000000" w:rsidRDefault="00000000">
            <w:pPr>
              <w:keepNext/>
              <w:spacing w:before="10" w:after="10"/>
              <w:ind w:right="170"/>
              <w:jc w:val="right"/>
              <w:rPr>
                <w:sz w:val="22"/>
              </w:rPr>
            </w:pPr>
            <w:r>
              <w:rPr>
                <w:sz w:val="22"/>
              </w:rPr>
              <w:t>4,0</w:t>
            </w:r>
          </w:p>
        </w:tc>
      </w:tr>
      <w:tr w:rsidR="00000000">
        <w:tblPrEx>
          <w:tblCellMar>
            <w:top w:w="0" w:type="dxa"/>
            <w:bottom w:w="0" w:type="dxa"/>
          </w:tblCellMar>
        </w:tblPrEx>
        <w:trPr>
          <w:cantSplit/>
        </w:trPr>
        <w:tc>
          <w:tcPr>
            <w:tcW w:w="5642" w:type="dxa"/>
          </w:tcPr>
          <w:p w:rsidR="00000000" w:rsidRDefault="00000000">
            <w:pPr>
              <w:keepNext/>
              <w:spacing w:before="10" w:after="10"/>
              <w:ind w:left="284"/>
              <w:rPr>
                <w:sz w:val="22"/>
              </w:rPr>
            </w:pPr>
            <w:r>
              <w:rPr>
                <w:sz w:val="22"/>
              </w:rPr>
              <w:t>Turquie</w:t>
            </w:r>
          </w:p>
        </w:tc>
        <w:tc>
          <w:tcPr>
            <w:tcW w:w="963" w:type="dxa"/>
          </w:tcPr>
          <w:p w:rsidR="00000000" w:rsidRDefault="00000000">
            <w:pPr>
              <w:keepNext/>
              <w:spacing w:before="10" w:after="10"/>
              <w:ind w:right="170"/>
              <w:jc w:val="right"/>
              <w:rPr>
                <w:sz w:val="22"/>
              </w:rPr>
            </w:pPr>
            <w:r>
              <w:rPr>
                <w:sz w:val="22"/>
              </w:rPr>
              <w:t>3,6</w:t>
            </w:r>
          </w:p>
        </w:tc>
        <w:tc>
          <w:tcPr>
            <w:tcW w:w="964" w:type="dxa"/>
          </w:tcPr>
          <w:p w:rsidR="00000000" w:rsidRDefault="00000000">
            <w:pPr>
              <w:keepNext/>
              <w:spacing w:before="10" w:after="10"/>
              <w:ind w:right="170"/>
              <w:jc w:val="right"/>
              <w:rPr>
                <w:sz w:val="22"/>
              </w:rPr>
            </w:pPr>
            <w:r>
              <w:rPr>
                <w:sz w:val="22"/>
              </w:rPr>
              <w:t>4,0</w:t>
            </w:r>
          </w:p>
        </w:tc>
        <w:tc>
          <w:tcPr>
            <w:tcW w:w="964" w:type="dxa"/>
          </w:tcPr>
          <w:p w:rsidR="00000000" w:rsidRDefault="00000000">
            <w:pPr>
              <w:keepNext/>
              <w:spacing w:before="10" w:after="10"/>
              <w:ind w:right="170"/>
              <w:jc w:val="right"/>
              <w:rPr>
                <w:sz w:val="22"/>
              </w:rPr>
            </w:pPr>
            <w:r>
              <w:rPr>
                <w:sz w:val="22"/>
              </w:rPr>
              <w:t>3,8</w:t>
            </w:r>
          </w:p>
        </w:tc>
        <w:tc>
          <w:tcPr>
            <w:tcW w:w="964" w:type="dxa"/>
          </w:tcPr>
          <w:p w:rsidR="00000000" w:rsidRDefault="00000000">
            <w:pPr>
              <w:keepNext/>
              <w:spacing w:before="10" w:after="10"/>
              <w:ind w:right="170"/>
              <w:jc w:val="right"/>
              <w:rPr>
                <w:sz w:val="22"/>
              </w:rPr>
            </w:pPr>
            <w:r>
              <w:rPr>
                <w:sz w:val="22"/>
              </w:rPr>
              <w:t>3,2</w:t>
            </w:r>
          </w:p>
        </w:tc>
      </w:tr>
      <w:tr w:rsidR="00000000">
        <w:tblPrEx>
          <w:tblCellMar>
            <w:top w:w="0" w:type="dxa"/>
            <w:bottom w:w="0" w:type="dxa"/>
          </w:tblCellMar>
        </w:tblPrEx>
        <w:trPr>
          <w:cantSplit/>
        </w:trPr>
        <w:tc>
          <w:tcPr>
            <w:tcW w:w="5642" w:type="dxa"/>
          </w:tcPr>
          <w:p w:rsidR="00000000" w:rsidRDefault="00000000">
            <w:pPr>
              <w:keepNext/>
              <w:spacing w:before="10" w:after="10"/>
              <w:ind w:left="284"/>
              <w:rPr>
                <w:sz w:val="22"/>
              </w:rPr>
            </w:pPr>
            <w:r>
              <w:rPr>
                <w:sz w:val="22"/>
              </w:rPr>
              <w:t xml:space="preserve">Sri </w:t>
            </w:r>
            <w:proofErr w:type="spellStart"/>
            <w:r>
              <w:rPr>
                <w:sz w:val="22"/>
              </w:rPr>
              <w:t>Lanka</w:t>
            </w:r>
            <w:proofErr w:type="spellEnd"/>
          </w:p>
        </w:tc>
        <w:tc>
          <w:tcPr>
            <w:tcW w:w="963" w:type="dxa"/>
          </w:tcPr>
          <w:p w:rsidR="00000000" w:rsidRDefault="00000000">
            <w:pPr>
              <w:keepNext/>
              <w:spacing w:before="10" w:after="10"/>
              <w:ind w:right="170"/>
              <w:jc w:val="right"/>
              <w:rPr>
                <w:sz w:val="22"/>
              </w:rPr>
            </w:pPr>
            <w:r>
              <w:rPr>
                <w:sz w:val="22"/>
              </w:rPr>
              <w:t>9,7</w:t>
            </w:r>
          </w:p>
        </w:tc>
        <w:tc>
          <w:tcPr>
            <w:tcW w:w="964" w:type="dxa"/>
          </w:tcPr>
          <w:p w:rsidR="00000000" w:rsidRDefault="00000000">
            <w:pPr>
              <w:keepNext/>
              <w:spacing w:before="10" w:after="10"/>
              <w:ind w:right="170"/>
              <w:jc w:val="right"/>
              <w:rPr>
                <w:sz w:val="22"/>
              </w:rPr>
            </w:pPr>
            <w:r>
              <w:rPr>
                <w:sz w:val="22"/>
              </w:rPr>
              <w:t>5,6</w:t>
            </w:r>
          </w:p>
        </w:tc>
        <w:tc>
          <w:tcPr>
            <w:tcW w:w="964" w:type="dxa"/>
          </w:tcPr>
          <w:p w:rsidR="00000000" w:rsidRDefault="00000000">
            <w:pPr>
              <w:keepNext/>
              <w:spacing w:before="10" w:after="10"/>
              <w:ind w:right="170"/>
              <w:jc w:val="right"/>
              <w:rPr>
                <w:sz w:val="22"/>
              </w:rPr>
            </w:pPr>
            <w:r>
              <w:rPr>
                <w:sz w:val="22"/>
              </w:rPr>
              <w:t>3,9</w:t>
            </w:r>
          </w:p>
        </w:tc>
        <w:tc>
          <w:tcPr>
            <w:tcW w:w="964" w:type="dxa"/>
          </w:tcPr>
          <w:p w:rsidR="00000000" w:rsidRDefault="00000000">
            <w:pPr>
              <w:keepNext/>
              <w:spacing w:before="10" w:after="10"/>
              <w:ind w:right="170"/>
              <w:jc w:val="right"/>
              <w:rPr>
                <w:sz w:val="22"/>
              </w:rPr>
            </w:pPr>
            <w:r>
              <w:rPr>
                <w:sz w:val="22"/>
              </w:rPr>
              <w:t>3,0</w:t>
            </w:r>
          </w:p>
        </w:tc>
      </w:tr>
      <w:tr w:rsidR="00000000">
        <w:tblPrEx>
          <w:tblCellMar>
            <w:top w:w="0" w:type="dxa"/>
            <w:bottom w:w="0" w:type="dxa"/>
          </w:tblCellMar>
        </w:tblPrEx>
        <w:trPr>
          <w:cantSplit/>
        </w:trPr>
        <w:tc>
          <w:tcPr>
            <w:tcW w:w="5642" w:type="dxa"/>
          </w:tcPr>
          <w:p w:rsidR="00000000" w:rsidRDefault="00000000">
            <w:pPr>
              <w:keepNext/>
              <w:spacing w:before="10" w:after="10"/>
              <w:ind w:left="284"/>
              <w:rPr>
                <w:sz w:val="22"/>
              </w:rPr>
            </w:pPr>
            <w:r>
              <w:rPr>
                <w:sz w:val="22"/>
              </w:rPr>
              <w:t>Somalie</w:t>
            </w:r>
          </w:p>
        </w:tc>
        <w:tc>
          <w:tcPr>
            <w:tcW w:w="963" w:type="dxa"/>
          </w:tcPr>
          <w:p w:rsidR="00000000" w:rsidRDefault="00000000">
            <w:pPr>
              <w:keepNext/>
              <w:spacing w:before="10" w:after="10"/>
              <w:ind w:right="170"/>
              <w:jc w:val="right"/>
              <w:rPr>
                <w:sz w:val="22"/>
              </w:rPr>
            </w:pPr>
            <w:r>
              <w:rPr>
                <w:sz w:val="22"/>
              </w:rPr>
              <w:t>4,3</w:t>
            </w:r>
          </w:p>
        </w:tc>
        <w:tc>
          <w:tcPr>
            <w:tcW w:w="964" w:type="dxa"/>
          </w:tcPr>
          <w:p w:rsidR="00000000" w:rsidRDefault="00000000">
            <w:pPr>
              <w:keepNext/>
              <w:spacing w:before="10" w:after="10"/>
              <w:ind w:right="170"/>
              <w:jc w:val="right"/>
              <w:rPr>
                <w:sz w:val="22"/>
              </w:rPr>
            </w:pPr>
            <w:r>
              <w:rPr>
                <w:sz w:val="22"/>
              </w:rPr>
              <w:t>3,9</w:t>
            </w:r>
          </w:p>
        </w:tc>
        <w:tc>
          <w:tcPr>
            <w:tcW w:w="964" w:type="dxa"/>
          </w:tcPr>
          <w:p w:rsidR="00000000" w:rsidRDefault="00000000">
            <w:pPr>
              <w:keepNext/>
              <w:spacing w:before="10" w:after="10"/>
              <w:ind w:right="170"/>
              <w:jc w:val="right"/>
              <w:rPr>
                <w:sz w:val="22"/>
              </w:rPr>
            </w:pPr>
            <w:r>
              <w:rPr>
                <w:sz w:val="22"/>
              </w:rPr>
              <w:t>3,8</w:t>
            </w:r>
          </w:p>
        </w:tc>
        <w:tc>
          <w:tcPr>
            <w:tcW w:w="964" w:type="dxa"/>
          </w:tcPr>
          <w:p w:rsidR="00000000" w:rsidRDefault="00000000">
            <w:pPr>
              <w:keepNext/>
              <w:spacing w:before="10" w:after="10"/>
              <w:ind w:right="170"/>
              <w:jc w:val="right"/>
              <w:rPr>
                <w:sz w:val="22"/>
              </w:rPr>
            </w:pPr>
            <w:r>
              <w:rPr>
                <w:sz w:val="22"/>
              </w:rPr>
              <w:t>4,0</w:t>
            </w:r>
          </w:p>
        </w:tc>
      </w:tr>
      <w:tr w:rsidR="00000000">
        <w:tblPrEx>
          <w:tblCellMar>
            <w:top w:w="0" w:type="dxa"/>
            <w:bottom w:w="0" w:type="dxa"/>
          </w:tblCellMar>
        </w:tblPrEx>
        <w:trPr>
          <w:cantSplit/>
        </w:trPr>
        <w:tc>
          <w:tcPr>
            <w:tcW w:w="5642" w:type="dxa"/>
          </w:tcPr>
          <w:p w:rsidR="00000000" w:rsidRDefault="00000000">
            <w:pPr>
              <w:keepNext/>
              <w:spacing w:before="10" w:after="10"/>
              <w:ind w:left="284"/>
              <w:rPr>
                <w:sz w:val="22"/>
              </w:rPr>
            </w:pPr>
            <w:r>
              <w:rPr>
                <w:sz w:val="22"/>
              </w:rPr>
              <w:t>Iraq</w:t>
            </w:r>
          </w:p>
        </w:tc>
        <w:tc>
          <w:tcPr>
            <w:tcW w:w="963" w:type="dxa"/>
          </w:tcPr>
          <w:p w:rsidR="00000000" w:rsidRDefault="00000000">
            <w:pPr>
              <w:keepNext/>
              <w:spacing w:before="10" w:after="10"/>
              <w:ind w:right="170"/>
              <w:jc w:val="right"/>
              <w:rPr>
                <w:sz w:val="22"/>
              </w:rPr>
            </w:pPr>
            <w:r>
              <w:rPr>
                <w:sz w:val="22"/>
              </w:rPr>
              <w:t>3,0</w:t>
            </w:r>
          </w:p>
        </w:tc>
        <w:tc>
          <w:tcPr>
            <w:tcW w:w="964" w:type="dxa"/>
          </w:tcPr>
          <w:p w:rsidR="00000000" w:rsidRDefault="00000000">
            <w:pPr>
              <w:keepNext/>
              <w:spacing w:before="10" w:after="10"/>
              <w:ind w:right="170"/>
              <w:jc w:val="right"/>
              <w:rPr>
                <w:sz w:val="22"/>
              </w:rPr>
            </w:pPr>
            <w:r>
              <w:rPr>
                <w:sz w:val="22"/>
              </w:rPr>
              <w:t>3,1</w:t>
            </w:r>
          </w:p>
        </w:tc>
        <w:tc>
          <w:tcPr>
            <w:tcW w:w="964" w:type="dxa"/>
          </w:tcPr>
          <w:p w:rsidR="00000000" w:rsidRDefault="00000000">
            <w:pPr>
              <w:keepNext/>
              <w:spacing w:before="10" w:after="10"/>
              <w:ind w:right="170"/>
              <w:jc w:val="right"/>
              <w:rPr>
                <w:sz w:val="22"/>
              </w:rPr>
            </w:pPr>
            <w:r>
              <w:rPr>
                <w:sz w:val="22"/>
              </w:rPr>
              <w:t>3,8</w:t>
            </w:r>
          </w:p>
        </w:tc>
        <w:tc>
          <w:tcPr>
            <w:tcW w:w="964" w:type="dxa"/>
          </w:tcPr>
          <w:p w:rsidR="00000000" w:rsidRDefault="00000000">
            <w:pPr>
              <w:keepNext/>
              <w:spacing w:before="10" w:after="10"/>
              <w:ind w:right="170"/>
              <w:jc w:val="right"/>
              <w:rPr>
                <w:sz w:val="22"/>
              </w:rPr>
            </w:pPr>
            <w:r>
              <w:rPr>
                <w:sz w:val="22"/>
              </w:rPr>
              <w:t>3,7</w:t>
            </w:r>
          </w:p>
        </w:tc>
      </w:tr>
      <w:tr w:rsidR="00000000">
        <w:tblPrEx>
          <w:tblCellMar>
            <w:top w:w="0" w:type="dxa"/>
            <w:bottom w:w="0" w:type="dxa"/>
          </w:tblCellMar>
        </w:tblPrEx>
        <w:trPr>
          <w:cantSplit/>
        </w:trPr>
        <w:tc>
          <w:tcPr>
            <w:tcW w:w="5642" w:type="dxa"/>
          </w:tcPr>
          <w:p w:rsidR="00000000" w:rsidRDefault="00000000">
            <w:pPr>
              <w:keepNext/>
              <w:spacing w:before="10" w:after="10"/>
              <w:ind w:left="284"/>
              <w:rPr>
                <w:sz w:val="22"/>
              </w:rPr>
            </w:pPr>
            <w:r>
              <w:rPr>
                <w:sz w:val="22"/>
              </w:rPr>
              <w:t>Angola</w:t>
            </w:r>
          </w:p>
        </w:tc>
        <w:tc>
          <w:tcPr>
            <w:tcW w:w="963" w:type="dxa"/>
          </w:tcPr>
          <w:p w:rsidR="00000000" w:rsidRDefault="00000000">
            <w:pPr>
              <w:keepNext/>
              <w:spacing w:before="10" w:after="10"/>
              <w:ind w:right="170"/>
              <w:jc w:val="right"/>
              <w:rPr>
                <w:sz w:val="22"/>
              </w:rPr>
            </w:pPr>
            <w:r>
              <w:rPr>
                <w:sz w:val="22"/>
              </w:rPr>
              <w:t>2,8</w:t>
            </w:r>
          </w:p>
        </w:tc>
        <w:tc>
          <w:tcPr>
            <w:tcW w:w="964" w:type="dxa"/>
          </w:tcPr>
          <w:p w:rsidR="00000000" w:rsidRDefault="00000000">
            <w:pPr>
              <w:keepNext/>
              <w:spacing w:before="10" w:after="10"/>
              <w:ind w:right="170"/>
              <w:jc w:val="right"/>
              <w:rPr>
                <w:sz w:val="22"/>
              </w:rPr>
            </w:pPr>
            <w:r>
              <w:rPr>
                <w:sz w:val="22"/>
              </w:rPr>
              <w:t>3,3</w:t>
            </w:r>
          </w:p>
        </w:tc>
        <w:tc>
          <w:tcPr>
            <w:tcW w:w="964" w:type="dxa"/>
          </w:tcPr>
          <w:p w:rsidR="00000000" w:rsidRDefault="00000000">
            <w:pPr>
              <w:keepNext/>
              <w:spacing w:before="10" w:after="10"/>
              <w:ind w:right="170"/>
              <w:jc w:val="right"/>
              <w:rPr>
                <w:sz w:val="22"/>
              </w:rPr>
            </w:pPr>
            <w:r>
              <w:rPr>
                <w:sz w:val="22"/>
              </w:rPr>
              <w:t>3,2</w:t>
            </w:r>
          </w:p>
        </w:tc>
        <w:tc>
          <w:tcPr>
            <w:tcW w:w="964" w:type="dxa"/>
          </w:tcPr>
          <w:p w:rsidR="00000000" w:rsidRDefault="00000000">
            <w:pPr>
              <w:keepNext/>
              <w:spacing w:before="10" w:after="10"/>
              <w:ind w:right="170"/>
              <w:jc w:val="right"/>
              <w:rPr>
                <w:sz w:val="22"/>
              </w:rPr>
            </w:pPr>
            <w:r>
              <w:rPr>
                <w:sz w:val="22"/>
              </w:rPr>
              <w:t>2,9</w:t>
            </w:r>
          </w:p>
        </w:tc>
      </w:tr>
      <w:tr w:rsidR="00000000">
        <w:tblPrEx>
          <w:tblCellMar>
            <w:top w:w="0" w:type="dxa"/>
            <w:bottom w:w="0" w:type="dxa"/>
          </w:tblCellMar>
        </w:tblPrEx>
        <w:trPr>
          <w:cantSplit/>
        </w:trPr>
        <w:tc>
          <w:tcPr>
            <w:tcW w:w="5642" w:type="dxa"/>
          </w:tcPr>
          <w:p w:rsidR="00000000" w:rsidRDefault="00000000">
            <w:pPr>
              <w:keepNext/>
              <w:spacing w:before="10" w:after="10"/>
              <w:ind w:left="284"/>
              <w:rPr>
                <w:sz w:val="22"/>
              </w:rPr>
            </w:pPr>
            <w:r>
              <w:rPr>
                <w:sz w:val="22"/>
              </w:rPr>
              <w:t>Éthiopie</w:t>
            </w:r>
          </w:p>
        </w:tc>
        <w:tc>
          <w:tcPr>
            <w:tcW w:w="963" w:type="dxa"/>
          </w:tcPr>
          <w:p w:rsidR="00000000" w:rsidRDefault="00000000">
            <w:pPr>
              <w:keepNext/>
              <w:spacing w:before="10" w:after="10"/>
              <w:ind w:right="170"/>
              <w:jc w:val="right"/>
              <w:rPr>
                <w:sz w:val="22"/>
              </w:rPr>
            </w:pPr>
            <w:r>
              <w:rPr>
                <w:sz w:val="22"/>
              </w:rPr>
              <w:t>1,4</w:t>
            </w:r>
          </w:p>
        </w:tc>
        <w:tc>
          <w:tcPr>
            <w:tcW w:w="964" w:type="dxa"/>
          </w:tcPr>
          <w:p w:rsidR="00000000" w:rsidRDefault="00000000">
            <w:pPr>
              <w:keepNext/>
              <w:spacing w:before="10" w:after="10"/>
              <w:ind w:right="170"/>
              <w:jc w:val="right"/>
              <w:rPr>
                <w:sz w:val="22"/>
              </w:rPr>
            </w:pPr>
            <w:r>
              <w:rPr>
                <w:sz w:val="22"/>
              </w:rPr>
              <w:t>1,6</w:t>
            </w:r>
          </w:p>
        </w:tc>
        <w:tc>
          <w:tcPr>
            <w:tcW w:w="964" w:type="dxa"/>
          </w:tcPr>
          <w:p w:rsidR="00000000" w:rsidRDefault="00000000">
            <w:pPr>
              <w:keepNext/>
              <w:spacing w:before="10" w:after="10"/>
              <w:ind w:right="170"/>
              <w:jc w:val="right"/>
              <w:rPr>
                <w:sz w:val="22"/>
              </w:rPr>
            </w:pPr>
            <w:r>
              <w:rPr>
                <w:sz w:val="22"/>
              </w:rPr>
              <w:t>1,8</w:t>
            </w:r>
          </w:p>
        </w:tc>
        <w:tc>
          <w:tcPr>
            <w:tcW w:w="964" w:type="dxa"/>
          </w:tcPr>
          <w:p w:rsidR="00000000" w:rsidRDefault="00000000">
            <w:pPr>
              <w:keepNext/>
              <w:spacing w:before="10" w:after="10"/>
              <w:ind w:right="170"/>
              <w:jc w:val="right"/>
              <w:rPr>
                <w:sz w:val="22"/>
              </w:rPr>
            </w:pPr>
            <w:r>
              <w:rPr>
                <w:sz w:val="22"/>
              </w:rPr>
              <w:t>1,7</w:t>
            </w:r>
          </w:p>
        </w:tc>
      </w:tr>
      <w:tr w:rsidR="00000000">
        <w:tblPrEx>
          <w:tblCellMar>
            <w:top w:w="0" w:type="dxa"/>
            <w:bottom w:w="0" w:type="dxa"/>
          </w:tblCellMar>
        </w:tblPrEx>
        <w:trPr>
          <w:cantSplit/>
        </w:trPr>
        <w:tc>
          <w:tcPr>
            <w:tcW w:w="5642" w:type="dxa"/>
          </w:tcPr>
          <w:p w:rsidR="00000000" w:rsidRDefault="00000000">
            <w:pPr>
              <w:keepNext/>
              <w:spacing w:before="10" w:after="10"/>
              <w:ind w:left="284"/>
              <w:rPr>
                <w:sz w:val="22"/>
              </w:rPr>
            </w:pPr>
            <w:r>
              <w:rPr>
                <w:sz w:val="22"/>
              </w:rPr>
              <w:t>Algérie</w:t>
            </w:r>
          </w:p>
        </w:tc>
        <w:tc>
          <w:tcPr>
            <w:tcW w:w="963" w:type="dxa"/>
          </w:tcPr>
          <w:p w:rsidR="00000000" w:rsidRDefault="00000000">
            <w:pPr>
              <w:keepNext/>
              <w:spacing w:before="10" w:after="10"/>
              <w:ind w:right="170"/>
              <w:jc w:val="right"/>
              <w:rPr>
                <w:sz w:val="22"/>
              </w:rPr>
            </w:pPr>
            <w:r>
              <w:rPr>
                <w:sz w:val="22"/>
              </w:rPr>
              <w:t>1,1</w:t>
            </w:r>
          </w:p>
        </w:tc>
        <w:tc>
          <w:tcPr>
            <w:tcW w:w="964" w:type="dxa"/>
          </w:tcPr>
          <w:p w:rsidR="00000000" w:rsidRDefault="00000000">
            <w:pPr>
              <w:keepNext/>
              <w:spacing w:before="10" w:after="10"/>
              <w:ind w:right="170"/>
              <w:jc w:val="right"/>
              <w:rPr>
                <w:sz w:val="22"/>
              </w:rPr>
            </w:pPr>
            <w:r>
              <w:rPr>
                <w:sz w:val="22"/>
              </w:rPr>
              <w:t>1,5</w:t>
            </w:r>
          </w:p>
        </w:tc>
        <w:tc>
          <w:tcPr>
            <w:tcW w:w="964" w:type="dxa"/>
          </w:tcPr>
          <w:p w:rsidR="00000000" w:rsidRDefault="00000000">
            <w:pPr>
              <w:keepNext/>
              <w:spacing w:before="10" w:after="10"/>
              <w:ind w:right="170"/>
              <w:jc w:val="right"/>
              <w:rPr>
                <w:sz w:val="22"/>
              </w:rPr>
            </w:pPr>
            <w:r>
              <w:rPr>
                <w:sz w:val="22"/>
              </w:rPr>
              <w:t>1,6</w:t>
            </w:r>
          </w:p>
        </w:tc>
        <w:tc>
          <w:tcPr>
            <w:tcW w:w="964" w:type="dxa"/>
          </w:tcPr>
          <w:p w:rsidR="00000000" w:rsidRDefault="00000000">
            <w:pPr>
              <w:keepNext/>
              <w:spacing w:before="10" w:after="10"/>
              <w:ind w:right="170"/>
              <w:jc w:val="right"/>
              <w:rPr>
                <w:sz w:val="22"/>
              </w:rPr>
            </w:pPr>
            <w:r>
              <w:rPr>
                <w:sz w:val="22"/>
              </w:rPr>
              <w:t>1,1</w:t>
            </w:r>
          </w:p>
        </w:tc>
      </w:tr>
      <w:tr w:rsidR="00000000">
        <w:tblPrEx>
          <w:tblCellMar>
            <w:top w:w="0" w:type="dxa"/>
            <w:bottom w:w="0" w:type="dxa"/>
          </w:tblCellMar>
        </w:tblPrEx>
        <w:trPr>
          <w:cantSplit/>
        </w:trPr>
        <w:tc>
          <w:tcPr>
            <w:tcW w:w="5642" w:type="dxa"/>
          </w:tcPr>
          <w:p w:rsidR="00000000" w:rsidRDefault="00000000">
            <w:pPr>
              <w:keepNext/>
              <w:spacing w:before="10" w:after="10"/>
              <w:ind w:left="284"/>
              <w:rPr>
                <w:sz w:val="22"/>
              </w:rPr>
            </w:pPr>
            <w:r>
              <w:rPr>
                <w:sz w:val="22"/>
              </w:rPr>
              <w:t>Iran</w:t>
            </w:r>
          </w:p>
        </w:tc>
        <w:tc>
          <w:tcPr>
            <w:tcW w:w="963" w:type="dxa"/>
          </w:tcPr>
          <w:p w:rsidR="00000000" w:rsidRDefault="00000000">
            <w:pPr>
              <w:keepNext/>
              <w:spacing w:before="10" w:after="10"/>
              <w:ind w:right="170"/>
              <w:jc w:val="right"/>
              <w:rPr>
                <w:sz w:val="22"/>
              </w:rPr>
            </w:pPr>
            <w:r>
              <w:rPr>
                <w:sz w:val="22"/>
              </w:rPr>
              <w:t>1,1</w:t>
            </w:r>
          </w:p>
        </w:tc>
        <w:tc>
          <w:tcPr>
            <w:tcW w:w="964" w:type="dxa"/>
          </w:tcPr>
          <w:p w:rsidR="00000000" w:rsidRDefault="00000000">
            <w:pPr>
              <w:keepNext/>
              <w:spacing w:before="10" w:after="10"/>
              <w:ind w:right="170"/>
              <w:jc w:val="right"/>
              <w:rPr>
                <w:sz w:val="22"/>
              </w:rPr>
            </w:pPr>
            <w:r>
              <w:rPr>
                <w:sz w:val="22"/>
              </w:rPr>
              <w:t>1,2</w:t>
            </w:r>
          </w:p>
        </w:tc>
        <w:tc>
          <w:tcPr>
            <w:tcW w:w="964" w:type="dxa"/>
          </w:tcPr>
          <w:p w:rsidR="00000000" w:rsidRDefault="00000000">
            <w:pPr>
              <w:keepNext/>
              <w:spacing w:before="10" w:after="10"/>
              <w:ind w:right="170"/>
              <w:jc w:val="right"/>
              <w:rPr>
                <w:sz w:val="22"/>
              </w:rPr>
            </w:pPr>
            <w:r>
              <w:rPr>
                <w:sz w:val="22"/>
              </w:rPr>
              <w:t>1,2</w:t>
            </w:r>
          </w:p>
        </w:tc>
        <w:tc>
          <w:tcPr>
            <w:tcW w:w="964" w:type="dxa"/>
          </w:tcPr>
          <w:p w:rsidR="00000000" w:rsidRDefault="00000000">
            <w:pPr>
              <w:keepNext/>
              <w:spacing w:before="10" w:after="10"/>
              <w:ind w:right="170"/>
              <w:jc w:val="right"/>
              <w:rPr>
                <w:sz w:val="22"/>
              </w:rPr>
            </w:pPr>
            <w:r>
              <w:rPr>
                <w:sz w:val="22"/>
              </w:rPr>
              <w:t>1,2</w:t>
            </w:r>
          </w:p>
        </w:tc>
      </w:tr>
    </w:tbl>
    <w:p w:rsidR="00000000" w:rsidRDefault="00000000">
      <w:pPr>
        <w:spacing w:before="120" w:after="240"/>
      </w:pPr>
      <w:r>
        <w:rPr>
          <w:i/>
          <w:iCs/>
          <w:szCs w:val="22"/>
        </w:rPr>
        <w:t>Source</w:t>
      </w:r>
      <w:r>
        <w:rPr>
          <w:szCs w:val="22"/>
        </w:rPr>
        <w:t>: Office fédéral de la statistique, Statistique de la population résidente de n</w:t>
      </w:r>
      <w:r>
        <w:rPr>
          <w:szCs w:val="22"/>
        </w:rPr>
        <w:t>a</w:t>
      </w:r>
      <w:r>
        <w:rPr>
          <w:szCs w:val="22"/>
        </w:rPr>
        <w:t>tionalité</w:t>
      </w:r>
      <w:r>
        <w:t xml:space="preserve"> étrangère (P</w:t>
      </w:r>
      <w:r>
        <w:t>E</w:t>
      </w:r>
      <w:r>
        <w:t>TRA), à l’exclusion des réfugiés reconnus.</w:t>
      </w:r>
    </w:p>
    <w:p w:rsidR="00000000" w:rsidRDefault="00000000">
      <w:pPr>
        <w:spacing w:after="240"/>
      </w:pPr>
      <w:r>
        <w:t>12.</w:t>
      </w:r>
      <w:r>
        <w:tab/>
        <w:t>À la fin de l’année 2004, 79 374 personnes vivaient en Suisse au bén</w:t>
      </w:r>
      <w:r>
        <w:t>é</w:t>
      </w:r>
      <w:r>
        <w:t>fice d’un titre de séjour relevant du domaine de l’asile. 30,6 % d’entre elles avaient le statut de réfugié, 29,5 % avaient été admises à titre provisoire, et 17,9 % faisaient l’objet d’une procédure d’exécution après avoir obtenu une décision définitive. Pour le reste, 6 251 r</w:t>
      </w:r>
      <w:r>
        <w:t>e</w:t>
      </w:r>
      <w:r>
        <w:t>quêtes étaient en suspens en première instance et 11 214 demandes tranchées en première instance n’étaient pas e</w:t>
      </w:r>
      <w:r>
        <w:t>n</w:t>
      </w:r>
      <w:r>
        <w:t>core entrées en force (22 % des personnes dans le d</w:t>
      </w:r>
      <w:r>
        <w:t>o</w:t>
      </w:r>
      <w:r>
        <w:t>maine de l’asile)</w:t>
      </w:r>
      <w:r>
        <w:rPr>
          <w:rStyle w:val="FootnoteReference"/>
        </w:rPr>
        <w:footnoteReference w:id="13"/>
      </w:r>
      <w:r>
        <w:t>.</w:t>
      </w:r>
    </w:p>
    <w:p w:rsidR="00000000" w:rsidRDefault="00000000">
      <w:pPr>
        <w:spacing w:after="240"/>
      </w:pPr>
      <w:r>
        <w:t>13.</w:t>
      </w:r>
      <w:r>
        <w:tab/>
        <w:t>En 2004, 19 157 demandes ont été tranchées en première instance, soit 29,9 % de moins qu’en 2003. L’entrée en matière a été refusée dans 5 193 cas. En 2004, le pource</w:t>
      </w:r>
      <w:r>
        <w:t>n</w:t>
      </w:r>
      <w:r>
        <w:t xml:space="preserve">tage des demandes d’asile acceptées était de 9,2 %. Cette même année, les personnes qui ont quitté le domaine de l’asile étaient plus nombreuses que celles qui y sont entrées. Parmi cette première catégorie de personnes on trouve, d’une part, celles qui, de leur plein gré ou de manière contrôlée, ont quitté la Suisse pour leur pays d’origine ou pour un pays tiers une fois leur procédure d’asile close et, d’autre part, les personnes ayant abandonné la procédure d’asile après une décision de </w:t>
      </w:r>
      <w:proofErr w:type="spellStart"/>
      <w:r>
        <w:t>non</w:t>
      </w:r>
      <w:r>
        <w:noBreakHyphen/>
        <w:t>entrée</w:t>
      </w:r>
      <w:proofErr w:type="spellEnd"/>
      <w:r>
        <w:t xml:space="preserve"> en matière. 1 143 personnes sont en outre passées de la compétence de la Confédération à celle des cantons.</w:t>
      </w:r>
    </w:p>
    <w:p w:rsidR="00000000" w:rsidRDefault="00000000">
      <w:pPr>
        <w:spacing w:after="240"/>
      </w:pPr>
      <w:r>
        <w:t>14.</w:t>
      </w:r>
      <w:r>
        <w:tab/>
        <w:t>La tendance à une diminution des nouvelles demandes d’asile, amorcée en juin 2004, lorsque le nombre des nouvelles requêtes s’est mis à baisser mois après mois, s’est poursuivi en 2005 pour atteindre le creux de la vague en février (674 demandes d’asile). Les mois su</w:t>
      </w:r>
      <w:r>
        <w:t>i</w:t>
      </w:r>
      <w:r>
        <w:t>vants, les demandes d’asile se sont de nouveau multipliées, pour atteindre 892 en août 2005. À fin août, on comptait alors au total 73 379 personnes enregistrées dans le domaine de l’asile. La procédure de première instance était encore en cours dans le cas de 5 214 perso</w:t>
      </w:r>
      <w:r>
        <w:t>n</w:t>
      </w:r>
      <w:r>
        <w:t>nes</w:t>
      </w:r>
      <w:r>
        <w:rPr>
          <w:rStyle w:val="FootnoteReference"/>
        </w:rPr>
        <w:footnoteReference w:id="14"/>
      </w:r>
      <w:r>
        <w:t>.</w:t>
      </w:r>
    </w:p>
    <w:p w:rsidR="00000000" w:rsidRDefault="00000000">
      <w:pPr>
        <w:keepNext/>
        <w:spacing w:after="240"/>
        <w:jc w:val="center"/>
        <w:rPr>
          <w:b/>
          <w:bCs/>
        </w:rPr>
      </w:pPr>
      <w:bookmarkStart w:id="23" w:name="_Toc163552182"/>
      <w:r>
        <w:rPr>
          <w:b/>
          <w:bCs/>
        </w:rPr>
        <w:t>4.  Minorités linguistiques</w:t>
      </w:r>
      <w:bookmarkEnd w:id="23"/>
    </w:p>
    <w:p w:rsidR="00000000" w:rsidRDefault="00000000">
      <w:pPr>
        <w:spacing w:after="240"/>
      </w:pPr>
      <w:r>
        <w:t>15.</w:t>
      </w:r>
      <w:r>
        <w:tab/>
        <w:t>Les langues principales les plus parlées dans notre pays restent l’allemand (63,7 %), le français (20,4 %), l’italien (6,5 %) et le romanche (0,5 %). La part des autres langues est de 8,9 %. En comparaison avec 1990, cette répartition des quatre langues nationales est restée pratiquement stable. Ce qui a changé, c’est que le nombre des personnes parlant le se</w:t>
      </w:r>
      <w:r>
        <w:t>r</w:t>
      </w:r>
      <w:r>
        <w:t>be, le croate, l’albanais, le portugais, l’espagnol, l’anglais ou le turc est aujourd’hui nettement plus grand que celui des personnes parlant le romanche.</w:t>
      </w:r>
    </w:p>
    <w:p w:rsidR="00000000" w:rsidRDefault="00000000">
      <w:pPr>
        <w:spacing w:after="240"/>
      </w:pPr>
      <w:r>
        <w:t>16.</w:t>
      </w:r>
      <w:r>
        <w:tab/>
        <w:t>Contrairement à la répartition des langues nationales, celle des autres langues a év</w:t>
      </w:r>
      <w:r>
        <w:t>o</w:t>
      </w:r>
      <w:r>
        <w:t>lué. Bien que leur part soit également restée pratiquement stable dans l’ensemble, les la</w:t>
      </w:r>
      <w:r>
        <w:t>n</w:t>
      </w:r>
      <w:r>
        <w:t>gues slaves ont gagné du terrain aux dépens des langues d’origine latine: 1,4 % de la popul</w:t>
      </w:r>
      <w:r>
        <w:t>a</w:t>
      </w:r>
      <w:r>
        <w:t>tion parle ainsi une langue slave de l’</w:t>
      </w:r>
      <w:proofErr w:type="spellStart"/>
      <w:r>
        <w:t>ex</w:t>
      </w:r>
      <w:r>
        <w:noBreakHyphen/>
        <w:t>Yougoslavie</w:t>
      </w:r>
      <w:proofErr w:type="spellEnd"/>
      <w:r>
        <w:t>, 1,3 % l’albanais, 1,2 % le portugais, 1,1 % l’espagnol, 1 % l’anglais et 2,9 % une autre langue</w:t>
      </w:r>
      <w:r>
        <w:rPr>
          <w:rStyle w:val="FootnoteReference"/>
        </w:rPr>
        <w:footnoteReference w:id="15"/>
      </w:r>
      <w:r>
        <w:t>. Une grande majorité des étrangers ma</w:t>
      </w:r>
      <w:r>
        <w:t>î</w:t>
      </w:r>
      <w:r>
        <w:t>trisent cependant une des langues nationales et l’utilisent comme langue principale.</w:t>
      </w:r>
    </w:p>
    <w:p w:rsidR="00000000" w:rsidRDefault="00000000">
      <w:pPr>
        <w:keepNext/>
        <w:spacing w:after="240"/>
        <w:jc w:val="center"/>
        <w:rPr>
          <w:b/>
          <w:bCs/>
        </w:rPr>
      </w:pPr>
      <w:bookmarkStart w:id="24" w:name="_Toc163552183"/>
      <w:r>
        <w:rPr>
          <w:b/>
          <w:bCs/>
        </w:rPr>
        <w:t>5.  Minorités religieuses</w:t>
      </w:r>
      <w:bookmarkEnd w:id="24"/>
    </w:p>
    <w:p w:rsidR="00000000" w:rsidRDefault="00000000">
      <w:pPr>
        <w:spacing w:after="240"/>
      </w:pPr>
      <w:r>
        <w:t>17.</w:t>
      </w:r>
      <w:r>
        <w:tab/>
        <w:t>Les personnes de confession catholique romaine (41,8 %) et évangélique réformée (33,0 %) constituent toujours les deux principaux groupes religieux de Suisse. Dans les a</w:t>
      </w:r>
      <w:r>
        <w:t>n</w:t>
      </w:r>
      <w:r>
        <w:t>nées 90, l’appartenance religieuse a été marquée par deux tendances très nettes: l’augmentation frappante de la proportion des personnes n’appartenant plus à aucune co</w:t>
      </w:r>
      <w:r>
        <w:t>m</w:t>
      </w:r>
      <w:r>
        <w:t>munauté religieuse (de 7,4 % à 11,1 %) et la progression des communautés religieuses chr</w:t>
      </w:r>
      <w:r>
        <w:t>é</w:t>
      </w:r>
      <w:r>
        <w:t>tienne orthodoxe et musulmane.</w:t>
      </w:r>
    </w:p>
    <w:p w:rsidR="00000000" w:rsidRDefault="00000000">
      <w:pPr>
        <w:spacing w:after="240"/>
      </w:pPr>
      <w:r>
        <w:t>18.</w:t>
      </w:r>
      <w:r>
        <w:tab/>
        <w:t>Le nombre des musulmans, en particulier, a plus que doublé en dix ans, puisqu’il est passé de 152 200 à  310 800 personnes (4,3 % de la population résidente). La rapidité de cette progression s’explique avant tout par les flux migratoires en provenance du Kosovo, de </w:t>
      </w:r>
      <w:proofErr w:type="spellStart"/>
      <w:r>
        <w:t>Bo</w:t>
      </w:r>
      <w:r>
        <w:t>s</w:t>
      </w:r>
      <w:r>
        <w:t>nie</w:t>
      </w:r>
      <w:r>
        <w:noBreakHyphen/>
        <w:t>Herzégovine</w:t>
      </w:r>
      <w:proofErr w:type="spellEnd"/>
      <w:r>
        <w:t>, de l’</w:t>
      </w:r>
      <w:proofErr w:type="spellStart"/>
      <w:r>
        <w:t>ex</w:t>
      </w:r>
      <w:r>
        <w:noBreakHyphen/>
        <w:t>République</w:t>
      </w:r>
      <w:proofErr w:type="spellEnd"/>
      <w:r>
        <w:t xml:space="preserve"> yougoslave de Macédoine et de Turquie. Les immigrants originaires de Serbie, du Monténégro, de </w:t>
      </w:r>
      <w:proofErr w:type="spellStart"/>
      <w:r>
        <w:t>Bosnie</w:t>
      </w:r>
      <w:r>
        <w:noBreakHyphen/>
        <w:t>Herzégovine</w:t>
      </w:r>
      <w:proofErr w:type="spellEnd"/>
      <w:r>
        <w:t>, de l’</w:t>
      </w:r>
      <w:proofErr w:type="spellStart"/>
      <w:r>
        <w:t>ex</w:t>
      </w:r>
      <w:r>
        <w:noBreakHyphen/>
        <w:t>République</w:t>
      </w:r>
      <w:proofErr w:type="spellEnd"/>
      <w:r>
        <w:t xml:space="preserve"> yougoslave de Macédoine et d’autres pays d’</w:t>
      </w:r>
      <w:proofErr w:type="spellStart"/>
      <w:r>
        <w:t>Europe</w:t>
      </w:r>
      <w:proofErr w:type="spellEnd"/>
      <w:r>
        <w:t xml:space="preserve"> centrale ou orientale sont également venus renforcer considér</w:t>
      </w:r>
      <w:r>
        <w:t>a</w:t>
      </w:r>
      <w:r>
        <w:t>blement les communautés religieuses chrétiennes orthodoxes. Elles comptent aujourd’hui plus de 130 000 personnes (1,8 %) et ont ainsi avancé au rang de troisième confession chr</w:t>
      </w:r>
      <w:r>
        <w:t>é</w:t>
      </w:r>
      <w:r>
        <w:t>tienne. La part représentée par les communautés religieuses israélites (0,2 %) est en reva</w:t>
      </w:r>
      <w:r>
        <w:t>n</w:t>
      </w:r>
      <w:r>
        <w:t>che restée constante</w:t>
      </w:r>
      <w:r>
        <w:rPr>
          <w:rStyle w:val="FootnoteReference"/>
        </w:rPr>
        <w:footnoteReference w:id="16"/>
      </w:r>
      <w:r>
        <w:t>.</w:t>
      </w:r>
    </w:p>
    <w:p w:rsidR="00000000" w:rsidRDefault="00000000">
      <w:pPr>
        <w:keepNext/>
        <w:spacing w:after="240"/>
        <w:jc w:val="center"/>
        <w:rPr>
          <w:b/>
          <w:bCs/>
        </w:rPr>
      </w:pPr>
      <w:bookmarkStart w:id="25" w:name="_Toc163552184"/>
      <w:r>
        <w:rPr>
          <w:b/>
          <w:bCs/>
        </w:rPr>
        <w:t>6.  Minorités ethniques</w:t>
      </w:r>
      <w:bookmarkEnd w:id="25"/>
    </w:p>
    <w:p w:rsidR="00000000" w:rsidRDefault="00000000">
      <w:pPr>
        <w:spacing w:after="240"/>
      </w:pPr>
      <w:r>
        <w:t>19.</w:t>
      </w:r>
      <w:r>
        <w:tab/>
        <w:t>Dans son rapport d’expertise consacré à l’aménagement du territoire et au statut jur</w:t>
      </w:r>
      <w:r>
        <w:t>i</w:t>
      </w:r>
      <w:r>
        <w:t>dique des gens du voyage, publié en 2001, la fondation «Assurer l’avenir des gens du voyage suisses» estime le nombre des personnes appartenant à ce groupe de population en Suisse à environ 35 000, dont 3 000 à peu près auraient conservé leur mode de vie nomade.</w:t>
      </w:r>
    </w:p>
    <w:p w:rsidR="00000000" w:rsidRDefault="00000000">
      <w:pPr>
        <w:keepNext/>
        <w:spacing w:after="240"/>
        <w:jc w:val="center"/>
        <w:rPr>
          <w:b/>
          <w:bCs/>
          <w:szCs w:val="24"/>
        </w:rPr>
      </w:pPr>
      <w:bookmarkStart w:id="26" w:name="_Toc150668807"/>
      <w:bookmarkStart w:id="27" w:name="_Toc163552185"/>
      <w:r>
        <w:rPr>
          <w:b/>
          <w:bCs/>
          <w:szCs w:val="24"/>
        </w:rPr>
        <w:t>C.  Bases constitutionnelles et législatives</w:t>
      </w:r>
      <w:bookmarkEnd w:id="26"/>
      <w:bookmarkEnd w:id="27"/>
    </w:p>
    <w:p w:rsidR="00000000" w:rsidRDefault="00000000">
      <w:pPr>
        <w:spacing w:after="240"/>
      </w:pPr>
      <w:r>
        <w:t>20.</w:t>
      </w:r>
      <w:r>
        <w:tab/>
        <w:t>Les bases générales d’ordre constitutionnel ou législatif destinées à lutter contre le racisme ont été décrites dans les rapports précédents (CERD/C/351/Add.2 et HRI/CORE/Add.29/Rev.1). Dans le chapitre suivant, nous ne ferons donc mention que des bases constitutionnelles ou législatives qui ont été révisées ou qui sont entrées en vigueur dans l’intervalle. Dans la mesure où ils sont pertinents, ces in</w:t>
      </w:r>
      <w:r>
        <w:t>s</w:t>
      </w:r>
      <w:r>
        <w:t>truments seront éclairés de plus près dans la deuxième ou dans la troisième partie du présent rapport.</w:t>
      </w:r>
    </w:p>
    <w:p w:rsidR="00000000" w:rsidRDefault="00000000">
      <w:pPr>
        <w:keepNext/>
        <w:spacing w:after="240"/>
        <w:jc w:val="center"/>
        <w:rPr>
          <w:b/>
          <w:bCs/>
        </w:rPr>
      </w:pPr>
      <w:bookmarkStart w:id="28" w:name="_Toc163552186"/>
      <w:r>
        <w:rPr>
          <w:b/>
          <w:bCs/>
        </w:rPr>
        <w:t>1.  Signature et ratification de conventions internationales</w:t>
      </w:r>
      <w:bookmarkEnd w:id="28"/>
    </w:p>
    <w:p w:rsidR="00000000" w:rsidRDefault="00000000">
      <w:pPr>
        <w:keepNext/>
        <w:spacing w:after="240"/>
        <w:rPr>
          <w:b/>
          <w:bCs/>
          <w:i/>
          <w:iCs/>
        </w:rPr>
      </w:pPr>
      <w:bookmarkStart w:id="29" w:name="_Toc163552187"/>
      <w:r>
        <w:rPr>
          <w:b/>
          <w:bCs/>
          <w:i/>
          <w:iCs/>
        </w:rPr>
        <w:t>a)</w:t>
      </w:r>
      <w:r>
        <w:rPr>
          <w:b/>
          <w:bCs/>
          <w:i/>
          <w:iCs/>
        </w:rPr>
        <w:tab/>
        <w:t>Conventions internationales de l’Organisation des Nations Unies</w:t>
      </w:r>
      <w:bookmarkEnd w:id="29"/>
    </w:p>
    <w:p w:rsidR="00000000" w:rsidRDefault="00000000">
      <w:pPr>
        <w:spacing w:after="240"/>
      </w:pPr>
      <w:r>
        <w:t>21.</w:t>
      </w:r>
      <w:r>
        <w:tab/>
        <w:t>Le Protocole facultatif à la Convention relative aux droits de l’enfant, concernant l’implication d’enfants dans les conflits armés</w:t>
      </w:r>
      <w:r>
        <w:rPr>
          <w:rStyle w:val="FootnoteReference"/>
        </w:rPr>
        <w:footnoteReference w:id="17"/>
      </w:r>
      <w:r>
        <w:t>, est entré en vigueur pour la Suisse le 26 jui</w:t>
      </w:r>
      <w:r>
        <w:t>l</w:t>
      </w:r>
      <w:r>
        <w:t>let 2002.</w:t>
      </w:r>
    </w:p>
    <w:p w:rsidR="00000000" w:rsidRDefault="00000000">
      <w:pPr>
        <w:spacing w:after="240"/>
      </w:pPr>
      <w:r>
        <w:t>22.</w:t>
      </w:r>
      <w:r>
        <w:tab/>
        <w:t>Le Protocole facultatif se rapportant à la Convention relative aux droits de l’enfant, concernant la vente d’enfants, la prostitution des enfants et la pornographie mettant en scène des enfants, a été signé le 7 septembre 2000. Avant que le Parlement puisse appro</w:t>
      </w:r>
      <w:r>
        <w:t>u</w:t>
      </w:r>
      <w:r>
        <w:t>ver sa ratification, il a fallu adapter les dispositions pénales régissant le crime de traite d’êtres h</w:t>
      </w:r>
      <w:r>
        <w:t>u</w:t>
      </w:r>
      <w:r>
        <w:t>mains (art. 182 P</w:t>
      </w:r>
      <w:r>
        <w:noBreakHyphen/>
        <w:t>CP) aux normes internationales en élargissant la définition de l’infraction</w:t>
      </w:r>
      <w:r>
        <w:rPr>
          <w:rStyle w:val="FootnoteReference"/>
        </w:rPr>
        <w:footnoteReference w:id="18"/>
      </w:r>
      <w:r>
        <w:t>.</w:t>
      </w:r>
    </w:p>
    <w:p w:rsidR="00000000" w:rsidRDefault="00000000">
      <w:pPr>
        <w:spacing w:after="240"/>
      </w:pPr>
      <w:r>
        <w:t>23.</w:t>
      </w:r>
      <w:r>
        <w:tab/>
        <w:t>Le 25 juin 2004, la Suisse a signé le Protocole facultatif du 18 décembre 2002 se rapportant à la Convention contre la torture et autres peines ou traitements cruels, inhumains ou dégradants. Cet instrument vise à accroître la protection des personnes emprisonnées ou détenues au moyen de visites et de contrôles par des autorités de surveillance indépenda</w:t>
      </w:r>
      <w:r>
        <w:t>n</w:t>
      </w:r>
      <w:r>
        <w:t>tes, nationales ou internationales. Si la procédure de consultation dont a fait l’objet le projet de ratification du Protocole facultatif est close, l’analyse des résultats n’est pas encore term</w:t>
      </w:r>
      <w:r>
        <w:t>i</w:t>
      </w:r>
      <w:r>
        <w:t>née. Il est prévu que le message relatif à la ratification du Protocole et aux dispositions lég</w:t>
      </w:r>
      <w:r>
        <w:t>i</w:t>
      </w:r>
      <w:r>
        <w:t>slatives nécessaires à sa mise en œuvre soit soumis au Parlement avant la fin de l’année.</w:t>
      </w:r>
    </w:p>
    <w:p w:rsidR="00000000" w:rsidRDefault="00000000">
      <w:pPr>
        <w:spacing w:after="240"/>
      </w:pPr>
      <w:r>
        <w:t>24.</w:t>
      </w:r>
      <w:r>
        <w:tab/>
        <w:t>Les deux Protocoles additionnels à la Convention internationale contre la criminalité tran</w:t>
      </w:r>
      <w:r>
        <w:t>s</w:t>
      </w:r>
      <w:r>
        <w:t>nationale organisée, que la Suisse a signés le 2 avril 2002, sont prêts à être soumis au Pa</w:t>
      </w:r>
      <w:r>
        <w:t>r</w:t>
      </w:r>
      <w:r>
        <w:t>lement:</w:t>
      </w:r>
    </w:p>
    <w:p w:rsidR="00000000" w:rsidRDefault="00000000">
      <w:pPr>
        <w:numPr>
          <w:ilvl w:val="0"/>
          <w:numId w:val="94"/>
        </w:numPr>
        <w:spacing w:after="240"/>
      </w:pPr>
      <w:r>
        <w:t>Protocole additionnel visant à prévenir, réprimer et punir la traite des personnes, en particulier des femmes et des enfants; il s’agit là d’un instrument de lutte contre le trafic d’êtres humains en vue de leur exploitation, qui vise tout spécial</w:t>
      </w:r>
      <w:r>
        <w:t>e</w:t>
      </w:r>
      <w:r>
        <w:t>ment la traite des femmes et des enfants.</w:t>
      </w:r>
    </w:p>
    <w:p w:rsidR="00000000" w:rsidRDefault="00000000">
      <w:pPr>
        <w:numPr>
          <w:ilvl w:val="0"/>
          <w:numId w:val="94"/>
        </w:numPr>
        <w:spacing w:after="240"/>
      </w:pPr>
      <w:r>
        <w:t xml:space="preserve">Protocole additionnel contre le trafic illicite de migrants par terre, air et mer; </w:t>
      </w:r>
      <w:r>
        <w:br/>
        <w:t>en vertu de ses dispositions, les États sont tenus de poursuivre pénalement le trafic de migrants en vue de leur exploitation de même que la fabrication ou la mise à disposition de documents falsifiés.</w:t>
      </w:r>
    </w:p>
    <w:p w:rsidR="00000000" w:rsidRDefault="00000000">
      <w:pPr>
        <w:spacing w:after="240"/>
      </w:pPr>
      <w:r>
        <w:t>25.</w:t>
      </w:r>
      <w:r>
        <w:tab/>
        <w:t>Dans le Programme de la législature, la ratification du Protocole facultatif à la Conve</w:t>
      </w:r>
      <w:r>
        <w:t>n</w:t>
      </w:r>
      <w:r>
        <w:t>tion sur l’élimination de toutes les formes de discrimination à l’égard des femmes (CEDAW) est prévue avant 2007. Elle est donc en préparation.</w:t>
      </w:r>
    </w:p>
    <w:p w:rsidR="00000000" w:rsidRDefault="00000000">
      <w:pPr>
        <w:keepNext/>
        <w:spacing w:after="240"/>
        <w:rPr>
          <w:b/>
          <w:bCs/>
        </w:rPr>
      </w:pPr>
      <w:bookmarkStart w:id="30" w:name="_Toc163552188"/>
      <w:r>
        <w:rPr>
          <w:b/>
          <w:bCs/>
          <w:i/>
          <w:iCs/>
        </w:rPr>
        <w:t>b)</w:t>
      </w:r>
      <w:r>
        <w:rPr>
          <w:b/>
          <w:bCs/>
          <w:i/>
          <w:iCs/>
        </w:rPr>
        <w:tab/>
        <w:t>Conventions régionales relatives aux droits humains</w:t>
      </w:r>
      <w:bookmarkEnd w:id="30"/>
    </w:p>
    <w:p w:rsidR="00000000" w:rsidRDefault="00000000">
      <w:pPr>
        <w:spacing w:after="240"/>
      </w:pPr>
      <w:r>
        <w:t>26.</w:t>
      </w:r>
      <w:r>
        <w:tab/>
        <w:t>Le Protocole n</w:t>
      </w:r>
      <w:r>
        <w:rPr>
          <w:vertAlign w:val="superscript"/>
        </w:rPr>
        <w:t>o</w:t>
      </w:r>
      <w:r>
        <w:t xml:space="preserve"> 13 de 2002 à la Convention de sauvegarde des droits humains et des libertés fondamentales (CEDH)</w:t>
      </w:r>
      <w:r>
        <w:rPr>
          <w:rStyle w:val="FootnoteReference"/>
        </w:rPr>
        <w:footnoteReference w:id="19"/>
      </w:r>
      <w:r>
        <w:t>, relatif à l’abolition de la peine de mort en toutes circonsta</w:t>
      </w:r>
      <w:r>
        <w:t>n</w:t>
      </w:r>
      <w:r>
        <w:t>ces, a été ratifié par la Suisse le 3 mai 2002. Il est entré en vigueur pour la Suisse le 1</w:t>
      </w:r>
      <w:r>
        <w:rPr>
          <w:vertAlign w:val="superscript"/>
        </w:rPr>
        <w:t>er</w:t>
      </w:r>
      <w:r>
        <w:t xml:space="preserve"> juillet 2003.</w:t>
      </w:r>
    </w:p>
    <w:p w:rsidR="00000000" w:rsidRDefault="00000000">
      <w:pPr>
        <w:spacing w:after="240"/>
      </w:pPr>
      <w:r>
        <w:t>27.</w:t>
      </w:r>
      <w:r>
        <w:tab/>
        <w:t xml:space="preserve">Le 9 octobre 2003, le Conseil fédéral a signé le Protocole additionnel à la Convention du Conseil de l’Europe sur la </w:t>
      </w:r>
      <w:proofErr w:type="spellStart"/>
      <w:r>
        <w:t>cybercriminalité</w:t>
      </w:r>
      <w:proofErr w:type="spellEnd"/>
      <w:r>
        <w:t>. La Suisse a la conviction que la pénalisation des actes de nature raciste ou xénophobe commis par le biais de systèmes informatiques doit être internationalisée. Les États membres du Conseil de l’Europe ont jugé ce protocole add</w:t>
      </w:r>
      <w:r>
        <w:t>i</w:t>
      </w:r>
      <w:r>
        <w:t>tionnel nécessaire aux fins de normaliser la lutte contre ce type de criminalité. En cons</w:t>
      </w:r>
      <w:r>
        <w:t>é</w:t>
      </w:r>
      <w:r>
        <w:t>quence, un Service national de coordination de la lutte contre la criminalité sur Internet (SCOCI)</w:t>
      </w:r>
      <w:r>
        <w:rPr>
          <w:rStyle w:val="FootnoteReference"/>
        </w:rPr>
        <w:footnoteReference w:id="20"/>
      </w:r>
      <w:r>
        <w:t xml:space="preserve"> a été créé au Département fédéral de justice et police (DFJP). Cet organisme est un point de contact central pour les personnes souhaitant signaler l’existence de sites à contenu raciste.</w:t>
      </w:r>
    </w:p>
    <w:p w:rsidR="00000000" w:rsidRDefault="00000000">
      <w:pPr>
        <w:keepNext/>
        <w:spacing w:after="240"/>
        <w:rPr>
          <w:b/>
          <w:bCs/>
        </w:rPr>
      </w:pPr>
      <w:bookmarkStart w:id="31" w:name="_Toc163552189"/>
      <w:r>
        <w:rPr>
          <w:b/>
          <w:bCs/>
          <w:i/>
          <w:iCs/>
        </w:rPr>
        <w:t>c)</w:t>
      </w:r>
      <w:r>
        <w:rPr>
          <w:b/>
          <w:bCs/>
          <w:i/>
          <w:iCs/>
        </w:rPr>
        <w:tab/>
        <w:t>Révision de la Constitution fédérale (</w:t>
      </w:r>
      <w:proofErr w:type="spellStart"/>
      <w:r>
        <w:rPr>
          <w:b/>
          <w:bCs/>
          <w:i/>
          <w:iCs/>
        </w:rPr>
        <w:t>Cst</w:t>
      </w:r>
      <w:proofErr w:type="spellEnd"/>
      <w:r>
        <w:rPr>
          <w:b/>
          <w:bCs/>
          <w:i/>
          <w:iCs/>
        </w:rPr>
        <w:t>.)</w:t>
      </w:r>
      <w:bookmarkEnd w:id="31"/>
    </w:p>
    <w:p w:rsidR="00000000" w:rsidRDefault="00000000">
      <w:pPr>
        <w:spacing w:after="240"/>
      </w:pPr>
      <w:r>
        <w:rPr>
          <w:szCs w:val="22"/>
        </w:rPr>
        <w:t>28.</w:t>
      </w:r>
      <w:r>
        <w:rPr>
          <w:szCs w:val="22"/>
        </w:rPr>
        <w:tab/>
        <w:t>Dans le contexte de la révision de la Constitution, le Gouvernement suisse avait pr</w:t>
      </w:r>
      <w:r>
        <w:rPr>
          <w:szCs w:val="22"/>
        </w:rPr>
        <w:t>é</w:t>
      </w:r>
      <w:r>
        <w:rPr>
          <w:szCs w:val="22"/>
        </w:rPr>
        <w:t>paré un train de réformes impliquant une refonte des droits populaires. Ce projet, qui visait à élim</w:t>
      </w:r>
      <w:r>
        <w:rPr>
          <w:szCs w:val="22"/>
        </w:rPr>
        <w:t>i</w:t>
      </w:r>
      <w:r>
        <w:rPr>
          <w:szCs w:val="22"/>
        </w:rPr>
        <w:t>ner les lacunes qu’accusaient ces derniers, a toutefois été rejeté par le Parlement, qui ne voulait pas que l’extension prévue de la démocratie directe soit liée à une augmentation du nombre des signatures requises pour l’exercice du droit de référendum et d’initiative pop</w:t>
      </w:r>
      <w:r>
        <w:rPr>
          <w:szCs w:val="22"/>
        </w:rPr>
        <w:t>u</w:t>
      </w:r>
      <w:r>
        <w:rPr>
          <w:szCs w:val="22"/>
        </w:rPr>
        <w:t>laire. Le Parlement a néanmoins repris les propositions du Gouvernement qui lui paraissaient acce</w:t>
      </w:r>
      <w:r>
        <w:rPr>
          <w:szCs w:val="22"/>
        </w:rPr>
        <w:t>p</w:t>
      </w:r>
      <w:r>
        <w:rPr>
          <w:szCs w:val="22"/>
        </w:rPr>
        <w:t>tables et les a refondues dans les deux réformes suivantes:</w:t>
      </w:r>
    </w:p>
    <w:p w:rsidR="00000000" w:rsidRDefault="00000000">
      <w:pPr>
        <w:spacing w:after="240"/>
      </w:pPr>
      <w:r>
        <w:rPr>
          <w:szCs w:val="22"/>
        </w:rPr>
        <w:t>29.</w:t>
      </w:r>
      <w:r>
        <w:rPr>
          <w:szCs w:val="22"/>
        </w:rPr>
        <w:tab/>
        <w:t>Le 1</w:t>
      </w:r>
      <w:r>
        <w:rPr>
          <w:szCs w:val="22"/>
          <w:vertAlign w:val="superscript"/>
        </w:rPr>
        <w:t>er</w:t>
      </w:r>
      <w:r>
        <w:rPr>
          <w:szCs w:val="22"/>
        </w:rPr>
        <w:t xml:space="preserve"> août 2003, les dispositions d’élargissement du référendum en matière de traités internationaux sont entrées en vigueur. Jusqu’alors, les traités internationaux étaient sujets au référendum dans quatre cas: si leur durée était indéterminée et s’ils n’étaient pas </w:t>
      </w:r>
      <w:proofErr w:type="spellStart"/>
      <w:r>
        <w:rPr>
          <w:szCs w:val="22"/>
        </w:rPr>
        <w:t>dénonç</w:t>
      </w:r>
      <w:r>
        <w:rPr>
          <w:szCs w:val="22"/>
        </w:rPr>
        <w:t>a</w:t>
      </w:r>
      <w:r>
        <w:rPr>
          <w:szCs w:val="22"/>
        </w:rPr>
        <w:t>bles</w:t>
      </w:r>
      <w:proofErr w:type="spellEnd"/>
      <w:r>
        <w:rPr>
          <w:szCs w:val="22"/>
        </w:rPr>
        <w:t>, s’ils prévoyaient l’adhésion à une organisation internationale, s’ils entraînaient une unif</w:t>
      </w:r>
      <w:r>
        <w:rPr>
          <w:szCs w:val="22"/>
        </w:rPr>
        <w:t>i</w:t>
      </w:r>
      <w:r>
        <w:rPr>
          <w:szCs w:val="22"/>
        </w:rPr>
        <w:t>cation multilatérale du droit ou si l’Assemblée fédérale décidait spontanément de les y so</w:t>
      </w:r>
      <w:r>
        <w:rPr>
          <w:szCs w:val="22"/>
        </w:rPr>
        <w:t>u</w:t>
      </w:r>
      <w:r>
        <w:rPr>
          <w:szCs w:val="22"/>
        </w:rPr>
        <w:t xml:space="preserve">mettre. Selon l’article 141 (par. 1 </w:t>
      </w:r>
      <w:r>
        <w:rPr>
          <w:i/>
          <w:iCs/>
          <w:szCs w:val="22"/>
        </w:rPr>
        <w:t>d</w:t>
      </w:r>
      <w:r>
        <w:rPr>
          <w:szCs w:val="22"/>
        </w:rPr>
        <w:t>, al. 3), sont désormais aussi sujets au référendum les tra</w:t>
      </w:r>
      <w:r>
        <w:rPr>
          <w:szCs w:val="22"/>
        </w:rPr>
        <w:t>i</w:t>
      </w:r>
      <w:r>
        <w:rPr>
          <w:szCs w:val="22"/>
        </w:rPr>
        <w:t>tés internationaux qui contiennent des dispositions importantes fixant des règles de droit ou dont la mise en œuvre exige l’adoption de lois fédérales</w:t>
      </w:r>
      <w:r>
        <w:rPr>
          <w:rStyle w:val="FootnoteReference"/>
        </w:rPr>
        <w:footnoteReference w:id="21"/>
      </w:r>
      <w:r>
        <w:rPr>
          <w:szCs w:val="22"/>
        </w:rPr>
        <w:t>.</w:t>
      </w:r>
      <w:r>
        <w:t xml:space="preserve"> </w:t>
      </w:r>
    </w:p>
    <w:p w:rsidR="00000000" w:rsidRDefault="00000000">
      <w:pPr>
        <w:spacing w:after="240"/>
      </w:pPr>
      <w:r>
        <w:t>30.</w:t>
      </w:r>
      <w:r>
        <w:tab/>
        <w:t xml:space="preserve">D’autre part, l’introduction de </w:t>
      </w:r>
      <w:r>
        <w:rPr>
          <w:bCs/>
        </w:rPr>
        <w:t>l’initiative populaire générale</w:t>
      </w:r>
      <w:r>
        <w:t xml:space="preserve"> a été acceptée par le pe</w:t>
      </w:r>
      <w:r>
        <w:t>u</w:t>
      </w:r>
      <w:r>
        <w:t>ple et les cantons le 9 février 2003. Cette modification implique une extension du droit d’initiative dans ce sens que les citoyens pourront désormais aussi proposer des modific</w:t>
      </w:r>
      <w:r>
        <w:t>a</w:t>
      </w:r>
      <w:r>
        <w:t xml:space="preserve">tions législatives. L’article 139 </w:t>
      </w:r>
      <w:r>
        <w:rPr>
          <w:i/>
          <w:iCs/>
        </w:rPr>
        <w:t>a</w:t>
      </w:r>
      <w:r>
        <w:t xml:space="preserve"> de la Constitution fédérale, qui prévoit ce droit d’initiative, n’est toutefois pas e</w:t>
      </w:r>
      <w:r>
        <w:t>n</w:t>
      </w:r>
      <w:r>
        <w:t>core entré en vigueur.</w:t>
      </w:r>
    </w:p>
    <w:p w:rsidR="00000000" w:rsidRDefault="00000000">
      <w:pPr>
        <w:keepNext/>
        <w:spacing w:after="240"/>
        <w:jc w:val="center"/>
        <w:rPr>
          <w:b/>
          <w:bCs/>
        </w:rPr>
      </w:pPr>
      <w:bookmarkStart w:id="32" w:name="_Toc163552190"/>
      <w:r>
        <w:rPr>
          <w:b/>
          <w:bCs/>
        </w:rPr>
        <w:t>2.  Modifications de la législation pénale</w:t>
      </w:r>
      <w:bookmarkEnd w:id="32"/>
    </w:p>
    <w:p w:rsidR="00000000" w:rsidRDefault="00000000">
      <w:pPr>
        <w:keepNext/>
        <w:spacing w:after="240"/>
        <w:rPr>
          <w:b/>
          <w:bCs/>
          <w:i/>
          <w:iCs/>
        </w:rPr>
      </w:pPr>
      <w:bookmarkStart w:id="33" w:name="_Toc477525165"/>
      <w:bookmarkStart w:id="34" w:name="_Toc163552191"/>
      <w:r>
        <w:rPr>
          <w:b/>
          <w:bCs/>
          <w:i/>
          <w:iCs/>
        </w:rPr>
        <w:t>a)</w:t>
      </w:r>
      <w:r>
        <w:rPr>
          <w:b/>
          <w:bCs/>
          <w:i/>
          <w:iCs/>
        </w:rPr>
        <w:tab/>
        <w:t>Code pénal</w:t>
      </w:r>
      <w:bookmarkEnd w:id="33"/>
      <w:bookmarkEnd w:id="34"/>
    </w:p>
    <w:p w:rsidR="00000000" w:rsidRDefault="00000000">
      <w:pPr>
        <w:spacing w:after="240"/>
      </w:pPr>
      <w:r>
        <w:t>31.</w:t>
      </w:r>
      <w:r>
        <w:tab/>
        <w:t>La partie générale du Code pénal</w:t>
      </w:r>
      <w:r>
        <w:rPr>
          <w:b/>
        </w:rPr>
        <w:t xml:space="preserve"> </w:t>
      </w:r>
      <w:r>
        <w:rPr>
          <w:bCs/>
        </w:rPr>
        <w:t xml:space="preserve">suisse </w:t>
      </w:r>
      <w:r>
        <w:t>(CP)</w:t>
      </w:r>
      <w:r>
        <w:rPr>
          <w:rStyle w:val="FootnoteReference"/>
        </w:rPr>
        <w:footnoteReference w:id="22"/>
      </w:r>
      <w:r>
        <w:t xml:space="preserve"> a fait l’objet d’une révision, qui a consisté essentiellement en une refonte du système de sanctions et qui entrera en vigueur au 1</w:t>
      </w:r>
      <w:r>
        <w:rPr>
          <w:vertAlign w:val="superscript"/>
        </w:rPr>
        <w:t>er</w:t>
      </w:r>
      <w:r>
        <w:t xml:space="preserve"> janvier 2007. L’article 386 du Code pénal, qui avait d’abord été intégré dans la révision de la partie gén</w:t>
      </w:r>
      <w:r>
        <w:t>é</w:t>
      </w:r>
      <w:r>
        <w:t>rale, est entré en vigueur par anticipation, au 1</w:t>
      </w:r>
      <w:r>
        <w:rPr>
          <w:vertAlign w:val="superscript"/>
        </w:rPr>
        <w:t>er</w:t>
      </w:r>
      <w:r>
        <w:t xml:space="preserve"> janvier 2006. Cette disposition prévoit l’adoption de m</w:t>
      </w:r>
      <w:r>
        <w:t>e</w:t>
      </w:r>
      <w:r>
        <w:t>sures préventives visant à éviter les infractions et à prévenir la délinquance. Elle sert de base légale à la création et au soutien d’organisations prenant des mesures de ce type. Le Conseil fédéral a décidé l’entrée en vigueur de cette disposition par anticipation pour manife</w:t>
      </w:r>
      <w:r>
        <w:t>s</w:t>
      </w:r>
      <w:r>
        <w:t>ter expressément son soutien aux projets contre le r</w:t>
      </w:r>
      <w:r>
        <w:t>a</w:t>
      </w:r>
      <w:r>
        <w:t xml:space="preserve">cisme. </w:t>
      </w:r>
    </w:p>
    <w:p w:rsidR="00000000" w:rsidRDefault="00000000">
      <w:pPr>
        <w:spacing w:after="240"/>
        <w:rPr>
          <w:szCs w:val="24"/>
        </w:rPr>
      </w:pPr>
      <w:r>
        <w:rPr>
          <w:szCs w:val="24"/>
        </w:rPr>
        <w:t>32.</w:t>
      </w:r>
      <w:r>
        <w:rPr>
          <w:szCs w:val="24"/>
        </w:rPr>
        <w:tab/>
        <w:t>Depuis le 1</w:t>
      </w:r>
      <w:r>
        <w:rPr>
          <w:szCs w:val="24"/>
          <w:vertAlign w:val="superscript"/>
        </w:rPr>
        <w:t>er</w:t>
      </w:r>
      <w:r>
        <w:rPr>
          <w:szCs w:val="24"/>
        </w:rPr>
        <w:t xml:space="preserve"> avril 2004, les violences physiques ou sexuelles dans les couples, m</w:t>
      </w:r>
      <w:r>
        <w:rPr>
          <w:szCs w:val="24"/>
        </w:rPr>
        <w:t>a</w:t>
      </w:r>
      <w:r>
        <w:rPr>
          <w:szCs w:val="24"/>
        </w:rPr>
        <w:t>riés ou non, hétérosexuels ou homosexuels, sont poursuivies d’office et non plus seulement sur plainte. Les modifications apportées au Code pénal ont pour effet que les actes de contrainte sexuelle et les viols sont désormais des infractions poursuivies d’office même s’ils ont été commis à l’intérieur d’un couple, à l’encontre d’un conjoint ou d’un partenaire.</w:t>
      </w:r>
    </w:p>
    <w:p w:rsidR="00000000" w:rsidRDefault="00000000">
      <w:pPr>
        <w:spacing w:after="240"/>
        <w:rPr>
          <w:szCs w:val="24"/>
        </w:rPr>
      </w:pPr>
      <w:r>
        <w:rPr>
          <w:szCs w:val="24"/>
        </w:rPr>
        <w:t>33.</w:t>
      </w:r>
      <w:r>
        <w:rPr>
          <w:szCs w:val="24"/>
        </w:rPr>
        <w:tab/>
        <w:t>Soucieux d’adapter les moyens et les instruments permettant de maintenir la sûreté intérieure aux nouvelles formes de menaces, le Département fédéral de justice et police (</w:t>
      </w:r>
      <w:proofErr w:type="spellStart"/>
      <w:r>
        <w:rPr>
          <w:szCs w:val="24"/>
        </w:rPr>
        <w:t>DFJP</w:t>
      </w:r>
      <w:proofErr w:type="spellEnd"/>
      <w:r>
        <w:rPr>
          <w:szCs w:val="24"/>
        </w:rPr>
        <w:t>) a accéléré la révision des bases lég</w:t>
      </w:r>
      <w:r>
        <w:rPr>
          <w:szCs w:val="24"/>
        </w:rPr>
        <w:t>a</w:t>
      </w:r>
      <w:r>
        <w:rPr>
          <w:szCs w:val="24"/>
        </w:rPr>
        <w:t>les pertinentes, répondant ainsi à différentes interventions parlementaires. Une révision pa</w:t>
      </w:r>
      <w:r>
        <w:rPr>
          <w:szCs w:val="24"/>
        </w:rPr>
        <w:t>r</w:t>
      </w:r>
      <w:r>
        <w:rPr>
          <w:szCs w:val="24"/>
        </w:rPr>
        <w:t>tielle de la loi fédérale instituant des mesures visant au maintien de la sûreté intérieure (LMSI I, II)</w:t>
      </w:r>
      <w:r>
        <w:rPr>
          <w:rStyle w:val="FootnoteReference"/>
          <w:szCs w:val="24"/>
        </w:rPr>
        <w:footnoteReference w:id="23"/>
      </w:r>
      <w:r>
        <w:rPr>
          <w:szCs w:val="24"/>
        </w:rPr>
        <w:t xml:space="preserve"> est ainsi en cours, de même que l’adjonction d’une disposition supplémentaire au Code pénal destinée à renforcer la lutte contre le racisme par une interdiction d’emblèmes racistes</w:t>
      </w:r>
      <w:r>
        <w:rPr>
          <w:rStyle w:val="FootnoteReference"/>
          <w:szCs w:val="24"/>
        </w:rPr>
        <w:footnoteReference w:id="24"/>
      </w:r>
      <w:r>
        <w:rPr>
          <w:szCs w:val="24"/>
        </w:rPr>
        <w:t xml:space="preserve">. </w:t>
      </w:r>
    </w:p>
    <w:p w:rsidR="00000000" w:rsidRDefault="00000000">
      <w:pPr>
        <w:keepNext/>
        <w:spacing w:after="240"/>
        <w:rPr>
          <w:b/>
          <w:bCs/>
        </w:rPr>
      </w:pPr>
      <w:bookmarkStart w:id="35" w:name="_Toc163552192"/>
      <w:r>
        <w:rPr>
          <w:b/>
          <w:bCs/>
          <w:i/>
          <w:iCs/>
        </w:rPr>
        <w:t>b)</w:t>
      </w:r>
      <w:r>
        <w:rPr>
          <w:b/>
          <w:bCs/>
          <w:i/>
          <w:iCs/>
        </w:rPr>
        <w:tab/>
        <w:t>Procédure pénale</w:t>
      </w:r>
      <w:bookmarkEnd w:id="35"/>
    </w:p>
    <w:p w:rsidR="00000000" w:rsidRDefault="00000000">
      <w:pPr>
        <w:spacing w:after="240"/>
      </w:pPr>
      <w:r>
        <w:t>34.</w:t>
      </w:r>
      <w:r>
        <w:tab/>
        <w:t xml:space="preserve">Le Code de procédure pénale fédéral, qui devrait un jour remplacer les 26 codes de procédure pénale cantonaux ainsi que la procédure pénale fédérale, est en préparation. À la faveur de la procédure de consultation, les </w:t>
      </w:r>
      <w:proofErr w:type="spellStart"/>
      <w:r>
        <w:t>avant</w:t>
      </w:r>
      <w:r>
        <w:noBreakHyphen/>
        <w:t>projets</w:t>
      </w:r>
      <w:proofErr w:type="spellEnd"/>
      <w:r>
        <w:t xml:space="preserve"> de code de procédure pénale suisse et de nouvelle loi fédérale régissant la procédure pénale applicable aux mineurs ont été bien accueillis dans l’ensemble. Se fondant sur ces résultats, le DFJP a rédigé un me</w:t>
      </w:r>
      <w:r>
        <w:t>s</w:t>
      </w:r>
      <w:r>
        <w:t>sage relatif à l’unification des normes de procédure pénale qui a été approuvé par le Conseil fédéral et qui sera soumis au Parlement sous peu. Étant donné la complexité du projet, son entrée en vigueur ne doit toutefois pas être attendue avant 2010</w:t>
      </w:r>
      <w:r>
        <w:rPr>
          <w:rStyle w:val="FootnoteReference"/>
        </w:rPr>
        <w:footnoteReference w:id="25"/>
      </w:r>
      <w:r>
        <w:t>.</w:t>
      </w:r>
    </w:p>
    <w:p w:rsidR="00000000" w:rsidRDefault="00000000">
      <w:pPr>
        <w:keepNext/>
        <w:spacing w:after="240"/>
        <w:rPr>
          <w:b/>
          <w:bCs/>
        </w:rPr>
      </w:pPr>
      <w:bookmarkStart w:id="36" w:name="_Toc477525207"/>
      <w:bookmarkStart w:id="37" w:name="_Toc163552193"/>
      <w:r>
        <w:rPr>
          <w:b/>
          <w:bCs/>
          <w:i/>
          <w:iCs/>
        </w:rPr>
        <w:t>c)</w:t>
      </w:r>
      <w:r>
        <w:rPr>
          <w:b/>
          <w:bCs/>
          <w:i/>
          <w:iCs/>
        </w:rPr>
        <w:tab/>
        <w:t>Introduction d’une loi fédérale sur l’investigation secrète</w:t>
      </w:r>
      <w:bookmarkEnd w:id="36"/>
      <w:bookmarkEnd w:id="37"/>
    </w:p>
    <w:p w:rsidR="00000000" w:rsidRDefault="00000000">
      <w:pPr>
        <w:spacing w:after="240"/>
      </w:pPr>
      <w:r>
        <w:t>35.</w:t>
      </w:r>
      <w:r>
        <w:tab/>
        <w:t>La loi fédérale sur l’investigation secrète (LFIS) est entrée en vigueur le 1</w:t>
      </w:r>
      <w:r>
        <w:rPr>
          <w:vertAlign w:val="superscript"/>
        </w:rPr>
        <w:t>er</w:t>
      </w:r>
      <w:r>
        <w:t xml:space="preserve"> janvier 2005. Elle régit de façon très claire et uniforme le recours aux services d’agents infiltrés en Suisse et s’applique aux procédures pénales de la Confédération et des cantons</w:t>
      </w:r>
      <w:r>
        <w:rPr>
          <w:rStyle w:val="FootnoteReference"/>
        </w:rPr>
        <w:footnoteReference w:id="26"/>
      </w:r>
      <w:r>
        <w:t>.</w:t>
      </w:r>
    </w:p>
    <w:p w:rsidR="00000000" w:rsidRDefault="00000000">
      <w:pPr>
        <w:keepNext/>
        <w:spacing w:after="240"/>
        <w:jc w:val="center"/>
        <w:rPr>
          <w:b/>
          <w:bCs/>
          <w:szCs w:val="24"/>
        </w:rPr>
      </w:pPr>
      <w:bookmarkStart w:id="38" w:name="_Toc477525166"/>
      <w:bookmarkStart w:id="39" w:name="_Toc163552194"/>
      <w:r>
        <w:rPr>
          <w:b/>
          <w:bCs/>
          <w:szCs w:val="24"/>
        </w:rPr>
        <w:t>3.  Modifications du droit c</w:t>
      </w:r>
      <w:bookmarkEnd w:id="38"/>
      <w:r>
        <w:rPr>
          <w:b/>
          <w:bCs/>
          <w:szCs w:val="24"/>
        </w:rPr>
        <w:t>ivil</w:t>
      </w:r>
      <w:bookmarkEnd w:id="39"/>
    </w:p>
    <w:p w:rsidR="00000000" w:rsidRDefault="00000000">
      <w:pPr>
        <w:spacing w:after="200"/>
        <w:rPr>
          <w:bCs/>
          <w:szCs w:val="22"/>
        </w:rPr>
      </w:pPr>
      <w:r>
        <w:t>36.</w:t>
      </w:r>
      <w:r>
        <w:tab/>
        <w:t>La procédure civile n’est pas encore régie au niveau fédéral, mais fait l’objet, pour l’essentiel, de codes de procédure cantonaux. Conformément à l’article 122 de la Constitution fédérale, l’organisation judiciaire, la procédure et l’administration de la justice en matière de droit c</w:t>
      </w:r>
      <w:r>
        <w:t>i</w:t>
      </w:r>
      <w:r>
        <w:t>vil sont toujours du ressort des cantons. Seule la procédure devant les autorités judiciaires féd</w:t>
      </w:r>
      <w:r>
        <w:t>é</w:t>
      </w:r>
      <w:r>
        <w:t>rales est r</w:t>
      </w:r>
      <w:r>
        <w:t>é</w:t>
      </w:r>
      <w:r>
        <w:t>gie par la législation fédérale. Bien qu’ayant été acceptée par le peuple dans le contexte de la réforme de la justice, la modification de l’article 122 de la Constitution fédérale nécessaire à une unification de la pr</w:t>
      </w:r>
      <w:r>
        <w:t>o</w:t>
      </w:r>
      <w:r>
        <w:t>cédure civile n’est pas encore entrée en vigueur</w:t>
      </w:r>
      <w:r>
        <w:rPr>
          <w:bCs/>
          <w:szCs w:val="22"/>
        </w:rPr>
        <w:t>.</w:t>
      </w:r>
      <w:r>
        <w:t xml:space="preserve"> Se fondant sur l’</w:t>
      </w:r>
      <w:proofErr w:type="spellStart"/>
      <w:r>
        <w:t>avant</w:t>
      </w:r>
      <w:r>
        <w:noBreakHyphen/>
        <w:t>projet</w:t>
      </w:r>
      <w:proofErr w:type="spellEnd"/>
      <w:r>
        <w:t xml:space="preserve"> de proc</w:t>
      </w:r>
      <w:r>
        <w:t>é</w:t>
      </w:r>
      <w:r>
        <w:t>dure civile unifiée qui avait été conçu par une commission d’experts ainsi que sur les résultats de la procédure de consultation, le DFJP a préparé un message, dont le Pa</w:t>
      </w:r>
      <w:r>
        <w:t>r</w:t>
      </w:r>
      <w:r>
        <w:t>lement a commencé à débattre au printemps 2006. L’unification garantira aux personnes sa</w:t>
      </w:r>
      <w:r>
        <w:t>i</w:t>
      </w:r>
      <w:r>
        <w:t>sissant une instance civile qu’elles seront traitées selon les mêmes règles dans toute la Suisse</w:t>
      </w:r>
      <w:r>
        <w:rPr>
          <w:bCs/>
          <w:szCs w:val="22"/>
        </w:rPr>
        <w:t>.</w:t>
      </w:r>
    </w:p>
    <w:p w:rsidR="00000000" w:rsidRDefault="00000000">
      <w:pPr>
        <w:keepNext/>
        <w:spacing w:after="200"/>
        <w:jc w:val="center"/>
        <w:rPr>
          <w:b/>
          <w:bCs/>
          <w:szCs w:val="24"/>
        </w:rPr>
      </w:pPr>
      <w:bookmarkStart w:id="40" w:name="_Toc163552195"/>
      <w:r>
        <w:rPr>
          <w:b/>
          <w:bCs/>
          <w:szCs w:val="24"/>
        </w:rPr>
        <w:t>4.  Modifications du droit public</w:t>
      </w:r>
      <w:bookmarkEnd w:id="40"/>
    </w:p>
    <w:p w:rsidR="00000000" w:rsidRDefault="00000000">
      <w:pPr>
        <w:keepNext/>
        <w:spacing w:after="200"/>
      </w:pPr>
      <w:bookmarkStart w:id="41" w:name="_Toc163552196"/>
      <w:r>
        <w:rPr>
          <w:b/>
          <w:bCs/>
          <w:i/>
          <w:iCs/>
        </w:rPr>
        <w:t>a)</w:t>
      </w:r>
      <w:r>
        <w:rPr>
          <w:b/>
          <w:bCs/>
          <w:i/>
          <w:iCs/>
        </w:rPr>
        <w:tab/>
        <w:t>Révision partielle de la loi sur l’asile</w:t>
      </w:r>
      <w:bookmarkEnd w:id="41"/>
    </w:p>
    <w:p w:rsidR="00000000" w:rsidRDefault="00000000">
      <w:pPr>
        <w:spacing w:after="200"/>
      </w:pPr>
      <w:r>
        <w:t>37.</w:t>
      </w:r>
      <w:r>
        <w:tab/>
        <w:t>Le 4 septembre 2002, le Gouvernement suisse a adopté le message concernant la révision partielle de la loi sur l’asile</w:t>
      </w:r>
      <w:r>
        <w:rPr>
          <w:rStyle w:val="FootnoteReference"/>
        </w:rPr>
        <w:footnoteReference w:id="27"/>
      </w:r>
      <w:r>
        <w:t>. Les propositions présentées dans le projet de révision sont inspirées des premières expériences faites avec la nouvelle loi, en vigueur depuis le 1</w:t>
      </w:r>
      <w:r>
        <w:rPr>
          <w:vertAlign w:val="superscript"/>
        </w:rPr>
        <w:t>er</w:t>
      </w:r>
      <w:r>
        <w:t xml:space="preserve"> octobre 1999, de la récente jurisprudence internationale, ainsi que des mesures proposées en mars 2000 par le groupe de travail «Financement dans le domaine de l’asile» en vue de l’introduction de nouvelles incitations financières. Les principaux éléments de la révision sont les nouvelles réglementations sur l’</w:t>
      </w:r>
      <w:proofErr w:type="spellStart"/>
      <w:r>
        <w:t>État</w:t>
      </w:r>
      <w:proofErr w:type="spellEnd"/>
      <w:r>
        <w:t xml:space="preserve"> tiers, la procédure d’asile et les possibilités de recours aux centres d’enregistrement et aux aéroports, le statut juridique des personnes adm</w:t>
      </w:r>
      <w:r>
        <w:t>i</w:t>
      </w:r>
      <w:r>
        <w:t>ses à titre provisoire, le nouveau système de financement ainsi que les modifications dans les d</w:t>
      </w:r>
      <w:r>
        <w:t>o</w:t>
      </w:r>
      <w:r>
        <w:t>maines de la santé et des assurances sociales.</w:t>
      </w:r>
    </w:p>
    <w:p w:rsidR="00000000" w:rsidRDefault="00000000">
      <w:pPr>
        <w:spacing w:after="200"/>
      </w:pPr>
      <w:r>
        <w:t>38.</w:t>
      </w:r>
      <w:r>
        <w:tab/>
        <w:t>Le Parlement a adopté la révision partielle de la loi sur l’asile par son vote final du 16 décembre 2005. Les principales modifications que les Chambres fédérales ont apportées au projet prése</w:t>
      </w:r>
      <w:r>
        <w:t>n</w:t>
      </w:r>
      <w:r>
        <w:t>té par le Gouvernement suisse sont les suivantes:</w:t>
      </w:r>
    </w:p>
    <w:p w:rsidR="00000000" w:rsidRDefault="00000000">
      <w:pPr>
        <w:numPr>
          <w:ilvl w:val="0"/>
          <w:numId w:val="88"/>
        </w:numPr>
        <w:spacing w:after="200"/>
      </w:pPr>
      <w:r>
        <w:t>Extension de la mesure de suppression de l’aide sociale à toutes les personnes dont la demande d’asile a été rejetée</w:t>
      </w:r>
      <w:r>
        <w:rPr>
          <w:rStyle w:val="FootnoteReference"/>
        </w:rPr>
        <w:footnoteReference w:id="28"/>
      </w:r>
      <w:r>
        <w:t xml:space="preserve">; </w:t>
      </w:r>
    </w:p>
    <w:p w:rsidR="00000000" w:rsidRDefault="00000000">
      <w:pPr>
        <w:numPr>
          <w:ilvl w:val="0"/>
          <w:numId w:val="88"/>
        </w:numPr>
        <w:spacing w:after="200"/>
      </w:pPr>
      <w:r>
        <w:t>Prolongation de la durée maximale de la détention en vue du renvoi de neuf à </w:t>
      </w:r>
      <w:proofErr w:type="spellStart"/>
      <w:r>
        <w:t>dix</w:t>
      </w:r>
      <w:r>
        <w:noBreakHyphen/>
        <w:t>huit</w:t>
      </w:r>
      <w:proofErr w:type="spellEnd"/>
      <w:r>
        <w:t xml:space="preserve"> mois; pour les jeunes entre 15 et 18 ans, la durée maximale est de douze mois;</w:t>
      </w:r>
    </w:p>
    <w:p w:rsidR="00000000" w:rsidRDefault="00000000">
      <w:pPr>
        <w:numPr>
          <w:ilvl w:val="0"/>
          <w:numId w:val="88"/>
        </w:numPr>
        <w:spacing w:after="200"/>
      </w:pPr>
      <w:r>
        <w:t xml:space="preserve">Les mesures d’assignation à un lieu de séjour et d’interdiction de pénétrer dans un lieu déterminé pourront désormais aussi être prises en cas de </w:t>
      </w:r>
      <w:proofErr w:type="spellStart"/>
      <w:r>
        <w:t>non</w:t>
      </w:r>
      <w:r>
        <w:noBreakHyphen/>
        <w:t>respect</w:t>
      </w:r>
      <w:proofErr w:type="spellEnd"/>
      <w:r>
        <w:t xml:space="preserve"> du délai de départ;</w:t>
      </w:r>
    </w:p>
    <w:p w:rsidR="00000000" w:rsidRDefault="00000000">
      <w:pPr>
        <w:numPr>
          <w:ilvl w:val="0"/>
          <w:numId w:val="88"/>
        </w:numPr>
        <w:spacing w:after="200"/>
      </w:pPr>
      <w:r>
        <w:t>Une mesure de rétention d’une durée de trois jours au maximum sera possible à des fins d’établissement de l’identité (par exemple pour amener une personne à l’ambassade afin de lui procurer les papiers nécessaires). Cette mesure permet d’harmoniser les prat</w:t>
      </w:r>
      <w:r>
        <w:t>i</w:t>
      </w:r>
      <w:r>
        <w:t>ques cantonales;</w:t>
      </w:r>
    </w:p>
    <w:p w:rsidR="00000000" w:rsidRDefault="00000000">
      <w:pPr>
        <w:numPr>
          <w:ilvl w:val="0"/>
          <w:numId w:val="88"/>
        </w:numPr>
        <w:spacing w:after="200"/>
      </w:pPr>
      <w:r>
        <w:t xml:space="preserve">Extension du motif de </w:t>
      </w:r>
      <w:proofErr w:type="spellStart"/>
      <w:r>
        <w:t>non</w:t>
      </w:r>
      <w:r>
        <w:noBreakHyphen/>
        <w:t>entrée</w:t>
      </w:r>
      <w:proofErr w:type="spellEnd"/>
      <w:r>
        <w:t xml:space="preserve"> en matière pour </w:t>
      </w:r>
      <w:proofErr w:type="spellStart"/>
      <w:r>
        <w:t>non</w:t>
      </w:r>
      <w:r>
        <w:noBreakHyphen/>
        <w:t>remise</w:t>
      </w:r>
      <w:proofErr w:type="spellEnd"/>
      <w:r>
        <w:t xml:space="preserve"> de documents de voyage ou d’identité: si le demandeur ne fournit pas un passeport ou une carte d’identité, l’entrée en matière est refusée, sauf s’il existe une explication valable à l’absence de papiers, si la qualité de réfugié est manifeste ou si une prise de rense</w:t>
      </w:r>
      <w:r>
        <w:t>i</w:t>
      </w:r>
      <w:r>
        <w:t>gnements s’impose;</w:t>
      </w:r>
    </w:p>
    <w:p w:rsidR="00000000" w:rsidRDefault="00000000">
      <w:pPr>
        <w:numPr>
          <w:ilvl w:val="0"/>
          <w:numId w:val="88"/>
        </w:numPr>
        <w:spacing w:after="240"/>
      </w:pPr>
      <w:r>
        <w:t>Introduction d’émoluments pour l’engagement d’une procédure de réexamen ou pour la présentation d’une deuxième demande;</w:t>
      </w:r>
    </w:p>
    <w:p w:rsidR="00000000" w:rsidRDefault="00000000">
      <w:pPr>
        <w:numPr>
          <w:ilvl w:val="0"/>
          <w:numId w:val="88"/>
        </w:numPr>
        <w:spacing w:after="240"/>
      </w:pPr>
      <w:r>
        <w:t xml:space="preserve">Introduction de la détention pour insoumission d’une durée maximale de </w:t>
      </w:r>
      <w:proofErr w:type="spellStart"/>
      <w:r>
        <w:t>dix</w:t>
      </w:r>
      <w:r>
        <w:noBreakHyphen/>
        <w:t>huit</w:t>
      </w:r>
      <w:proofErr w:type="spellEnd"/>
      <w:r>
        <w:t> mois. Cette mesure a pour but de faire respecter l’obligation de quitter la Suisse. Elle vient s’ajouter à la détention en vue du refoulement lorsque le départ est possible, légal, et qu’il peut raisonnablement être exigé, mais que la personne s’y refuse;</w:t>
      </w:r>
    </w:p>
    <w:p w:rsidR="00000000" w:rsidRDefault="00000000">
      <w:pPr>
        <w:numPr>
          <w:ilvl w:val="0"/>
          <w:numId w:val="88"/>
        </w:numPr>
        <w:spacing w:after="240"/>
      </w:pPr>
      <w:r>
        <w:t>Nouvelle possibilité pour les cantons d’accorder des autorisations de séjour pour des raisons humanitaires aux (anciens) requérants d’asile séjournant en Suisse depuis cinq ans au moins;</w:t>
      </w:r>
    </w:p>
    <w:p w:rsidR="00000000" w:rsidRDefault="00000000">
      <w:pPr>
        <w:numPr>
          <w:ilvl w:val="0"/>
          <w:numId w:val="88"/>
        </w:numPr>
        <w:spacing w:after="240"/>
      </w:pPr>
      <w:r>
        <w:t>Le Conseil fédéral pourra désormais collaborer étroitement avec les pays d’origine et de transit des requérants d’asile afin de lutter contre la migration illégale et d’encourager le retour des personnes faisant l’objet d’une décision de renvoi.</w:t>
      </w:r>
    </w:p>
    <w:p w:rsidR="00000000" w:rsidRDefault="00000000">
      <w:pPr>
        <w:spacing w:after="240"/>
      </w:pPr>
      <w:r>
        <w:t>39.</w:t>
      </w:r>
      <w:r>
        <w:tab/>
        <w:t>Toutes ces mesures, qui tiennent compte des requêtes urgentes des cantons et de la population, sont conformes à la Constitution et au droit international public. Elles permettront aux cantons et à la Confédération de réaliser des économies substantielles sans pour autant porter atteinte aux fondements du droit d’asile, institué pour offrir protection aux personnes persécutées. On en attend une amélioration de la situation dans l</w:t>
      </w:r>
      <w:r>
        <w:t>a</w:t>
      </w:r>
      <w:r>
        <w:t xml:space="preserve"> mesure où la Suisse ne sera plus aussi attrayante que par le passé pour les étrangers qui cherchent asile dans notre pays sans motif valable</w:t>
      </w:r>
      <w:r>
        <w:rPr>
          <w:rStyle w:val="FootnoteReference"/>
        </w:rPr>
        <w:footnoteReference w:id="29"/>
      </w:r>
      <w:r>
        <w:t xml:space="preserve">. </w:t>
      </w:r>
    </w:p>
    <w:p w:rsidR="00000000" w:rsidRDefault="00000000">
      <w:pPr>
        <w:spacing w:after="240"/>
      </w:pPr>
      <w:r>
        <w:t>40.</w:t>
      </w:r>
      <w:r>
        <w:tab/>
        <w:t>La décision du Conseil des États de supprimer l’aide d’urgence aux requérants d’asile qui sont l’objet d’une décision négative définitive a de nouveau été rejetée au fil de la proc</w:t>
      </w:r>
      <w:r>
        <w:t>é</w:t>
      </w:r>
      <w:r>
        <w:t>dure d’élimination des divergences entre les deux Conseils. Appelé à se prononcer sur la question, le Tribunal fédéral a estimé le 18 mars 2005 que l’exclusion des demandeurs d’asile déboutés de l’aide d’urgence était anticonstitutionnelle. Il a jugé que les cantons continuaient de devoir satisfaire aux besoins fondamentaux de ces personnes tels que l’alimentation, l’hébergement, l’habillement ou les soins médicaux de base</w:t>
      </w:r>
      <w:r>
        <w:rPr>
          <w:rStyle w:val="FootnoteReference"/>
        </w:rPr>
        <w:footnoteReference w:id="30"/>
      </w:r>
      <w:r>
        <w:t>. Les cantons sont en revanche libres de décider de la manière dont ils entendent fournir ces moyens indispensables à une existence digne. La Conférence des directeurs cantonaux des affaires sociales a émis des recommandations à cet effet afin d’assurer que les prestations sont fournies selon des crit</w:t>
      </w:r>
      <w:r>
        <w:t>è</w:t>
      </w:r>
      <w:r>
        <w:t>res uniformes dans toute la Suisse</w:t>
      </w:r>
      <w:r>
        <w:rPr>
          <w:rStyle w:val="FootnoteReference"/>
        </w:rPr>
        <w:footnoteReference w:id="31"/>
      </w:r>
      <w:r>
        <w:t>.</w:t>
      </w:r>
    </w:p>
    <w:p w:rsidR="00000000" w:rsidRDefault="00000000">
      <w:pPr>
        <w:spacing w:after="240"/>
      </w:pPr>
      <w:r>
        <w:t>41.</w:t>
      </w:r>
      <w:r>
        <w:tab/>
        <w:t>La demande de référendum contre la révision partielle de la loi sur l’asile ayant abouti, la vot</w:t>
      </w:r>
      <w:r>
        <w:t>a</w:t>
      </w:r>
      <w:r>
        <w:t>tion pop</w:t>
      </w:r>
      <w:r>
        <w:t>u</w:t>
      </w:r>
      <w:r>
        <w:t>laire a eu lieu le 24 septembre 2006. La population suisse et l’ensemble des cantons ont alors approuvé la vers</w:t>
      </w:r>
      <w:r>
        <w:t>i</w:t>
      </w:r>
      <w:r>
        <w:t>on révisée de la loi sur l’asile avec 68 % environ de oui.</w:t>
      </w:r>
    </w:p>
    <w:p w:rsidR="00000000" w:rsidRDefault="00000000">
      <w:pPr>
        <w:keepNext/>
        <w:spacing w:after="240"/>
        <w:rPr>
          <w:b/>
          <w:bCs/>
        </w:rPr>
      </w:pPr>
      <w:bookmarkStart w:id="42" w:name="_Toc163552197"/>
      <w:r>
        <w:rPr>
          <w:b/>
          <w:bCs/>
          <w:i/>
          <w:iCs/>
        </w:rPr>
        <w:t>b)</w:t>
      </w:r>
      <w:r>
        <w:rPr>
          <w:b/>
          <w:bCs/>
          <w:i/>
          <w:iCs/>
        </w:rPr>
        <w:tab/>
        <w:t>Révision totale de la loi fédérale sur les étrangers (</w:t>
      </w:r>
      <w:proofErr w:type="spellStart"/>
      <w:r>
        <w:rPr>
          <w:b/>
          <w:bCs/>
          <w:i/>
          <w:iCs/>
        </w:rPr>
        <w:t>LEtr</w:t>
      </w:r>
      <w:proofErr w:type="spellEnd"/>
      <w:r>
        <w:rPr>
          <w:b/>
          <w:bCs/>
          <w:i/>
          <w:iCs/>
        </w:rPr>
        <w:t>)</w:t>
      </w:r>
      <w:bookmarkEnd w:id="42"/>
    </w:p>
    <w:p w:rsidR="00000000" w:rsidRDefault="00000000">
      <w:pPr>
        <w:spacing w:after="240"/>
      </w:pPr>
      <w:r>
        <w:t>42.</w:t>
      </w:r>
      <w:r>
        <w:tab/>
        <w:t>La loi sur le séjour et l’établissement des étrangers (</w:t>
      </w:r>
      <w:proofErr w:type="spellStart"/>
      <w:r>
        <w:t>LSEE</w:t>
      </w:r>
      <w:proofErr w:type="spellEnd"/>
      <w:r>
        <w:t>) en vigueur jusqu’à présent ne suffit plus aux exigences auxquelles une législation sur les étrangers doit satisfaire dans un état de droit respectueux de sa Constitution. Dans le domaine de l’immigration, certaines normes essentielles ne sont fixées qu’au niveau réglementaire, ce qui les soustrait au contrôle démocratique par le Parlement. La question de l’intégration des immigrants, dont on s’est longtemps désintére</w:t>
      </w:r>
      <w:r>
        <w:t>s</w:t>
      </w:r>
      <w:r>
        <w:t>sé, n’est guère régie par la loi. Sans compter que certains abus récents comme le problème des passeurs ne peuvent pas être combattus de manière suff</w:t>
      </w:r>
      <w:r>
        <w:t>i</w:t>
      </w:r>
      <w:r>
        <w:t>samment efficace au moyen de la législation en vigueur.</w:t>
      </w:r>
    </w:p>
    <w:p w:rsidR="00000000" w:rsidRDefault="00000000">
      <w:pPr>
        <w:spacing w:after="240"/>
      </w:pPr>
      <w:r>
        <w:t>43.</w:t>
      </w:r>
      <w:r>
        <w:tab/>
        <w:t>Soucieuses de remédier à ces lacunes, les Chambres fédérales ont adopté la révision totale de la législation sur les étrangers à une forte majorité durant la session d’hiver 2005. Le système binaire d’admission sera désormais régi au niveau de la loi. Contrair</w:t>
      </w:r>
      <w:r>
        <w:t>e</w:t>
      </w:r>
      <w:r>
        <w:t>ment à la libre circulation des personnes existant entre la Suisse et les États membres de l’</w:t>
      </w:r>
      <w:proofErr w:type="spellStart"/>
      <w:r>
        <w:t>Union</w:t>
      </w:r>
      <w:proofErr w:type="spellEnd"/>
      <w:r>
        <w:t xml:space="preserve"> européenne (UE) et de l’</w:t>
      </w:r>
      <w:proofErr w:type="spellStart"/>
      <w:r>
        <w:t>Association</w:t>
      </w:r>
      <w:proofErr w:type="spellEnd"/>
      <w:r>
        <w:t xml:space="preserve"> européenne de </w:t>
      </w:r>
      <w:proofErr w:type="spellStart"/>
      <w:r>
        <w:t>libre</w:t>
      </w:r>
      <w:r>
        <w:noBreakHyphen/>
        <w:t>échange</w:t>
      </w:r>
      <w:proofErr w:type="spellEnd"/>
      <w:r>
        <w:t xml:space="preserve"> (AELE) depuis 2002, seules des personnes hautement qualifiées sont admises en provenance des États tiers. Cette restriction ne s’applique pas au regroupement familial, aux séjours de pe</w:t>
      </w:r>
      <w:r>
        <w:t>r</w:t>
      </w:r>
      <w:r>
        <w:t>fectionnement et aux admissions pour des raisons humanitaires. C’est en outre la première fois qu’une législation sur les étrangers contient des dispositions détaillées relatives aux e</w:t>
      </w:r>
      <w:r>
        <w:t>f</w:t>
      </w:r>
      <w:r>
        <w:t>forts d’intégration de la Confédération. On souhaite aussi améliorer la situation des étrangers dont le séjour en Suisse est conforme à la loi. Les personnes qui s’efforcent activement de s’intégrer pourront désormais obtenir une autorisation d’établissement après cinq ans (et non plus dix). La criminalité et les abus de la législation sur les étrangers pourront être prévenus plus efficacement et punis plus sévèrement. Des mesures particulières sont prévues nota</w:t>
      </w:r>
      <w:r>
        <w:t>m</w:t>
      </w:r>
      <w:r>
        <w:t>ment contre les passeurs, contre le travail au noir ou contre les m</w:t>
      </w:r>
      <w:r>
        <w:t>a</w:t>
      </w:r>
      <w:r>
        <w:t>riages blancs</w:t>
      </w:r>
      <w:r>
        <w:rPr>
          <w:rStyle w:val="FootnoteReference"/>
        </w:rPr>
        <w:footnoteReference w:id="32"/>
      </w:r>
      <w:r>
        <w:t>.</w:t>
      </w:r>
    </w:p>
    <w:p w:rsidR="00000000" w:rsidRDefault="00000000">
      <w:pPr>
        <w:spacing w:after="240"/>
      </w:pPr>
      <w:r>
        <w:t>44.</w:t>
      </w:r>
      <w:r>
        <w:tab/>
        <w:t>La d</w:t>
      </w:r>
      <w:r>
        <w:t>e</w:t>
      </w:r>
      <w:r>
        <w:t>mande de référendum contre ce texte de loi adopté a également abouti. Le 24 septembre 2006, le projet a ainsi été approuvé par le peuple suisse et la totalité des cantons, avec quelque 68 % de voix f</w:t>
      </w:r>
      <w:r>
        <w:t>a</w:t>
      </w:r>
      <w:r>
        <w:t>vorables.</w:t>
      </w:r>
    </w:p>
    <w:p w:rsidR="00000000" w:rsidRDefault="00000000">
      <w:pPr>
        <w:keepNext/>
        <w:spacing w:after="240"/>
        <w:rPr>
          <w:b/>
          <w:bCs/>
        </w:rPr>
      </w:pPr>
      <w:bookmarkStart w:id="43" w:name="_Toc163552198"/>
      <w:r>
        <w:rPr>
          <w:b/>
          <w:bCs/>
          <w:i/>
          <w:iCs/>
        </w:rPr>
        <w:t>c)</w:t>
      </w:r>
      <w:r>
        <w:rPr>
          <w:b/>
          <w:bCs/>
          <w:i/>
          <w:iCs/>
        </w:rPr>
        <w:tab/>
        <w:t>Autres révisions dans le domaine de la législation sur les étrangers et sur l’asile</w:t>
      </w:r>
      <w:bookmarkEnd w:id="43"/>
    </w:p>
    <w:p w:rsidR="00000000" w:rsidRDefault="00000000">
      <w:pPr>
        <w:spacing w:after="240"/>
      </w:pPr>
      <w:r>
        <w:t>45.</w:t>
      </w:r>
      <w:r>
        <w:tab/>
        <w:t xml:space="preserve">Pour ce qui est de </w:t>
      </w:r>
      <w:r>
        <w:rPr>
          <w:bCs/>
        </w:rPr>
        <w:t>l’ordonnance sur l’intégration des étrangers</w:t>
      </w:r>
      <w:r>
        <w:t xml:space="preserve"> (OIE), partiellement r</w:t>
      </w:r>
      <w:r>
        <w:t>é</w:t>
      </w:r>
      <w:r>
        <w:t xml:space="preserve">visée, voir les paragraphes 74 à 78 </w:t>
      </w:r>
      <w:proofErr w:type="spellStart"/>
      <w:r>
        <w:t>ci</w:t>
      </w:r>
      <w:r>
        <w:noBreakHyphen/>
        <w:t>dessous</w:t>
      </w:r>
      <w:proofErr w:type="spellEnd"/>
      <w:r>
        <w:t>.</w:t>
      </w:r>
    </w:p>
    <w:p w:rsidR="00000000" w:rsidRDefault="00000000">
      <w:pPr>
        <w:spacing w:after="240"/>
      </w:pPr>
      <w:r>
        <w:t>46.</w:t>
      </w:r>
      <w:r>
        <w:tab/>
        <w:t xml:space="preserve">La nouvelle </w:t>
      </w:r>
      <w:r>
        <w:rPr>
          <w:bCs/>
        </w:rPr>
        <w:t>loi fédérale sur la formation professionnelle</w:t>
      </w:r>
      <w:r>
        <w:rPr>
          <w:rStyle w:val="FootnoteReference"/>
        </w:rPr>
        <w:footnoteReference w:id="33"/>
      </w:r>
      <w:r>
        <w:t>, incluant une révision pa</w:t>
      </w:r>
      <w:r>
        <w:t>r</w:t>
      </w:r>
      <w:r>
        <w:t xml:space="preserve">tielle de la </w:t>
      </w:r>
      <w:proofErr w:type="spellStart"/>
      <w:r>
        <w:t>LSEE</w:t>
      </w:r>
      <w:proofErr w:type="spellEnd"/>
      <w:r>
        <w:rPr>
          <w:rStyle w:val="FootnoteReference"/>
        </w:rPr>
        <w:footnoteReference w:id="34"/>
      </w:r>
      <w:r>
        <w:t>, a pour but d’améliorer durablement l’intégration professionnelle des je</w:t>
      </w:r>
      <w:r>
        <w:t>u</w:t>
      </w:r>
      <w:r>
        <w:t xml:space="preserve">nes étrangers. Selon la </w:t>
      </w:r>
      <w:proofErr w:type="spellStart"/>
      <w:r>
        <w:t>LSEE</w:t>
      </w:r>
      <w:proofErr w:type="spellEnd"/>
      <w:r>
        <w:t>, le Conseil fédéral fixe les critères d’octroi et les modalités d’application de l’autorisation de séjour accordée au titre du regroupement familial aux e</w:t>
      </w:r>
      <w:r>
        <w:t>n</w:t>
      </w:r>
      <w:r>
        <w:t>fants célibataires de moins de 18 ans dont les parents, venant d’un État qui n’est membre ni de l’</w:t>
      </w:r>
      <w:proofErr w:type="spellStart"/>
      <w:r>
        <w:t>UE</w:t>
      </w:r>
      <w:proofErr w:type="spellEnd"/>
      <w:r>
        <w:t xml:space="preserve"> ni de l’</w:t>
      </w:r>
      <w:proofErr w:type="spellStart"/>
      <w:r>
        <w:t>AELE</w:t>
      </w:r>
      <w:proofErr w:type="spellEnd"/>
      <w:r>
        <w:t>, sont titulaires d’une autorisation de séjour, de manière à garantir dans chaque cas la formation professio</w:t>
      </w:r>
      <w:r>
        <w:t>n</w:t>
      </w:r>
      <w:r>
        <w:t>nelle de base de l’enfant. Cela signifie que les enfants doivent, dans toute la mesure possible, arriver en Suisse avant qu’ils ne soient trop âgés pour suivre une formation professionnelle de base. C’est entre autres pour cela que la loi sur les étrangers prévoit un délai de douze mois pour le regroupement familial lorsqu’il s’agit de faire venir en Suisse des enfants de plus de 12 ans. En accélérant ainsi le regroup</w:t>
      </w:r>
      <w:r>
        <w:t>e</w:t>
      </w:r>
      <w:r>
        <w:t>ment familial, on cherche à assurer qu’ils pourront suivre une formation professionnelle en Suisse, ce qui r</w:t>
      </w:r>
      <w:r>
        <w:t>e</w:t>
      </w:r>
      <w:r>
        <w:t>vient à jeter les bases de leur intégration professionnelle.</w:t>
      </w:r>
    </w:p>
    <w:p w:rsidR="00000000" w:rsidRDefault="00000000">
      <w:pPr>
        <w:spacing w:after="240"/>
      </w:pPr>
      <w:r>
        <w:t>47.</w:t>
      </w:r>
      <w:r>
        <w:tab/>
        <w:t xml:space="preserve">En ce qui concerne les révisions prévues de la </w:t>
      </w:r>
      <w:r>
        <w:rPr>
          <w:bCs/>
        </w:rPr>
        <w:t>loi sur la nationalité</w:t>
      </w:r>
      <w:r>
        <w:t xml:space="preserve">, voir les paragraphes 253 à 261 </w:t>
      </w:r>
      <w:proofErr w:type="spellStart"/>
      <w:r>
        <w:t>ci</w:t>
      </w:r>
      <w:r>
        <w:noBreakHyphen/>
        <w:t>dessous</w:t>
      </w:r>
      <w:proofErr w:type="spellEnd"/>
      <w:r>
        <w:t>.</w:t>
      </w:r>
    </w:p>
    <w:p w:rsidR="00000000" w:rsidRDefault="00000000">
      <w:pPr>
        <w:spacing w:after="240"/>
      </w:pPr>
      <w:r>
        <w:t>48.</w:t>
      </w:r>
      <w:r>
        <w:tab/>
        <w:t xml:space="preserve">À l’heure actuelle, la </w:t>
      </w:r>
      <w:r>
        <w:rPr>
          <w:bCs/>
        </w:rPr>
        <w:t>loi fédérale sur l’usage de la contrainte dans les domaines du droit des étrangers et des transports ordonnés par une autorité fédérale</w:t>
      </w:r>
      <w:r>
        <w:rPr>
          <w:b/>
          <w:bCs/>
        </w:rPr>
        <w:t xml:space="preserve"> </w:t>
      </w:r>
      <w:r>
        <w:t xml:space="preserve">est sur le point d’être adoptée. On souhaite en effet que l’usage de la contrainte par la police dans le contexte du renvoi d’étrangers soit régi par des règles claires et uniformes (voir par. 131 </w:t>
      </w:r>
      <w:proofErr w:type="spellStart"/>
      <w:r>
        <w:t>ci</w:t>
      </w:r>
      <w:r>
        <w:noBreakHyphen/>
        <w:t>dessous</w:t>
      </w:r>
      <w:proofErr w:type="spellEnd"/>
      <w:r>
        <w:t>).</w:t>
      </w:r>
    </w:p>
    <w:p w:rsidR="00000000" w:rsidRDefault="00000000">
      <w:pPr>
        <w:keepNext/>
        <w:spacing w:after="240"/>
        <w:rPr>
          <w:b/>
          <w:bCs/>
          <w:i/>
          <w:iCs/>
        </w:rPr>
      </w:pPr>
      <w:bookmarkStart w:id="44" w:name="_Toc163552199"/>
      <w:r>
        <w:rPr>
          <w:b/>
          <w:bCs/>
          <w:i/>
          <w:iCs/>
        </w:rPr>
        <w:t>d)</w:t>
      </w:r>
      <w:r>
        <w:rPr>
          <w:b/>
          <w:bCs/>
          <w:i/>
          <w:iCs/>
        </w:rPr>
        <w:tab/>
        <w:t>Autres révisions dans le domaine du droit public</w:t>
      </w:r>
      <w:bookmarkEnd w:id="44"/>
    </w:p>
    <w:p w:rsidR="00000000" w:rsidRDefault="00000000">
      <w:pPr>
        <w:spacing w:after="240"/>
      </w:pPr>
      <w:r>
        <w:rPr>
          <w:bCs/>
          <w:szCs w:val="22"/>
        </w:rPr>
        <w:t>49.</w:t>
      </w:r>
      <w:r>
        <w:rPr>
          <w:bCs/>
          <w:szCs w:val="22"/>
        </w:rPr>
        <w:tab/>
        <w:t>En complément des deuxième et troisième rapports, nous tenons à relever l’évolution de la situation en ce qui concerne la loi fédérale sur la transparence de l’administration (</w:t>
      </w:r>
      <w:r>
        <w:t>CERD/C/351/Add.2, par. 188)</w:t>
      </w:r>
      <w:r>
        <w:rPr>
          <w:rStyle w:val="FootnoteReference"/>
          <w:bCs/>
          <w:szCs w:val="22"/>
        </w:rPr>
        <w:footnoteReference w:id="35"/>
      </w:r>
      <w:r>
        <w:t>.</w:t>
      </w:r>
      <w:r>
        <w:rPr>
          <w:bCs/>
          <w:szCs w:val="22"/>
        </w:rPr>
        <w:t xml:space="preserve"> Cette nouvelle loi vient en effet renverser le principe du secret en conférant à tous les c</w:t>
      </w:r>
      <w:r>
        <w:rPr>
          <w:bCs/>
          <w:szCs w:val="22"/>
        </w:rPr>
        <w:t>i</w:t>
      </w:r>
      <w:r>
        <w:rPr>
          <w:bCs/>
          <w:szCs w:val="22"/>
        </w:rPr>
        <w:t>toyens le droit d’accéder aux documents officiels sans exiger d’eux qu’ils attestent d’un intérêt particulier. Le principe de la transparence n’est toutefois pas absolu et peut, dans certains cas énumérés de façon exhaustive dans la loi, être restreint pour protéger des intérêts p</w:t>
      </w:r>
      <w:r>
        <w:rPr>
          <w:bCs/>
          <w:szCs w:val="22"/>
        </w:rPr>
        <w:t>u</w:t>
      </w:r>
      <w:r>
        <w:rPr>
          <w:bCs/>
          <w:szCs w:val="22"/>
        </w:rPr>
        <w:t>blics ou privés. Cette nouvelle loi entrera en vigueur le 1</w:t>
      </w:r>
      <w:r>
        <w:rPr>
          <w:bCs/>
          <w:szCs w:val="22"/>
          <w:vertAlign w:val="superscript"/>
        </w:rPr>
        <w:t>er</w:t>
      </w:r>
      <w:r>
        <w:rPr>
          <w:bCs/>
          <w:szCs w:val="22"/>
        </w:rPr>
        <w:t xml:space="preserve"> juillet 2006.</w:t>
      </w:r>
    </w:p>
    <w:p w:rsidR="00000000" w:rsidRDefault="00000000">
      <w:pPr>
        <w:spacing w:after="240"/>
      </w:pPr>
      <w:r>
        <w:t>50.</w:t>
      </w:r>
      <w:r>
        <w:tab/>
        <w:t>Lors de sa séance du 28 avril 2004, le Gouvernement suisse a décidé de renoncer à pr</w:t>
      </w:r>
      <w:r>
        <w:t>é</w:t>
      </w:r>
      <w:r>
        <w:t>senter au Parlement un projet de loi fédérale sur les langues nationales et l’entente entre les communautés linguistiques. Il est en effet convaincu que la Confédération dispose déjà des instruments nécessaires pour atteindre les objectifs fixés dans la loi sur les langues. Des interventions parlementaires demandant la réintroduction de la loi sur les langues dans le Pr</w:t>
      </w:r>
      <w:r>
        <w:t>o</w:t>
      </w:r>
      <w:r>
        <w:t>gramme de la législature sont toutefois en préparation</w:t>
      </w:r>
      <w:r>
        <w:rPr>
          <w:rStyle w:val="FootnoteReference"/>
        </w:rPr>
        <w:footnoteReference w:id="36"/>
      </w:r>
      <w:r>
        <w:t xml:space="preserve">. </w:t>
      </w:r>
    </w:p>
    <w:p w:rsidR="00000000" w:rsidRDefault="00000000">
      <w:pPr>
        <w:keepNext/>
        <w:spacing w:after="240"/>
        <w:jc w:val="center"/>
        <w:rPr>
          <w:b/>
          <w:bCs/>
          <w:szCs w:val="24"/>
        </w:rPr>
      </w:pPr>
      <w:bookmarkStart w:id="45" w:name="_Toc163552200"/>
      <w:r>
        <w:rPr>
          <w:b/>
          <w:bCs/>
          <w:szCs w:val="24"/>
        </w:rPr>
        <w:t>5.  Réformes de constitutions cantonales</w:t>
      </w:r>
      <w:bookmarkEnd w:id="45"/>
    </w:p>
    <w:p w:rsidR="00000000" w:rsidRDefault="00000000">
      <w:pPr>
        <w:spacing w:after="240"/>
      </w:pPr>
      <w:r>
        <w:t>51.</w:t>
      </w:r>
      <w:r>
        <w:tab/>
        <w:t>D’autres cantons ont mené à bien des révisions totales de leur constitution depuis le dernier rapport</w:t>
      </w:r>
      <w:r>
        <w:rPr>
          <w:rStyle w:val="FootnoteReference"/>
        </w:rPr>
        <w:footnoteReference w:id="37"/>
      </w:r>
      <w:r>
        <w:t xml:space="preserve">. </w:t>
      </w:r>
    </w:p>
    <w:p w:rsidR="00000000" w:rsidRDefault="00000000">
      <w:pPr>
        <w:spacing w:after="200"/>
      </w:pPr>
      <w:r>
        <w:t>52.</w:t>
      </w:r>
      <w:r>
        <w:tab/>
        <w:t>Les constitutions des cantons de Vaud (art. 10), Schaffhouse (art. 11), Fribourg (art. 9), Zurich (art. 11) et Bâle (art. 8) contiennent maintenant des dispositions interdisant clair</w:t>
      </w:r>
      <w:r>
        <w:t>e</w:t>
      </w:r>
      <w:r>
        <w:t xml:space="preserve">ment toute discrimination. Dans les nouvelles constitutions des cantons de </w:t>
      </w:r>
      <w:proofErr w:type="spellStart"/>
      <w:r>
        <w:t>Saint</w:t>
      </w:r>
      <w:r>
        <w:noBreakHyphen/>
        <w:t>Gall</w:t>
      </w:r>
      <w:proofErr w:type="spellEnd"/>
      <w:r>
        <w:t xml:space="preserve"> (art. 2) et des Grisons (art. 7), les droits fondamentaux − déjà garantis par la Constitution fédérale − sont simplement énumérés, sans autre précision. </w:t>
      </w:r>
    </w:p>
    <w:p w:rsidR="00000000" w:rsidRDefault="00000000">
      <w:pPr>
        <w:keepNext/>
        <w:spacing w:after="200"/>
        <w:jc w:val="center"/>
        <w:rPr>
          <w:b/>
          <w:bCs/>
          <w:szCs w:val="24"/>
        </w:rPr>
      </w:pPr>
      <w:bookmarkStart w:id="46" w:name="_Toc150668808"/>
      <w:bookmarkStart w:id="47" w:name="_Toc163552201"/>
      <w:r>
        <w:rPr>
          <w:b/>
          <w:bCs/>
          <w:szCs w:val="24"/>
        </w:rPr>
        <w:t>D.  Politique générale de lutte contre la discrimination raciale</w:t>
      </w:r>
      <w:bookmarkEnd w:id="46"/>
      <w:bookmarkEnd w:id="47"/>
    </w:p>
    <w:p w:rsidR="00000000" w:rsidRDefault="00000000">
      <w:pPr>
        <w:keepNext/>
        <w:spacing w:after="200"/>
        <w:jc w:val="center"/>
        <w:rPr>
          <w:b/>
          <w:bCs/>
          <w:szCs w:val="24"/>
        </w:rPr>
      </w:pPr>
      <w:bookmarkStart w:id="48" w:name="_Toc163552202"/>
      <w:r>
        <w:rPr>
          <w:b/>
          <w:bCs/>
          <w:szCs w:val="24"/>
        </w:rPr>
        <w:t>1.  Remarques générales</w:t>
      </w:r>
      <w:bookmarkEnd w:id="48"/>
    </w:p>
    <w:p w:rsidR="00000000" w:rsidRDefault="00000000">
      <w:pPr>
        <w:spacing w:after="200"/>
      </w:pPr>
      <w:r>
        <w:t>53.</w:t>
      </w:r>
      <w:r>
        <w:tab/>
        <w:t xml:space="preserve">Pour la Suisse, 2002 a été l’année de son admission en tant que </w:t>
      </w:r>
      <w:proofErr w:type="spellStart"/>
      <w:r>
        <w:t>190</w:t>
      </w:r>
      <w:r>
        <w:rPr>
          <w:vertAlign w:val="superscript"/>
        </w:rPr>
        <w:t>e</w:t>
      </w:r>
      <w:proofErr w:type="spellEnd"/>
      <w:r>
        <w:t xml:space="preserve"> Membre de l’</w:t>
      </w:r>
      <w:proofErr w:type="spellStart"/>
      <w:r>
        <w:t>ONU</w:t>
      </w:r>
      <w:proofErr w:type="spellEnd"/>
      <w:r>
        <w:t>. Ce nouveau statut permettra à la Suisse non seulement de poursuivre sa tradition humanitaire, mais aussi de donner plus de poids à son engagement en faveur des droits h</w:t>
      </w:r>
      <w:r>
        <w:t>u</w:t>
      </w:r>
      <w:r>
        <w:t>mains en général et à sa lutte contre le racisme en particulier. Depuis la ratification de la Convention, le 29 d</w:t>
      </w:r>
      <w:r>
        <w:t>é</w:t>
      </w:r>
      <w:r>
        <w:t>cembre 1994, la reconnaissance de la procédure de communication individuelle conformément à l’article 14 de la Convention en juin 2003, l’adoption de la norme antiraciste (en vigueur depuis le 1</w:t>
      </w:r>
      <w:r>
        <w:rPr>
          <w:vertAlign w:val="superscript"/>
        </w:rPr>
        <w:t>er</w:t>
      </w:r>
      <w:r>
        <w:t xml:space="preserve"> janvier 1995), de nombreux obje</w:t>
      </w:r>
      <w:r>
        <w:t>c</w:t>
      </w:r>
      <w:r>
        <w:t>tifs ont pu être atteints. D’autres efforts − il n’y a aucun doute à ce sujet − doivent néanmoins encore être entrepris dans ce d</w:t>
      </w:r>
      <w:r>
        <w:t>o</w:t>
      </w:r>
      <w:r>
        <w:t>maine</w:t>
      </w:r>
      <w:r>
        <w:rPr>
          <w:rStyle w:val="FootnoteReference"/>
        </w:rPr>
        <w:footnoteReference w:id="38"/>
      </w:r>
      <w:r>
        <w:t xml:space="preserve">. </w:t>
      </w:r>
    </w:p>
    <w:p w:rsidR="00000000" w:rsidRDefault="00000000">
      <w:pPr>
        <w:spacing w:after="200"/>
      </w:pPr>
      <w:r>
        <w:t>54.</w:t>
      </w:r>
      <w:r>
        <w:tab/>
        <w:t>Le Gouvernement suisse considère son engagement contre le racisme, l’antisémitisme et la xénophobie comme une tâche permanente. Pour preuve de cette pos</w:t>
      </w:r>
      <w:r>
        <w:t>i</w:t>
      </w:r>
      <w:r>
        <w:t xml:space="preserve">tion, il a récemment décidé de reconduire le budget dont est doté le Service de lutte contre le racisme (SLR) pour le financement de projets à long terme (voir </w:t>
      </w:r>
      <w:r>
        <w:rPr>
          <w:i/>
          <w:iCs/>
        </w:rPr>
        <w:t>infra</w:t>
      </w:r>
      <w:r>
        <w:t>,</w:t>
      </w:r>
      <w:r>
        <w:rPr>
          <w:i/>
          <w:iCs/>
        </w:rPr>
        <w:t xml:space="preserve"> </w:t>
      </w:r>
      <w:r>
        <w:t xml:space="preserve">par. 278 et 279). Le Gouvernement réaffirme ainsi sa conviction selon laquelle l’État ne peut pas laisser des organismes privés ou </w:t>
      </w:r>
      <w:proofErr w:type="spellStart"/>
      <w:r>
        <w:t>semi</w:t>
      </w:r>
      <w:r>
        <w:noBreakHyphen/>
        <w:t>privés</w:t>
      </w:r>
      <w:proofErr w:type="spellEnd"/>
      <w:r>
        <w:t xml:space="preserve"> lutter seuls contre le racisme, mais doit </w:t>
      </w:r>
      <w:proofErr w:type="spellStart"/>
      <w:r>
        <w:t>lui</w:t>
      </w:r>
      <w:r>
        <w:noBreakHyphen/>
        <w:t>même</w:t>
      </w:r>
      <w:proofErr w:type="spellEnd"/>
      <w:r>
        <w:t xml:space="preserve"> jouer un rôle important dans sa prévention.</w:t>
      </w:r>
    </w:p>
    <w:p w:rsidR="00000000" w:rsidRDefault="00000000">
      <w:pPr>
        <w:spacing w:after="200"/>
      </w:pPr>
      <w:r>
        <w:t>55.</w:t>
      </w:r>
      <w:r>
        <w:tab/>
        <w:t>Dans de nombreuses réponses à des interventions parlementaires, le Conseil fédéral a mo</w:t>
      </w:r>
      <w:r>
        <w:t>n</w:t>
      </w:r>
      <w:r>
        <w:t>tré à quel point il était sensible aux questions touchant au racisme, à l’antisémitisme et à la xénophobie. Dans sa réponse à une motion demandant la suppression de la norme p</w:t>
      </w:r>
      <w:r>
        <w:t>é</w:t>
      </w:r>
      <w:r>
        <w:t>nale ant</w:t>
      </w:r>
      <w:r>
        <w:t>i</w:t>
      </w:r>
      <w:r>
        <w:t>raciste</w:t>
      </w:r>
      <w:r>
        <w:rPr>
          <w:rStyle w:val="FootnoteReference"/>
        </w:rPr>
        <w:footnoteReference w:id="39"/>
      </w:r>
      <w:r>
        <w:t>, il a ainsi réaffirmé devant le Conseil national sa conviction que la loi doit sanctio</w:t>
      </w:r>
      <w:r>
        <w:t>n</w:t>
      </w:r>
      <w:r>
        <w:t>ner celui qui, publiquement, aura incité à la haine ou à la discrimination envers des personnes en raison de leur appart</w:t>
      </w:r>
      <w:r>
        <w:t>e</w:t>
      </w:r>
      <w:r>
        <w:t>nance raciale, ethnique ou religieuse, celui qui les aura abaissées d’une façon qui porte atteinte à la dignité humaine ou qui leur aura refusé une prestation de</w:t>
      </w:r>
      <w:r>
        <w:t>s</w:t>
      </w:r>
      <w:r>
        <w:t>tinée à l’usage public, de même que tous ceux qui propagent une idéologie raciste. Il a aussi rappelé que la liberté d’expression n’était pas absolue, qu’elle pouvait se heurter à des limites, n</w:t>
      </w:r>
      <w:r>
        <w:t>o</w:t>
      </w:r>
      <w:r>
        <w:t>tamment lorsqu’il s’agit de protéger la dignité ou l’honneur d’autrui. De l’avis du Conseil fédéral, il ne saurait être question d’abroger les articles 261 </w:t>
      </w:r>
      <w:r>
        <w:rPr>
          <w:i/>
          <w:iCs/>
        </w:rPr>
        <w:t>bis</w:t>
      </w:r>
      <w:r>
        <w:t xml:space="preserve"> du Code pénal et </w:t>
      </w:r>
      <w:proofErr w:type="spellStart"/>
      <w:r>
        <w:t>171</w:t>
      </w:r>
      <w:r>
        <w:rPr>
          <w:i/>
          <w:iCs/>
        </w:rPr>
        <w:t>c</w:t>
      </w:r>
      <w:proofErr w:type="spellEnd"/>
      <w:r>
        <w:t xml:space="preserve"> du Code pénal militaire, notamment parce qu’ils sont l’expression concrète des efforts entrepris par la Suisse pour r</w:t>
      </w:r>
      <w:r>
        <w:t>é</w:t>
      </w:r>
      <w:r>
        <w:t>pondre à ses engagements aux termes de la Convention</w:t>
      </w:r>
      <w:r>
        <w:rPr>
          <w:rStyle w:val="FootnoteReference"/>
        </w:rPr>
        <w:footnoteReference w:id="40"/>
      </w:r>
      <w:r>
        <w:t xml:space="preserve">. </w:t>
      </w:r>
    </w:p>
    <w:p w:rsidR="00000000" w:rsidRDefault="00000000">
      <w:pPr>
        <w:keepNext/>
        <w:spacing w:after="240"/>
        <w:jc w:val="center"/>
        <w:rPr>
          <w:b/>
          <w:bCs/>
          <w:szCs w:val="24"/>
        </w:rPr>
      </w:pPr>
      <w:bookmarkStart w:id="49" w:name="_Toc163552203"/>
      <w:r>
        <w:rPr>
          <w:b/>
          <w:bCs/>
          <w:szCs w:val="24"/>
        </w:rPr>
        <w:t>2.  Minorités nationales</w:t>
      </w:r>
      <w:bookmarkEnd w:id="49"/>
    </w:p>
    <w:p w:rsidR="00000000" w:rsidRDefault="00000000">
      <w:pPr>
        <w:keepNext/>
        <w:spacing w:after="240"/>
        <w:rPr>
          <w:b/>
          <w:bCs/>
        </w:rPr>
      </w:pPr>
      <w:bookmarkStart w:id="50" w:name="_Toc163552204"/>
      <w:r>
        <w:rPr>
          <w:b/>
          <w:bCs/>
          <w:i/>
          <w:iCs/>
        </w:rPr>
        <w:t>a)</w:t>
      </w:r>
      <w:r>
        <w:rPr>
          <w:b/>
          <w:bCs/>
          <w:i/>
          <w:iCs/>
        </w:rPr>
        <w:tab/>
        <w:t>Minorités linguistiques</w:t>
      </w:r>
      <w:bookmarkEnd w:id="50"/>
    </w:p>
    <w:p w:rsidR="00000000" w:rsidRDefault="00000000">
      <w:pPr>
        <w:spacing w:after="240"/>
      </w:pPr>
      <w:r>
        <w:t>56.</w:t>
      </w:r>
      <w:r>
        <w:tab/>
        <w:t>Nous renvoyons ici aux deuxième et troisième rapports périodiques présentés par la Suisse au Comité (CERD/C/351/Add.2, par. 45 et suiv.).</w:t>
      </w:r>
    </w:p>
    <w:p w:rsidR="00000000" w:rsidRDefault="00000000">
      <w:pPr>
        <w:keepNext/>
        <w:spacing w:after="240"/>
        <w:rPr>
          <w:b/>
          <w:bCs/>
          <w:i/>
          <w:iCs/>
        </w:rPr>
      </w:pPr>
      <w:bookmarkStart w:id="51" w:name="_Toc163552205"/>
      <w:r>
        <w:rPr>
          <w:b/>
          <w:bCs/>
          <w:i/>
          <w:iCs/>
        </w:rPr>
        <w:t>b)</w:t>
      </w:r>
      <w:r>
        <w:rPr>
          <w:b/>
          <w:bCs/>
          <w:i/>
          <w:iCs/>
        </w:rPr>
        <w:tab/>
        <w:t>Minorités religieuses</w:t>
      </w:r>
      <w:bookmarkEnd w:id="51"/>
    </w:p>
    <w:p w:rsidR="00000000" w:rsidRDefault="00000000">
      <w:pPr>
        <w:spacing w:after="240"/>
      </w:pPr>
      <w:r>
        <w:t>57.</w:t>
      </w:r>
      <w:r>
        <w:tab/>
        <w:t>La multiplication généralisée des actes d’intolérance à l’égard de membres des co</w:t>
      </w:r>
      <w:r>
        <w:t>m</w:t>
      </w:r>
      <w:r>
        <w:t>munautés musulmanes de Suisse a été frappante durant la période sous rapport. Dans le contexte de la campagne qui a précédé la votation sur les naturalisations facilitées, nota</w:t>
      </w:r>
      <w:r>
        <w:t>m</w:t>
      </w:r>
      <w:r>
        <w:t>ment, la Commission fédérale des étrangers (</w:t>
      </w:r>
      <w:proofErr w:type="spellStart"/>
      <w:r>
        <w:t>CFE</w:t>
      </w:r>
      <w:proofErr w:type="spellEnd"/>
      <w:r>
        <w:t>) a dénoncé à plusieurs reprises des a</w:t>
      </w:r>
      <w:r>
        <w:t>n</w:t>
      </w:r>
      <w:r>
        <w:t>nonces passées dans la presse écrite par certains milieux de droite, estimant qu’elles étaient diffamatoires à l’égard de la comm</w:t>
      </w:r>
      <w:r>
        <w:t>u</w:t>
      </w:r>
      <w:r>
        <w:t>nauté musulmane</w:t>
      </w:r>
      <w:r>
        <w:rPr>
          <w:rStyle w:val="FootnoteReference"/>
        </w:rPr>
        <w:footnoteReference w:id="41"/>
      </w:r>
      <w:r>
        <w:t>.</w:t>
      </w:r>
    </w:p>
    <w:p w:rsidR="00000000" w:rsidRDefault="00000000">
      <w:pPr>
        <w:spacing w:after="240"/>
      </w:pPr>
      <w:r>
        <w:t>58.</w:t>
      </w:r>
      <w:r>
        <w:tab/>
        <w:t>Le 30 septembre 2004, des députés au Parlement ont déposé une interpellation dans laquelle ils demandaient au Conseil fédéral s’il considérait que l’islamisme radical représentait une menace pour la Suisse. Dans sa r</w:t>
      </w:r>
      <w:r>
        <w:t>é</w:t>
      </w:r>
      <w:r>
        <w:t>ponse, le Conseil fédéral a souligné qu’il faisait une distinction claire entre islam et islamisme, entre religion et idéologie. Il a ajouté qu’il n’était pas d’avis que l’islam était une religion qui incitait de manière générale à la violence et qui n’était pas pacifique</w:t>
      </w:r>
      <w:r>
        <w:rPr>
          <w:rStyle w:val="FootnoteReference"/>
        </w:rPr>
        <w:footnoteReference w:id="42"/>
      </w:r>
      <w:r>
        <w:t xml:space="preserve">. </w:t>
      </w:r>
    </w:p>
    <w:p w:rsidR="00000000" w:rsidRDefault="00000000">
      <w:pPr>
        <w:spacing w:after="240"/>
      </w:pPr>
      <w:r>
        <w:t>59.</w:t>
      </w:r>
      <w:r>
        <w:tab/>
        <w:t>Au début de l’année 2005, les actes à caractère antisémite se sont multipliés dans différentes régions de Suisse. À Lugano, à Genève et sur la Riviera vaudoise, des lieux s</w:t>
      </w:r>
      <w:r>
        <w:t>a</w:t>
      </w:r>
      <w:r>
        <w:t>crés et des symboles rappelant la Shoah ont été profanés</w:t>
      </w:r>
      <w:r>
        <w:rPr>
          <w:rStyle w:val="FootnoteReference"/>
        </w:rPr>
        <w:footnoteReference w:id="43"/>
      </w:r>
      <w:r>
        <w:t xml:space="preserve">. Durant la période couverte par le rapport, le conflit au </w:t>
      </w:r>
      <w:proofErr w:type="spellStart"/>
      <w:r>
        <w:t>Proche</w:t>
      </w:r>
      <w:r>
        <w:noBreakHyphen/>
        <w:t>Orient</w:t>
      </w:r>
      <w:proofErr w:type="spellEnd"/>
      <w:r>
        <w:t xml:space="preserve"> a été très présent dans les médias. Il est arrivé, ça et là, que la presse se fasse l’écho de voix antisémites ou pouvant susciter l’antisémitisme. Le regard po</w:t>
      </w:r>
      <w:r>
        <w:t>r</w:t>
      </w:r>
      <w:r>
        <w:t>té par les journalistes sur les événements en Israël a été perçu comme de plus en plus tenda</w:t>
      </w:r>
      <w:r>
        <w:t>n</w:t>
      </w:r>
      <w:r>
        <w:t>cieux par la communauté juive.</w:t>
      </w:r>
    </w:p>
    <w:p w:rsidR="00000000" w:rsidRDefault="00000000">
      <w:pPr>
        <w:spacing w:after="240"/>
      </w:pPr>
      <w:r>
        <w:t>60.</w:t>
      </w:r>
      <w:r>
        <w:tab/>
        <w:t>En réaction aux incendies criminels qui ont visé la syn</w:t>
      </w:r>
      <w:r>
        <w:t>a</w:t>
      </w:r>
      <w:r>
        <w:t>gogue et un commerce juif de Lugano le 14 mars 2005, le Président de la Confédération a condamné sans réserve toutes les formes d’antisémitisme et a assuré à toutes les perso</w:t>
      </w:r>
      <w:r>
        <w:t>n</w:t>
      </w:r>
      <w:r>
        <w:t>nes de confession juive vivant en Suisse que l’</w:t>
      </w:r>
      <w:proofErr w:type="spellStart"/>
      <w:r>
        <w:t>État</w:t>
      </w:r>
      <w:proofErr w:type="spellEnd"/>
      <w:r>
        <w:t xml:space="preserve"> ferait tout ce qui est en son pouvoir pour les protéger de tels actes</w:t>
      </w:r>
      <w:r>
        <w:rPr>
          <w:rStyle w:val="FootnoteReference"/>
        </w:rPr>
        <w:footnoteReference w:id="44"/>
      </w:r>
      <w:r>
        <w:t>. Le 17 mars 2005, la délégation suisse a également condamné ces infractions devant le Conseil permanent de l’</w:t>
      </w:r>
      <w:proofErr w:type="spellStart"/>
      <w:r>
        <w:t>OSCE</w:t>
      </w:r>
      <w:proofErr w:type="spellEnd"/>
      <w:r>
        <w:t>, tout en soulignant que l’intolérance et la discrimination étaient des pr</w:t>
      </w:r>
      <w:r>
        <w:t>o</w:t>
      </w:r>
      <w:r>
        <w:t>blèmes de société que la Suisse se d</w:t>
      </w:r>
      <w:r>
        <w:t>e</w:t>
      </w:r>
      <w:r>
        <w:t>vait de prendre au sérieux.</w:t>
      </w:r>
    </w:p>
    <w:p w:rsidR="00000000" w:rsidRDefault="00000000">
      <w:pPr>
        <w:spacing w:after="240"/>
      </w:pPr>
      <w:r>
        <w:t>61.</w:t>
      </w:r>
      <w:r>
        <w:tab/>
        <w:t xml:space="preserve">Le 27 janvier 2004, la </w:t>
      </w:r>
      <w:r>
        <w:rPr>
          <w:i/>
          <w:iCs/>
        </w:rPr>
        <w:t>Journée de la mémoire de l’</w:t>
      </w:r>
      <w:proofErr w:type="spellStart"/>
      <w:r>
        <w:rPr>
          <w:i/>
          <w:iCs/>
        </w:rPr>
        <w:t>Holocauste</w:t>
      </w:r>
      <w:proofErr w:type="spellEnd"/>
      <w:r>
        <w:rPr>
          <w:i/>
          <w:iCs/>
        </w:rPr>
        <w:t xml:space="preserve"> et de la prévention des crimes contre l’humanité</w:t>
      </w:r>
      <w:r>
        <w:t xml:space="preserve"> a été commémorée pour la première fois dans les écoles suisses</w:t>
      </w:r>
      <w:r>
        <w:rPr>
          <w:rStyle w:val="FootnoteReference"/>
        </w:rPr>
        <w:footnoteReference w:id="45"/>
      </w:r>
      <w:r>
        <w:t>. Sur proposition du Conseil de l’</w:t>
      </w:r>
      <w:proofErr w:type="spellStart"/>
      <w:r>
        <w:t>Europe</w:t>
      </w:r>
      <w:proofErr w:type="spellEnd"/>
      <w:r>
        <w:t>, le souvenir de l’</w:t>
      </w:r>
      <w:proofErr w:type="spellStart"/>
      <w:r>
        <w:t>Holocauste</w:t>
      </w:r>
      <w:proofErr w:type="spellEnd"/>
      <w:r>
        <w:t xml:space="preserve"> mais aussi d’autres gén</w:t>
      </w:r>
      <w:r>
        <w:t>o</w:t>
      </w:r>
      <w:r>
        <w:t>cides qui ont marqué l’histoire de l’</w:t>
      </w:r>
      <w:proofErr w:type="spellStart"/>
      <w:r>
        <w:t>Europe</w:t>
      </w:r>
      <w:proofErr w:type="spellEnd"/>
      <w:r>
        <w:t xml:space="preserve"> au cours du siècle dernier sera célébré dans les États membres ce même jour. Le but de cette Journée est de promouvoir le respect de l’autre, les droits humains, l’engagement contre le racisme et l’antisémitisme, ainsi que le dialogue inte</w:t>
      </w:r>
      <w:r>
        <w:t>r</w:t>
      </w:r>
      <w:r>
        <w:t xml:space="preserve">culturel et le dialogue </w:t>
      </w:r>
      <w:proofErr w:type="spellStart"/>
      <w:r>
        <w:t>interreligieux</w:t>
      </w:r>
      <w:proofErr w:type="spellEnd"/>
      <w:r>
        <w:rPr>
          <w:rStyle w:val="FootnoteReference"/>
        </w:rPr>
        <w:footnoteReference w:id="46"/>
      </w:r>
      <w:r>
        <w:t xml:space="preserve">. </w:t>
      </w:r>
    </w:p>
    <w:p w:rsidR="00000000" w:rsidRDefault="00000000">
      <w:pPr>
        <w:spacing w:after="240"/>
      </w:pPr>
      <w:r>
        <w:t>62.</w:t>
      </w:r>
      <w:r>
        <w:tab/>
        <w:t>En 2004, le Groupe de travail suisse de la «</w:t>
      </w:r>
      <w:proofErr w:type="spellStart"/>
      <w:r>
        <w:rPr>
          <w:i/>
        </w:rPr>
        <w:t>Task</w:t>
      </w:r>
      <w:proofErr w:type="spellEnd"/>
      <w:r>
        <w:rPr>
          <w:i/>
        </w:rPr>
        <w:t xml:space="preserve"> Force on International </w:t>
      </w:r>
      <w:proofErr w:type="spellStart"/>
      <w:r>
        <w:rPr>
          <w:i/>
        </w:rPr>
        <w:t>Cooper</w:t>
      </w:r>
      <w:r>
        <w:rPr>
          <w:i/>
        </w:rPr>
        <w:t>a</w:t>
      </w:r>
      <w:r>
        <w:rPr>
          <w:i/>
        </w:rPr>
        <w:t>tion</w:t>
      </w:r>
      <w:proofErr w:type="spellEnd"/>
      <w:r>
        <w:rPr>
          <w:i/>
        </w:rPr>
        <w:t xml:space="preserve"> on </w:t>
      </w:r>
      <w:proofErr w:type="spellStart"/>
      <w:r>
        <w:rPr>
          <w:i/>
        </w:rPr>
        <w:t>Holocaust</w:t>
      </w:r>
      <w:proofErr w:type="spellEnd"/>
      <w:r>
        <w:rPr>
          <w:i/>
        </w:rPr>
        <w:t xml:space="preserve"> </w:t>
      </w:r>
      <w:proofErr w:type="spellStart"/>
      <w:r>
        <w:rPr>
          <w:i/>
        </w:rPr>
        <w:t>Education</w:t>
      </w:r>
      <w:proofErr w:type="spellEnd"/>
      <w:r>
        <w:rPr>
          <w:i/>
        </w:rPr>
        <w:t xml:space="preserve">, Remembrance </w:t>
      </w:r>
      <w:proofErr w:type="spellStart"/>
      <w:r>
        <w:rPr>
          <w:i/>
        </w:rPr>
        <w:t>and</w:t>
      </w:r>
      <w:proofErr w:type="spellEnd"/>
      <w:r>
        <w:rPr>
          <w:i/>
        </w:rPr>
        <w:t xml:space="preserve"> </w:t>
      </w:r>
      <w:proofErr w:type="spellStart"/>
      <w:r>
        <w:rPr>
          <w:i/>
        </w:rPr>
        <w:t>Research</w:t>
      </w:r>
      <w:proofErr w:type="spellEnd"/>
      <w:r>
        <w:t>» (</w:t>
      </w:r>
      <w:proofErr w:type="spellStart"/>
      <w:r>
        <w:t>ITF</w:t>
      </w:r>
      <w:proofErr w:type="spellEnd"/>
      <w:r>
        <w:t>) a été créé à l’initiative du Ce</w:t>
      </w:r>
      <w:r>
        <w:t>n</w:t>
      </w:r>
      <w:r>
        <w:t xml:space="preserve">tre d’analyse et de prospective (CAP) du Département fédéral des affaires étrangères. La </w:t>
      </w:r>
      <w:proofErr w:type="spellStart"/>
      <w:r>
        <w:rPr>
          <w:i/>
          <w:iCs/>
        </w:rPr>
        <w:t>Task</w:t>
      </w:r>
      <w:proofErr w:type="spellEnd"/>
      <w:r>
        <w:rPr>
          <w:i/>
          <w:iCs/>
        </w:rPr>
        <w:t xml:space="preserve"> Force</w:t>
      </w:r>
      <w:r>
        <w:t xml:space="preserve"> avait vu le jour à l’occasion du Forum international sur la Shoah, qui s’était tenu à Stockholm en janvier 2000. </w:t>
      </w:r>
      <w:proofErr w:type="spellStart"/>
      <w:r>
        <w:t>Dix</w:t>
      </w:r>
      <w:r>
        <w:noBreakHyphen/>
        <w:t>huit</w:t>
      </w:r>
      <w:proofErr w:type="spellEnd"/>
      <w:r>
        <w:t xml:space="preserve"> États avaient alors signé la Déclaration de Stockholm, s’engageant notamment à promouvoir la recherche sur la Shoah. La Suisse s’est ralliée à cette déclaration et a promis de verser une contribution annuelle. Le Groupe de travail suisse se compose de représentants d’organisations et institutions intéressées et bénéficie d’un large soutien dans la communa</w:t>
      </w:r>
      <w:r>
        <w:t>u</w:t>
      </w:r>
      <w:r>
        <w:t>té juive. Il assure l’interface entre le travail fondamental de l’</w:t>
      </w:r>
      <w:proofErr w:type="spellStart"/>
      <w:r>
        <w:t>ITF</w:t>
      </w:r>
      <w:proofErr w:type="spellEnd"/>
      <w:r>
        <w:t xml:space="preserve"> et les projets concrets réal</w:t>
      </w:r>
      <w:r>
        <w:t>i</w:t>
      </w:r>
      <w:r>
        <w:t>sés en Suisse.</w:t>
      </w:r>
      <w:r>
        <w:rPr>
          <w:rStyle w:val="FootnoteReference"/>
        </w:rPr>
        <w:t xml:space="preserve"> </w:t>
      </w:r>
    </w:p>
    <w:p w:rsidR="00000000" w:rsidRDefault="00000000">
      <w:pPr>
        <w:spacing w:after="240"/>
      </w:pPr>
      <w:r>
        <w:t>63.</w:t>
      </w:r>
      <w:r>
        <w:tab/>
        <w:t xml:space="preserve">En réaction au malaise croissant éprouvé face à la présentation jugée polémique du conflit au </w:t>
      </w:r>
      <w:proofErr w:type="spellStart"/>
      <w:r>
        <w:t>Proche</w:t>
      </w:r>
      <w:r>
        <w:noBreakHyphen/>
        <w:t>Orient</w:t>
      </w:r>
      <w:proofErr w:type="spellEnd"/>
      <w:r>
        <w:t xml:space="preserve"> dans les médias, la Fédération suisse des communa</w:t>
      </w:r>
      <w:r>
        <w:t>u</w:t>
      </w:r>
      <w:r>
        <w:t>tés israélites a, en 2002, créé un centre d’observation des médias. En mars 2004, une étude portant sur le stéréotypage d’acteurs juifs dans les médias, commandée par l’</w:t>
      </w:r>
      <w:proofErr w:type="spellStart"/>
      <w:r>
        <w:t>Anti</w:t>
      </w:r>
      <w:proofErr w:type="spellEnd"/>
      <w:r>
        <w:t xml:space="preserve"> </w:t>
      </w:r>
      <w:proofErr w:type="spellStart"/>
      <w:r>
        <w:t>Defamation</w:t>
      </w:r>
      <w:proofErr w:type="spellEnd"/>
      <w:r>
        <w:t xml:space="preserve"> </w:t>
      </w:r>
      <w:proofErr w:type="spellStart"/>
      <w:r>
        <w:t>League</w:t>
      </w:r>
      <w:proofErr w:type="spellEnd"/>
      <w:r>
        <w:t xml:space="preserve"> (ADL), </w:t>
      </w:r>
      <w:proofErr w:type="spellStart"/>
      <w:r>
        <w:t>Bnai</w:t>
      </w:r>
      <w:proofErr w:type="spellEnd"/>
      <w:r>
        <w:t xml:space="preserve"> </w:t>
      </w:r>
      <w:proofErr w:type="spellStart"/>
      <w:r>
        <w:t>Brith</w:t>
      </w:r>
      <w:proofErr w:type="spellEnd"/>
      <w:r>
        <w:t xml:space="preserve"> Zurich, et réalisée par des spécialistes des médias, a été présentée (voir </w:t>
      </w:r>
      <w:r>
        <w:rPr>
          <w:i/>
          <w:iCs/>
        </w:rPr>
        <w:t>infra</w:t>
      </w:r>
      <w:r>
        <w:t xml:space="preserve">, par. 230). </w:t>
      </w:r>
    </w:p>
    <w:p w:rsidR="00000000" w:rsidRDefault="00000000">
      <w:pPr>
        <w:keepNext/>
        <w:spacing w:after="240"/>
        <w:rPr>
          <w:b/>
          <w:bCs/>
          <w:i/>
          <w:iCs/>
        </w:rPr>
      </w:pPr>
      <w:bookmarkStart w:id="52" w:name="_Toc163552206"/>
      <w:r>
        <w:rPr>
          <w:b/>
          <w:bCs/>
          <w:i/>
          <w:iCs/>
        </w:rPr>
        <w:t>c)</w:t>
      </w:r>
      <w:r>
        <w:rPr>
          <w:b/>
          <w:bCs/>
          <w:i/>
          <w:iCs/>
        </w:rPr>
        <w:tab/>
        <w:t>Gens du voyage</w:t>
      </w:r>
      <w:bookmarkEnd w:id="52"/>
    </w:p>
    <w:p w:rsidR="00000000" w:rsidRDefault="00000000">
      <w:pPr>
        <w:spacing w:after="240"/>
      </w:pPr>
      <w:r>
        <w:t>64.</w:t>
      </w:r>
      <w:r>
        <w:tab/>
        <w:t>La situation des gens du voyage est présentée plus en détail (</w:t>
      </w:r>
      <w:r>
        <w:rPr>
          <w:i/>
          <w:iCs/>
        </w:rPr>
        <w:t>infra</w:t>
      </w:r>
      <w:r>
        <w:t>, par. 281 à 288 ) dans les observations relatives au paragraphe 15 des conclusions du Comité sur la présentation des rapports précédents de la Suisse (CERD/C/60/CO/14).</w:t>
      </w:r>
    </w:p>
    <w:p w:rsidR="00000000" w:rsidRDefault="00000000">
      <w:pPr>
        <w:keepNext/>
        <w:spacing w:after="240"/>
        <w:jc w:val="center"/>
        <w:rPr>
          <w:b/>
          <w:bCs/>
          <w:szCs w:val="24"/>
        </w:rPr>
      </w:pPr>
      <w:bookmarkStart w:id="53" w:name="_Toc163552207"/>
      <w:r>
        <w:rPr>
          <w:b/>
          <w:bCs/>
          <w:szCs w:val="24"/>
        </w:rPr>
        <w:t>3.  Population étrangère</w:t>
      </w:r>
      <w:bookmarkEnd w:id="53"/>
    </w:p>
    <w:p w:rsidR="00000000" w:rsidRDefault="00000000">
      <w:pPr>
        <w:keepNext/>
        <w:spacing w:after="240"/>
        <w:rPr>
          <w:b/>
          <w:bCs/>
          <w:i/>
          <w:iCs/>
        </w:rPr>
      </w:pPr>
      <w:bookmarkStart w:id="54" w:name="_Toc163552208"/>
      <w:r>
        <w:rPr>
          <w:b/>
          <w:bCs/>
          <w:i/>
          <w:iCs/>
        </w:rPr>
        <w:t>a)</w:t>
      </w:r>
      <w:r>
        <w:rPr>
          <w:b/>
          <w:bCs/>
          <w:i/>
          <w:iCs/>
        </w:rPr>
        <w:tab/>
        <w:t>Politique de migration</w:t>
      </w:r>
      <w:bookmarkEnd w:id="54"/>
    </w:p>
    <w:p w:rsidR="00000000" w:rsidRDefault="00000000">
      <w:pPr>
        <w:spacing w:after="240"/>
        <w:rPr>
          <w:sz w:val="17"/>
          <w:szCs w:val="17"/>
        </w:rPr>
      </w:pPr>
      <w:r>
        <w:t>65.</w:t>
      </w:r>
      <w:r>
        <w:tab/>
        <w:t>Avec l’arrivée dans l’</w:t>
      </w:r>
      <w:proofErr w:type="spellStart"/>
      <w:r>
        <w:t>Union</w:t>
      </w:r>
      <w:proofErr w:type="spellEnd"/>
      <w:r>
        <w:t xml:space="preserve"> européenne de 10 nouveaux membres au 1</w:t>
      </w:r>
      <w:r>
        <w:rPr>
          <w:vertAlign w:val="superscript"/>
        </w:rPr>
        <w:t>er</w:t>
      </w:r>
      <w:r>
        <w:t xml:space="preserve"> mai 2004, l’application des accords bilatéraux conclus entre la Suisse et l’</w:t>
      </w:r>
      <w:proofErr w:type="spellStart"/>
      <w:r>
        <w:t>Union</w:t>
      </w:r>
      <w:proofErr w:type="spellEnd"/>
      <w:r>
        <w:t xml:space="preserve"> européenne a automat</w:t>
      </w:r>
      <w:r>
        <w:t>i</w:t>
      </w:r>
      <w:r>
        <w:t>quement été étendue aux nouveaux États membres. L’accord sur la libre circulation des pe</w:t>
      </w:r>
      <w:r>
        <w:t>r</w:t>
      </w:r>
      <w:r>
        <w:t>sonnes fait exception à cette règle puisque des adaptations ont dû être négociées avec l’</w:t>
      </w:r>
      <w:proofErr w:type="spellStart"/>
      <w:r>
        <w:t>UE</w:t>
      </w:r>
      <w:proofErr w:type="spellEnd"/>
      <w:r>
        <w:t>. L’immigration a ainsi été restreinte sous la forme d’un protocole prévoyant l’introduction contrôlée et progressive de la libre circulation des personnes avec les nouveaux États de l’Union européenne (régime transitoire jusqu’en 2011). On pourra donc contrôler et limiter l’immigration au moyen de réglementations transitoires appropriées, comme on le fait a</w:t>
      </w:r>
      <w:r>
        <w:t>u</w:t>
      </w:r>
      <w:r>
        <w:t>jourd’hui déjà à l’égard des 15 États membres de l’</w:t>
      </w:r>
      <w:proofErr w:type="spellStart"/>
      <w:r>
        <w:t>UE</w:t>
      </w:r>
      <w:proofErr w:type="spellEnd"/>
      <w:r>
        <w:t xml:space="preserve"> dans le cadre de l’accord de libre circulation des personnes en vigueur. Pour les nouveaux membres, les d</w:t>
      </w:r>
      <w:r>
        <w:t>é</w:t>
      </w:r>
      <w:r>
        <w:t>lais transitoires sont plus longs.</w:t>
      </w:r>
    </w:p>
    <w:p w:rsidR="00000000" w:rsidRDefault="00000000">
      <w:pPr>
        <w:spacing w:after="240"/>
      </w:pPr>
      <w:r>
        <w:rPr>
          <w:bCs/>
        </w:rPr>
        <w:t>66.</w:t>
      </w:r>
      <w:r>
        <w:rPr>
          <w:bCs/>
        </w:rPr>
        <w:tab/>
        <w:t>Depuis le 1</w:t>
      </w:r>
      <w:r>
        <w:rPr>
          <w:bCs/>
          <w:vertAlign w:val="superscript"/>
        </w:rPr>
        <w:t>er</w:t>
      </w:r>
      <w:r>
        <w:rPr>
          <w:bCs/>
        </w:rPr>
        <w:t xml:space="preserve"> juin 2004, des mesur</w:t>
      </w:r>
      <w:r>
        <w:t xml:space="preserve">es d’accompagnement assurent au marché suisse du travail une protection supplémentaire contre le </w:t>
      </w:r>
      <w:proofErr w:type="spellStart"/>
      <w:r>
        <w:t>non</w:t>
      </w:r>
      <w:r>
        <w:noBreakHyphen/>
        <w:t>respect</w:t>
      </w:r>
      <w:proofErr w:type="spellEnd"/>
      <w:r>
        <w:t xml:space="preserve"> du niveau des salaires et des prestations sociales existant en Suisse. Dans la perspective de l’extension de l’Union eur</w:t>
      </w:r>
      <w:r>
        <w:t>o</w:t>
      </w:r>
      <w:r>
        <w:t>péenne, l’efficacité et l’exécution de ces mesures seront améliorées grâce à des instruments complémentaires. En 2009, une autre possibilité de référendum permettra de décider du maintien de l’accord avec les États membres de l’Europe des 25.</w:t>
      </w:r>
    </w:p>
    <w:p w:rsidR="00000000" w:rsidRDefault="00000000">
      <w:pPr>
        <w:spacing w:after="240"/>
        <w:rPr>
          <w:sz w:val="17"/>
          <w:szCs w:val="17"/>
        </w:rPr>
      </w:pPr>
      <w:r>
        <w:t>67.</w:t>
      </w:r>
      <w:r>
        <w:tab/>
        <w:t xml:space="preserve">L’extension de l’accord sur la libre circulation permet à la Suisse d’avoir accès à un immense réservoir de </w:t>
      </w:r>
      <w:proofErr w:type="spellStart"/>
      <w:r>
        <w:t>main</w:t>
      </w:r>
      <w:r>
        <w:noBreakHyphen/>
        <w:t>d’œuvre</w:t>
      </w:r>
      <w:proofErr w:type="spellEnd"/>
      <w:r>
        <w:t xml:space="preserve">, hautement qualifiée ou peu qualifiée. Cette ouverture est à l’unisson avec la politique de migration du Gouvernement suisse, qui d’une part aspire à une ouverture par rapport à l’UE et l’AELE et d’autre part limite l’immigration en provenance des pays tiers à la </w:t>
      </w:r>
      <w:proofErr w:type="spellStart"/>
      <w:r>
        <w:t>main</w:t>
      </w:r>
      <w:r>
        <w:noBreakHyphen/>
        <w:t>d’œuvre</w:t>
      </w:r>
      <w:proofErr w:type="spellEnd"/>
      <w:r>
        <w:t xml:space="preserve"> qualifiée (système binaire d’admission) (voir </w:t>
      </w:r>
      <w:proofErr w:type="spellStart"/>
      <w:r>
        <w:t>CERD</w:t>
      </w:r>
      <w:proofErr w:type="spellEnd"/>
      <w:r>
        <w:t>/C/351/</w:t>
      </w:r>
      <w:proofErr w:type="spellStart"/>
      <w:r>
        <w:t>Add.2</w:t>
      </w:r>
      <w:proofErr w:type="spellEnd"/>
      <w:r>
        <w:t>, par. 81 et suiv.). Inve</w:t>
      </w:r>
      <w:r>
        <w:t>r</w:t>
      </w:r>
      <w:r>
        <w:t>sement, le principe de la libre circulation des personnes s’applique aussi aux ressortissants suisses souhaitant vivre et travailler dans un pays membre de l’Union européenne.</w:t>
      </w:r>
    </w:p>
    <w:p w:rsidR="00000000" w:rsidRDefault="00000000">
      <w:pPr>
        <w:spacing w:after="240"/>
      </w:pPr>
      <w:r>
        <w:t>68.</w:t>
      </w:r>
      <w:r>
        <w:tab/>
        <w:t>Le 25 septembre 2005, le peuple suisse a accepté l’extension de l’accord sur la libre circulation des personnes aux nouveaux États membres de l’</w:t>
      </w:r>
      <w:proofErr w:type="spellStart"/>
      <w:r>
        <w:t>UE</w:t>
      </w:r>
      <w:proofErr w:type="spellEnd"/>
      <w:r>
        <w:t xml:space="preserve"> ainsi que la révision des m</w:t>
      </w:r>
      <w:r>
        <w:t>e</w:t>
      </w:r>
      <w:r>
        <w:t>sures d’accompagnement dans une votation populaire. Les deux objets sont entrés en v</w:t>
      </w:r>
      <w:r>
        <w:t>i</w:t>
      </w:r>
      <w:r>
        <w:t>gueur le 1</w:t>
      </w:r>
      <w:r>
        <w:rPr>
          <w:vertAlign w:val="superscript"/>
        </w:rPr>
        <w:t>er</w:t>
      </w:r>
      <w:r>
        <w:t> avril 2006.</w:t>
      </w:r>
    </w:p>
    <w:p w:rsidR="00000000" w:rsidRDefault="00000000">
      <w:pPr>
        <w:spacing w:after="240"/>
      </w:pPr>
      <w:r>
        <w:t>69.</w:t>
      </w:r>
      <w:r>
        <w:tab/>
        <w:t>Le 7 juin 2004, le Conseil fédéral a décidé de fusionner l’</w:t>
      </w:r>
      <w:proofErr w:type="spellStart"/>
      <w:r>
        <w:t>Office</w:t>
      </w:r>
      <w:proofErr w:type="spellEnd"/>
      <w:r>
        <w:t xml:space="preserve"> fédéral de l’immigration, de l’intégration et de l’émigration (IMES) avec l’</w:t>
      </w:r>
      <w:proofErr w:type="spellStart"/>
      <w:r>
        <w:t>Office</w:t>
      </w:r>
      <w:proofErr w:type="spellEnd"/>
      <w:r>
        <w:t xml:space="preserve"> fédéral des réfugiés (</w:t>
      </w:r>
      <w:proofErr w:type="spellStart"/>
      <w:r>
        <w:t>ODR</w:t>
      </w:r>
      <w:proofErr w:type="spellEnd"/>
      <w:r>
        <w:t>). Le regroup</w:t>
      </w:r>
      <w:r>
        <w:t>e</w:t>
      </w:r>
      <w:r>
        <w:t>ment des deux offices au sein de l’</w:t>
      </w:r>
      <w:proofErr w:type="spellStart"/>
      <w:r>
        <w:t>Office</w:t>
      </w:r>
      <w:proofErr w:type="spellEnd"/>
      <w:r>
        <w:t xml:space="preserve"> fédéral des migrations</w:t>
      </w:r>
      <w:r>
        <w:rPr>
          <w:b/>
        </w:rPr>
        <w:t xml:space="preserve"> </w:t>
      </w:r>
      <w:r>
        <w:t>(</w:t>
      </w:r>
      <w:proofErr w:type="spellStart"/>
      <w:r>
        <w:t>ODM</w:t>
      </w:r>
      <w:proofErr w:type="spellEnd"/>
      <w:r>
        <w:t xml:space="preserve">) a été </w:t>
      </w:r>
      <w:r>
        <w:br/>
        <w:t>réalisé au 1</w:t>
      </w:r>
      <w:r>
        <w:rPr>
          <w:vertAlign w:val="superscript"/>
        </w:rPr>
        <w:t>er</w:t>
      </w:r>
      <w:r>
        <w:t xml:space="preserve"> janvier 2005.</w:t>
      </w:r>
    </w:p>
    <w:p w:rsidR="00000000" w:rsidRDefault="00000000">
      <w:pPr>
        <w:spacing w:after="240"/>
      </w:pPr>
      <w:r>
        <w:t>70.</w:t>
      </w:r>
      <w:r>
        <w:tab/>
        <w:t xml:space="preserve">En ce qui concerne la réserve de la Suisse au sujet de l’alinéa </w:t>
      </w:r>
      <w:r>
        <w:rPr>
          <w:i/>
          <w:iCs/>
        </w:rPr>
        <w:t xml:space="preserve">a </w:t>
      </w:r>
      <w:r>
        <w:t xml:space="preserve">du paragraphe 1 de l’article 2 de la Convention, voir le paragraphe 280 </w:t>
      </w:r>
      <w:proofErr w:type="spellStart"/>
      <w:r>
        <w:t>ci</w:t>
      </w:r>
      <w:r>
        <w:noBreakHyphen/>
        <w:t>dessous</w:t>
      </w:r>
      <w:proofErr w:type="spellEnd"/>
      <w:r>
        <w:t>.</w:t>
      </w:r>
    </w:p>
    <w:p w:rsidR="00000000" w:rsidRDefault="00000000">
      <w:pPr>
        <w:keepNext/>
        <w:spacing w:after="240"/>
        <w:rPr>
          <w:b/>
          <w:bCs/>
          <w:i/>
          <w:iCs/>
        </w:rPr>
      </w:pPr>
      <w:bookmarkStart w:id="55" w:name="_Toc163552209"/>
      <w:r>
        <w:rPr>
          <w:b/>
          <w:bCs/>
          <w:i/>
          <w:iCs/>
        </w:rPr>
        <w:t>b)</w:t>
      </w:r>
      <w:r>
        <w:rPr>
          <w:b/>
          <w:bCs/>
          <w:i/>
          <w:iCs/>
        </w:rPr>
        <w:tab/>
        <w:t>Politique d’asile</w:t>
      </w:r>
      <w:bookmarkEnd w:id="55"/>
    </w:p>
    <w:p w:rsidR="00000000" w:rsidRDefault="00000000">
      <w:pPr>
        <w:spacing w:after="200"/>
      </w:pPr>
      <w:r>
        <w:t>71.</w:t>
      </w:r>
      <w:r>
        <w:tab/>
        <w:t xml:space="preserve">Le nombre des demandes d’asile a fortement baissé durant la période sous rapport (voir par. 11 </w:t>
      </w:r>
      <w:proofErr w:type="spellStart"/>
      <w:r>
        <w:t>ci</w:t>
      </w:r>
      <w:r>
        <w:noBreakHyphen/>
        <w:t>dessus</w:t>
      </w:r>
      <w:proofErr w:type="spellEnd"/>
      <w:r>
        <w:t>). Ce recul s’explique par une certaine amélioration de la situation politique dans les États de l’</w:t>
      </w:r>
      <w:proofErr w:type="spellStart"/>
      <w:r>
        <w:t>ex</w:t>
      </w:r>
      <w:r>
        <w:noBreakHyphen/>
        <w:t>Yougoslavie</w:t>
      </w:r>
      <w:proofErr w:type="spellEnd"/>
      <w:r>
        <w:t xml:space="preserve"> et en Turquie. Parallèlement, des mesures (exclusion de l’aide sociale de toutes les personnes qui sont l’objet d’une décision de </w:t>
      </w:r>
      <w:proofErr w:type="spellStart"/>
      <w:r>
        <w:t>non</w:t>
      </w:r>
      <w:r>
        <w:noBreakHyphen/>
        <w:t>entrée</w:t>
      </w:r>
      <w:proofErr w:type="spellEnd"/>
      <w:r>
        <w:t xml:space="preserve"> en matière, a</w:t>
      </w:r>
      <w:r>
        <w:t>c</w:t>
      </w:r>
      <w:r>
        <w:t>célération de la procédure d’asile, exécution rigoureuse des décisions) ont été prises aux fins de prévenir efficacement les abus.</w:t>
      </w:r>
    </w:p>
    <w:p w:rsidR="00000000" w:rsidRDefault="00000000">
      <w:pPr>
        <w:keepNext/>
        <w:spacing w:after="200"/>
        <w:rPr>
          <w:b/>
          <w:bCs/>
          <w:i/>
          <w:iCs/>
          <w:sz w:val="28"/>
          <w:szCs w:val="28"/>
        </w:rPr>
      </w:pPr>
      <w:bookmarkStart w:id="56" w:name="_Toc163552210"/>
      <w:r>
        <w:rPr>
          <w:b/>
          <w:bCs/>
          <w:i/>
          <w:iCs/>
        </w:rPr>
        <w:t>c)</w:t>
      </w:r>
      <w:r>
        <w:rPr>
          <w:b/>
          <w:bCs/>
          <w:i/>
          <w:iCs/>
        </w:rPr>
        <w:tab/>
        <w:t>Politique d’intégration</w:t>
      </w:r>
      <w:bookmarkEnd w:id="56"/>
    </w:p>
    <w:p w:rsidR="00000000" w:rsidRDefault="00000000">
      <w:pPr>
        <w:spacing w:after="200"/>
      </w:pPr>
      <w:r>
        <w:t>72.</w:t>
      </w:r>
      <w:r>
        <w:tab/>
        <w:t>Améliorer l’intégration des étrangers vivant en Suisse est l’un des principaux défis que la politique et la société se doivent de relever. L’intégration est une tâche globale et colle</w:t>
      </w:r>
      <w:r>
        <w:t>c</w:t>
      </w:r>
      <w:r>
        <w:t xml:space="preserve">tive: elle concerne des domaines essentiels tels que l’école et la formation, le travail, la santé et la sécurité sociale. L’objectif de la politique d’intégration consiste à créer des </w:t>
      </w:r>
      <w:proofErr w:type="spellStart"/>
      <w:r>
        <w:t>conditions</w:t>
      </w:r>
      <w:r>
        <w:noBreakHyphen/>
        <w:t>cadres</w:t>
      </w:r>
      <w:proofErr w:type="spellEnd"/>
      <w:r>
        <w:t xml:space="preserve"> favorisant l’égalité des chances de la population étrangère pour accéder aux ressou</w:t>
      </w:r>
      <w:r>
        <w:t>r</w:t>
      </w:r>
      <w:r>
        <w:t>ces sociales et économiques et participer à la vie sociale</w:t>
      </w:r>
      <w:r>
        <w:rPr>
          <w:rStyle w:val="FootnoteReference"/>
        </w:rPr>
        <w:footnoteReference w:id="47"/>
      </w:r>
      <w:r>
        <w:t>. Dans la perspective de la polit</w:t>
      </w:r>
      <w:r>
        <w:t>i</w:t>
      </w:r>
      <w:r>
        <w:t>que d’intégration de la Suisse, l’intégration ne doit pas être considérée comme un processus à sens unique, mais suppose autant la volonté des étrangers à s’intégrer que la disposition des Suisses à les accepter. La société ainsi que les autorités de la Confédération, des ca</w:t>
      </w:r>
      <w:r>
        <w:t>n</w:t>
      </w:r>
      <w:r>
        <w:t>tons et des communes doivent s’y atteler en collaboration avec les organisations d’étrangers. L’</w:t>
      </w:r>
      <w:proofErr w:type="spellStart"/>
      <w:r>
        <w:t>Office</w:t>
      </w:r>
      <w:proofErr w:type="spellEnd"/>
      <w:r>
        <w:t xml:space="preserve"> fédéral des migrations (</w:t>
      </w:r>
      <w:proofErr w:type="spellStart"/>
      <w:r>
        <w:t>OFM</w:t>
      </w:r>
      <w:proofErr w:type="spellEnd"/>
      <w:r>
        <w:t>) coordonne les mesures prises par les autorités fédérales en matière d’intégration des étrangers, notamment dans les domaines de l’assurance chômage, de la formation profe</w:t>
      </w:r>
      <w:r>
        <w:t>s</w:t>
      </w:r>
      <w:r>
        <w:t>sionnelle et de la santé, et assure l’échange d’informations et d’expériences avec les ca</w:t>
      </w:r>
      <w:r>
        <w:t>n</w:t>
      </w:r>
      <w:r>
        <w:t>tons</w:t>
      </w:r>
      <w:r>
        <w:rPr>
          <w:rStyle w:val="FootnoteReference"/>
        </w:rPr>
        <w:footnoteReference w:id="48"/>
      </w:r>
      <w:r>
        <w:t xml:space="preserve">. </w:t>
      </w:r>
    </w:p>
    <w:p w:rsidR="00000000" w:rsidRDefault="00000000">
      <w:pPr>
        <w:spacing w:after="200"/>
      </w:pPr>
      <w:r>
        <w:rPr>
          <w:bCs/>
        </w:rPr>
        <w:t>73.</w:t>
      </w:r>
      <w:r>
        <w:rPr>
          <w:bCs/>
        </w:rPr>
        <w:tab/>
        <w:t xml:space="preserve">L’article </w:t>
      </w:r>
      <w:proofErr w:type="spellStart"/>
      <w:r>
        <w:rPr>
          <w:bCs/>
        </w:rPr>
        <w:t>25a</w:t>
      </w:r>
      <w:proofErr w:type="spellEnd"/>
      <w:r>
        <w:rPr>
          <w:bCs/>
        </w:rPr>
        <w:t xml:space="preserve"> </w:t>
      </w:r>
      <w:proofErr w:type="spellStart"/>
      <w:r>
        <w:rPr>
          <w:bCs/>
        </w:rPr>
        <w:t>LSEE</w:t>
      </w:r>
      <w:proofErr w:type="spellEnd"/>
      <w:r>
        <w:t xml:space="preserve"> constitue la base légale sur laquelle la Confédération fonde sa part</w:t>
      </w:r>
      <w:r>
        <w:t>i</w:t>
      </w:r>
      <w:r>
        <w:t>cipation financière à la promotion de l’intégration. Les dispositions d’exécution figurent dans l’ordonnance sur l’intégration des étrangers</w:t>
      </w:r>
      <w:r>
        <w:rPr>
          <w:b/>
        </w:rPr>
        <w:t xml:space="preserve"> </w:t>
      </w:r>
      <w:r>
        <w:t>(OIE)</w:t>
      </w:r>
      <w:r>
        <w:rPr>
          <w:rStyle w:val="FootnoteReference"/>
        </w:rPr>
        <w:footnoteReference w:id="49"/>
      </w:r>
      <w:r>
        <w:t>. Pour les années 2002 et 2003, 12,5 mi</w:t>
      </w:r>
      <w:r>
        <w:t>l</w:t>
      </w:r>
      <w:r>
        <w:t>lions de francs ont été versés au titre de la contribution annuelle. Pour les a</w:t>
      </w:r>
      <w:r>
        <w:t>n</w:t>
      </w:r>
      <w:r>
        <w:t xml:space="preserve">nées 2004 à 2007, </w:t>
      </w:r>
      <w:proofErr w:type="spellStart"/>
      <w:r>
        <w:t>celle</w:t>
      </w:r>
      <w:r>
        <w:noBreakHyphen/>
        <w:t>ci</w:t>
      </w:r>
      <w:proofErr w:type="spellEnd"/>
      <w:r>
        <w:t xml:space="preserve"> a été augmentée à 14 millions de francs. L’aide financière de la Confédération est destinée avant tout aux domaines suivants: promotion de cours de langue et d’intégration en faveur des </w:t>
      </w:r>
      <w:proofErr w:type="spellStart"/>
      <w:r>
        <w:t>groupes</w:t>
      </w:r>
      <w:r>
        <w:noBreakHyphen/>
        <w:t>cibles</w:t>
      </w:r>
      <w:proofErr w:type="spellEnd"/>
      <w:r>
        <w:t xml:space="preserve"> difficiles à atteindre, formation et perfectionnement de perso</w:t>
      </w:r>
      <w:r>
        <w:t>n</w:t>
      </w:r>
      <w:r>
        <w:t>nes revêtant un rôle clef, soutien d’initiatives et de projets visant au développement des qua</w:t>
      </w:r>
      <w:r>
        <w:t>r</w:t>
      </w:r>
      <w:r>
        <w:t>tiers et favorisant la cohabitation, suivi de projets pilotes innovateurs de portée nationale, re</w:t>
      </w:r>
      <w:r>
        <w:t>n</w:t>
      </w:r>
      <w:r>
        <w:t>forcement des stru</w:t>
      </w:r>
      <w:r>
        <w:t>c</w:t>
      </w:r>
      <w:r>
        <w:t>tures régionales grâce au soutien de services destinés aux étrangers et mise au point de normes de qualité et d’instruments de contrôle</w:t>
      </w:r>
      <w:r>
        <w:rPr>
          <w:rStyle w:val="FootnoteReference"/>
        </w:rPr>
        <w:footnoteReference w:id="50"/>
      </w:r>
      <w:r>
        <w:t>. La Commission fédérale des étrangers (</w:t>
      </w:r>
      <w:proofErr w:type="spellStart"/>
      <w:r>
        <w:t>CFE</w:t>
      </w:r>
      <w:proofErr w:type="spellEnd"/>
      <w:r>
        <w:t>) prépare les d</w:t>
      </w:r>
      <w:r>
        <w:t>e</w:t>
      </w:r>
      <w:r>
        <w:t>mandes de financement correspondantes et les transmet, accompagnées de son avis, à l’</w:t>
      </w:r>
      <w:proofErr w:type="spellStart"/>
      <w:r>
        <w:t>OFM</w:t>
      </w:r>
      <w:proofErr w:type="spellEnd"/>
      <w:r>
        <w:t xml:space="preserve">, qui est habilité à décider des montants jusqu’à un certain plafond, </w:t>
      </w:r>
      <w:r>
        <w:br/>
        <w:t xml:space="preserve">à savoir 300 000 francs suisses. </w:t>
      </w:r>
      <w:proofErr w:type="spellStart"/>
      <w:r>
        <w:t>Au</w:t>
      </w:r>
      <w:r>
        <w:noBreakHyphen/>
        <w:t>delà</w:t>
      </w:r>
      <w:proofErr w:type="spellEnd"/>
      <w:r>
        <w:t>, c’est le département qui est compétent pour prendre les décisions. Les a</w:t>
      </w:r>
      <w:r>
        <w:t>u</w:t>
      </w:r>
      <w:r>
        <w:t>tres act</w:t>
      </w:r>
      <w:r>
        <w:t>i</w:t>
      </w:r>
      <w:r>
        <w:t>vités de la CFE sont décrites aux paragraphes 212 à 215.</w:t>
      </w:r>
    </w:p>
    <w:p w:rsidR="00000000" w:rsidRDefault="00000000">
      <w:pPr>
        <w:spacing w:after="240"/>
      </w:pPr>
      <w:r>
        <w:t>74.</w:t>
      </w:r>
      <w:r>
        <w:tab/>
        <w:t>La révision de l’</w:t>
      </w:r>
      <w:proofErr w:type="spellStart"/>
      <w:r>
        <w:t>OIE</w:t>
      </w:r>
      <w:proofErr w:type="spellEnd"/>
      <w:r>
        <w:t>, entrée en vigueur le 1</w:t>
      </w:r>
      <w:r>
        <w:rPr>
          <w:vertAlign w:val="superscript"/>
        </w:rPr>
        <w:t>er</w:t>
      </w:r>
      <w:r>
        <w:t xml:space="preserve"> février 2006, a pour but d’améliorer l’intégration des étrangers. Le législateur y souligne expressément à quel point il est impo</w:t>
      </w:r>
      <w:r>
        <w:t>r</w:t>
      </w:r>
      <w:r>
        <w:t>tant que les étrangers assument leur part de responsabilité. Ils sont ainsi priés, d’une part, de respecter l’ordre juridique et les principes démocratiques, d’autre part, de contr</w:t>
      </w:r>
      <w:r>
        <w:t>i</w:t>
      </w:r>
      <w:r>
        <w:t>buer à leur intégration. Cette contribution se traduit, entre autres, par l’apprentissage d’une langue nati</w:t>
      </w:r>
      <w:r>
        <w:t>o</w:t>
      </w:r>
      <w:r>
        <w:t>nale et par la volonté de participer à la vie économique et d’acquérir une formation</w:t>
      </w:r>
      <w:r>
        <w:rPr>
          <w:rStyle w:val="FootnoteReference"/>
        </w:rPr>
        <w:footnoteReference w:id="51"/>
      </w:r>
      <w:r>
        <w:t>. S’agissant des personnes provenant d’un État tiers et chargées d’assurer un encadr</w:t>
      </w:r>
      <w:r>
        <w:t>e</w:t>
      </w:r>
      <w:r>
        <w:t>ment religieux ou de dispenser des cours de langue et de culture de leur pays d’origine, les autor</w:t>
      </w:r>
      <w:r>
        <w:t>i</w:t>
      </w:r>
      <w:r>
        <w:t>tés peuvent exiger d’elles qu’elles fréquentent des cours de langue et d’intégration avant d’entrer en Suisse. Conformément à l’OIE, la mission de coordination mentionnée au paragraphe 72 incombe à l’</w:t>
      </w:r>
      <w:proofErr w:type="spellStart"/>
      <w:r>
        <w:t>OFM</w:t>
      </w:r>
      <w:proofErr w:type="spellEnd"/>
      <w:r>
        <w:t>. Par ailleurs, les cantons sont tenus de désigner un bureau chargé de répondre aux questions ayant trait à l’intégration</w:t>
      </w:r>
      <w:r>
        <w:rPr>
          <w:rStyle w:val="FootnoteReference"/>
        </w:rPr>
        <w:footnoteReference w:id="52"/>
      </w:r>
      <w:r>
        <w:t>.</w:t>
      </w:r>
    </w:p>
    <w:p w:rsidR="00000000" w:rsidRDefault="00000000">
      <w:pPr>
        <w:spacing w:after="240"/>
      </w:pPr>
      <w:r>
        <w:t>75.</w:t>
      </w:r>
      <w:r>
        <w:tab/>
        <w:t>La majorité des personnes admises à titre provisoire restant d’expérience plusieurs années voire définitivement en Suisse, leur statut a été amélioré pour ce qui est de l’accès au ma</w:t>
      </w:r>
      <w:r>
        <w:t>r</w:t>
      </w:r>
      <w:r>
        <w:t>ché du travail</w:t>
      </w:r>
      <w:r>
        <w:rPr>
          <w:rStyle w:val="FootnoteReference"/>
        </w:rPr>
        <w:footnoteReference w:id="53"/>
      </w:r>
      <w:r>
        <w:t xml:space="preserve"> et de la possibilité de bénéficier de mesures d’intégration</w:t>
      </w:r>
      <w:r>
        <w:rPr>
          <w:rStyle w:val="FootnoteReference"/>
        </w:rPr>
        <w:footnoteReference w:id="54"/>
      </w:r>
      <w:r>
        <w:t xml:space="preserve">. En outre, la </w:t>
      </w:r>
      <w:proofErr w:type="spellStart"/>
      <w:r>
        <w:t>LEtr</w:t>
      </w:r>
      <w:proofErr w:type="spellEnd"/>
      <w:r>
        <w:t xml:space="preserve"> pr</w:t>
      </w:r>
      <w:r>
        <w:t>é</w:t>
      </w:r>
      <w:r>
        <w:t>voit d’autoriser pour ce groupe de personnes le regroupement familial trois ans après le pr</w:t>
      </w:r>
      <w:r>
        <w:t>o</w:t>
      </w:r>
      <w:r>
        <w:t>noncé de l’admission provisoire</w:t>
      </w:r>
      <w:r>
        <w:rPr>
          <w:rStyle w:val="FootnoteReference"/>
        </w:rPr>
        <w:footnoteReference w:id="55"/>
      </w:r>
      <w:r>
        <w:t>. Ces mesures visant à encourager l’intégration doivent contr</w:t>
      </w:r>
      <w:r>
        <w:t>i</w:t>
      </w:r>
      <w:r>
        <w:t>buer à ce que les personnes admises à titre provisoire soient acceptées sur les plans écon</w:t>
      </w:r>
      <w:r>
        <w:t>o</w:t>
      </w:r>
      <w:r>
        <w:t>mique et social. En maintenant ainsi leurs compétences sociales, on facilite leur retour éventuel dans leur pays d’origine</w:t>
      </w:r>
      <w:r>
        <w:rPr>
          <w:rStyle w:val="FootnoteReference"/>
        </w:rPr>
        <w:footnoteReference w:id="56"/>
      </w:r>
      <w:r>
        <w:t>. De plus, la version révisée de l’</w:t>
      </w:r>
      <w:proofErr w:type="spellStart"/>
      <w:r>
        <w:t>OIE</w:t>
      </w:r>
      <w:proofErr w:type="spellEnd"/>
      <w:r>
        <w:t xml:space="preserve"> comporte des mes</w:t>
      </w:r>
      <w:r>
        <w:t>u</w:t>
      </w:r>
      <w:r>
        <w:t>res d’incitation à l’intégration du fait que le degré d’intégration est pris en compte dans la décision (dans certaines circonstances, ant</w:t>
      </w:r>
      <w:r>
        <w:t>i</w:t>
      </w:r>
      <w:r>
        <w:t>cipée) relative à l’octroi de l’autorisation d’établissement, ou encore au renvoi ou à l’expulsion. Dans le cadre de sa fonction de coord</w:t>
      </w:r>
      <w:r>
        <w:t>i</w:t>
      </w:r>
      <w:r>
        <w:t>nateur, l’</w:t>
      </w:r>
      <w:proofErr w:type="spellStart"/>
      <w:r>
        <w:t>OFM</w:t>
      </w:r>
      <w:proofErr w:type="spellEnd"/>
      <w:r>
        <w:t xml:space="preserve"> a, en collaboration avec les offices cantonaux compétents en matière de migr</w:t>
      </w:r>
      <w:r>
        <w:t>a</w:t>
      </w:r>
      <w:r>
        <w:t>tion, élaboré des critères propres à la notion juridique d’«intégration réussie», lesquels se</w:t>
      </w:r>
      <w:r>
        <w:t>r</w:t>
      </w:r>
      <w:r>
        <w:t>vent de ligne directrice aux autorités chargées d’apprécier la situation</w:t>
      </w:r>
      <w:r>
        <w:rPr>
          <w:rStyle w:val="FootnoteReference"/>
        </w:rPr>
        <w:footnoteReference w:id="57"/>
      </w:r>
      <w:r>
        <w:t xml:space="preserve">. </w:t>
      </w:r>
    </w:p>
    <w:p w:rsidR="00000000" w:rsidRDefault="00000000">
      <w:pPr>
        <w:spacing w:after="240"/>
      </w:pPr>
      <w:r>
        <w:t>76.</w:t>
      </w:r>
      <w:r>
        <w:tab/>
        <w:t>Le besoin d’une nouvelle réglementation a été ressenti d’une part à la suite du renfo</w:t>
      </w:r>
      <w:r>
        <w:t>r</w:t>
      </w:r>
      <w:r>
        <w:t>cement des efforts d’intégration de la Confédération et d’autre part à cause de l’activité d</w:t>
      </w:r>
      <w:r>
        <w:t>é</w:t>
      </w:r>
      <w:r>
        <w:t>ployée par les cantons et les communes dans ce domaine. Près de la moitié des cantons et de nombreuses villes ont élaboré des stratégies d’intégration et institué des délégués à l’intégration. Le 13 février 2003, on a assisté à la création de la Conférence suisse des dél</w:t>
      </w:r>
      <w:r>
        <w:t>é</w:t>
      </w:r>
      <w:r>
        <w:t>gués communaux, régionaux et cantonaux à l’intégration. Son objectif est d’intensifier la co</w:t>
      </w:r>
      <w:r>
        <w:t>l</w:t>
      </w:r>
      <w:r>
        <w:t>laboration des délégués au niveau interrégional ainsi que d’améliorer l’échange d’informations et d’expériences entre les différentes régions du pays</w:t>
      </w:r>
      <w:r>
        <w:rPr>
          <w:rStyle w:val="FootnoteReference"/>
        </w:rPr>
        <w:footnoteReference w:id="58"/>
      </w:r>
      <w:r>
        <w:t>. Lors d’une réunion, les délégués cantonaux à l’intégration ont décidé d’inclure la lutte contre les discriminations dans leur cahier des charges. Pour l’heure, seuls quelques délégués disposent cependant d’un mandat en bonne et due forme.</w:t>
      </w:r>
    </w:p>
    <w:p w:rsidR="00000000" w:rsidRDefault="00000000">
      <w:pPr>
        <w:spacing w:after="240"/>
      </w:pPr>
      <w:r>
        <w:t>77.</w:t>
      </w:r>
      <w:r>
        <w:tab/>
        <w:t>L’intégration est aussi l’idée maîtresse de la nouvelle loi sur les étrangers. Elle vise à encourager une coexistence pacifique dans le respect des valeurs de la Constitution fédérale et des principes de tolérance</w:t>
      </w:r>
      <w:r>
        <w:rPr>
          <w:rStyle w:val="FootnoteReference"/>
        </w:rPr>
        <w:footnoteReference w:id="59"/>
      </w:r>
      <w:r>
        <w:t>. Les dispositions portant sur l’intégration ont été considérablement élargies dans le cadre de la révision de la loi. Ainsi, le projet de loi co</w:t>
      </w:r>
      <w:r>
        <w:t>m</w:t>
      </w:r>
      <w:r>
        <w:t>prend les objectifs fixés aujourd’hui dans l’OIE, les tâches de l’</w:t>
      </w:r>
      <w:proofErr w:type="spellStart"/>
      <w:r>
        <w:t>OFM</w:t>
      </w:r>
      <w:proofErr w:type="spellEnd"/>
      <w:r>
        <w:t>, de la CFE, ainsi que des autorités cantonales et commun</w:t>
      </w:r>
      <w:r>
        <w:t>a</w:t>
      </w:r>
      <w:r>
        <w:t>les, les attentes envers les étrangers, de même que la prise en compte du degré d’intégration dans la déc</w:t>
      </w:r>
      <w:r>
        <w:t>i</w:t>
      </w:r>
      <w:r>
        <w:t xml:space="preserve">sion d’autorisation d’établissement (voir </w:t>
      </w:r>
      <w:r>
        <w:rPr>
          <w:i/>
          <w:iCs/>
        </w:rPr>
        <w:t>supra</w:t>
      </w:r>
      <w:r>
        <w:t>,</w:t>
      </w:r>
      <w:r>
        <w:rPr>
          <w:i/>
          <w:iCs/>
        </w:rPr>
        <w:t xml:space="preserve"> </w:t>
      </w:r>
      <w:r>
        <w:t>par. 72 et 74). Afin de favoriser l’intégration des e</w:t>
      </w:r>
      <w:r>
        <w:t>n</w:t>
      </w:r>
      <w:r>
        <w:t>fants bénéficiant du regroupement familial, la loi sur les étrangers précise que le regroup</w:t>
      </w:r>
      <w:r>
        <w:t>e</w:t>
      </w:r>
      <w:r>
        <w:t>ment doit avoir lieu dans les cinq ans et même dans l’année pour les 12</w:t>
      </w:r>
      <w:r>
        <w:noBreakHyphen/>
        <w:t>18 ans. Cette m</w:t>
      </w:r>
      <w:r>
        <w:t>e</w:t>
      </w:r>
      <w:r>
        <w:t>sure permet de garantir qu’ils soient intégrés le plus tôt possible dans le système scolaire et éd</w:t>
      </w:r>
      <w:r>
        <w:t>u</w:t>
      </w:r>
      <w:r>
        <w:t>catif suisse. D’autres conditions, déjà valables auparavant, comme la cohabitation dans un appartement commun, l’indépendance économique de la famille et l’habitation d’un log</w:t>
      </w:r>
      <w:r>
        <w:t>e</w:t>
      </w:r>
      <w:r>
        <w:t>ment adapté aux besoins, restent applicables. La loi sur les étrangers facilite également la mob</w:t>
      </w:r>
      <w:r>
        <w:t>i</w:t>
      </w:r>
      <w:r>
        <w:t>lité professionnelle des travailleurs étrangers en provenance d’</w:t>
      </w:r>
      <w:proofErr w:type="spellStart"/>
      <w:r>
        <w:t>États</w:t>
      </w:r>
      <w:proofErr w:type="spellEnd"/>
      <w:r>
        <w:t> tiers. À cela s’ajoute la mission d’information confiée à la Confédération, aux cantons et aux communes. Cette mi</w:t>
      </w:r>
      <w:r>
        <w:t>s</w:t>
      </w:r>
      <w:r>
        <w:t>sion consiste à informer, d’une part, les étrangers de leurs droits et de leurs obligations, des cond</w:t>
      </w:r>
      <w:r>
        <w:t>i</w:t>
      </w:r>
      <w:r>
        <w:t>tions de vie et de travail en Suisse ainsi que des mesures d’intégration dont ils peuvent bénéficier, d’autre part, la pop</w:t>
      </w:r>
      <w:r>
        <w:t>u</w:t>
      </w:r>
      <w:r>
        <w:t>lation suisse de la situation part</w:t>
      </w:r>
      <w:r>
        <w:t>i</w:t>
      </w:r>
      <w:r>
        <w:t xml:space="preserve">culière de ces étrangers. Une information fiable et objective est une condition </w:t>
      </w:r>
      <w:r>
        <w:rPr>
          <w:i/>
          <w:iCs/>
        </w:rPr>
        <w:t>sine qua non</w:t>
      </w:r>
      <w:r>
        <w:t xml:space="preserve"> pour que les différentes popul</w:t>
      </w:r>
      <w:r>
        <w:t>a</w:t>
      </w:r>
      <w:r>
        <w:t>tions cohabitent de manière pacifique, en s’acceptant réciproquement</w:t>
      </w:r>
      <w:r>
        <w:rPr>
          <w:rStyle w:val="FootnoteReference"/>
        </w:rPr>
        <w:footnoteReference w:id="60"/>
      </w:r>
      <w:r>
        <w:t>.</w:t>
      </w:r>
    </w:p>
    <w:p w:rsidR="00000000" w:rsidRDefault="00000000">
      <w:pPr>
        <w:spacing w:after="240"/>
      </w:pPr>
      <w:r>
        <w:t>78.</w:t>
      </w:r>
      <w:r>
        <w:tab/>
        <w:t>Une importance capitale est accordée non seulement à l’égalité des chances, mais aussi à la participation des étrangers à la vie sociale, économique et politique. Les projets de lois, qui auraient facilité la naturalisation des étrangers des deuxième et troisième génér</w:t>
      </w:r>
      <w:r>
        <w:t>a</w:t>
      </w:r>
      <w:r>
        <w:t xml:space="preserve">tions, ont pourtant été rejetés par le peuple le 26 septembre 2004 (voir aussi </w:t>
      </w:r>
      <w:r>
        <w:rPr>
          <w:i/>
          <w:iCs/>
        </w:rPr>
        <w:t>infra</w:t>
      </w:r>
      <w:r>
        <w:t xml:space="preserve">, par. 250 à 263). </w:t>
      </w:r>
    </w:p>
    <w:p w:rsidR="00000000" w:rsidRDefault="00000000">
      <w:pPr>
        <w:keepNext/>
        <w:spacing w:after="240"/>
        <w:rPr>
          <w:b/>
          <w:bCs/>
        </w:rPr>
      </w:pPr>
      <w:bookmarkStart w:id="57" w:name="_Toc163552211"/>
      <w:r>
        <w:rPr>
          <w:b/>
          <w:bCs/>
          <w:i/>
          <w:iCs/>
        </w:rPr>
        <w:t>d)</w:t>
      </w:r>
      <w:r>
        <w:rPr>
          <w:b/>
          <w:bCs/>
          <w:i/>
          <w:iCs/>
        </w:rPr>
        <w:tab/>
      </w:r>
      <w:proofErr w:type="spellStart"/>
      <w:r>
        <w:rPr>
          <w:b/>
          <w:bCs/>
          <w:i/>
          <w:iCs/>
        </w:rPr>
        <w:t>Sans</w:t>
      </w:r>
      <w:r>
        <w:rPr>
          <w:b/>
          <w:bCs/>
          <w:i/>
          <w:iCs/>
        </w:rPr>
        <w:noBreakHyphen/>
        <w:t>papiers</w:t>
      </w:r>
      <w:bookmarkEnd w:id="57"/>
      <w:proofErr w:type="spellEnd"/>
    </w:p>
    <w:p w:rsidR="00000000" w:rsidRDefault="00000000">
      <w:pPr>
        <w:spacing w:after="240"/>
      </w:pPr>
      <w:r>
        <w:t>79.</w:t>
      </w:r>
      <w:r>
        <w:tab/>
        <w:t>Selon une étude datant de l’automne 2004, qui a été commandée par l’</w:t>
      </w:r>
      <w:proofErr w:type="spellStart"/>
      <w:r>
        <w:t>OFM</w:t>
      </w:r>
      <w:proofErr w:type="spellEnd"/>
      <w:r>
        <w:t>, quelque 90 000 personnes vivraient en Suisse sans autorisation (</w:t>
      </w:r>
      <w:proofErr w:type="spellStart"/>
      <w:r>
        <w:t>sans</w:t>
      </w:r>
      <w:r>
        <w:noBreakHyphen/>
        <w:t>papiers</w:t>
      </w:r>
      <w:proofErr w:type="spellEnd"/>
      <w:r>
        <w:t xml:space="preserve">). L’étude repose sur une enquête menée auprès d’une soixantaine d’experts dans différents cantons. Avant sa publication, les estimations du nombre de </w:t>
      </w:r>
      <w:proofErr w:type="spellStart"/>
      <w:r>
        <w:t>sans</w:t>
      </w:r>
      <w:r>
        <w:noBreakHyphen/>
        <w:t>papiers</w:t>
      </w:r>
      <w:proofErr w:type="spellEnd"/>
      <w:r>
        <w:t xml:space="preserve"> vivant en Suisse se s</w:t>
      </w:r>
      <w:r>
        <w:t>i</w:t>
      </w:r>
      <w:r>
        <w:t xml:space="preserve">tuaient entre 50 000 et 300 000. Outre ces chiffres, l’étude vient aussi rectifier les idées fausses que certains se faisaient du phénomène: la présence de </w:t>
      </w:r>
      <w:proofErr w:type="spellStart"/>
      <w:r>
        <w:t>sans</w:t>
      </w:r>
      <w:r>
        <w:noBreakHyphen/>
        <w:t>papiers</w:t>
      </w:r>
      <w:proofErr w:type="spellEnd"/>
      <w:r>
        <w:t xml:space="preserve"> n’est pas tant due à la politique d’asile, mais plutôt à la situation sur le marché du travail. Les </w:t>
      </w:r>
      <w:proofErr w:type="spellStart"/>
      <w:r>
        <w:t>sans</w:t>
      </w:r>
      <w:r>
        <w:noBreakHyphen/>
        <w:t>papiers</w:t>
      </w:r>
      <w:proofErr w:type="spellEnd"/>
      <w:r>
        <w:t xml:space="preserve"> ne sont pas plus nombreux dans les endroits où vivent beaucoup de réfugiés et leur nombre n’augmente pas non plus avec celui des demandes d’asile rejetées. L’étude montre aussi que la plupart des </w:t>
      </w:r>
      <w:proofErr w:type="spellStart"/>
      <w:r>
        <w:t>sans</w:t>
      </w:r>
      <w:r>
        <w:noBreakHyphen/>
        <w:t>papiers</w:t>
      </w:r>
      <w:proofErr w:type="spellEnd"/>
      <w:r>
        <w:t xml:space="preserve"> exercent une activité lucrative, qu’ils travai</w:t>
      </w:r>
      <w:r>
        <w:t>l</w:t>
      </w:r>
      <w:r>
        <w:t>lent souvent dans des conditions précaires en étant mal payés et en ayant des horaires de travail très longs</w:t>
      </w:r>
      <w:r>
        <w:rPr>
          <w:rStyle w:val="FootnoteReference"/>
        </w:rPr>
        <w:footnoteReference w:id="61"/>
      </w:r>
      <w:r>
        <w:t>.</w:t>
      </w:r>
    </w:p>
    <w:p w:rsidR="00000000" w:rsidRDefault="00000000">
      <w:pPr>
        <w:spacing w:after="240"/>
      </w:pPr>
      <w:r>
        <w:t>80.</w:t>
      </w:r>
      <w:r>
        <w:tab/>
        <w:t>Lorsqu’elles sont confrontées aux cas de personnes qui ne sont pas autorisées à s</w:t>
      </w:r>
      <w:r>
        <w:t>é</w:t>
      </w:r>
      <w:r>
        <w:t>journer en Suisse, les autorités se fondent sur la réglementation applicable aux cas de r</w:t>
      </w:r>
      <w:r>
        <w:t>i</w:t>
      </w:r>
      <w:r>
        <w:t xml:space="preserve">gueur extrême, qui existe depuis longtemps. Cette réglementation donne aux personnes sans titre de séjour valable la possibilité de présenter une demande de dérogation à la règle des nombres maximums si elles se trouvent dans une situation d’extrême gravité (art. 13, al. </w:t>
      </w:r>
      <w:r>
        <w:rPr>
          <w:i/>
          <w:iCs/>
        </w:rPr>
        <w:t>f</w:t>
      </w:r>
      <w:r>
        <w:t xml:space="preserve">, OLE). En cas d’acceptation de la demande, la présence du </w:t>
      </w:r>
      <w:proofErr w:type="spellStart"/>
      <w:r>
        <w:t>sans</w:t>
      </w:r>
      <w:r>
        <w:noBreakHyphen/>
        <w:t>papiers</w:t>
      </w:r>
      <w:proofErr w:type="spellEnd"/>
      <w:r>
        <w:t xml:space="preserve"> peut être légal</w:t>
      </w:r>
      <w:r>
        <w:t>i</w:t>
      </w:r>
      <w:r>
        <w:t>sée par l’octroi d’un permis de séjour. Les demandes sont examinées compte tenu de tous les aspects et de toutes les particularités du cas d’espèce. Les autorités prennent les renseign</w:t>
      </w:r>
      <w:r>
        <w:t>e</w:t>
      </w:r>
      <w:r>
        <w:t>ments nécessaires pour déterminer si, compte tenu de la situation personnelle, économ</w:t>
      </w:r>
      <w:r>
        <w:t>i</w:t>
      </w:r>
      <w:r>
        <w:t>que et sociale du requérant, on peut raisonnablement lui demander de rentrer au pays et d’y d</w:t>
      </w:r>
      <w:r>
        <w:t>e</w:t>
      </w:r>
      <w:r>
        <w:t>meurer. Pour cela, sa future situation à l’étranger doit être comparée avec la situation pe</w:t>
      </w:r>
      <w:r>
        <w:t>r</w:t>
      </w:r>
      <w:r>
        <w:t>sonnelle qui est la sienne en Suisse. Le cas personnel d’extrême gravité ne peut en effet être admis que si l’étranger en question se trouve dans une situation de détresse. En outre, ses conditions de vie et d’existence doivent être pires que celles que connaît la moyenne des étrangers. Les critères déterminants pour l’évaluation d’un cas de rigueur sont la durée de son séjour, la situation scolaire des enfants, le comportement irréprochable et la bonne rép</w:t>
      </w:r>
      <w:r>
        <w:t>u</w:t>
      </w:r>
      <w:r>
        <w:t>tation du requérant, son intégration sociale, son état de santé, son intégration sur le marché du travail et la présence de membres de sa famille, en Suisse ou à l’étranger. On tient ég</w:t>
      </w:r>
      <w:r>
        <w:t>a</w:t>
      </w:r>
      <w:r>
        <w:t>lement compte des possibilités de logement et d’intégration à l’étranger ainsi que, le cas échéant, des procédures antérieures d’autorisation</w:t>
      </w:r>
      <w:r>
        <w:rPr>
          <w:rStyle w:val="FootnoteReference"/>
        </w:rPr>
        <w:footnoteReference w:id="62"/>
      </w:r>
      <w:r>
        <w:t xml:space="preserve">. Cette pratique, qui a </w:t>
      </w:r>
      <w:proofErr w:type="spellStart"/>
      <w:r>
        <w:t>jusque</w:t>
      </w:r>
      <w:r>
        <w:noBreakHyphen/>
        <w:t>là</w:t>
      </w:r>
      <w:proofErr w:type="spellEnd"/>
      <w:r>
        <w:t xml:space="preserve"> donné satisfaction, doit également être poursuivie avec la loi sur les étrangers.</w:t>
      </w:r>
    </w:p>
    <w:p w:rsidR="00000000" w:rsidRDefault="00000000">
      <w:pPr>
        <w:spacing w:after="240"/>
      </w:pPr>
      <w:r>
        <w:t>81.</w:t>
      </w:r>
      <w:r>
        <w:tab/>
        <w:t xml:space="preserve">De septembre 2001 à mai 2006, les autorités ont légalisé la situation d’environ 1 900 personnes. 1 168 ont été l’objet de décisions négatives, 218 de décisions de </w:t>
      </w:r>
      <w:proofErr w:type="spellStart"/>
      <w:r>
        <w:t>non</w:t>
      </w:r>
      <w:r>
        <w:noBreakHyphen/>
        <w:t>entrée</w:t>
      </w:r>
      <w:proofErr w:type="spellEnd"/>
      <w:r>
        <w:t xml:space="preserve"> en matière. </w:t>
      </w:r>
    </w:p>
    <w:p w:rsidR="00000000" w:rsidRDefault="00000000">
      <w:pPr>
        <w:spacing w:after="240"/>
      </w:pPr>
      <w:r>
        <w:t>82.</w:t>
      </w:r>
      <w:r>
        <w:tab/>
        <w:t>Dans sa circulaire, l’</w:t>
      </w:r>
      <w:proofErr w:type="spellStart"/>
      <w:r>
        <w:t>OFM</w:t>
      </w:r>
      <w:proofErr w:type="spellEnd"/>
      <w:r>
        <w:t xml:space="preserve"> a restreint le cercle des personnes ayant la possibilité de faire valoir l’existence d’un cas de rigueur à celles dont le statut est régi par la législation sur les étrangers. Les requérants d’asile vivant en Suisse depuis plusieurs années dont la d</w:t>
      </w:r>
      <w:r>
        <w:t>e</w:t>
      </w:r>
      <w:r>
        <w:t>mande a été rejetée ne peuvent donc plus en bénéficier</w:t>
      </w:r>
      <w:r>
        <w:rPr>
          <w:rStyle w:val="FootnoteReference"/>
        </w:rPr>
        <w:footnoteReference w:id="63"/>
      </w:r>
      <w:r>
        <w:t>. Une nouvelle possibilité est c</w:t>
      </w:r>
      <w:r>
        <w:t>e</w:t>
      </w:r>
      <w:r>
        <w:t>pendant prévue dans l’article 14 de la loi révisée sur l’asile. Sous certaines conditions, une aut</w:t>
      </w:r>
      <w:r>
        <w:t>o</w:t>
      </w:r>
      <w:r>
        <w:t>risation de séjour peut être octroyée aux requérants d’asile déboutés. La personne concernée doit avoir séjourné en Suisse depuis au moins cinq ans à compter du dépôt de la demande d’asile et son lieu de séjour doit toujours avoir été connu des autorités. En outre, il doit s’agir d’un cas de rigueur grave en raison de l’intégration pou</w:t>
      </w:r>
      <w:r>
        <w:t>s</w:t>
      </w:r>
      <w:r>
        <w:t xml:space="preserve">sée de la personne concernée. Sur proposition de la </w:t>
      </w:r>
      <w:proofErr w:type="spellStart"/>
      <w:r>
        <w:t>CFE</w:t>
      </w:r>
      <w:proofErr w:type="spellEnd"/>
      <w:r>
        <w:t xml:space="preserve"> et avec l’appui de la </w:t>
      </w:r>
      <w:proofErr w:type="spellStart"/>
      <w:r>
        <w:t>plate</w:t>
      </w:r>
      <w:r>
        <w:noBreakHyphen/>
        <w:t>forme</w:t>
      </w:r>
      <w:proofErr w:type="spellEnd"/>
      <w:r>
        <w:t xml:space="preserve"> «Pour une table ronde au sujet des </w:t>
      </w:r>
      <w:proofErr w:type="spellStart"/>
      <w:r>
        <w:t>sans</w:t>
      </w:r>
      <w:r>
        <w:noBreakHyphen/>
        <w:t>papiers</w:t>
      </w:r>
      <w:proofErr w:type="spellEnd"/>
      <w:r>
        <w:t xml:space="preserve">», le Groupe </w:t>
      </w:r>
      <w:proofErr w:type="spellStart"/>
      <w:r>
        <w:t>Sans</w:t>
      </w:r>
      <w:r>
        <w:noBreakHyphen/>
        <w:t>papiers</w:t>
      </w:r>
      <w:proofErr w:type="spellEnd"/>
      <w:r>
        <w:t xml:space="preserve"> a été institué. Cet organisme, composé d’experts et présidé par la </w:t>
      </w:r>
      <w:proofErr w:type="spellStart"/>
      <w:r>
        <w:t>CFE</w:t>
      </w:r>
      <w:proofErr w:type="spellEnd"/>
      <w:r>
        <w:t>, examine les dossiers d’intéressés à la lumière de la circulaire sur les cas personnels d’extrême gravité. En cas d’avis positif, le dossier est renvoyé à l’expéditeur, qui est assuré d’obtenir une reco</w:t>
      </w:r>
      <w:r>
        <w:t>m</w:t>
      </w:r>
      <w:r>
        <w:t>mandation favorable. Fort de ce préavis, l’intéressé peut alors s’adresser aux autorités cantonales pour requérir l’examen de son dossier ainsi qu’une déc</w:t>
      </w:r>
      <w:r>
        <w:t>i</w:t>
      </w:r>
      <w:r>
        <w:t>sion définitive de leur part</w:t>
      </w:r>
      <w:r>
        <w:rPr>
          <w:rStyle w:val="FootnoteReference"/>
        </w:rPr>
        <w:footnoteReference w:id="64"/>
      </w:r>
      <w:r>
        <w:t xml:space="preserve">. Le Groupe </w:t>
      </w:r>
      <w:proofErr w:type="spellStart"/>
      <w:r>
        <w:t>Sans</w:t>
      </w:r>
      <w:r>
        <w:noBreakHyphen/>
        <w:t>papiers</w:t>
      </w:r>
      <w:proofErr w:type="spellEnd"/>
      <w:r>
        <w:t xml:space="preserve"> est par ailleurs en contact avec la dire</w:t>
      </w:r>
      <w:r>
        <w:t>c</w:t>
      </w:r>
      <w:r>
        <w:t>tion de l’</w:t>
      </w:r>
      <w:proofErr w:type="spellStart"/>
      <w:r>
        <w:t>OFM</w:t>
      </w:r>
      <w:proofErr w:type="spellEnd"/>
      <w:r>
        <w:t xml:space="preserve"> et avec des représentants de la Conférence des dire</w:t>
      </w:r>
      <w:r>
        <w:t>c</w:t>
      </w:r>
      <w:r>
        <w:t>teurs des départements cant</w:t>
      </w:r>
      <w:r>
        <w:t>o</w:t>
      </w:r>
      <w:r>
        <w:t>naux de justice et police (</w:t>
      </w:r>
      <w:proofErr w:type="spellStart"/>
      <w:r>
        <w:t>CCDJP</w:t>
      </w:r>
      <w:proofErr w:type="spellEnd"/>
      <w:r>
        <w:t>), d’une part pour se tenir au courant de la pratique des a</w:t>
      </w:r>
      <w:r>
        <w:t>u</w:t>
      </w:r>
      <w:r>
        <w:t xml:space="preserve">torités fédérales et cantonales </w:t>
      </w:r>
      <w:r>
        <w:br/>
        <w:t>et d’autre part pour discuter de l’opportunité et des po</w:t>
      </w:r>
      <w:r>
        <w:t>s</w:t>
      </w:r>
      <w:r>
        <w:t xml:space="preserve">sibilités d’intensifier la coopération. </w:t>
      </w:r>
    </w:p>
    <w:p w:rsidR="00000000" w:rsidRDefault="00000000">
      <w:pPr>
        <w:keepNext/>
        <w:spacing w:after="240"/>
        <w:jc w:val="center"/>
        <w:rPr>
          <w:b/>
          <w:bCs/>
          <w:szCs w:val="24"/>
        </w:rPr>
      </w:pPr>
      <w:bookmarkStart w:id="58" w:name="_Toc163552212"/>
      <w:r>
        <w:rPr>
          <w:b/>
          <w:bCs/>
          <w:szCs w:val="24"/>
        </w:rPr>
        <w:t>4.  Activités contre le racisme</w:t>
      </w:r>
      <w:bookmarkEnd w:id="58"/>
    </w:p>
    <w:p w:rsidR="00000000" w:rsidRDefault="00000000">
      <w:pPr>
        <w:keepNext/>
        <w:spacing w:after="240"/>
        <w:rPr>
          <w:b/>
          <w:bCs/>
        </w:rPr>
      </w:pPr>
      <w:bookmarkStart w:id="59" w:name="_Toc163552213"/>
      <w:r>
        <w:rPr>
          <w:b/>
          <w:bCs/>
          <w:i/>
          <w:iCs/>
        </w:rPr>
        <w:t>a)</w:t>
      </w:r>
      <w:r>
        <w:rPr>
          <w:b/>
          <w:bCs/>
          <w:i/>
          <w:iCs/>
        </w:rPr>
        <w:tab/>
        <w:t>Sur le plan national</w:t>
      </w:r>
      <w:bookmarkEnd w:id="59"/>
    </w:p>
    <w:p w:rsidR="00000000" w:rsidRDefault="00000000">
      <w:pPr>
        <w:spacing w:after="240"/>
      </w:pPr>
      <w:r>
        <w:t>83.</w:t>
      </w:r>
      <w:r>
        <w:tab/>
        <w:t>Les efforts de lutte contre le racisme ont continué d’être intensifiés durant la période sous rapport. Outre le travail courageux et infatigable de divers organismes, étatiques ou non étatiques, une grande partie du mérite en revient aux deux institutions que la Confédération a créées à cet effet: le Service de lutte contre le racisme (SLR), faisant partie de l’administration fédérale, et la Commission fédérale contre le racisme (</w:t>
      </w:r>
      <w:proofErr w:type="spellStart"/>
      <w:r>
        <w:t>CFR</w:t>
      </w:r>
      <w:proofErr w:type="spellEnd"/>
      <w:r>
        <w:t>), qui est un org</w:t>
      </w:r>
      <w:r>
        <w:t>a</w:t>
      </w:r>
      <w:r>
        <w:t>nisme indépendant. Au moyen de différentes campagnes, études, conférences et autres, ces inst</w:t>
      </w:r>
      <w:r>
        <w:t>i</w:t>
      </w:r>
      <w:r>
        <w:t>tutions ont contribué de manière substantielle à prévenir le racisme, l’antisémitisme, la xén</w:t>
      </w:r>
      <w:r>
        <w:t>o</w:t>
      </w:r>
      <w:r>
        <w:t xml:space="preserve">phobie et l’extrémisme de droite. Pour plus de détails au sujet des activités du SLR et de la </w:t>
      </w:r>
      <w:proofErr w:type="spellStart"/>
      <w:r>
        <w:t>CFR</w:t>
      </w:r>
      <w:proofErr w:type="spellEnd"/>
      <w:r>
        <w:t xml:space="preserve">, voir </w:t>
      </w:r>
      <w:proofErr w:type="spellStart"/>
      <w:r>
        <w:t>ci</w:t>
      </w:r>
      <w:r>
        <w:noBreakHyphen/>
        <w:t>dessous</w:t>
      </w:r>
      <w:proofErr w:type="spellEnd"/>
      <w:r>
        <w:t xml:space="preserve"> les paragraphes 194 à 205 et 206 à 211, respectivement.</w:t>
      </w:r>
    </w:p>
    <w:p w:rsidR="00000000" w:rsidRDefault="00000000">
      <w:pPr>
        <w:spacing w:after="240"/>
      </w:pPr>
      <w:r>
        <w:t>84.</w:t>
      </w:r>
      <w:r>
        <w:tab/>
        <w:t>Par arrêté fédéral du 13 juin 2001</w:t>
      </w:r>
      <w:r>
        <w:rPr>
          <w:rStyle w:val="FootnoteReference"/>
        </w:rPr>
        <w:footnoteReference w:id="65"/>
      </w:r>
      <w:r>
        <w:t>, le Parlement a voté pour les années 2001 à 2005 un crédit d’engagement de 15 millions de francs au total pour le soutien de projets d’éducation et de prévention dans les domaines des droits humains et de la lutte contre l’antisémitisme, le racisme et la xénophobie. Il a ainsi marqué sa ferme intention de combattre durablement les phénomènes de racisme, d’antisémitisme et de xénophobie ainsi que de re</w:t>
      </w:r>
      <w:r>
        <w:t>n</w:t>
      </w:r>
      <w:r>
        <w:t xml:space="preserve">forcer les droits humains à long terme. Divers projets de tiers ont ainsi bénéficié d’un soutien substantiel. La gestion du crédit a été confiée au </w:t>
      </w:r>
      <w:proofErr w:type="spellStart"/>
      <w:r>
        <w:t>SLR</w:t>
      </w:r>
      <w:proofErr w:type="spellEnd"/>
      <w:r>
        <w:t>.</w:t>
      </w:r>
    </w:p>
    <w:p w:rsidR="00000000" w:rsidRDefault="00000000">
      <w:pPr>
        <w:keepNext/>
        <w:spacing w:after="240"/>
        <w:rPr>
          <w:b/>
          <w:bCs/>
        </w:rPr>
      </w:pPr>
      <w:bookmarkStart w:id="60" w:name="_Toc163552214"/>
      <w:r>
        <w:rPr>
          <w:b/>
          <w:bCs/>
          <w:i/>
          <w:iCs/>
        </w:rPr>
        <w:t>b)</w:t>
      </w:r>
      <w:r>
        <w:rPr>
          <w:b/>
          <w:bCs/>
          <w:i/>
          <w:iCs/>
        </w:rPr>
        <w:tab/>
        <w:t>Sur le plan international</w:t>
      </w:r>
      <w:bookmarkEnd w:id="60"/>
    </w:p>
    <w:p w:rsidR="00000000" w:rsidRDefault="00000000">
      <w:pPr>
        <w:spacing w:after="240"/>
      </w:pPr>
      <w:r>
        <w:t>85.</w:t>
      </w:r>
      <w:r>
        <w:tab/>
        <w:t>La Suisse s’efforce de prendre une part active à la lutte contre la discrimination et l’intolérance aussi sur le plan international. Outre les activités mentionnées dans les deuxième et troisième rapports périodiques, dont certaines ont été poursuivies jusqu’à ce jour, nous donnons ici que</w:t>
      </w:r>
      <w:r>
        <w:t>l</w:t>
      </w:r>
      <w:r>
        <w:t>ques exemples d’autres initiatives qu’elle a lancées sur le plan international:</w:t>
      </w:r>
    </w:p>
    <w:p w:rsidR="00000000" w:rsidRDefault="00000000">
      <w:pPr>
        <w:numPr>
          <w:ilvl w:val="0"/>
          <w:numId w:val="95"/>
        </w:numPr>
        <w:spacing w:after="240"/>
      </w:pPr>
      <w:r>
        <w:t>Dans le cadre de l’</w:t>
      </w:r>
      <w:proofErr w:type="spellStart"/>
      <w:r>
        <w:t>Organisation</w:t>
      </w:r>
      <w:proofErr w:type="spellEnd"/>
      <w:r>
        <w:t xml:space="preserve"> pour la sécurité et la coopération en Europe (OSCE), la Suisse a, en 2002, pris en commun avec le Kirghizistan l’initiative de la d</w:t>
      </w:r>
      <w:r>
        <w:rPr>
          <w:bCs/>
        </w:rPr>
        <w:t>écision n</w:t>
      </w:r>
      <w:r>
        <w:rPr>
          <w:bCs/>
          <w:vertAlign w:val="superscript"/>
        </w:rPr>
        <w:t>o</w:t>
      </w:r>
      <w:r>
        <w:rPr>
          <w:bCs/>
        </w:rPr>
        <w:t xml:space="preserve"> 6 du Conseil ministériel de Porto relative à la tol</w:t>
      </w:r>
      <w:r>
        <w:rPr>
          <w:bCs/>
        </w:rPr>
        <w:t>é</w:t>
      </w:r>
      <w:r>
        <w:rPr>
          <w:bCs/>
        </w:rPr>
        <w:t>rance et à la </w:t>
      </w:r>
      <w:proofErr w:type="spellStart"/>
      <w:r>
        <w:rPr>
          <w:bCs/>
        </w:rPr>
        <w:t>non</w:t>
      </w:r>
      <w:r>
        <w:rPr>
          <w:bCs/>
        </w:rPr>
        <w:noBreakHyphen/>
        <w:t>discrimination</w:t>
      </w:r>
      <w:proofErr w:type="spellEnd"/>
      <w:r>
        <w:t>, qui fait de la lutte contre toutes les formes d’intolérance, d’antisémitisme, de racisme et de xénophobie l’une des priorités de l’Organisation. En 2003 et 2004, dans le sillage de cette décision, une délégation suisse comprenant d’éminents experts a prononcé des interventions très remarquées sur l’antisémitisme lors de séances de haut segment.</w:t>
      </w:r>
    </w:p>
    <w:p w:rsidR="00000000" w:rsidRDefault="00000000">
      <w:pPr>
        <w:numPr>
          <w:ilvl w:val="0"/>
          <w:numId w:val="95"/>
        </w:numPr>
        <w:spacing w:after="240"/>
      </w:pPr>
      <w:r>
        <w:t xml:space="preserve">En 2003 et en 2004, la Suisse a proposé à la </w:t>
      </w:r>
      <w:r>
        <w:rPr>
          <w:bCs/>
        </w:rPr>
        <w:t>Commission des droits humains</w:t>
      </w:r>
      <w:r>
        <w:rPr>
          <w:b/>
        </w:rPr>
        <w:t xml:space="preserve"> </w:t>
      </w:r>
      <w:r>
        <w:rPr>
          <w:bCs/>
        </w:rPr>
        <w:t>ai</w:t>
      </w:r>
      <w:r>
        <w:rPr>
          <w:bCs/>
        </w:rPr>
        <w:t>n</w:t>
      </w:r>
      <w:r>
        <w:rPr>
          <w:bCs/>
        </w:rPr>
        <w:t>si qu’au</w:t>
      </w:r>
      <w:r>
        <w:rPr>
          <w:b/>
        </w:rPr>
        <w:t xml:space="preserve"> </w:t>
      </w:r>
      <w:r>
        <w:rPr>
          <w:bCs/>
        </w:rPr>
        <w:t>Groupe de travail pour les minorités</w:t>
      </w:r>
      <w:r>
        <w:t xml:space="preserve"> de la </w:t>
      </w:r>
      <w:proofErr w:type="spellStart"/>
      <w:r>
        <w:t>Sous</w:t>
      </w:r>
      <w:r>
        <w:noBreakHyphen/>
        <w:t>Commission</w:t>
      </w:r>
      <w:proofErr w:type="spellEnd"/>
      <w:r>
        <w:t xml:space="preserve"> de la promotion et de la protection des droits humains </w:t>
      </w:r>
      <w:r>
        <w:rPr>
          <w:bCs/>
        </w:rPr>
        <w:t xml:space="preserve">l’introduction d’une procédure spéciale </w:t>
      </w:r>
      <w:r>
        <w:t>de</w:t>
      </w:r>
      <w:r>
        <w:t>s</w:t>
      </w:r>
      <w:r>
        <w:t>tinée à encourager les États à mettre en œuvre la Déclaration des droits des personnes a</w:t>
      </w:r>
      <w:r>
        <w:t>p</w:t>
      </w:r>
      <w:r>
        <w:t>partenant à des minorités nationales ou ethniques, religieuses et linguistiques, adoptée par l’</w:t>
      </w:r>
      <w:proofErr w:type="spellStart"/>
      <w:r>
        <w:t>ONU</w:t>
      </w:r>
      <w:proofErr w:type="spellEnd"/>
      <w:r>
        <w:t xml:space="preserve"> en 1992. La Suisse estime qu’une telle procédure spéciale serait propre à venir compléter le Plan d’action en cinq points pour la pr</w:t>
      </w:r>
      <w:r>
        <w:t>é</w:t>
      </w:r>
      <w:r>
        <w:t>vention du génocide, annoncé par le Secrétaire général de l’</w:t>
      </w:r>
      <w:proofErr w:type="spellStart"/>
      <w:r>
        <w:t>ONU</w:t>
      </w:r>
      <w:proofErr w:type="spellEnd"/>
      <w:r>
        <w:t xml:space="preserve"> en avril 2004.</w:t>
      </w:r>
    </w:p>
    <w:p w:rsidR="00000000" w:rsidRDefault="00000000">
      <w:pPr>
        <w:numPr>
          <w:ilvl w:val="0"/>
          <w:numId w:val="95"/>
        </w:numPr>
        <w:spacing w:after="240"/>
      </w:pPr>
      <w:r>
        <w:t>En sa qualité d’«</w:t>
      </w:r>
      <w:r>
        <w:rPr>
          <w:bCs/>
        </w:rPr>
        <w:t xml:space="preserve">institution nationale spécialisée», la </w:t>
      </w:r>
      <w:proofErr w:type="spellStart"/>
      <w:r>
        <w:rPr>
          <w:bCs/>
        </w:rPr>
        <w:t>CFR</w:t>
      </w:r>
      <w:proofErr w:type="spellEnd"/>
      <w:r>
        <w:rPr>
          <w:bCs/>
        </w:rPr>
        <w:t xml:space="preserve"> a des contacts réguliers avec des représentants de la Commission européenne contre le racisme et l’intolérance (</w:t>
      </w:r>
      <w:proofErr w:type="spellStart"/>
      <w:r>
        <w:t>ECRI</w:t>
      </w:r>
      <w:proofErr w:type="spellEnd"/>
      <w:r>
        <w:t>) et du Conseil de l’</w:t>
      </w:r>
      <w:proofErr w:type="spellStart"/>
      <w:r>
        <w:t>Europe</w:t>
      </w:r>
      <w:proofErr w:type="spellEnd"/>
      <w:r>
        <w:t xml:space="preserve">, avec le </w:t>
      </w:r>
      <w:proofErr w:type="spellStart"/>
      <w:r>
        <w:t>Haut</w:t>
      </w:r>
      <w:r>
        <w:noBreakHyphen/>
        <w:t>Commissariat</w:t>
      </w:r>
      <w:proofErr w:type="spellEnd"/>
      <w:r>
        <w:t xml:space="preserve"> des Nations Unies pour les réfugiés et le </w:t>
      </w:r>
      <w:proofErr w:type="spellStart"/>
      <w:r>
        <w:t>Haut</w:t>
      </w:r>
      <w:r>
        <w:noBreakHyphen/>
        <w:t>Commissariat</w:t>
      </w:r>
      <w:proofErr w:type="spellEnd"/>
      <w:r>
        <w:t xml:space="preserve"> des N</w:t>
      </w:r>
      <w:r>
        <w:t>a</w:t>
      </w:r>
      <w:r>
        <w:t>tions Unies aux droits de l’homme, ainsi qu’avec le Comité international de coordination (CIC) des institutions nationales des droits de l’homme (</w:t>
      </w:r>
      <w:proofErr w:type="spellStart"/>
      <w:r>
        <w:t>INDH</w:t>
      </w:r>
      <w:proofErr w:type="spellEnd"/>
      <w:r>
        <w:t>). Des membres de la présidence et du secrétariat ont en outre pris part à différentes conférences internationales consacrées aux droits humains et à la lutte contre le r</w:t>
      </w:r>
      <w:r>
        <w:t>a</w:t>
      </w:r>
      <w:r>
        <w:t>cisme, par exemple à la deuxième Conférence de l’</w:t>
      </w:r>
      <w:proofErr w:type="spellStart"/>
      <w:r>
        <w:t>OSCE</w:t>
      </w:r>
      <w:proofErr w:type="spellEnd"/>
      <w:r>
        <w:t xml:space="preserve"> sur la tolérance et la lutte contre le racisme, la xénophobie et la discrimination, aux conférences de suivi de la Conférence mondiale de Durban contre le racisme, la discrimination raciale, la xénophobie et l’intolérance qui y est associée, ou à la Table ronde de l’</w:t>
      </w:r>
      <w:proofErr w:type="spellStart"/>
      <w:r>
        <w:t>ECRI</w:t>
      </w:r>
      <w:proofErr w:type="spellEnd"/>
      <w:r>
        <w:t xml:space="preserve"> sur les institutions nation</w:t>
      </w:r>
      <w:r>
        <w:t>a</w:t>
      </w:r>
      <w:r>
        <w:t>les contre le racisme</w:t>
      </w:r>
      <w:r>
        <w:rPr>
          <w:rStyle w:val="FootnoteReference"/>
        </w:rPr>
        <w:footnoteReference w:id="66"/>
      </w:r>
      <w:r>
        <w:t xml:space="preserve">. </w:t>
      </w:r>
    </w:p>
    <w:p w:rsidR="00000000" w:rsidRDefault="00000000">
      <w:pPr>
        <w:spacing w:after="240"/>
        <w:jc w:val="center"/>
        <w:rPr>
          <w:b/>
          <w:bCs/>
        </w:rPr>
      </w:pPr>
      <w:r>
        <w:br w:type="page"/>
      </w:r>
      <w:bookmarkStart w:id="61" w:name="_Toc150668810"/>
      <w:bookmarkStart w:id="62" w:name="_Toc163552215"/>
      <w:proofErr w:type="spellStart"/>
      <w:r>
        <w:rPr>
          <w:b/>
          <w:bCs/>
          <w:szCs w:val="24"/>
        </w:rPr>
        <w:t>II</w:t>
      </w:r>
      <w:proofErr w:type="spellEnd"/>
      <w:r>
        <w:rPr>
          <w:b/>
          <w:bCs/>
          <w:szCs w:val="24"/>
        </w:rPr>
        <w:t>.</w:t>
      </w:r>
      <w:r>
        <w:rPr>
          <w:b/>
          <w:bCs/>
        </w:rPr>
        <w:t xml:space="preserve">  </w:t>
      </w:r>
      <w:r>
        <w:rPr>
          <w:b/>
          <w:bCs/>
          <w:szCs w:val="24"/>
        </w:rPr>
        <w:t>EXAMEN DE L’</w:t>
      </w:r>
      <w:proofErr w:type="spellStart"/>
      <w:r>
        <w:rPr>
          <w:b/>
          <w:bCs/>
          <w:szCs w:val="24"/>
        </w:rPr>
        <w:t>APPLICATION</w:t>
      </w:r>
      <w:proofErr w:type="spellEnd"/>
      <w:r>
        <w:rPr>
          <w:b/>
          <w:bCs/>
          <w:szCs w:val="24"/>
        </w:rPr>
        <w:t xml:space="preserve"> DES ARTICLES 2 À 7 </w:t>
      </w:r>
      <w:r>
        <w:rPr>
          <w:b/>
          <w:bCs/>
          <w:szCs w:val="24"/>
        </w:rPr>
        <w:br/>
        <w:t>DE LA CONVENTION</w:t>
      </w:r>
      <w:bookmarkEnd w:id="61"/>
      <w:bookmarkEnd w:id="62"/>
    </w:p>
    <w:p w:rsidR="00000000" w:rsidRDefault="00000000">
      <w:pPr>
        <w:keepNext/>
        <w:spacing w:after="240"/>
        <w:jc w:val="center"/>
        <w:rPr>
          <w:b/>
          <w:bCs/>
          <w:szCs w:val="24"/>
        </w:rPr>
      </w:pPr>
      <w:bookmarkStart w:id="63" w:name="_Toc150668811"/>
      <w:bookmarkStart w:id="64" w:name="_Toc163552216"/>
      <w:r>
        <w:rPr>
          <w:b/>
          <w:bCs/>
          <w:szCs w:val="24"/>
        </w:rPr>
        <w:t>A.  Condamnation de la discrimination raciale</w:t>
      </w:r>
      <w:bookmarkEnd w:id="63"/>
      <w:r>
        <w:rPr>
          <w:b/>
          <w:bCs/>
          <w:szCs w:val="24"/>
        </w:rPr>
        <w:t xml:space="preserve"> </w:t>
      </w:r>
      <w:r>
        <w:rPr>
          <w:b/>
          <w:bCs/>
          <w:szCs w:val="24"/>
        </w:rPr>
        <w:br/>
        <w:t>(art. 2)</w:t>
      </w:r>
      <w:bookmarkEnd w:id="64"/>
    </w:p>
    <w:p w:rsidR="00000000" w:rsidRDefault="00000000">
      <w:pPr>
        <w:keepNext/>
        <w:spacing w:after="240"/>
        <w:jc w:val="center"/>
        <w:rPr>
          <w:b/>
          <w:bCs/>
          <w:szCs w:val="24"/>
        </w:rPr>
      </w:pPr>
      <w:bookmarkStart w:id="65" w:name="_Toc163552217"/>
      <w:r>
        <w:rPr>
          <w:b/>
          <w:bCs/>
          <w:szCs w:val="24"/>
        </w:rPr>
        <w:t>1.  Respect du principe de l’égalité de traitement par l’</w:t>
      </w:r>
      <w:proofErr w:type="spellStart"/>
      <w:r>
        <w:rPr>
          <w:b/>
          <w:bCs/>
          <w:szCs w:val="24"/>
        </w:rPr>
        <w:t>État</w:t>
      </w:r>
      <w:proofErr w:type="spellEnd"/>
      <w:r>
        <w:rPr>
          <w:b/>
          <w:bCs/>
          <w:szCs w:val="24"/>
        </w:rPr>
        <w:t xml:space="preserve"> </w:t>
      </w:r>
      <w:r>
        <w:rPr>
          <w:b/>
          <w:bCs/>
          <w:szCs w:val="24"/>
        </w:rPr>
        <w:br/>
        <w:t xml:space="preserve">(art. 2, par. 1, al. </w:t>
      </w:r>
      <w:r>
        <w:rPr>
          <w:b/>
          <w:bCs/>
          <w:i/>
          <w:iCs/>
          <w:szCs w:val="24"/>
        </w:rPr>
        <w:t>a</w:t>
      </w:r>
      <w:r>
        <w:rPr>
          <w:b/>
          <w:bCs/>
          <w:szCs w:val="24"/>
        </w:rPr>
        <w:t xml:space="preserve"> et </w:t>
      </w:r>
      <w:r>
        <w:rPr>
          <w:b/>
          <w:bCs/>
          <w:i/>
          <w:iCs/>
          <w:szCs w:val="24"/>
        </w:rPr>
        <w:t>b</w:t>
      </w:r>
      <w:r>
        <w:rPr>
          <w:b/>
          <w:bCs/>
          <w:szCs w:val="24"/>
        </w:rPr>
        <w:t>)</w:t>
      </w:r>
      <w:bookmarkEnd w:id="65"/>
    </w:p>
    <w:p w:rsidR="00000000" w:rsidRDefault="00000000">
      <w:pPr>
        <w:spacing w:after="240"/>
      </w:pPr>
      <w:r>
        <w:t>86.</w:t>
      </w:r>
      <w:r>
        <w:tab/>
        <w:t>Comme nous l’avions déjà relevé dans les deuxième et troisième rapports périodiques, la juri</w:t>
      </w:r>
      <w:r>
        <w:t>s</w:t>
      </w:r>
      <w:r>
        <w:t>prudence du Tribunal fédéral a été confirmée et a fait ses preuves depuis la refonte du pri</w:t>
      </w:r>
      <w:r>
        <w:t>n</w:t>
      </w:r>
      <w:r>
        <w:t>cipe de l’égalité et de l’interdiction de toute discrimination dans le cadre de l’article 8 de la Constitution fédérale. Le Tribunal fédéral continue en effet de se fonder sur le principe selon lequel l’égalité de trait</w:t>
      </w:r>
      <w:r>
        <w:t>e</w:t>
      </w:r>
      <w:r>
        <w:t>ment doit être assurée dans la mesure de l’égalité des situations respectives, ce qui n’exclut donc pas une inégalité de traitement dans la mesure de l’inégalité des situations respectives. Ce</w:t>
      </w:r>
      <w:r>
        <w:t>r</w:t>
      </w:r>
      <w:r>
        <w:t>taines inégalités de traitement peuvent, en conséquence, être justifiées par des motifs obje</w:t>
      </w:r>
      <w:r>
        <w:t>c</w:t>
      </w:r>
      <w:r>
        <w:t xml:space="preserve">tifs sérieux. </w:t>
      </w:r>
    </w:p>
    <w:p w:rsidR="00000000" w:rsidRDefault="00000000">
      <w:pPr>
        <w:spacing w:after="240"/>
      </w:pPr>
      <w:r>
        <w:t>87.</w:t>
      </w:r>
      <w:r>
        <w:tab/>
        <w:t>Il y a discrimination lorsqu’une personne est désavantagée uniquement en raison de son appartenance à un certain groupe qui, par le passé et dans la réalité sociale actue</w:t>
      </w:r>
      <w:r>
        <w:t>l</w:t>
      </w:r>
      <w:r>
        <w:t>le, a tendance à être exclu ou à être considéré comme inférieur. La discrimination est une inégal</w:t>
      </w:r>
      <w:r>
        <w:t>i</w:t>
      </w:r>
      <w:r>
        <w:t>té de traitement qualifiée de personnes se trouvant dans des situations comparables. Elle e</w:t>
      </w:r>
      <w:r>
        <w:t>n</w:t>
      </w:r>
      <w:r>
        <w:t>traîne une pénalisation d’un individu constituant un abaissement ou une exclusion parce qu’elle est liée à une différence qui est une partie intégrante essentielle de la pe</w:t>
      </w:r>
      <w:r>
        <w:t>r</w:t>
      </w:r>
      <w:r>
        <w:t xml:space="preserve">sonne en question, une caractéristique dont </w:t>
      </w:r>
      <w:proofErr w:type="spellStart"/>
      <w:r>
        <w:t>celle</w:t>
      </w:r>
      <w:r>
        <w:noBreakHyphen/>
        <w:t>ci</w:t>
      </w:r>
      <w:proofErr w:type="spellEnd"/>
      <w:r>
        <w:t xml:space="preserve"> ne peut pas se défaire ou ne peut se défaire que très difficil</w:t>
      </w:r>
      <w:r>
        <w:t>e</w:t>
      </w:r>
      <w:r>
        <w:t>ment. L’interdiction de la discrimination au sens du droit constitutionnel suisse n’exclut cepe</w:t>
      </w:r>
      <w:r>
        <w:t>n</w:t>
      </w:r>
      <w:r>
        <w:t>dant pas catégoriquement le fait de fonder une inégalité de traitement sur une telle caractéristique (origine, race, sexe, langue ou autres critères énum</w:t>
      </w:r>
      <w:r>
        <w:t>é</w:t>
      </w:r>
      <w:r>
        <w:t>rés, de façon non exhaustive, à l’article 8, par. 2, de la Constitution fédérale). Dans un premier temps, une telle inégalité ne fait que générer un soupçon de différenciation illicite, soupçon qui ne peut être levé que par une just</w:t>
      </w:r>
      <w:r>
        <w:t>i</w:t>
      </w:r>
      <w:r>
        <w:t>fication suffisante. Juridiquement, l’interdiction de la discrimination signifie donc que les in</w:t>
      </w:r>
      <w:r>
        <w:t>é</w:t>
      </w:r>
      <w:r>
        <w:t>galités de traitement doivent être motivées d’une façon particulièrement qualifiée</w:t>
      </w:r>
      <w:r>
        <w:rPr>
          <w:rStyle w:val="FootnoteReference"/>
        </w:rPr>
        <w:footnoteReference w:id="67"/>
      </w:r>
      <w:r>
        <w:t>.</w:t>
      </w:r>
    </w:p>
    <w:p w:rsidR="00000000" w:rsidRDefault="00000000">
      <w:pPr>
        <w:spacing w:after="240"/>
      </w:pPr>
      <w:r>
        <w:t>88.</w:t>
      </w:r>
      <w:r>
        <w:tab/>
        <w:t>Ce principe doit être observé tant dans la législation que dans l’application du droit. Tous les organes de l’</w:t>
      </w:r>
      <w:proofErr w:type="spellStart"/>
      <w:r>
        <w:t>État</w:t>
      </w:r>
      <w:proofErr w:type="spellEnd"/>
      <w:r>
        <w:t>, quelle que soit leur fonction, doivent veiller à ce que leur activité étatique y soit conforme</w:t>
      </w:r>
      <w:r>
        <w:rPr>
          <w:rStyle w:val="FootnoteReference"/>
        </w:rPr>
        <w:footnoteReference w:id="68"/>
      </w:r>
      <w:r>
        <w:t xml:space="preserve">. </w:t>
      </w:r>
    </w:p>
    <w:p w:rsidR="00000000" w:rsidRDefault="00000000">
      <w:pPr>
        <w:keepNext/>
        <w:spacing w:after="240"/>
        <w:jc w:val="center"/>
        <w:rPr>
          <w:b/>
          <w:bCs/>
          <w:szCs w:val="24"/>
        </w:rPr>
      </w:pPr>
      <w:bookmarkStart w:id="66" w:name="_Toc163552218"/>
      <w:r>
        <w:rPr>
          <w:b/>
          <w:bCs/>
          <w:szCs w:val="24"/>
        </w:rPr>
        <w:t xml:space="preserve">2.  Le problème de la discrimination entre étrangers et la réserve formulée </w:t>
      </w:r>
      <w:r>
        <w:rPr>
          <w:b/>
          <w:bCs/>
          <w:szCs w:val="24"/>
        </w:rPr>
        <w:br/>
        <w:t>par la Suisse en faveur de sa pol</w:t>
      </w:r>
      <w:r>
        <w:rPr>
          <w:b/>
          <w:bCs/>
          <w:szCs w:val="24"/>
        </w:rPr>
        <w:t>i</w:t>
      </w:r>
      <w:r>
        <w:rPr>
          <w:b/>
          <w:bCs/>
          <w:szCs w:val="24"/>
        </w:rPr>
        <w:t xml:space="preserve">tique d’immigration </w:t>
      </w:r>
      <w:r>
        <w:rPr>
          <w:b/>
          <w:bCs/>
          <w:szCs w:val="24"/>
        </w:rPr>
        <w:br/>
        <w:t xml:space="preserve">(art. 2, par. 1, al. </w:t>
      </w:r>
      <w:r>
        <w:rPr>
          <w:b/>
          <w:bCs/>
          <w:i/>
          <w:iCs/>
          <w:szCs w:val="24"/>
        </w:rPr>
        <w:t>a</w:t>
      </w:r>
      <w:r>
        <w:rPr>
          <w:b/>
          <w:bCs/>
          <w:szCs w:val="24"/>
        </w:rPr>
        <w:t>)</w:t>
      </w:r>
      <w:bookmarkEnd w:id="66"/>
    </w:p>
    <w:p w:rsidR="00000000" w:rsidRDefault="00000000">
      <w:pPr>
        <w:spacing w:after="240"/>
      </w:pPr>
      <w:r>
        <w:t>89.</w:t>
      </w:r>
      <w:r>
        <w:tab/>
        <w:t xml:space="preserve">Voir informations données à ce propos au paragraphe 280 </w:t>
      </w:r>
      <w:proofErr w:type="spellStart"/>
      <w:r>
        <w:t>ci</w:t>
      </w:r>
      <w:r>
        <w:noBreakHyphen/>
        <w:t>dessous</w:t>
      </w:r>
      <w:proofErr w:type="spellEnd"/>
      <w:r>
        <w:t>.</w:t>
      </w:r>
    </w:p>
    <w:p w:rsidR="00000000" w:rsidRDefault="00000000">
      <w:pPr>
        <w:keepNext/>
        <w:spacing w:after="200"/>
        <w:jc w:val="center"/>
        <w:rPr>
          <w:b/>
          <w:bCs/>
          <w:szCs w:val="24"/>
        </w:rPr>
      </w:pPr>
      <w:bookmarkStart w:id="67" w:name="_Toc163552219"/>
      <w:r>
        <w:rPr>
          <w:b/>
          <w:bCs/>
          <w:szCs w:val="24"/>
        </w:rPr>
        <w:t xml:space="preserve">3.  L’interdiction de la discrimination et son application </w:t>
      </w:r>
      <w:r>
        <w:rPr>
          <w:b/>
          <w:bCs/>
          <w:szCs w:val="24"/>
        </w:rPr>
        <w:br/>
        <w:t xml:space="preserve">aux rapports entre individus </w:t>
      </w:r>
      <w:r>
        <w:rPr>
          <w:b/>
          <w:bCs/>
          <w:szCs w:val="24"/>
        </w:rPr>
        <w:br/>
        <w:t xml:space="preserve">(art. 2, par. 1, al. </w:t>
      </w:r>
      <w:r>
        <w:rPr>
          <w:b/>
          <w:bCs/>
          <w:i/>
          <w:iCs/>
          <w:szCs w:val="24"/>
        </w:rPr>
        <w:t xml:space="preserve">c </w:t>
      </w:r>
      <w:r>
        <w:rPr>
          <w:b/>
          <w:bCs/>
          <w:szCs w:val="24"/>
        </w:rPr>
        <w:t xml:space="preserve">et </w:t>
      </w:r>
      <w:r>
        <w:rPr>
          <w:b/>
          <w:bCs/>
          <w:i/>
          <w:iCs/>
          <w:szCs w:val="24"/>
        </w:rPr>
        <w:t>d</w:t>
      </w:r>
      <w:r>
        <w:rPr>
          <w:b/>
          <w:bCs/>
          <w:szCs w:val="24"/>
        </w:rPr>
        <w:t>)</w:t>
      </w:r>
      <w:bookmarkEnd w:id="67"/>
    </w:p>
    <w:p w:rsidR="00000000" w:rsidRDefault="00000000">
      <w:pPr>
        <w:spacing w:after="200"/>
      </w:pPr>
      <w:r>
        <w:t>90.</w:t>
      </w:r>
      <w:r>
        <w:tab/>
        <w:t>Quant à la question de l’effet que l’interdiction de la discrimination peut avoir sur les rapports entre individus, nous renvoyons aux deuxième et troisième rapports périodiques (</w:t>
      </w:r>
      <w:proofErr w:type="spellStart"/>
      <w:r>
        <w:t>CERD</w:t>
      </w:r>
      <w:proofErr w:type="spellEnd"/>
      <w:r>
        <w:t>/C/351/</w:t>
      </w:r>
      <w:proofErr w:type="spellStart"/>
      <w:r>
        <w:t>Add.2</w:t>
      </w:r>
      <w:proofErr w:type="spellEnd"/>
      <w:r>
        <w:t>, par. 86 à 88) et aux paragraphes 310 à 344 du présent rapport.</w:t>
      </w:r>
    </w:p>
    <w:p w:rsidR="00000000" w:rsidRDefault="00000000">
      <w:pPr>
        <w:keepNext/>
        <w:spacing w:after="200"/>
        <w:jc w:val="center"/>
        <w:rPr>
          <w:b/>
          <w:bCs/>
          <w:szCs w:val="24"/>
        </w:rPr>
      </w:pPr>
      <w:bookmarkStart w:id="68" w:name="_Toc340980531"/>
      <w:bookmarkStart w:id="69" w:name="_Toc341447189"/>
      <w:bookmarkStart w:id="70" w:name="_Toc341448972"/>
      <w:bookmarkStart w:id="71" w:name="_Toc341493526"/>
      <w:bookmarkStart w:id="72" w:name="_Toc349355843"/>
      <w:bookmarkStart w:id="73" w:name="_Toc477524883"/>
      <w:bookmarkStart w:id="74" w:name="_Toc477525192"/>
      <w:bookmarkStart w:id="75" w:name="_Toc150668812"/>
      <w:bookmarkStart w:id="76" w:name="_Toc163552220"/>
      <w:r>
        <w:rPr>
          <w:b/>
          <w:bCs/>
          <w:szCs w:val="24"/>
        </w:rPr>
        <w:t>B.  Condamnation de l’apartheid</w:t>
      </w:r>
      <w:bookmarkEnd w:id="68"/>
      <w:bookmarkEnd w:id="69"/>
      <w:bookmarkEnd w:id="70"/>
      <w:bookmarkEnd w:id="71"/>
      <w:bookmarkEnd w:id="72"/>
      <w:bookmarkEnd w:id="73"/>
      <w:bookmarkEnd w:id="74"/>
      <w:bookmarkEnd w:id="75"/>
      <w:r>
        <w:rPr>
          <w:b/>
          <w:bCs/>
          <w:szCs w:val="24"/>
        </w:rPr>
        <w:t xml:space="preserve"> </w:t>
      </w:r>
      <w:r>
        <w:rPr>
          <w:b/>
          <w:bCs/>
          <w:szCs w:val="24"/>
        </w:rPr>
        <w:br/>
        <w:t>(art. 3)</w:t>
      </w:r>
      <w:bookmarkEnd w:id="76"/>
    </w:p>
    <w:p w:rsidR="00000000" w:rsidRDefault="00000000">
      <w:pPr>
        <w:keepNext/>
        <w:spacing w:after="200"/>
        <w:jc w:val="center"/>
        <w:rPr>
          <w:b/>
          <w:bCs/>
          <w:szCs w:val="24"/>
        </w:rPr>
      </w:pPr>
      <w:bookmarkStart w:id="77" w:name="_Toc163552221"/>
      <w:r>
        <w:rPr>
          <w:b/>
          <w:bCs/>
          <w:szCs w:val="24"/>
        </w:rPr>
        <w:t>1.  En Suisse</w:t>
      </w:r>
      <w:bookmarkEnd w:id="77"/>
    </w:p>
    <w:p w:rsidR="00000000" w:rsidRDefault="00000000">
      <w:pPr>
        <w:spacing w:after="200"/>
      </w:pPr>
      <w:r>
        <w:t>91.</w:t>
      </w:r>
      <w:r>
        <w:tab/>
        <w:t>La Suisse a condamné clairement le régime d’apartheid à plusieurs reprises. Elle a été l’un des premiers pays à décréter des sanctions contre l’</w:t>
      </w:r>
      <w:proofErr w:type="spellStart"/>
      <w:r>
        <w:t>Afrique</w:t>
      </w:r>
      <w:proofErr w:type="spellEnd"/>
      <w:r>
        <w:t xml:space="preserve"> du Sud (1963: embargo sur les livraisons d’armes). La Suisse a aussi joué un rôle important dans le processus de réconciliation et de transition en Afrique du Sud puisqu’elle a encouragé le passage à la d</w:t>
      </w:r>
      <w:r>
        <w:t>é</w:t>
      </w:r>
      <w:r>
        <w:t>mocr</w:t>
      </w:r>
      <w:r>
        <w:t>a</w:t>
      </w:r>
      <w:r>
        <w:t>tie par un programme de mesures positives. Elle entend continuer de développer les excellentes relations qu’elle entretient aujourd’hui avec l’</w:t>
      </w:r>
      <w:proofErr w:type="spellStart"/>
      <w:r>
        <w:t>Afrique</w:t>
      </w:r>
      <w:proofErr w:type="spellEnd"/>
      <w:r>
        <w:t xml:space="preserve"> du Sud dans de très no</w:t>
      </w:r>
      <w:r>
        <w:t>m</w:t>
      </w:r>
      <w:r>
        <w:t>breux domaines.</w:t>
      </w:r>
    </w:p>
    <w:p w:rsidR="00000000" w:rsidRDefault="00000000">
      <w:pPr>
        <w:spacing w:after="200"/>
      </w:pPr>
      <w:r>
        <w:t>92.</w:t>
      </w:r>
      <w:r>
        <w:tab/>
        <w:t>Dans le sillage du premier rapport qu’un groupe de travail interdépartemental a publié en juillet 1999, un Programme national de recherche</w:t>
      </w:r>
      <w:r>
        <w:rPr>
          <w:rStyle w:val="FootnoteReference"/>
        </w:rPr>
        <w:footnoteReference w:id="69"/>
      </w:r>
      <w:r>
        <w:t xml:space="preserve"> a été lancé aux fins d’obtenir un écla</w:t>
      </w:r>
      <w:r>
        <w:t>i</w:t>
      </w:r>
      <w:r>
        <w:t>rage objectif des faits historiques. Le programme intitulé «Les relations entre la Suisse et l’</w:t>
      </w:r>
      <w:proofErr w:type="spellStart"/>
      <w:r>
        <w:t>Afrique</w:t>
      </w:r>
      <w:proofErr w:type="spellEnd"/>
      <w:r>
        <w:t xml:space="preserve"> du Sud» a pour but d’élaborer des bases scientifiques à partir d’un petit nombre de projets de recherche coordonnés et compte tenu d’aspects économiques, juridiques, polit</w:t>
      </w:r>
      <w:r>
        <w:t>i</w:t>
      </w:r>
      <w:r>
        <w:t>ques et historiques. Ces projets serviront à informer le public sur le rôle de la Suisse à l’époque de l’apartheid et à fournir des bases de discussion sur le sujet. Le Gouvernement suisse salue ce rapport comme une contribution précieuse à une meilleure compréhension des rapports que la Suisse et l’</w:t>
      </w:r>
      <w:proofErr w:type="spellStart"/>
      <w:r>
        <w:t>Afrique</w:t>
      </w:r>
      <w:proofErr w:type="spellEnd"/>
      <w:r>
        <w:t xml:space="preserve"> du Sud ont eus par le passé</w:t>
      </w:r>
      <w:r>
        <w:rPr>
          <w:rStyle w:val="FootnoteReference"/>
        </w:rPr>
        <w:footnoteReference w:id="70"/>
      </w:r>
      <w:r>
        <w:t>.</w:t>
      </w:r>
    </w:p>
    <w:p w:rsidR="00000000" w:rsidRDefault="00000000">
      <w:pPr>
        <w:keepNext/>
        <w:spacing w:after="200"/>
        <w:jc w:val="center"/>
        <w:rPr>
          <w:b/>
          <w:bCs/>
          <w:szCs w:val="24"/>
        </w:rPr>
      </w:pPr>
      <w:bookmarkStart w:id="78" w:name="_Toc163552222"/>
      <w:r>
        <w:rPr>
          <w:b/>
          <w:bCs/>
          <w:szCs w:val="24"/>
        </w:rPr>
        <w:t>2.  Sur place</w:t>
      </w:r>
      <w:bookmarkEnd w:id="78"/>
    </w:p>
    <w:p w:rsidR="00000000" w:rsidRDefault="00000000">
      <w:pPr>
        <w:spacing w:after="200"/>
      </w:pPr>
      <w:r>
        <w:t>93.</w:t>
      </w:r>
      <w:r>
        <w:tab/>
        <w:t xml:space="preserve">Au moyen de son programme spécial, dont la deuxième phase est actuellement en cours, la Direction du développement et de la coopération (DDC) se propose de contribuer à assurer la transition dans l’ère </w:t>
      </w:r>
      <w:proofErr w:type="spellStart"/>
      <w:r>
        <w:t>post</w:t>
      </w:r>
      <w:r>
        <w:noBreakHyphen/>
        <w:t>apartheid</w:t>
      </w:r>
      <w:proofErr w:type="spellEnd"/>
      <w:r>
        <w:t xml:space="preserve"> en tentant de limiter les tensions sociales et la violence au minimum. Les priorités du programme spécial sont la bonne gouvernance (déce</w:t>
      </w:r>
      <w:r>
        <w:t>n</w:t>
      </w:r>
      <w:r>
        <w:t>tralisation de l’administration de l’</w:t>
      </w:r>
      <w:proofErr w:type="spellStart"/>
      <w:r>
        <w:t>État</w:t>
      </w:r>
      <w:proofErr w:type="spellEnd"/>
      <w:r>
        <w:t>, réforme du système judiciaire, défense des droits h</w:t>
      </w:r>
      <w:r>
        <w:t>u</w:t>
      </w:r>
      <w:r>
        <w:t>mains), la formation scolaire de base (formation d’enseignants, établissement de curric</w:t>
      </w:r>
      <w:r>
        <w:t>u</w:t>
      </w:r>
      <w:r>
        <w:t>lums, amélioration de l’administration scolaire dans des homelands traditionnellement défav</w:t>
      </w:r>
      <w:r>
        <w:t>o</w:t>
      </w:r>
      <w:r>
        <w:t>risés) et la réforme agraire (attribution de parcelles de terrain public à des personnes défav</w:t>
      </w:r>
      <w:r>
        <w:t>o</w:t>
      </w:r>
      <w:r>
        <w:t>risées, restitution à leurs propriétaires Noirs de terrains expropriés durant l’apartheid, attribution de droits de propriété foncière à des travailleurs migrants dans les homelands d’autrefois). La DDC collabore avec des organisations de la société c</w:t>
      </w:r>
      <w:r>
        <w:t>i</w:t>
      </w:r>
      <w:r>
        <w:t>vile (en majorité des ONG) de même qu’avec l’</w:t>
      </w:r>
      <w:proofErr w:type="spellStart"/>
      <w:r>
        <w:t>État</w:t>
      </w:r>
      <w:proofErr w:type="spellEnd"/>
      <w:r>
        <w:t xml:space="preserve"> </w:t>
      </w:r>
      <w:proofErr w:type="spellStart"/>
      <w:r>
        <w:t>sud</w:t>
      </w:r>
      <w:r>
        <w:noBreakHyphen/>
        <w:t>africain</w:t>
      </w:r>
      <w:proofErr w:type="spellEnd"/>
      <w:r>
        <w:t>, au niveau national et au niveau des provinces. Ce programme spécial d’une durée limitée (fin 2004) a été converti en programme régional dont les prior</w:t>
      </w:r>
      <w:r>
        <w:t>i</w:t>
      </w:r>
      <w:r>
        <w:t xml:space="preserve">tés sont la bonne gouvernance, la lutte contre le </w:t>
      </w:r>
      <w:proofErr w:type="spellStart"/>
      <w:r>
        <w:t>VIH</w:t>
      </w:r>
      <w:proofErr w:type="spellEnd"/>
      <w:r>
        <w:t xml:space="preserve"> et le sida ainsi que la gestion des re</w:t>
      </w:r>
      <w:r>
        <w:t>s</w:t>
      </w:r>
      <w:r>
        <w:t>sources naturelles, et qui conserve un composant Afrique du Sud. Quelque 35 millions de francs suisses sont inscrits au budget de la DDC pour le programme spécial Afr</w:t>
      </w:r>
      <w:r>
        <w:t>i</w:t>
      </w:r>
      <w:r>
        <w:t>que du Sud 2000</w:t>
      </w:r>
      <w:r>
        <w:noBreakHyphen/>
        <w:t>2004.</w:t>
      </w:r>
    </w:p>
    <w:p w:rsidR="00000000" w:rsidRDefault="00000000">
      <w:pPr>
        <w:spacing w:after="200"/>
      </w:pPr>
      <w:r>
        <w:t>94.</w:t>
      </w:r>
      <w:r>
        <w:tab/>
        <w:t>Dans le cadre de son programme spécial 2000</w:t>
      </w:r>
      <w:r>
        <w:noBreakHyphen/>
        <w:t>2004, la DDC a lancé, le 1</w:t>
      </w:r>
      <w:r>
        <w:rPr>
          <w:vertAlign w:val="superscript"/>
        </w:rPr>
        <w:t>er</w:t>
      </w:r>
      <w:r>
        <w:t xml:space="preserve"> février 2001, la «</w:t>
      </w:r>
      <w:proofErr w:type="spellStart"/>
      <w:r>
        <w:t>Swiss</w:t>
      </w:r>
      <w:r>
        <w:noBreakHyphen/>
        <w:t>South</w:t>
      </w:r>
      <w:proofErr w:type="spellEnd"/>
      <w:r>
        <w:t xml:space="preserve"> </w:t>
      </w:r>
      <w:proofErr w:type="spellStart"/>
      <w:r>
        <w:t>African</w:t>
      </w:r>
      <w:proofErr w:type="spellEnd"/>
      <w:r>
        <w:t xml:space="preserve"> </w:t>
      </w:r>
      <w:proofErr w:type="spellStart"/>
      <w:r>
        <w:t>Cooperation</w:t>
      </w:r>
      <w:proofErr w:type="spellEnd"/>
      <w:r>
        <w:t xml:space="preserve"> Initiative» (</w:t>
      </w:r>
      <w:proofErr w:type="spellStart"/>
      <w:r>
        <w:t>SSACI</w:t>
      </w:r>
      <w:proofErr w:type="spellEnd"/>
      <w:r>
        <w:t xml:space="preserve">), un fonds financé pour moitié par des grandes entreprises suisses. La </w:t>
      </w:r>
      <w:proofErr w:type="spellStart"/>
      <w:r>
        <w:t>SSACI</w:t>
      </w:r>
      <w:proofErr w:type="spellEnd"/>
      <w:r>
        <w:t xml:space="preserve"> (budget annuel de 10</w:t>
      </w:r>
      <w:r>
        <w:noBreakHyphen/>
        <w:t>15 millions de francs suisses) soutient des projets d’</w:t>
      </w:r>
      <w:proofErr w:type="spellStart"/>
      <w:r>
        <w:t>ONG</w:t>
      </w:r>
      <w:proofErr w:type="spellEnd"/>
      <w:r>
        <w:t xml:space="preserve"> </w:t>
      </w:r>
      <w:proofErr w:type="spellStart"/>
      <w:r>
        <w:t>sud</w:t>
      </w:r>
      <w:r>
        <w:noBreakHyphen/>
        <w:t>africaines</w:t>
      </w:r>
      <w:proofErr w:type="spellEnd"/>
      <w:r>
        <w:t xml:space="preserve"> visant à faciliter l’accès des jeunes Noirs et des personnes de couleur en général au marché du travail.</w:t>
      </w:r>
    </w:p>
    <w:p w:rsidR="00000000" w:rsidRDefault="00000000">
      <w:pPr>
        <w:spacing w:after="200"/>
      </w:pPr>
      <w:r>
        <w:t>95.</w:t>
      </w:r>
      <w:r>
        <w:tab/>
        <w:t>Le Secrétariat d’</w:t>
      </w:r>
      <w:proofErr w:type="spellStart"/>
      <w:r>
        <w:t>État</w:t>
      </w:r>
      <w:proofErr w:type="spellEnd"/>
      <w:r>
        <w:t xml:space="preserve"> à l’économie (</w:t>
      </w:r>
      <w:proofErr w:type="spellStart"/>
      <w:r>
        <w:t>SECO</w:t>
      </w:r>
      <w:proofErr w:type="spellEnd"/>
      <w:r>
        <w:t>) soutient l’</w:t>
      </w:r>
      <w:proofErr w:type="spellStart"/>
      <w:r>
        <w:t>Afrique</w:t>
      </w:r>
      <w:proofErr w:type="spellEnd"/>
      <w:r>
        <w:t xml:space="preserve"> du Sud au même titre que les 26 autres pays qu’il a choisi d’aider dans le cadre de sa coopération économique au dév</w:t>
      </w:r>
      <w:r>
        <w:t>e</w:t>
      </w:r>
      <w:r>
        <w:t>loppement. Sa contribution annuelle de plus de 3 millions de francs destinée à l’</w:t>
      </w:r>
      <w:proofErr w:type="spellStart"/>
      <w:r>
        <w:t>Afrique</w:t>
      </w:r>
      <w:proofErr w:type="spellEnd"/>
      <w:r>
        <w:t xml:space="preserve"> du Sud est consacrée, entre autres, à l’encouragement de petits et moyens entrepreneurs issus de couches défavorisées ainsi qu’à la promotion d’un projet visant à introduire des standards sociaux dans les entreprises.</w:t>
      </w:r>
    </w:p>
    <w:p w:rsidR="00000000" w:rsidRDefault="00000000">
      <w:pPr>
        <w:spacing w:after="200"/>
      </w:pPr>
      <w:r>
        <w:t>96.</w:t>
      </w:r>
      <w:r>
        <w:tab/>
        <w:t xml:space="preserve">Parallèlement à l’aide économique, le </w:t>
      </w:r>
      <w:proofErr w:type="spellStart"/>
      <w:r>
        <w:t>DFAE</w:t>
      </w:r>
      <w:proofErr w:type="spellEnd"/>
      <w:r>
        <w:t xml:space="preserve"> réalise un programme de mesures de promotion de la paix. La Division politique IV du </w:t>
      </w:r>
      <w:proofErr w:type="spellStart"/>
      <w:r>
        <w:t>DFAE</w:t>
      </w:r>
      <w:proofErr w:type="spellEnd"/>
      <w:r>
        <w:t xml:space="preserve"> prévoit en outre, en étroite collabor</w:t>
      </w:r>
      <w:r>
        <w:t>a</w:t>
      </w:r>
      <w:r>
        <w:t xml:space="preserve">tion avec le Ministère </w:t>
      </w:r>
      <w:proofErr w:type="spellStart"/>
      <w:r>
        <w:t>sud</w:t>
      </w:r>
      <w:r>
        <w:noBreakHyphen/>
        <w:t>africain</w:t>
      </w:r>
      <w:proofErr w:type="spellEnd"/>
      <w:r>
        <w:t xml:space="preserve"> des affaires extérieures, d’accroître son engagement en faveur de la promotion de la paix sur le continent africain.</w:t>
      </w:r>
    </w:p>
    <w:p w:rsidR="00000000" w:rsidRDefault="00000000">
      <w:pPr>
        <w:spacing w:after="200"/>
      </w:pPr>
      <w:r>
        <w:t>97.</w:t>
      </w:r>
      <w:r>
        <w:tab/>
        <w:t>Au total, les contributions de la Confédération au titre de la coopération au dévelo</w:t>
      </w:r>
      <w:r>
        <w:t>p</w:t>
      </w:r>
      <w:r>
        <w:t>pement en Afrique du Sud ont atteint près de 14 millions de francs suisses en 2003 (ce mo</w:t>
      </w:r>
      <w:r>
        <w:t>n</w:t>
      </w:r>
      <w:r>
        <w:t>tant comprend les contributions de programme versées à différentes œuvres d’entraide). La province d’</w:t>
      </w:r>
      <w:proofErr w:type="spellStart"/>
      <w:r>
        <w:t>Eastern</w:t>
      </w:r>
      <w:proofErr w:type="spellEnd"/>
      <w:r>
        <w:t xml:space="preserve"> Cape, l’une des plus pauvres du pays, en a été l’une des principales bén</w:t>
      </w:r>
      <w:r>
        <w:t>é</w:t>
      </w:r>
      <w:r>
        <w:t xml:space="preserve">ficiaires. </w:t>
      </w:r>
    </w:p>
    <w:p w:rsidR="00000000" w:rsidRDefault="00000000">
      <w:pPr>
        <w:spacing w:after="120"/>
        <w:jc w:val="center"/>
        <w:rPr>
          <w:b/>
          <w:bCs/>
          <w:sz w:val="22"/>
        </w:rPr>
      </w:pPr>
      <w:r>
        <w:rPr>
          <w:b/>
          <w:bCs/>
          <w:sz w:val="22"/>
        </w:rPr>
        <w:t xml:space="preserve">Tableau 5: Contributions de la Suisse au titre de la coopération </w:t>
      </w:r>
      <w:r>
        <w:rPr>
          <w:b/>
          <w:bCs/>
          <w:sz w:val="22"/>
        </w:rPr>
        <w:br/>
        <w:t>au développement en Afrique du Sud</w:t>
      </w:r>
    </w:p>
    <w:tbl>
      <w:tblPr>
        <w:tblW w:w="94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BF" w:firstRow="1" w:lastRow="0" w:firstColumn="1" w:lastColumn="0" w:noHBand="0" w:noVBand="0"/>
      </w:tblPr>
      <w:tblGrid>
        <w:gridCol w:w="5710"/>
        <w:gridCol w:w="1262"/>
        <w:gridCol w:w="1262"/>
        <w:gridCol w:w="1263"/>
      </w:tblGrid>
      <w:tr w:rsidR="00000000">
        <w:tblPrEx>
          <w:tblCellMar>
            <w:top w:w="0" w:type="dxa"/>
            <w:bottom w:w="0" w:type="dxa"/>
          </w:tblCellMar>
        </w:tblPrEx>
        <w:trPr>
          <w:cantSplit/>
        </w:trPr>
        <w:tc>
          <w:tcPr>
            <w:tcW w:w="5710" w:type="dxa"/>
          </w:tcPr>
          <w:p w:rsidR="00000000" w:rsidRDefault="00000000">
            <w:pPr>
              <w:spacing w:before="30" w:after="30" w:line="220" w:lineRule="atLeast"/>
              <w:jc w:val="center"/>
              <w:rPr>
                <w:bCs/>
                <w:sz w:val="22"/>
              </w:rPr>
            </w:pPr>
          </w:p>
        </w:tc>
        <w:tc>
          <w:tcPr>
            <w:tcW w:w="1262" w:type="dxa"/>
          </w:tcPr>
          <w:p w:rsidR="00000000" w:rsidRDefault="00000000">
            <w:pPr>
              <w:spacing w:before="30" w:after="30" w:line="220" w:lineRule="atLeast"/>
              <w:jc w:val="center"/>
              <w:rPr>
                <w:bCs/>
                <w:sz w:val="22"/>
                <w:lang w:val="de-CH"/>
              </w:rPr>
            </w:pPr>
            <w:r>
              <w:rPr>
                <w:bCs/>
                <w:sz w:val="22"/>
                <w:lang w:val="de-CH"/>
              </w:rPr>
              <w:t>2002</w:t>
            </w:r>
            <w:r>
              <w:rPr>
                <w:bCs/>
                <w:sz w:val="22"/>
                <w:lang w:val="de-CH"/>
              </w:rPr>
              <w:br/>
              <w:t>(</w:t>
            </w:r>
            <w:proofErr w:type="spellStart"/>
            <w:r>
              <w:rPr>
                <w:bCs/>
                <w:sz w:val="22"/>
                <w:lang w:val="de-CH"/>
              </w:rPr>
              <w:t>mio</w:t>
            </w:r>
            <w:proofErr w:type="spellEnd"/>
            <w:r>
              <w:rPr>
                <w:bCs/>
                <w:sz w:val="22"/>
                <w:lang w:val="de-CH"/>
              </w:rPr>
              <w:t>. fr.)</w:t>
            </w:r>
          </w:p>
        </w:tc>
        <w:tc>
          <w:tcPr>
            <w:tcW w:w="1262" w:type="dxa"/>
          </w:tcPr>
          <w:p w:rsidR="00000000" w:rsidRDefault="00000000">
            <w:pPr>
              <w:spacing w:before="30" w:after="30" w:line="220" w:lineRule="atLeast"/>
              <w:jc w:val="center"/>
              <w:rPr>
                <w:bCs/>
                <w:sz w:val="22"/>
                <w:lang w:val="de-CH"/>
              </w:rPr>
            </w:pPr>
            <w:r>
              <w:rPr>
                <w:bCs/>
                <w:sz w:val="22"/>
                <w:lang w:val="de-CH"/>
              </w:rPr>
              <w:t>2003</w:t>
            </w:r>
            <w:r>
              <w:rPr>
                <w:bCs/>
                <w:sz w:val="22"/>
                <w:lang w:val="de-CH"/>
              </w:rPr>
              <w:br/>
              <w:t>(</w:t>
            </w:r>
            <w:proofErr w:type="spellStart"/>
            <w:r>
              <w:rPr>
                <w:bCs/>
                <w:sz w:val="22"/>
                <w:lang w:val="de-CH"/>
              </w:rPr>
              <w:t>mio</w:t>
            </w:r>
            <w:proofErr w:type="spellEnd"/>
            <w:r>
              <w:rPr>
                <w:bCs/>
                <w:sz w:val="22"/>
                <w:lang w:val="de-CH"/>
              </w:rPr>
              <w:t>. fr.)</w:t>
            </w:r>
          </w:p>
        </w:tc>
        <w:tc>
          <w:tcPr>
            <w:tcW w:w="1263" w:type="dxa"/>
          </w:tcPr>
          <w:p w:rsidR="00000000" w:rsidRDefault="00000000">
            <w:pPr>
              <w:spacing w:before="30" w:after="30" w:line="220" w:lineRule="atLeast"/>
              <w:jc w:val="center"/>
              <w:rPr>
                <w:bCs/>
                <w:sz w:val="22"/>
                <w:lang w:val="fr-FR"/>
              </w:rPr>
            </w:pPr>
            <w:r>
              <w:rPr>
                <w:bCs/>
                <w:sz w:val="22"/>
                <w:lang w:val="fr-FR"/>
              </w:rPr>
              <w:t>2004</w:t>
            </w:r>
            <w:r>
              <w:rPr>
                <w:bCs/>
                <w:sz w:val="22"/>
                <w:lang w:val="fr-FR"/>
              </w:rPr>
              <w:br/>
              <w:t>(</w:t>
            </w:r>
            <w:proofErr w:type="spellStart"/>
            <w:r>
              <w:rPr>
                <w:bCs/>
                <w:sz w:val="22"/>
                <w:lang w:val="fr-FR"/>
              </w:rPr>
              <w:t>mio</w:t>
            </w:r>
            <w:proofErr w:type="spellEnd"/>
            <w:r>
              <w:rPr>
                <w:bCs/>
                <w:sz w:val="22"/>
                <w:lang w:val="fr-FR"/>
              </w:rPr>
              <w:t>. fr.)</w:t>
            </w:r>
          </w:p>
        </w:tc>
      </w:tr>
      <w:tr w:rsidR="00000000">
        <w:tblPrEx>
          <w:tblCellMar>
            <w:top w:w="0" w:type="dxa"/>
            <w:bottom w:w="0" w:type="dxa"/>
          </w:tblCellMar>
        </w:tblPrEx>
        <w:trPr>
          <w:cantSplit/>
        </w:trPr>
        <w:tc>
          <w:tcPr>
            <w:tcW w:w="5710" w:type="dxa"/>
          </w:tcPr>
          <w:p w:rsidR="00000000" w:rsidRDefault="00000000">
            <w:pPr>
              <w:spacing w:before="30" w:after="30" w:line="220" w:lineRule="atLeast"/>
              <w:rPr>
                <w:bCs/>
                <w:sz w:val="22"/>
              </w:rPr>
            </w:pPr>
            <w:r>
              <w:rPr>
                <w:bCs/>
                <w:sz w:val="22"/>
              </w:rPr>
              <w:t>Contributions de programme de la DDC (</w:t>
            </w:r>
            <w:proofErr w:type="spellStart"/>
            <w:r>
              <w:rPr>
                <w:bCs/>
                <w:sz w:val="22"/>
              </w:rPr>
              <w:t>bilat</w:t>
            </w:r>
            <w:proofErr w:type="spellEnd"/>
            <w:r>
              <w:rPr>
                <w:bCs/>
                <w:sz w:val="22"/>
              </w:rPr>
              <w:t>.)</w:t>
            </w:r>
          </w:p>
        </w:tc>
        <w:tc>
          <w:tcPr>
            <w:tcW w:w="1262" w:type="dxa"/>
          </w:tcPr>
          <w:p w:rsidR="00000000" w:rsidRDefault="00000000">
            <w:pPr>
              <w:spacing w:before="30" w:after="30" w:line="220" w:lineRule="atLeast"/>
              <w:ind w:right="284"/>
              <w:jc w:val="right"/>
              <w:rPr>
                <w:bCs/>
                <w:sz w:val="22"/>
              </w:rPr>
            </w:pPr>
            <w:r>
              <w:rPr>
                <w:bCs/>
                <w:sz w:val="22"/>
              </w:rPr>
              <w:t>8,6</w:t>
            </w:r>
          </w:p>
        </w:tc>
        <w:tc>
          <w:tcPr>
            <w:tcW w:w="1262" w:type="dxa"/>
          </w:tcPr>
          <w:p w:rsidR="00000000" w:rsidRDefault="00000000">
            <w:pPr>
              <w:spacing w:before="30" w:after="30" w:line="220" w:lineRule="atLeast"/>
              <w:ind w:right="284"/>
              <w:jc w:val="right"/>
              <w:rPr>
                <w:bCs/>
                <w:sz w:val="22"/>
              </w:rPr>
            </w:pPr>
            <w:r>
              <w:rPr>
                <w:bCs/>
                <w:sz w:val="22"/>
              </w:rPr>
              <w:t>9,2</w:t>
            </w:r>
          </w:p>
        </w:tc>
        <w:tc>
          <w:tcPr>
            <w:tcW w:w="1263" w:type="dxa"/>
          </w:tcPr>
          <w:p w:rsidR="00000000" w:rsidRDefault="00000000">
            <w:pPr>
              <w:spacing w:before="30" w:after="30" w:line="220" w:lineRule="atLeast"/>
              <w:ind w:right="284"/>
              <w:jc w:val="right"/>
              <w:rPr>
                <w:bCs/>
                <w:sz w:val="22"/>
              </w:rPr>
            </w:pPr>
            <w:r>
              <w:rPr>
                <w:bCs/>
                <w:sz w:val="22"/>
              </w:rPr>
              <w:t>10,8</w:t>
            </w:r>
          </w:p>
        </w:tc>
      </w:tr>
      <w:tr w:rsidR="00000000">
        <w:tblPrEx>
          <w:tblCellMar>
            <w:top w:w="0" w:type="dxa"/>
            <w:bottom w:w="0" w:type="dxa"/>
          </w:tblCellMar>
        </w:tblPrEx>
        <w:trPr>
          <w:cantSplit/>
        </w:trPr>
        <w:tc>
          <w:tcPr>
            <w:tcW w:w="5710" w:type="dxa"/>
          </w:tcPr>
          <w:p w:rsidR="00000000" w:rsidRDefault="00000000">
            <w:pPr>
              <w:spacing w:before="30" w:after="30" w:line="220" w:lineRule="atLeast"/>
              <w:rPr>
                <w:bCs/>
                <w:sz w:val="22"/>
              </w:rPr>
            </w:pPr>
            <w:r>
              <w:rPr>
                <w:bCs/>
                <w:sz w:val="22"/>
              </w:rPr>
              <w:t>Contributions de programme de la DDC à des œuvres d’entraide suisses</w:t>
            </w:r>
          </w:p>
        </w:tc>
        <w:tc>
          <w:tcPr>
            <w:tcW w:w="1262" w:type="dxa"/>
          </w:tcPr>
          <w:p w:rsidR="00000000" w:rsidRDefault="00000000">
            <w:pPr>
              <w:spacing w:before="30" w:after="30" w:line="220" w:lineRule="atLeast"/>
              <w:ind w:right="284"/>
              <w:jc w:val="right"/>
              <w:rPr>
                <w:bCs/>
                <w:sz w:val="22"/>
              </w:rPr>
            </w:pPr>
            <w:r>
              <w:rPr>
                <w:bCs/>
                <w:sz w:val="22"/>
              </w:rPr>
              <w:t>0,25</w:t>
            </w:r>
          </w:p>
        </w:tc>
        <w:tc>
          <w:tcPr>
            <w:tcW w:w="1262" w:type="dxa"/>
          </w:tcPr>
          <w:p w:rsidR="00000000" w:rsidRDefault="00000000">
            <w:pPr>
              <w:spacing w:before="30" w:after="30" w:line="220" w:lineRule="atLeast"/>
              <w:ind w:right="284"/>
              <w:jc w:val="right"/>
              <w:rPr>
                <w:bCs/>
                <w:sz w:val="22"/>
              </w:rPr>
            </w:pPr>
            <w:r>
              <w:rPr>
                <w:bCs/>
                <w:sz w:val="22"/>
              </w:rPr>
              <w:t>0,37</w:t>
            </w:r>
          </w:p>
        </w:tc>
        <w:tc>
          <w:tcPr>
            <w:tcW w:w="1263" w:type="dxa"/>
          </w:tcPr>
          <w:p w:rsidR="00000000" w:rsidRDefault="00000000">
            <w:pPr>
              <w:spacing w:before="30" w:after="30" w:line="220" w:lineRule="atLeast"/>
              <w:ind w:right="284"/>
              <w:jc w:val="right"/>
              <w:rPr>
                <w:bCs/>
                <w:sz w:val="22"/>
              </w:rPr>
            </w:pPr>
            <w:r>
              <w:rPr>
                <w:bCs/>
                <w:sz w:val="22"/>
              </w:rPr>
              <w:t>0,4</w:t>
            </w:r>
          </w:p>
        </w:tc>
      </w:tr>
      <w:tr w:rsidR="00000000">
        <w:tblPrEx>
          <w:tblCellMar>
            <w:top w:w="0" w:type="dxa"/>
            <w:bottom w:w="0" w:type="dxa"/>
          </w:tblCellMar>
        </w:tblPrEx>
        <w:trPr>
          <w:cantSplit/>
        </w:trPr>
        <w:tc>
          <w:tcPr>
            <w:tcW w:w="5710" w:type="dxa"/>
          </w:tcPr>
          <w:p w:rsidR="00000000" w:rsidRDefault="00000000">
            <w:pPr>
              <w:spacing w:before="30" w:after="30" w:line="220" w:lineRule="atLeast"/>
              <w:rPr>
                <w:bCs/>
                <w:sz w:val="22"/>
              </w:rPr>
            </w:pPr>
            <w:r>
              <w:rPr>
                <w:bCs/>
                <w:sz w:val="22"/>
              </w:rPr>
              <w:t xml:space="preserve">Programmes de promotion de la paix du </w:t>
            </w:r>
            <w:proofErr w:type="spellStart"/>
            <w:r>
              <w:rPr>
                <w:bCs/>
                <w:sz w:val="22"/>
              </w:rPr>
              <w:t>DFAE</w:t>
            </w:r>
            <w:proofErr w:type="spellEnd"/>
            <w:r>
              <w:rPr>
                <w:bCs/>
                <w:sz w:val="22"/>
              </w:rPr>
              <w:t xml:space="preserve"> (</w:t>
            </w:r>
            <w:proofErr w:type="spellStart"/>
            <w:r>
              <w:rPr>
                <w:bCs/>
                <w:sz w:val="22"/>
              </w:rPr>
              <w:t>DP</w:t>
            </w:r>
            <w:proofErr w:type="spellEnd"/>
            <w:r>
              <w:rPr>
                <w:bCs/>
                <w:sz w:val="22"/>
              </w:rPr>
              <w:t xml:space="preserve"> IV)</w:t>
            </w:r>
          </w:p>
        </w:tc>
        <w:tc>
          <w:tcPr>
            <w:tcW w:w="1262" w:type="dxa"/>
          </w:tcPr>
          <w:p w:rsidR="00000000" w:rsidRDefault="00000000">
            <w:pPr>
              <w:spacing w:before="30" w:after="30" w:line="220" w:lineRule="atLeast"/>
              <w:ind w:right="284"/>
              <w:jc w:val="right"/>
              <w:rPr>
                <w:bCs/>
                <w:sz w:val="22"/>
              </w:rPr>
            </w:pPr>
            <w:r>
              <w:rPr>
                <w:bCs/>
                <w:sz w:val="22"/>
              </w:rPr>
              <w:t>1,2</w:t>
            </w:r>
          </w:p>
        </w:tc>
        <w:tc>
          <w:tcPr>
            <w:tcW w:w="1262" w:type="dxa"/>
          </w:tcPr>
          <w:p w:rsidR="00000000" w:rsidRDefault="00000000">
            <w:pPr>
              <w:spacing w:before="30" w:after="30" w:line="220" w:lineRule="atLeast"/>
              <w:ind w:right="284"/>
              <w:jc w:val="right"/>
              <w:rPr>
                <w:bCs/>
                <w:sz w:val="22"/>
              </w:rPr>
            </w:pPr>
            <w:r>
              <w:rPr>
                <w:bCs/>
                <w:sz w:val="22"/>
              </w:rPr>
              <w:t>1,2</w:t>
            </w:r>
          </w:p>
        </w:tc>
        <w:tc>
          <w:tcPr>
            <w:tcW w:w="1263" w:type="dxa"/>
          </w:tcPr>
          <w:p w:rsidR="00000000" w:rsidRDefault="00000000">
            <w:pPr>
              <w:spacing w:before="30" w:after="30" w:line="220" w:lineRule="atLeast"/>
              <w:ind w:right="284"/>
              <w:jc w:val="right"/>
              <w:rPr>
                <w:bCs/>
                <w:sz w:val="22"/>
              </w:rPr>
            </w:pPr>
            <w:r>
              <w:rPr>
                <w:bCs/>
                <w:sz w:val="22"/>
              </w:rPr>
              <w:t>1,0</w:t>
            </w:r>
          </w:p>
        </w:tc>
      </w:tr>
      <w:tr w:rsidR="00000000">
        <w:tblPrEx>
          <w:tblCellMar>
            <w:top w:w="0" w:type="dxa"/>
            <w:bottom w:w="0" w:type="dxa"/>
          </w:tblCellMar>
        </w:tblPrEx>
        <w:trPr>
          <w:cantSplit/>
        </w:trPr>
        <w:tc>
          <w:tcPr>
            <w:tcW w:w="5710" w:type="dxa"/>
          </w:tcPr>
          <w:p w:rsidR="00000000" w:rsidRDefault="00000000">
            <w:pPr>
              <w:spacing w:before="30" w:after="30" w:line="220" w:lineRule="atLeast"/>
              <w:rPr>
                <w:bCs/>
                <w:sz w:val="22"/>
              </w:rPr>
            </w:pPr>
            <w:r>
              <w:rPr>
                <w:bCs/>
                <w:sz w:val="22"/>
              </w:rPr>
              <w:t>Secrétariat d’</w:t>
            </w:r>
            <w:proofErr w:type="spellStart"/>
            <w:r>
              <w:rPr>
                <w:bCs/>
                <w:sz w:val="22"/>
              </w:rPr>
              <w:t>État</w:t>
            </w:r>
            <w:proofErr w:type="spellEnd"/>
            <w:r>
              <w:rPr>
                <w:bCs/>
                <w:sz w:val="22"/>
              </w:rPr>
              <w:t xml:space="preserve"> à l’économie (</w:t>
            </w:r>
            <w:proofErr w:type="spellStart"/>
            <w:r>
              <w:rPr>
                <w:bCs/>
                <w:sz w:val="22"/>
              </w:rPr>
              <w:t>SECO</w:t>
            </w:r>
            <w:proofErr w:type="spellEnd"/>
            <w:r>
              <w:rPr>
                <w:bCs/>
                <w:sz w:val="22"/>
              </w:rPr>
              <w:t>)</w:t>
            </w:r>
          </w:p>
        </w:tc>
        <w:tc>
          <w:tcPr>
            <w:tcW w:w="1262" w:type="dxa"/>
          </w:tcPr>
          <w:p w:rsidR="00000000" w:rsidRDefault="00000000">
            <w:pPr>
              <w:spacing w:before="30" w:after="30" w:line="220" w:lineRule="atLeast"/>
              <w:ind w:right="284"/>
              <w:jc w:val="right"/>
              <w:rPr>
                <w:bCs/>
                <w:sz w:val="22"/>
              </w:rPr>
            </w:pPr>
            <w:r>
              <w:rPr>
                <w:bCs/>
                <w:sz w:val="22"/>
              </w:rPr>
              <w:t>1,7</w:t>
            </w:r>
          </w:p>
        </w:tc>
        <w:tc>
          <w:tcPr>
            <w:tcW w:w="1262" w:type="dxa"/>
          </w:tcPr>
          <w:p w:rsidR="00000000" w:rsidRDefault="00000000">
            <w:pPr>
              <w:spacing w:before="30" w:after="30" w:line="220" w:lineRule="atLeast"/>
              <w:ind w:right="284"/>
              <w:jc w:val="right"/>
              <w:rPr>
                <w:bCs/>
                <w:sz w:val="22"/>
              </w:rPr>
            </w:pPr>
            <w:r>
              <w:rPr>
                <w:bCs/>
                <w:sz w:val="22"/>
              </w:rPr>
              <w:t>3,1</w:t>
            </w:r>
          </w:p>
        </w:tc>
        <w:tc>
          <w:tcPr>
            <w:tcW w:w="1263" w:type="dxa"/>
          </w:tcPr>
          <w:p w:rsidR="00000000" w:rsidRDefault="00000000">
            <w:pPr>
              <w:spacing w:before="30" w:after="30" w:line="220" w:lineRule="atLeast"/>
              <w:ind w:right="284"/>
              <w:jc w:val="right"/>
              <w:rPr>
                <w:bCs/>
                <w:sz w:val="22"/>
              </w:rPr>
            </w:pPr>
            <w:r>
              <w:rPr>
                <w:bCs/>
                <w:sz w:val="22"/>
              </w:rPr>
              <w:t>3,0</w:t>
            </w:r>
          </w:p>
        </w:tc>
      </w:tr>
      <w:tr w:rsidR="00000000">
        <w:tblPrEx>
          <w:tblCellMar>
            <w:top w:w="0" w:type="dxa"/>
            <w:bottom w:w="0" w:type="dxa"/>
          </w:tblCellMar>
        </w:tblPrEx>
        <w:trPr>
          <w:cantSplit/>
        </w:trPr>
        <w:tc>
          <w:tcPr>
            <w:tcW w:w="5710" w:type="dxa"/>
          </w:tcPr>
          <w:p w:rsidR="00000000" w:rsidRDefault="00000000">
            <w:pPr>
              <w:spacing w:before="30" w:after="30" w:line="220" w:lineRule="atLeast"/>
              <w:ind w:left="284"/>
              <w:rPr>
                <w:b/>
                <w:sz w:val="22"/>
              </w:rPr>
            </w:pPr>
            <w:r>
              <w:rPr>
                <w:b/>
                <w:sz w:val="22"/>
              </w:rPr>
              <w:t>Total coopération publique au développement</w:t>
            </w:r>
          </w:p>
        </w:tc>
        <w:tc>
          <w:tcPr>
            <w:tcW w:w="1262" w:type="dxa"/>
          </w:tcPr>
          <w:p w:rsidR="00000000" w:rsidRDefault="00000000">
            <w:pPr>
              <w:spacing w:before="30" w:after="30" w:line="220" w:lineRule="atLeast"/>
              <w:ind w:right="284"/>
              <w:jc w:val="right"/>
              <w:rPr>
                <w:b/>
                <w:sz w:val="22"/>
              </w:rPr>
            </w:pPr>
            <w:r>
              <w:rPr>
                <w:b/>
                <w:sz w:val="22"/>
              </w:rPr>
              <w:t>11,75</w:t>
            </w:r>
          </w:p>
        </w:tc>
        <w:tc>
          <w:tcPr>
            <w:tcW w:w="1262" w:type="dxa"/>
          </w:tcPr>
          <w:p w:rsidR="00000000" w:rsidRDefault="00000000">
            <w:pPr>
              <w:spacing w:before="30" w:after="30" w:line="220" w:lineRule="atLeast"/>
              <w:ind w:right="284"/>
              <w:jc w:val="right"/>
              <w:rPr>
                <w:b/>
                <w:sz w:val="22"/>
              </w:rPr>
            </w:pPr>
            <w:r>
              <w:rPr>
                <w:b/>
                <w:sz w:val="22"/>
              </w:rPr>
              <w:t>13,87</w:t>
            </w:r>
          </w:p>
        </w:tc>
        <w:tc>
          <w:tcPr>
            <w:tcW w:w="1263" w:type="dxa"/>
          </w:tcPr>
          <w:p w:rsidR="00000000" w:rsidRDefault="00000000">
            <w:pPr>
              <w:spacing w:before="30" w:after="30" w:line="220" w:lineRule="atLeast"/>
              <w:ind w:right="284"/>
              <w:jc w:val="right"/>
              <w:rPr>
                <w:b/>
                <w:sz w:val="22"/>
              </w:rPr>
            </w:pPr>
            <w:r>
              <w:rPr>
                <w:b/>
                <w:sz w:val="22"/>
              </w:rPr>
              <w:t>15,2</w:t>
            </w:r>
          </w:p>
        </w:tc>
      </w:tr>
    </w:tbl>
    <w:p w:rsidR="00000000" w:rsidRDefault="00000000">
      <w:pPr>
        <w:spacing w:after="200"/>
        <w:jc w:val="center"/>
        <w:rPr>
          <w:b/>
          <w:bCs/>
          <w:szCs w:val="24"/>
        </w:rPr>
      </w:pPr>
      <w:bookmarkStart w:id="79" w:name="_Toc150668813"/>
      <w:bookmarkStart w:id="80" w:name="_Toc163552223"/>
    </w:p>
    <w:p w:rsidR="00000000" w:rsidRDefault="00000000">
      <w:pPr>
        <w:keepNext/>
        <w:spacing w:after="200"/>
        <w:jc w:val="center"/>
        <w:rPr>
          <w:b/>
          <w:bCs/>
          <w:szCs w:val="24"/>
        </w:rPr>
      </w:pPr>
      <w:r>
        <w:rPr>
          <w:b/>
          <w:bCs/>
          <w:szCs w:val="24"/>
        </w:rPr>
        <w:t>C.  Mesures visant à punir certains actes de discrimin</w:t>
      </w:r>
      <w:r>
        <w:rPr>
          <w:b/>
          <w:bCs/>
          <w:szCs w:val="24"/>
        </w:rPr>
        <w:t>a</w:t>
      </w:r>
      <w:r>
        <w:rPr>
          <w:b/>
          <w:bCs/>
          <w:szCs w:val="24"/>
        </w:rPr>
        <w:t>tion raciale</w:t>
      </w:r>
      <w:bookmarkEnd w:id="79"/>
      <w:r>
        <w:rPr>
          <w:b/>
          <w:bCs/>
          <w:szCs w:val="24"/>
        </w:rPr>
        <w:t xml:space="preserve"> </w:t>
      </w:r>
      <w:r>
        <w:rPr>
          <w:b/>
          <w:bCs/>
          <w:szCs w:val="24"/>
        </w:rPr>
        <w:br/>
        <w:t>(art. 4)</w:t>
      </w:r>
      <w:bookmarkEnd w:id="80"/>
    </w:p>
    <w:p w:rsidR="00000000" w:rsidRDefault="00000000">
      <w:pPr>
        <w:spacing w:after="200"/>
      </w:pPr>
      <w:r>
        <w:t>98.</w:t>
      </w:r>
      <w:r>
        <w:tab/>
        <w:t xml:space="preserve">Le 13 décembre 2005, la </w:t>
      </w:r>
      <w:proofErr w:type="spellStart"/>
      <w:r>
        <w:t>CFR</w:t>
      </w:r>
      <w:proofErr w:type="spellEnd"/>
      <w:r>
        <w:t xml:space="preserve"> a publié sur son site Internet accessible au public une compilation de la jurisprudence de 1995 à la fin de 2002 relative à l’article 261 </w:t>
      </w:r>
      <w:r>
        <w:rPr>
          <w:i/>
          <w:iCs/>
          <w:szCs w:val="22"/>
        </w:rPr>
        <w:t>bis</w:t>
      </w:r>
      <w:r>
        <w:t xml:space="preserve"> du Code pénal</w:t>
      </w:r>
      <w:r>
        <w:rPr>
          <w:rStyle w:val="FootnoteReference"/>
        </w:rPr>
        <w:footnoteReference w:id="71"/>
      </w:r>
      <w:r>
        <w:t>. On y trouve un résumé, préservant l’anonymat des personnes, de chaque jugement prononcé par une autorité judiciaire et de chaque décision rendue par une instance de recours durant cette période. Cela permet aux pe</w:t>
      </w:r>
      <w:r>
        <w:t>r</w:t>
      </w:r>
      <w:r>
        <w:t>sonnes intéressées de rechercher des cas précis et d’avoir, grâce aux relevés stati</w:t>
      </w:r>
      <w:r>
        <w:t>s</w:t>
      </w:r>
      <w:r>
        <w:t xml:space="preserve">tiques, une vue d’ensemble sur l’état de la jurisprudence se rapportant à l’article 261 </w:t>
      </w:r>
      <w:r>
        <w:rPr>
          <w:i/>
          <w:iCs/>
          <w:szCs w:val="22"/>
        </w:rPr>
        <w:t>bis</w:t>
      </w:r>
      <w:r>
        <w:t xml:space="preserve"> du Code pénal. Il est prévu que cette banque de données soit régulièrement mise à jour.</w:t>
      </w:r>
    </w:p>
    <w:p w:rsidR="00000000" w:rsidRDefault="00000000">
      <w:pPr>
        <w:spacing w:after="240"/>
      </w:pPr>
      <w:r>
        <w:t>99.</w:t>
      </w:r>
      <w:r>
        <w:tab/>
        <w:t>Selon le relevé figurant dans la banque de données, 212 actes de discrimination r</w:t>
      </w:r>
      <w:r>
        <w:t>a</w:t>
      </w:r>
      <w:r>
        <w:t>ciale ont été portés devant une instance judiciaire entre 1995 et 2002. Ils se sont conclus par 277 décisions ou jugements. Dans à peu près la moitié de ces 212 cas, les autorités judicia</w:t>
      </w:r>
      <w:r>
        <w:t>i</w:t>
      </w:r>
      <w:r>
        <w:t>res ont décidé de ne pas entrer en matière, tandis que, dans les autres cas, une poursuite pénale a été engagée. Sur les 110 affaires qui ont débouché sur un jugement définitif, plus de 80 % se sont soldées par une condamnation de l’auteur</w:t>
      </w:r>
      <w:r>
        <w:rPr>
          <w:rStyle w:val="FootnoteReference"/>
        </w:rPr>
        <w:footnoteReference w:id="72"/>
      </w:r>
      <w:r>
        <w:t>.</w:t>
      </w:r>
    </w:p>
    <w:p w:rsidR="00000000" w:rsidRDefault="00000000">
      <w:pPr>
        <w:spacing w:after="240"/>
      </w:pPr>
      <w:r>
        <w:t>100.</w:t>
      </w:r>
      <w:r>
        <w:tab/>
        <w:t xml:space="preserve">À titre d’exemple, nous présentons </w:t>
      </w:r>
      <w:proofErr w:type="spellStart"/>
      <w:r>
        <w:t>ci</w:t>
      </w:r>
      <w:r>
        <w:noBreakHyphen/>
        <w:t>après</w:t>
      </w:r>
      <w:proofErr w:type="spellEnd"/>
      <w:r>
        <w:t xml:space="preserve"> cinq affaires ayant abouti à une conda</w:t>
      </w:r>
      <w:r>
        <w:t>m</w:t>
      </w:r>
      <w:r>
        <w:t>nation par un tribunal. Chacune d’entre elles se rapporte à un alinéa différent de la norme pénale antiracisme:</w:t>
      </w:r>
    </w:p>
    <w:p w:rsidR="00000000" w:rsidRDefault="00000000">
      <w:pPr>
        <w:spacing w:after="240"/>
        <w:rPr>
          <w:szCs w:val="22"/>
        </w:rPr>
      </w:pPr>
      <w:r>
        <w:rPr>
          <w:szCs w:val="22"/>
        </w:rPr>
        <w:t>101.</w:t>
      </w:r>
      <w:r>
        <w:rPr>
          <w:szCs w:val="22"/>
        </w:rPr>
        <w:tab/>
        <w:t xml:space="preserve">Art. 261 </w:t>
      </w:r>
      <w:r>
        <w:rPr>
          <w:i/>
          <w:iCs/>
          <w:szCs w:val="22"/>
        </w:rPr>
        <w:t>bis</w:t>
      </w:r>
      <w:r>
        <w:rPr>
          <w:szCs w:val="22"/>
        </w:rPr>
        <w:t>, par. 1, CP:  La citation «Courbons l’échine devant l’étoile de David, le ch</w:t>
      </w:r>
      <w:r>
        <w:rPr>
          <w:szCs w:val="22"/>
        </w:rPr>
        <w:t>a</w:t>
      </w:r>
      <w:r>
        <w:rPr>
          <w:szCs w:val="22"/>
        </w:rPr>
        <w:t>peau de Gessler de notre temps!» a été considérée comme une incitation à la haine et à la discr</w:t>
      </w:r>
      <w:r>
        <w:rPr>
          <w:szCs w:val="22"/>
        </w:rPr>
        <w:t>i</w:t>
      </w:r>
      <w:r>
        <w:rPr>
          <w:szCs w:val="22"/>
        </w:rPr>
        <w:t>mination au sens de l’alinéa 1; les juges ont en effet estimé que le «chapeau de Ge</w:t>
      </w:r>
      <w:r>
        <w:rPr>
          <w:szCs w:val="22"/>
        </w:rPr>
        <w:t>s</w:t>
      </w:r>
      <w:r>
        <w:rPr>
          <w:szCs w:val="22"/>
        </w:rPr>
        <w:t>sler» constituait un symbole de l’oppression et de l’asservissement et que les juifs étaient donc accusés de vouloir assujettir d’autres peuples ou communautés religieuses. Comme il est dans l’ordre des choses que les oppresseurs soient haïs, le tribunal en a conclu que cette citation constituait un appel à la haine, au mépris, voire à l’anéantissement des juifs, puisque Guillaume Tell a fini par tuer Gessler.</w:t>
      </w:r>
    </w:p>
    <w:p w:rsidR="00000000" w:rsidRDefault="00000000">
      <w:pPr>
        <w:spacing w:after="240"/>
        <w:rPr>
          <w:szCs w:val="22"/>
        </w:rPr>
      </w:pPr>
      <w:r>
        <w:rPr>
          <w:szCs w:val="22"/>
        </w:rPr>
        <w:t>102.</w:t>
      </w:r>
      <w:r>
        <w:rPr>
          <w:szCs w:val="22"/>
        </w:rPr>
        <w:tab/>
        <w:t xml:space="preserve">Art. 261 </w:t>
      </w:r>
      <w:r>
        <w:rPr>
          <w:i/>
          <w:iCs/>
          <w:szCs w:val="22"/>
        </w:rPr>
        <w:t>bis</w:t>
      </w:r>
      <w:r>
        <w:rPr>
          <w:szCs w:val="22"/>
        </w:rPr>
        <w:t xml:space="preserve">, par. 2, CP:  En 1999, l’inscription dans un livre d’or des phrases «Fais affaire avec un juif et, je te le dis, tu récolteras escroquerie et tromperie. </w:t>
      </w:r>
      <w:r>
        <w:rPr>
          <w:i/>
          <w:iCs/>
          <w:szCs w:val="22"/>
        </w:rPr>
        <w:t xml:space="preserve">Lis </w:t>
      </w:r>
      <w:proofErr w:type="spellStart"/>
      <w:r>
        <w:rPr>
          <w:i/>
          <w:iCs/>
          <w:szCs w:val="22"/>
        </w:rPr>
        <w:t>Mein</w:t>
      </w:r>
      <w:proofErr w:type="spellEnd"/>
      <w:r>
        <w:rPr>
          <w:i/>
          <w:iCs/>
          <w:szCs w:val="22"/>
        </w:rPr>
        <w:t xml:space="preserve"> </w:t>
      </w:r>
      <w:proofErr w:type="spellStart"/>
      <w:r>
        <w:rPr>
          <w:i/>
          <w:iCs/>
          <w:szCs w:val="22"/>
        </w:rPr>
        <w:t>Kampf</w:t>
      </w:r>
      <w:proofErr w:type="spellEnd"/>
      <w:r>
        <w:rPr>
          <w:szCs w:val="22"/>
        </w:rPr>
        <w:t xml:space="preserve"> d’</w:t>
      </w:r>
      <w:proofErr w:type="spellStart"/>
      <w:r>
        <w:rPr>
          <w:szCs w:val="22"/>
        </w:rPr>
        <w:t>Adolf</w:t>
      </w:r>
      <w:proofErr w:type="spellEnd"/>
      <w:r>
        <w:rPr>
          <w:szCs w:val="22"/>
        </w:rPr>
        <w:t> H</w:t>
      </w:r>
      <w:r>
        <w:rPr>
          <w:szCs w:val="22"/>
        </w:rPr>
        <w:t>i</w:t>
      </w:r>
      <w:r>
        <w:rPr>
          <w:szCs w:val="22"/>
        </w:rPr>
        <w:t>tler: ce qui était vrai il y a cinquante ans l’est toujours de notre temps» a été qualifiée par l’autorité compétente de poursuite pénale du canton de Zurich de propagation d’une idé</w:t>
      </w:r>
      <w:r>
        <w:rPr>
          <w:szCs w:val="22"/>
        </w:rPr>
        <w:t>o</w:t>
      </w:r>
      <w:r>
        <w:rPr>
          <w:szCs w:val="22"/>
        </w:rPr>
        <w:t>logie visant à dénigrer ou à rabaisser les juifs de manière systématique. Le prévenu a été conda</w:t>
      </w:r>
      <w:r>
        <w:rPr>
          <w:szCs w:val="22"/>
        </w:rPr>
        <w:t>m</w:t>
      </w:r>
      <w:r>
        <w:rPr>
          <w:szCs w:val="22"/>
        </w:rPr>
        <w:t>né au pai</w:t>
      </w:r>
      <w:r>
        <w:rPr>
          <w:szCs w:val="22"/>
        </w:rPr>
        <w:t>e</w:t>
      </w:r>
      <w:r>
        <w:rPr>
          <w:szCs w:val="22"/>
        </w:rPr>
        <w:t>ment d’une amende de 600 francs suisses.</w:t>
      </w:r>
    </w:p>
    <w:p w:rsidR="00000000" w:rsidRDefault="00000000">
      <w:pPr>
        <w:spacing w:after="240"/>
        <w:rPr>
          <w:szCs w:val="22"/>
        </w:rPr>
      </w:pPr>
      <w:r>
        <w:rPr>
          <w:szCs w:val="22"/>
        </w:rPr>
        <w:t>103.</w:t>
      </w:r>
      <w:r>
        <w:rPr>
          <w:szCs w:val="22"/>
        </w:rPr>
        <w:tab/>
        <w:t xml:space="preserve">Art. 261 </w:t>
      </w:r>
      <w:r>
        <w:rPr>
          <w:i/>
          <w:iCs/>
          <w:szCs w:val="22"/>
        </w:rPr>
        <w:t>bis</w:t>
      </w:r>
      <w:r>
        <w:rPr>
          <w:szCs w:val="22"/>
        </w:rPr>
        <w:t>, par. 4, première partie de la phrase, CP:  À la suite d’un désaccord au tr</w:t>
      </w:r>
      <w:r>
        <w:rPr>
          <w:szCs w:val="22"/>
        </w:rPr>
        <w:t>a</w:t>
      </w:r>
      <w:r>
        <w:rPr>
          <w:szCs w:val="22"/>
        </w:rPr>
        <w:t>vail, qui s’est produit dans un grand entrepôt dans lequel circulent chaque jour une centaine de chau</w:t>
      </w:r>
      <w:r>
        <w:rPr>
          <w:szCs w:val="22"/>
        </w:rPr>
        <w:t>f</w:t>
      </w:r>
      <w:r>
        <w:rPr>
          <w:szCs w:val="22"/>
        </w:rPr>
        <w:t>feurs de différentes entreprises de transport, le contremaître, accusé dans l’affaire en que</w:t>
      </w:r>
      <w:r>
        <w:rPr>
          <w:szCs w:val="22"/>
        </w:rPr>
        <w:t>s</w:t>
      </w:r>
      <w:r>
        <w:rPr>
          <w:szCs w:val="22"/>
        </w:rPr>
        <w:t>tion, avait traité le lésé de «cochon de Serbe», de «trou du cul» ainsi que de «</w:t>
      </w:r>
      <w:proofErr w:type="spellStart"/>
      <w:r>
        <w:rPr>
          <w:szCs w:val="22"/>
        </w:rPr>
        <w:t>salopard</w:t>
      </w:r>
      <w:proofErr w:type="spellEnd"/>
      <w:r>
        <w:rPr>
          <w:szCs w:val="22"/>
        </w:rPr>
        <w:t>» et lui avait en outre dit «C’est la guerre, j’aurai ta peau». L’autorité de poursuite pénale comp</w:t>
      </w:r>
      <w:r>
        <w:rPr>
          <w:szCs w:val="22"/>
        </w:rPr>
        <w:t>é</w:t>
      </w:r>
      <w:r>
        <w:rPr>
          <w:szCs w:val="22"/>
        </w:rPr>
        <w:t xml:space="preserve">tente du canton de </w:t>
      </w:r>
      <w:proofErr w:type="spellStart"/>
      <w:r>
        <w:rPr>
          <w:szCs w:val="22"/>
        </w:rPr>
        <w:t>Bâle</w:t>
      </w:r>
      <w:r>
        <w:rPr>
          <w:szCs w:val="22"/>
        </w:rPr>
        <w:noBreakHyphen/>
        <w:t>campagne</w:t>
      </w:r>
      <w:proofErr w:type="spellEnd"/>
      <w:r>
        <w:rPr>
          <w:szCs w:val="22"/>
        </w:rPr>
        <w:t xml:space="preserve"> a considéré que les termes «cochon de Serbe» to</w:t>
      </w:r>
      <w:r>
        <w:rPr>
          <w:szCs w:val="22"/>
        </w:rPr>
        <w:t>m</w:t>
      </w:r>
      <w:r>
        <w:rPr>
          <w:szCs w:val="22"/>
        </w:rPr>
        <w:t>baient sous le coup du droit pénal parce qu’ils visaient à abaisser et à discriminer une personne en po</w:t>
      </w:r>
      <w:r>
        <w:rPr>
          <w:szCs w:val="22"/>
        </w:rPr>
        <w:t>r</w:t>
      </w:r>
      <w:r>
        <w:rPr>
          <w:szCs w:val="22"/>
        </w:rPr>
        <w:t>tant atteinte à sa dignité humaine. En 2002, le prévenu a été condamné au paiement d’une amende de 500 francs suisses pour discrimination raciale, tentative de menac</w:t>
      </w:r>
      <w:r>
        <w:rPr>
          <w:szCs w:val="22"/>
        </w:rPr>
        <w:t>e</w:t>
      </w:r>
      <w:r>
        <w:rPr>
          <w:szCs w:val="22"/>
        </w:rPr>
        <w:t xml:space="preserve"> et insultes.</w:t>
      </w:r>
    </w:p>
    <w:p w:rsidR="00000000" w:rsidRDefault="00000000">
      <w:pPr>
        <w:spacing w:after="240"/>
        <w:rPr>
          <w:szCs w:val="22"/>
        </w:rPr>
      </w:pPr>
      <w:r>
        <w:rPr>
          <w:szCs w:val="22"/>
        </w:rPr>
        <w:t>104.</w:t>
      </w:r>
      <w:r>
        <w:rPr>
          <w:szCs w:val="22"/>
        </w:rPr>
        <w:tab/>
        <w:t xml:space="preserve">Art. 261 </w:t>
      </w:r>
      <w:r>
        <w:rPr>
          <w:i/>
          <w:iCs/>
          <w:szCs w:val="22"/>
        </w:rPr>
        <w:t>bis</w:t>
      </w:r>
      <w:r>
        <w:rPr>
          <w:szCs w:val="22"/>
        </w:rPr>
        <w:t xml:space="preserve">, par. 4, deuxième partie de la phrase, CP:  Dans un arrêt datant de l’an 2000, le Tribunal fédéral a considéré que le fait de contester l’utilisation par le régime </w:t>
      </w:r>
      <w:proofErr w:type="spellStart"/>
      <w:r>
        <w:rPr>
          <w:szCs w:val="22"/>
        </w:rPr>
        <w:t>nati</w:t>
      </w:r>
      <w:r>
        <w:rPr>
          <w:szCs w:val="22"/>
        </w:rPr>
        <w:t>o</w:t>
      </w:r>
      <w:r>
        <w:rPr>
          <w:szCs w:val="22"/>
        </w:rPr>
        <w:t>nal</w:t>
      </w:r>
      <w:r>
        <w:rPr>
          <w:szCs w:val="22"/>
        </w:rPr>
        <w:noBreakHyphen/>
        <w:t>socialiste</w:t>
      </w:r>
      <w:proofErr w:type="spellEnd"/>
      <w:r>
        <w:rPr>
          <w:szCs w:val="22"/>
        </w:rPr>
        <w:t xml:space="preserve"> de gaz ou de chambres à gaz aux fins d’exterminer des êtres humains const</w:t>
      </w:r>
      <w:r>
        <w:rPr>
          <w:szCs w:val="22"/>
        </w:rPr>
        <w:t>i</w:t>
      </w:r>
      <w:r>
        <w:rPr>
          <w:szCs w:val="22"/>
        </w:rPr>
        <w:t>tuait à lui seul une minimisation grossière de l’holocauste. Il a affirmé être parvenu à cette concl</w:t>
      </w:r>
      <w:r>
        <w:rPr>
          <w:szCs w:val="22"/>
        </w:rPr>
        <w:t>u</w:t>
      </w:r>
      <w:r>
        <w:rPr>
          <w:szCs w:val="22"/>
        </w:rPr>
        <w:t xml:space="preserve">sion notamment «parce que l’extermination systématique de détenus juifs dans les chambres à gaz (fait unique dans l’histoire de l’humanité) a distingué le régime </w:t>
      </w:r>
      <w:proofErr w:type="spellStart"/>
      <w:r>
        <w:rPr>
          <w:szCs w:val="22"/>
        </w:rPr>
        <w:t>national</w:t>
      </w:r>
      <w:r>
        <w:rPr>
          <w:szCs w:val="22"/>
        </w:rPr>
        <w:noBreakHyphen/>
        <w:t>socialiste</w:t>
      </w:r>
      <w:proofErr w:type="spellEnd"/>
      <w:r>
        <w:rPr>
          <w:szCs w:val="22"/>
        </w:rPr>
        <w:t xml:space="preserve"> d’autres régimes totalitaires ayant fait régner la terreur, et parce que, pour cette raison préc</w:t>
      </w:r>
      <w:r>
        <w:rPr>
          <w:szCs w:val="22"/>
        </w:rPr>
        <w:t>i</w:t>
      </w:r>
      <w:r>
        <w:rPr>
          <w:szCs w:val="22"/>
        </w:rPr>
        <w:t>sément, le fait de nier l’existence des chambres à gaz était utilisé par certains ce</w:t>
      </w:r>
      <w:r>
        <w:rPr>
          <w:szCs w:val="22"/>
        </w:rPr>
        <w:t>r</w:t>
      </w:r>
      <w:r>
        <w:rPr>
          <w:szCs w:val="22"/>
        </w:rPr>
        <w:t>cles entre autres pour offenser les juifs». Le Tribunal fédéral a ainsi confirmé le jugement re</w:t>
      </w:r>
      <w:r>
        <w:rPr>
          <w:szCs w:val="22"/>
        </w:rPr>
        <w:t>n</w:t>
      </w:r>
      <w:r>
        <w:rPr>
          <w:szCs w:val="22"/>
        </w:rPr>
        <w:t>du en 1998 en première instance par un tribunal du canton d’</w:t>
      </w:r>
      <w:proofErr w:type="spellStart"/>
      <w:r>
        <w:rPr>
          <w:szCs w:val="22"/>
        </w:rPr>
        <w:t>Argovie</w:t>
      </w:r>
      <w:proofErr w:type="spellEnd"/>
      <w:r>
        <w:rPr>
          <w:szCs w:val="22"/>
        </w:rPr>
        <w:t>, par lequel l’auteur d’un ouvrage révisionniste avait été condamné à quinze mois d’emprisonnement ainsi qu’à 8</w:t>
      </w:r>
      <w:r>
        <w:t> </w:t>
      </w:r>
      <w:r>
        <w:rPr>
          <w:szCs w:val="22"/>
        </w:rPr>
        <w:t>000 francs suisses d’amende.</w:t>
      </w:r>
    </w:p>
    <w:p w:rsidR="00000000" w:rsidRDefault="00000000">
      <w:pPr>
        <w:spacing w:after="240"/>
        <w:rPr>
          <w:color w:val="000000"/>
          <w:szCs w:val="22"/>
        </w:rPr>
      </w:pPr>
      <w:r>
        <w:rPr>
          <w:szCs w:val="22"/>
        </w:rPr>
        <w:t>105.</w:t>
      </w:r>
      <w:r>
        <w:rPr>
          <w:szCs w:val="22"/>
        </w:rPr>
        <w:tab/>
        <w:t xml:space="preserve">Art. 261 </w:t>
      </w:r>
      <w:r>
        <w:rPr>
          <w:i/>
          <w:iCs/>
          <w:szCs w:val="22"/>
        </w:rPr>
        <w:t>bis</w:t>
      </w:r>
      <w:r>
        <w:rPr>
          <w:szCs w:val="22"/>
        </w:rPr>
        <w:t>, al. 5, CP:  Dans un arrêt datant de 2001, la Cour suprême du canton de Zurich a condamné à 600 francs d’amende la propriétaire d’un commerce qui avait refusé de servir une cliente de couleur et qui lui avait indiqué la porte par ces mots:</w:t>
      </w:r>
      <w:r>
        <w:rPr>
          <w:color w:val="000000"/>
          <w:szCs w:val="22"/>
        </w:rPr>
        <w:t xml:space="preserve"> «I </w:t>
      </w:r>
      <w:proofErr w:type="spellStart"/>
      <w:r>
        <w:rPr>
          <w:color w:val="000000"/>
          <w:szCs w:val="22"/>
        </w:rPr>
        <w:t>don’t</w:t>
      </w:r>
      <w:proofErr w:type="spellEnd"/>
      <w:r>
        <w:rPr>
          <w:color w:val="000000"/>
          <w:szCs w:val="22"/>
        </w:rPr>
        <w:t xml:space="preserve"> </w:t>
      </w:r>
      <w:proofErr w:type="spellStart"/>
      <w:r>
        <w:rPr>
          <w:color w:val="000000"/>
          <w:szCs w:val="22"/>
        </w:rPr>
        <w:t>want</w:t>
      </w:r>
      <w:proofErr w:type="spellEnd"/>
      <w:r>
        <w:rPr>
          <w:color w:val="000000"/>
          <w:szCs w:val="22"/>
        </w:rPr>
        <w:t xml:space="preserve"> pe</w:t>
      </w:r>
      <w:r>
        <w:rPr>
          <w:color w:val="000000"/>
          <w:szCs w:val="22"/>
        </w:rPr>
        <w:t>o</w:t>
      </w:r>
      <w:r>
        <w:rPr>
          <w:color w:val="000000"/>
          <w:szCs w:val="22"/>
        </w:rPr>
        <w:t xml:space="preserve">ple </w:t>
      </w:r>
      <w:proofErr w:type="spellStart"/>
      <w:r>
        <w:rPr>
          <w:color w:val="000000"/>
          <w:szCs w:val="22"/>
        </w:rPr>
        <w:t>from</w:t>
      </w:r>
      <w:proofErr w:type="spellEnd"/>
      <w:r>
        <w:rPr>
          <w:color w:val="000000"/>
          <w:szCs w:val="22"/>
        </w:rPr>
        <w:t xml:space="preserve"> </w:t>
      </w:r>
      <w:proofErr w:type="spellStart"/>
      <w:r>
        <w:rPr>
          <w:color w:val="000000"/>
          <w:szCs w:val="22"/>
        </w:rPr>
        <w:t>your</w:t>
      </w:r>
      <w:proofErr w:type="spellEnd"/>
      <w:r>
        <w:rPr>
          <w:color w:val="000000"/>
          <w:szCs w:val="22"/>
        </w:rPr>
        <w:t xml:space="preserve"> country». Le tribunal a considéré que le refus d’une prestation destinée à l’usage public, qu’il s’agisse d’un service ou d’une marchandise, enfreignait la norme pénale antir</w:t>
      </w:r>
      <w:r>
        <w:rPr>
          <w:color w:val="000000"/>
          <w:szCs w:val="22"/>
        </w:rPr>
        <w:t>a</w:t>
      </w:r>
      <w:r>
        <w:rPr>
          <w:color w:val="000000"/>
          <w:szCs w:val="22"/>
        </w:rPr>
        <w:t>cisme (a</w:t>
      </w:r>
      <w:r>
        <w:rPr>
          <w:szCs w:val="22"/>
        </w:rPr>
        <w:t xml:space="preserve">rt. 261 </w:t>
      </w:r>
      <w:r>
        <w:rPr>
          <w:i/>
          <w:iCs/>
          <w:szCs w:val="22"/>
        </w:rPr>
        <w:t>bis</w:t>
      </w:r>
      <w:r>
        <w:rPr>
          <w:szCs w:val="22"/>
        </w:rPr>
        <w:t>, al. 5, CP). La clémence de la peine a été justifiée par la légèreté de la faute.</w:t>
      </w:r>
    </w:p>
    <w:p w:rsidR="00000000" w:rsidRDefault="00000000">
      <w:pPr>
        <w:keepNext/>
        <w:spacing w:after="240"/>
        <w:jc w:val="center"/>
        <w:rPr>
          <w:b/>
          <w:bCs/>
          <w:szCs w:val="24"/>
        </w:rPr>
      </w:pPr>
      <w:bookmarkStart w:id="81" w:name="_Toc163552224"/>
      <w:r>
        <w:rPr>
          <w:b/>
          <w:bCs/>
          <w:szCs w:val="24"/>
        </w:rPr>
        <w:t xml:space="preserve">1.  Jurisprudence du Tribunal fédéral relative aux articles 261 </w:t>
      </w:r>
      <w:r>
        <w:rPr>
          <w:b/>
          <w:bCs/>
          <w:i/>
          <w:iCs/>
          <w:szCs w:val="24"/>
        </w:rPr>
        <w:t>bis</w:t>
      </w:r>
      <w:r>
        <w:rPr>
          <w:b/>
          <w:bCs/>
          <w:szCs w:val="24"/>
        </w:rPr>
        <w:br/>
        <w:t xml:space="preserve">du Code pénal et </w:t>
      </w:r>
      <w:proofErr w:type="spellStart"/>
      <w:r>
        <w:rPr>
          <w:b/>
          <w:bCs/>
          <w:szCs w:val="24"/>
        </w:rPr>
        <w:t>171</w:t>
      </w:r>
      <w:r>
        <w:rPr>
          <w:b/>
          <w:bCs/>
          <w:i/>
          <w:iCs/>
          <w:szCs w:val="24"/>
        </w:rPr>
        <w:t>c</w:t>
      </w:r>
      <w:proofErr w:type="spellEnd"/>
      <w:r>
        <w:rPr>
          <w:b/>
          <w:bCs/>
          <w:i/>
          <w:iCs/>
          <w:szCs w:val="24"/>
        </w:rPr>
        <w:t xml:space="preserve"> </w:t>
      </w:r>
      <w:r>
        <w:rPr>
          <w:b/>
          <w:bCs/>
          <w:szCs w:val="24"/>
        </w:rPr>
        <w:t>du Code pénal militaire</w:t>
      </w:r>
      <w:bookmarkEnd w:id="81"/>
    </w:p>
    <w:p w:rsidR="00000000" w:rsidRDefault="00000000">
      <w:pPr>
        <w:spacing w:after="240"/>
        <w:rPr>
          <w:bCs/>
          <w:szCs w:val="22"/>
        </w:rPr>
      </w:pPr>
      <w:r>
        <w:rPr>
          <w:bCs/>
          <w:szCs w:val="22"/>
        </w:rPr>
        <w:t>106.</w:t>
      </w:r>
      <w:r>
        <w:rPr>
          <w:bCs/>
          <w:szCs w:val="22"/>
        </w:rPr>
        <w:tab/>
        <w:t>Dans un arrêt du 27 mai 2004</w:t>
      </w:r>
      <w:r>
        <w:rPr>
          <w:rStyle w:val="FootnoteReference"/>
          <w:bCs/>
          <w:szCs w:val="22"/>
        </w:rPr>
        <w:footnoteReference w:id="73"/>
      </w:r>
      <w:r>
        <w:rPr>
          <w:bCs/>
          <w:szCs w:val="22"/>
        </w:rPr>
        <w:t>, le Tribunal fédéral a précisé la notion de p</w:t>
      </w:r>
      <w:r>
        <w:rPr>
          <w:bCs/>
          <w:szCs w:val="22"/>
        </w:rPr>
        <w:t>u</w:t>
      </w:r>
      <w:r>
        <w:rPr>
          <w:bCs/>
          <w:szCs w:val="22"/>
        </w:rPr>
        <w:t xml:space="preserve">blicité au sens de l’article 261 </w:t>
      </w:r>
      <w:r>
        <w:rPr>
          <w:bCs/>
          <w:i/>
          <w:iCs/>
          <w:szCs w:val="22"/>
        </w:rPr>
        <w:t>bis</w:t>
      </w:r>
      <w:r>
        <w:rPr>
          <w:bCs/>
          <w:szCs w:val="22"/>
        </w:rPr>
        <w:t xml:space="preserve"> du Code pénal. Selon </w:t>
      </w:r>
      <w:proofErr w:type="spellStart"/>
      <w:r>
        <w:rPr>
          <w:bCs/>
          <w:szCs w:val="22"/>
        </w:rPr>
        <w:t>celui</w:t>
      </w:r>
      <w:r>
        <w:rPr>
          <w:bCs/>
          <w:szCs w:val="22"/>
        </w:rPr>
        <w:noBreakHyphen/>
        <w:t>ci</w:t>
      </w:r>
      <w:proofErr w:type="spellEnd"/>
      <w:r>
        <w:rPr>
          <w:bCs/>
          <w:szCs w:val="22"/>
        </w:rPr>
        <w:t>, les propos et les comportements racistes ne sont p</w:t>
      </w:r>
      <w:r>
        <w:rPr>
          <w:bCs/>
          <w:szCs w:val="22"/>
        </w:rPr>
        <w:t>é</w:t>
      </w:r>
      <w:r>
        <w:rPr>
          <w:bCs/>
          <w:szCs w:val="22"/>
        </w:rPr>
        <w:t xml:space="preserve">nalement répréhensibles que s’ils ont lieu publiquement. </w:t>
      </w:r>
      <w:proofErr w:type="spellStart"/>
      <w:r>
        <w:rPr>
          <w:bCs/>
          <w:szCs w:val="22"/>
        </w:rPr>
        <w:t>Jusque</w:t>
      </w:r>
      <w:r>
        <w:rPr>
          <w:bCs/>
          <w:szCs w:val="22"/>
        </w:rPr>
        <w:noBreakHyphen/>
        <w:t>là</w:t>
      </w:r>
      <w:proofErr w:type="spellEnd"/>
      <w:r>
        <w:rPr>
          <w:bCs/>
          <w:szCs w:val="22"/>
        </w:rPr>
        <w:t>, le Tribunal fédéral avait estimé qu’un acte devait être considéré comme public s’il avait lieu dans un groupe i</w:t>
      </w:r>
      <w:r>
        <w:rPr>
          <w:bCs/>
          <w:szCs w:val="22"/>
        </w:rPr>
        <w:t>m</w:t>
      </w:r>
      <w:r>
        <w:rPr>
          <w:bCs/>
          <w:szCs w:val="22"/>
        </w:rPr>
        <w:t>portant de personnes qui ne sont pas liées entre elles par des relations personnelles. En ra</w:t>
      </w:r>
      <w:r>
        <w:rPr>
          <w:bCs/>
          <w:szCs w:val="22"/>
        </w:rPr>
        <w:t>i</w:t>
      </w:r>
      <w:r>
        <w:rPr>
          <w:bCs/>
          <w:szCs w:val="22"/>
        </w:rPr>
        <w:t xml:space="preserve">son du caractère restrictif de cette définition de la publicité, il était </w:t>
      </w:r>
      <w:proofErr w:type="spellStart"/>
      <w:r>
        <w:rPr>
          <w:bCs/>
          <w:szCs w:val="22"/>
        </w:rPr>
        <w:t>jusque</w:t>
      </w:r>
      <w:r>
        <w:rPr>
          <w:bCs/>
          <w:szCs w:val="22"/>
        </w:rPr>
        <w:noBreakHyphen/>
        <w:t>là</w:t>
      </w:r>
      <w:proofErr w:type="spellEnd"/>
      <w:r>
        <w:rPr>
          <w:bCs/>
          <w:szCs w:val="22"/>
        </w:rPr>
        <w:t xml:space="preserve"> possible d’organiser en Suisse des concerts pour </w:t>
      </w:r>
      <w:r>
        <w:rPr>
          <w:bCs/>
          <w:i/>
          <w:iCs/>
          <w:szCs w:val="22"/>
        </w:rPr>
        <w:t>skinheads</w:t>
      </w:r>
      <w:r>
        <w:rPr>
          <w:bCs/>
          <w:szCs w:val="22"/>
        </w:rPr>
        <w:t xml:space="preserve"> ou des exposés véhiculant des idées d’extrême droite. Il suffisait de simuler un cercle privé en organisant des contrôles à l’entrée et en renonçant à rendre public le lieu de réunion. Depuis qu’il a précisé sa jurisprudence, le Tribunal fédéral considère que des propos racistes ont été tenus en public au sens de l’article 261 </w:t>
      </w:r>
      <w:r>
        <w:rPr>
          <w:bCs/>
          <w:i/>
          <w:iCs/>
          <w:szCs w:val="22"/>
        </w:rPr>
        <w:t>bis</w:t>
      </w:r>
      <w:r>
        <w:rPr>
          <w:bCs/>
          <w:szCs w:val="22"/>
        </w:rPr>
        <w:t xml:space="preserve"> du Code pénal et sont donc pénalement répréhensibles dès le moment où ils ne sont pas destinés uniquement à un cercle privé très restreint. Des réunions, par exemple, ne sont ainsi pas considérées comme privées même si les entrées sont contrôlées et si les personnes admises sont triées sur le volet. En ce qui concerne l’infraction de la discrimination raciale au sens de l’article </w:t>
      </w:r>
      <w:proofErr w:type="spellStart"/>
      <w:r>
        <w:rPr>
          <w:bCs/>
          <w:szCs w:val="22"/>
        </w:rPr>
        <w:t>171</w:t>
      </w:r>
      <w:r>
        <w:rPr>
          <w:bCs/>
          <w:i/>
          <w:iCs/>
          <w:szCs w:val="22"/>
        </w:rPr>
        <w:t>c</w:t>
      </w:r>
      <w:proofErr w:type="spellEnd"/>
      <w:r>
        <w:rPr>
          <w:bCs/>
          <w:szCs w:val="22"/>
        </w:rPr>
        <w:t xml:space="preserve"> du Code pénal militaire, les trib</w:t>
      </w:r>
      <w:r>
        <w:rPr>
          <w:bCs/>
          <w:szCs w:val="22"/>
        </w:rPr>
        <w:t>u</w:t>
      </w:r>
      <w:r>
        <w:rPr>
          <w:bCs/>
          <w:szCs w:val="22"/>
        </w:rPr>
        <w:t>naux militaires ont eux aussi repris les précisions que le Tribunal fédéral a apportées à sa jurisprudence: les actes racistes commis dans le cadre de l’armée sont, par principe, considérés comme ayant eu lieu publiquement. Le fait, par exemple, qu’ils aient été perp</w:t>
      </w:r>
      <w:r>
        <w:rPr>
          <w:bCs/>
          <w:szCs w:val="22"/>
        </w:rPr>
        <w:t>é</w:t>
      </w:r>
      <w:r>
        <w:rPr>
          <w:bCs/>
          <w:szCs w:val="22"/>
        </w:rPr>
        <w:t>trés à l’intérieur d’une caserne ou que seuls des membres de l’armée en aient été témoins ne su</w:t>
      </w:r>
      <w:r>
        <w:rPr>
          <w:bCs/>
          <w:szCs w:val="22"/>
        </w:rPr>
        <w:t>f</w:t>
      </w:r>
      <w:r>
        <w:rPr>
          <w:bCs/>
          <w:szCs w:val="22"/>
        </w:rPr>
        <w:t>fit pas à exclure d’emblée leur caractère public.</w:t>
      </w:r>
    </w:p>
    <w:p w:rsidR="00000000" w:rsidRDefault="00000000">
      <w:pPr>
        <w:spacing w:after="240"/>
        <w:rPr>
          <w:bCs/>
          <w:szCs w:val="22"/>
        </w:rPr>
      </w:pPr>
      <w:r>
        <w:rPr>
          <w:bCs/>
          <w:szCs w:val="22"/>
        </w:rPr>
        <w:t>107.</w:t>
      </w:r>
      <w:r>
        <w:rPr>
          <w:bCs/>
          <w:szCs w:val="22"/>
        </w:rPr>
        <w:tab/>
        <w:t>Dans un autre cas, traitant d’un déni du génocide arménien, le Tribunal fédéral a pr</w:t>
      </w:r>
      <w:r>
        <w:rPr>
          <w:bCs/>
          <w:szCs w:val="22"/>
        </w:rPr>
        <w:t>é</w:t>
      </w:r>
      <w:r>
        <w:rPr>
          <w:bCs/>
          <w:szCs w:val="22"/>
        </w:rPr>
        <w:t xml:space="preserve">cisé la jurisprudence relative à l’article 261 </w:t>
      </w:r>
      <w:r>
        <w:rPr>
          <w:bCs/>
          <w:i/>
          <w:iCs/>
          <w:szCs w:val="22"/>
        </w:rPr>
        <w:t>bis</w:t>
      </w:r>
      <w:r>
        <w:rPr>
          <w:bCs/>
          <w:szCs w:val="22"/>
        </w:rPr>
        <w:t>, paragraphe 4, alinéa 2, du Code pénal</w:t>
      </w:r>
      <w:r>
        <w:rPr>
          <w:rStyle w:val="FootnoteReference"/>
          <w:bCs/>
          <w:szCs w:val="22"/>
        </w:rPr>
        <w:footnoteReference w:id="74"/>
      </w:r>
      <w:r>
        <w:rPr>
          <w:bCs/>
          <w:szCs w:val="22"/>
        </w:rPr>
        <w:t xml:space="preserve"> en estimant que l’infraction en question constituait une atteinte à la paix publique. Les biens juridiques indiv</w:t>
      </w:r>
      <w:r>
        <w:rPr>
          <w:bCs/>
          <w:szCs w:val="22"/>
        </w:rPr>
        <w:t>i</w:t>
      </w:r>
      <w:r>
        <w:rPr>
          <w:bCs/>
          <w:szCs w:val="22"/>
        </w:rPr>
        <w:t>duels ne sont donc protégés que de manière indirecte. En conséquence, il n’y a pas de place pour des vi</w:t>
      </w:r>
      <w:r>
        <w:rPr>
          <w:bCs/>
          <w:szCs w:val="22"/>
        </w:rPr>
        <w:t>c</w:t>
      </w:r>
      <w:r>
        <w:rPr>
          <w:bCs/>
          <w:szCs w:val="22"/>
        </w:rPr>
        <w:t>times individuelles pouvant intervenir comme parties au sens de la loi sur l’aide aux victimes (</w:t>
      </w:r>
      <w:proofErr w:type="spellStart"/>
      <w:r>
        <w:rPr>
          <w:bCs/>
          <w:szCs w:val="22"/>
        </w:rPr>
        <w:t>LAVI</w:t>
      </w:r>
      <w:proofErr w:type="spellEnd"/>
      <w:r>
        <w:rPr>
          <w:bCs/>
          <w:szCs w:val="22"/>
        </w:rPr>
        <w:t>) dans l’action pénale intentée à l’auteur, car le préjudice subi du fait de cet acte précis ne peut être qu’indirect. Sans compter que le (simple) fait de nier, de minimiser grossièrement ou de justifier un gén</w:t>
      </w:r>
      <w:r>
        <w:rPr>
          <w:bCs/>
          <w:szCs w:val="22"/>
        </w:rPr>
        <w:t>o</w:t>
      </w:r>
      <w:r>
        <w:rPr>
          <w:bCs/>
          <w:szCs w:val="22"/>
        </w:rPr>
        <w:t>cide au sens du paragraphe 4 ne constitue pas un acte de discrimination raciale au sens strict du terme. S’il est vrai que les propos tenus peuvent aussi toucher des individus, le préjudice s</w:t>
      </w:r>
      <w:r>
        <w:rPr>
          <w:bCs/>
          <w:szCs w:val="22"/>
        </w:rPr>
        <w:t>u</w:t>
      </w:r>
      <w:r>
        <w:rPr>
          <w:bCs/>
          <w:szCs w:val="22"/>
        </w:rPr>
        <w:t>bi, même s’il peut être grave, est toujours indirect. Une personne physique n’est donc pas légitimée à prendre part au procès en qualité de partie lésée. C’est par conséquent à l’autorité cantonale de poursuite pénale qu’il revient de décider si elle entend entamer une procédure ou non, autrement dit si ses soupçons sont suffisamment fondés pour lui perme</w:t>
      </w:r>
      <w:r>
        <w:rPr>
          <w:bCs/>
          <w:szCs w:val="22"/>
        </w:rPr>
        <w:t>t</w:t>
      </w:r>
      <w:r>
        <w:rPr>
          <w:bCs/>
          <w:szCs w:val="22"/>
        </w:rPr>
        <w:t>tre de supposer que les éléments constitutifs de l’infraction, objectifs et subjectifs, sont r</w:t>
      </w:r>
      <w:r>
        <w:rPr>
          <w:bCs/>
          <w:szCs w:val="22"/>
        </w:rPr>
        <w:t>é</w:t>
      </w:r>
      <w:r>
        <w:rPr>
          <w:bCs/>
          <w:szCs w:val="22"/>
        </w:rPr>
        <w:t>unis</w:t>
      </w:r>
      <w:r>
        <w:rPr>
          <w:rStyle w:val="FootnoteReference"/>
          <w:bCs/>
          <w:szCs w:val="22"/>
        </w:rPr>
        <w:footnoteReference w:id="75"/>
      </w:r>
      <w:r>
        <w:rPr>
          <w:bCs/>
          <w:szCs w:val="22"/>
        </w:rPr>
        <w:t xml:space="preserve">. </w:t>
      </w:r>
    </w:p>
    <w:p w:rsidR="00000000" w:rsidRDefault="00000000">
      <w:pPr>
        <w:keepNext/>
        <w:spacing w:after="240"/>
        <w:jc w:val="center"/>
        <w:rPr>
          <w:b/>
          <w:bCs/>
          <w:szCs w:val="24"/>
        </w:rPr>
      </w:pPr>
      <w:bookmarkStart w:id="82" w:name="_Toc163552225"/>
      <w:r>
        <w:rPr>
          <w:b/>
          <w:bCs/>
          <w:szCs w:val="24"/>
        </w:rPr>
        <w:t>2.  Modifications de lois visant à lutter contre le racisme</w:t>
      </w:r>
      <w:bookmarkEnd w:id="82"/>
    </w:p>
    <w:p w:rsidR="00000000" w:rsidRDefault="00000000">
      <w:pPr>
        <w:spacing w:after="240"/>
        <w:rPr>
          <w:bCs/>
          <w:szCs w:val="22"/>
        </w:rPr>
      </w:pPr>
      <w:bookmarkStart w:id="83" w:name="_Ref81191156"/>
      <w:r>
        <w:rPr>
          <w:bCs/>
          <w:szCs w:val="22"/>
        </w:rPr>
        <w:t>108.</w:t>
      </w:r>
      <w:r>
        <w:rPr>
          <w:bCs/>
          <w:szCs w:val="22"/>
        </w:rPr>
        <w:tab/>
        <w:t>La loi fédérale instituant des mesures visant au maintien de la sécurité intérieure (pr</w:t>
      </w:r>
      <w:r>
        <w:rPr>
          <w:bCs/>
          <w:szCs w:val="22"/>
        </w:rPr>
        <w:t>o</w:t>
      </w:r>
      <w:r>
        <w:rPr>
          <w:bCs/>
          <w:szCs w:val="22"/>
        </w:rPr>
        <w:t>pagande incitant à la violence, violence dans le cadre de manifestations sportives) (</w:t>
      </w:r>
      <w:proofErr w:type="spellStart"/>
      <w:r>
        <w:rPr>
          <w:bCs/>
          <w:szCs w:val="22"/>
        </w:rPr>
        <w:t>LMSI</w:t>
      </w:r>
      <w:proofErr w:type="spellEnd"/>
      <w:r>
        <w:rPr>
          <w:bCs/>
          <w:szCs w:val="22"/>
        </w:rPr>
        <w:t xml:space="preserve"> I) servira de base légale à un renforcement des moyens de lutte contre la violence dans les stades. On prévoit notamment la mise en place d’une banque de données «hool</w:t>
      </w:r>
      <w:r>
        <w:rPr>
          <w:bCs/>
          <w:szCs w:val="22"/>
        </w:rPr>
        <w:t>i</w:t>
      </w:r>
      <w:r>
        <w:rPr>
          <w:bCs/>
          <w:szCs w:val="22"/>
        </w:rPr>
        <w:t>ganisme» et l’on souhaite se donner les moyens de confisquer le matériel de propagande incitant à la violence. Comme les championnats d’</w:t>
      </w:r>
      <w:proofErr w:type="spellStart"/>
      <w:r>
        <w:rPr>
          <w:bCs/>
          <w:szCs w:val="22"/>
        </w:rPr>
        <w:t>Europe</w:t>
      </w:r>
      <w:proofErr w:type="spellEnd"/>
      <w:r>
        <w:rPr>
          <w:bCs/>
          <w:szCs w:val="22"/>
        </w:rPr>
        <w:t xml:space="preserve"> de football appr</w:t>
      </w:r>
      <w:r>
        <w:rPr>
          <w:bCs/>
          <w:szCs w:val="22"/>
        </w:rPr>
        <w:t>o</w:t>
      </w:r>
      <w:r>
        <w:rPr>
          <w:bCs/>
          <w:szCs w:val="22"/>
        </w:rPr>
        <w:t xml:space="preserve">chent à grands pas, ce projet bénéficie d’un traitement prioritaire. Les mesures aux termes de la </w:t>
      </w:r>
      <w:proofErr w:type="spellStart"/>
      <w:r>
        <w:rPr>
          <w:bCs/>
          <w:szCs w:val="22"/>
        </w:rPr>
        <w:t>LMSI</w:t>
      </w:r>
      <w:proofErr w:type="spellEnd"/>
      <w:r>
        <w:rPr>
          <w:bCs/>
          <w:szCs w:val="22"/>
        </w:rPr>
        <w:t xml:space="preserve"> I ont été votées par le Parlement lors de la session de printemps 2006. Elles doivent maintenant être concrét</w:t>
      </w:r>
      <w:r>
        <w:rPr>
          <w:bCs/>
          <w:szCs w:val="22"/>
        </w:rPr>
        <w:t>i</w:t>
      </w:r>
      <w:r>
        <w:rPr>
          <w:bCs/>
          <w:szCs w:val="22"/>
        </w:rPr>
        <w:t>sées au niveau réglementaire.</w:t>
      </w:r>
    </w:p>
    <w:p w:rsidR="00000000" w:rsidRDefault="00000000">
      <w:pPr>
        <w:spacing w:after="240"/>
        <w:rPr>
          <w:bCs/>
          <w:szCs w:val="22"/>
        </w:rPr>
      </w:pPr>
      <w:r>
        <w:rPr>
          <w:bCs/>
          <w:szCs w:val="22"/>
        </w:rPr>
        <w:t>109.</w:t>
      </w:r>
      <w:r>
        <w:rPr>
          <w:bCs/>
          <w:szCs w:val="22"/>
        </w:rPr>
        <w:tab/>
        <w:t>Il est en outre prévu de créer une nouvelle norme pénale interdisant l’exposition ou le port en public de symboles de discrimination raciale, de même que le fait de rendre de tels symboles accessibles au public de toute autre manière. Les commissions des affaires jurid</w:t>
      </w:r>
      <w:r>
        <w:rPr>
          <w:bCs/>
          <w:szCs w:val="22"/>
        </w:rPr>
        <w:t>i</w:t>
      </w:r>
      <w:r>
        <w:rPr>
          <w:bCs/>
          <w:szCs w:val="22"/>
        </w:rPr>
        <w:t>ques des deux Conseils ont estimé que la nouvelle disposition pénale ne devait pas être lim</w:t>
      </w:r>
      <w:r>
        <w:rPr>
          <w:bCs/>
          <w:szCs w:val="22"/>
        </w:rPr>
        <w:t>i</w:t>
      </w:r>
      <w:r>
        <w:rPr>
          <w:bCs/>
          <w:szCs w:val="22"/>
        </w:rPr>
        <w:t>tée à l’utilisation de symboles d’extrême droite, mais s’appliquer à tous les sy</w:t>
      </w:r>
      <w:r>
        <w:rPr>
          <w:bCs/>
          <w:szCs w:val="22"/>
        </w:rPr>
        <w:t>m</w:t>
      </w:r>
      <w:r>
        <w:rPr>
          <w:bCs/>
          <w:szCs w:val="22"/>
        </w:rPr>
        <w:t>boles glorifiant des mouvements extrémistes appelant à la violence et à la discrimination r</w:t>
      </w:r>
      <w:r>
        <w:rPr>
          <w:bCs/>
          <w:szCs w:val="22"/>
        </w:rPr>
        <w:t>a</w:t>
      </w:r>
      <w:r>
        <w:rPr>
          <w:bCs/>
          <w:szCs w:val="22"/>
        </w:rPr>
        <w:t xml:space="preserve">ciale. </w:t>
      </w:r>
    </w:p>
    <w:p w:rsidR="00000000" w:rsidRDefault="00000000">
      <w:pPr>
        <w:spacing w:after="240"/>
        <w:rPr>
          <w:bCs/>
          <w:szCs w:val="22"/>
        </w:rPr>
      </w:pPr>
      <w:r>
        <w:rPr>
          <w:bCs/>
          <w:szCs w:val="22"/>
        </w:rPr>
        <w:t>110.</w:t>
      </w:r>
      <w:r>
        <w:rPr>
          <w:bCs/>
          <w:szCs w:val="22"/>
        </w:rPr>
        <w:tab/>
        <w:t>La question du racisme dans l’armée a été étudiée dans le contexte d’un rapport i</w:t>
      </w:r>
      <w:r>
        <w:rPr>
          <w:bCs/>
          <w:szCs w:val="22"/>
        </w:rPr>
        <w:t>n</w:t>
      </w:r>
      <w:r>
        <w:rPr>
          <w:bCs/>
          <w:szCs w:val="22"/>
        </w:rPr>
        <w:t>termédiaire relatif à «l’extrémisme dans l’armée». Compte tenu du fait que les cas d’extrémisme et de racisme sont très clairsemés dans l’armée suisse et que les supérieurs responsables interviennent rigoureusement lorsque de tels cas se présentent, on en a conclu que la situation dans l’armée n’appelait pas de mesures spéciales et on a donc renoncé à créer une disposition légale spéciale prévoyant d’exclure de l’armée les auteurs d’actes extrémi</w:t>
      </w:r>
      <w:r>
        <w:rPr>
          <w:bCs/>
          <w:szCs w:val="22"/>
        </w:rPr>
        <w:t>s</w:t>
      </w:r>
      <w:r>
        <w:rPr>
          <w:bCs/>
          <w:szCs w:val="22"/>
        </w:rPr>
        <w:t>tes.</w:t>
      </w:r>
    </w:p>
    <w:p w:rsidR="00000000" w:rsidRDefault="00000000">
      <w:pPr>
        <w:keepNext/>
        <w:spacing w:after="200"/>
        <w:jc w:val="center"/>
        <w:rPr>
          <w:b/>
          <w:bCs/>
          <w:szCs w:val="24"/>
        </w:rPr>
      </w:pPr>
      <w:bookmarkStart w:id="84" w:name="_Toc150668814"/>
      <w:bookmarkStart w:id="85" w:name="_Toc163552226"/>
      <w:r>
        <w:rPr>
          <w:b/>
          <w:bCs/>
          <w:szCs w:val="24"/>
        </w:rPr>
        <w:t xml:space="preserve">D.  Élimination de la discrimination raciale, notamment dans le domaine </w:t>
      </w:r>
      <w:r>
        <w:rPr>
          <w:b/>
          <w:bCs/>
          <w:szCs w:val="24"/>
        </w:rPr>
        <w:br/>
        <w:t xml:space="preserve">de certains droits </w:t>
      </w:r>
      <w:bookmarkEnd w:id="84"/>
      <w:r>
        <w:rPr>
          <w:b/>
          <w:bCs/>
          <w:szCs w:val="24"/>
        </w:rPr>
        <w:t>de l’homme</w:t>
      </w:r>
      <w:r>
        <w:rPr>
          <w:b/>
          <w:bCs/>
          <w:szCs w:val="24"/>
        </w:rPr>
        <w:br/>
        <w:t>(art. 5)</w:t>
      </w:r>
      <w:bookmarkEnd w:id="85"/>
    </w:p>
    <w:p w:rsidR="00000000" w:rsidRDefault="00000000">
      <w:pPr>
        <w:keepNext/>
        <w:spacing w:after="200"/>
        <w:jc w:val="center"/>
        <w:rPr>
          <w:b/>
          <w:bCs/>
          <w:szCs w:val="24"/>
        </w:rPr>
      </w:pPr>
      <w:bookmarkStart w:id="86" w:name="_Toc163552227"/>
      <w:r>
        <w:rPr>
          <w:b/>
          <w:bCs/>
          <w:szCs w:val="24"/>
        </w:rPr>
        <w:t xml:space="preserve">1.  Droit à l’égalité de traitement devant les tribunaux et tous les </w:t>
      </w:r>
      <w:r>
        <w:rPr>
          <w:b/>
          <w:bCs/>
          <w:szCs w:val="24"/>
        </w:rPr>
        <w:br/>
        <w:t xml:space="preserve">autres organes administrant la justice </w:t>
      </w:r>
      <w:r>
        <w:rPr>
          <w:b/>
          <w:bCs/>
          <w:szCs w:val="24"/>
        </w:rPr>
        <w:br/>
        <w:t xml:space="preserve">(art. 5, al. </w:t>
      </w:r>
      <w:r>
        <w:rPr>
          <w:b/>
          <w:bCs/>
          <w:i/>
          <w:iCs/>
          <w:szCs w:val="24"/>
        </w:rPr>
        <w:t>a</w:t>
      </w:r>
      <w:r>
        <w:rPr>
          <w:b/>
          <w:bCs/>
          <w:szCs w:val="24"/>
        </w:rPr>
        <w:t>)</w:t>
      </w:r>
      <w:bookmarkEnd w:id="86"/>
    </w:p>
    <w:p w:rsidR="00000000" w:rsidRDefault="00000000">
      <w:pPr>
        <w:spacing w:after="200"/>
      </w:pPr>
      <w:r>
        <w:t>111.</w:t>
      </w:r>
      <w:r>
        <w:tab/>
        <w:t>Le déroulement des procédures judiciaires ou administratives est essentiell</w:t>
      </w:r>
      <w:r>
        <w:t>e</w:t>
      </w:r>
      <w:r>
        <w:t xml:space="preserve">ment déterminé par les garanties de procédure contenues dans la Constitution. Les articles 29 à 32 de la Constitution fédérale assurent un standard minimum. </w:t>
      </w:r>
      <w:proofErr w:type="spellStart"/>
      <w:r>
        <w:t>Celui</w:t>
      </w:r>
      <w:r>
        <w:noBreakHyphen/>
        <w:t>ci</w:t>
      </w:r>
      <w:proofErr w:type="spellEnd"/>
      <w:r>
        <w:t xml:space="preserve"> est complété par les dispositions de la </w:t>
      </w:r>
      <w:proofErr w:type="spellStart"/>
      <w:r>
        <w:t>CEDH</w:t>
      </w:r>
      <w:proofErr w:type="spellEnd"/>
      <w:r>
        <w:t xml:space="preserve"> et du Pacte international relatif aux droits civils et politiques dans la mesure où elles vont plus loin que les normes constit</w:t>
      </w:r>
      <w:r>
        <w:t>u</w:t>
      </w:r>
      <w:r>
        <w:t xml:space="preserve">tionnelles. L’article 6, paragraphe 1, de la </w:t>
      </w:r>
      <w:proofErr w:type="spellStart"/>
      <w:r>
        <w:t>CEDH</w:t>
      </w:r>
      <w:proofErr w:type="spellEnd"/>
      <w:r>
        <w:t xml:space="preserve"> et l’article 14, paragraphe 1, du Pacte garantissent ainsi à chacun un droit g</w:t>
      </w:r>
      <w:r>
        <w:t>é</w:t>
      </w:r>
      <w:r>
        <w:t>néral à une procédure judiciaire. Tant que la garantie des voies de droit n’est pas encore en vigueur, le justiciable peut donc invoquer ces dispositions.</w:t>
      </w:r>
    </w:p>
    <w:p w:rsidR="00000000" w:rsidRDefault="00000000">
      <w:pPr>
        <w:spacing w:after="200"/>
      </w:pPr>
      <w:r>
        <w:t>112.</w:t>
      </w:r>
      <w:r>
        <w:tab/>
        <w:t xml:space="preserve">Si les </w:t>
      </w:r>
      <w:r>
        <w:rPr>
          <w:bCs/>
        </w:rPr>
        <w:t>garanties générales de procédure</w:t>
      </w:r>
      <w:r>
        <w:t xml:space="preserve"> inscrites à l’article 29 de la Constitution fédérale s’appliquent à toutes les procédures judiciaires et administratives</w:t>
      </w:r>
      <w:r>
        <w:rPr>
          <w:rStyle w:val="FootnoteReference"/>
        </w:rPr>
        <w:footnoteReference w:id="76"/>
      </w:r>
      <w:r>
        <w:t>, le champ d’application de l’article 30 de la Constitution fédérale est lim</w:t>
      </w:r>
      <w:r>
        <w:t>i</w:t>
      </w:r>
      <w:r>
        <w:t>té aux procédures devant les tribunaux. Le tribunal en question doit être prévu par la loi, il doit être compétent, indépendant et impartial. Les garanties de procédure ne pe</w:t>
      </w:r>
      <w:r>
        <w:t>u</w:t>
      </w:r>
      <w:r>
        <w:t xml:space="preserve">vent pas être restreintes en vertu de l’article 36 </w:t>
      </w:r>
      <w:proofErr w:type="spellStart"/>
      <w:r>
        <w:t>BV</w:t>
      </w:r>
      <w:proofErr w:type="spellEnd"/>
      <w:r>
        <w:t xml:space="preserve"> de la Constitution fédérale. Les dispositions de ce dernier visent en effet les droits fondamentaux et n’ont pas été conçues pour s’appliquer aux garanties de pr</w:t>
      </w:r>
      <w:r>
        <w:t>o</w:t>
      </w:r>
      <w:r>
        <w:t>cédure. Les autorités ne doivent pas avoir la possibilité, quelles que puissent être les circon</w:t>
      </w:r>
      <w:r>
        <w:t>s</w:t>
      </w:r>
      <w:r>
        <w:t>tances, de soustraire une procédure à ces garanties élémentaires données par l’état de droit</w:t>
      </w:r>
      <w:r>
        <w:rPr>
          <w:rStyle w:val="FootnoteReference"/>
        </w:rPr>
        <w:footnoteReference w:id="77"/>
      </w:r>
      <w:r>
        <w:t>.</w:t>
      </w:r>
    </w:p>
    <w:p w:rsidR="00000000" w:rsidRDefault="00000000">
      <w:pPr>
        <w:keepNext/>
        <w:spacing w:after="200"/>
        <w:rPr>
          <w:b/>
          <w:bCs/>
        </w:rPr>
      </w:pPr>
      <w:bookmarkStart w:id="87" w:name="_Toc163552228"/>
      <w:r>
        <w:rPr>
          <w:b/>
          <w:bCs/>
          <w:i/>
          <w:iCs/>
        </w:rPr>
        <w:t>a)</w:t>
      </w:r>
      <w:r>
        <w:rPr>
          <w:b/>
          <w:bCs/>
          <w:i/>
          <w:iCs/>
        </w:rPr>
        <w:tab/>
        <w:t>Réforme de la justice</w:t>
      </w:r>
      <w:bookmarkEnd w:id="87"/>
    </w:p>
    <w:p w:rsidR="00000000" w:rsidRDefault="00000000">
      <w:pPr>
        <w:spacing w:after="200"/>
        <w:rPr>
          <w:bCs/>
          <w:szCs w:val="22"/>
        </w:rPr>
      </w:pPr>
      <w:r>
        <w:rPr>
          <w:bCs/>
          <w:szCs w:val="22"/>
        </w:rPr>
        <w:t>113.</w:t>
      </w:r>
      <w:r>
        <w:rPr>
          <w:bCs/>
          <w:szCs w:val="22"/>
        </w:rPr>
        <w:tab/>
        <w:t>Plusieurs changements sont en cours dans le domaine de l’administration de la ju</w:t>
      </w:r>
      <w:r>
        <w:rPr>
          <w:bCs/>
          <w:szCs w:val="22"/>
        </w:rPr>
        <w:t>s</w:t>
      </w:r>
      <w:r>
        <w:rPr>
          <w:bCs/>
          <w:szCs w:val="22"/>
        </w:rPr>
        <w:t>tice: la mise en œuvre de la réforme de la justice, acceptée par le peuple, a lieu progressiv</w:t>
      </w:r>
      <w:r>
        <w:rPr>
          <w:bCs/>
          <w:szCs w:val="22"/>
        </w:rPr>
        <w:t>e</w:t>
      </w:r>
      <w:r>
        <w:rPr>
          <w:bCs/>
          <w:szCs w:val="22"/>
        </w:rPr>
        <w:t>ment</w:t>
      </w:r>
      <w:r>
        <w:rPr>
          <w:rStyle w:val="FootnoteReference"/>
          <w:bCs/>
          <w:szCs w:val="22"/>
        </w:rPr>
        <w:footnoteReference w:id="78"/>
      </w:r>
      <w:r>
        <w:rPr>
          <w:bCs/>
          <w:szCs w:val="22"/>
        </w:rPr>
        <w:t>. Cette réforme a pour but d’améliorer la protection juridique des justiciables en leur garantissant les voies de droit, de décharger le Tribunal fédéral et d’unifier tant la procédure civile que la procédure pénale. On a commencé par réviser l’article 123 de la Constitution fédérale et par intr</w:t>
      </w:r>
      <w:r>
        <w:rPr>
          <w:bCs/>
          <w:szCs w:val="22"/>
        </w:rPr>
        <w:t>o</w:t>
      </w:r>
      <w:r>
        <w:rPr>
          <w:bCs/>
          <w:szCs w:val="22"/>
        </w:rPr>
        <w:t xml:space="preserve">duire le nouvel article </w:t>
      </w:r>
      <w:proofErr w:type="spellStart"/>
      <w:r>
        <w:rPr>
          <w:bCs/>
          <w:szCs w:val="22"/>
        </w:rPr>
        <w:t>191a</w:t>
      </w:r>
      <w:proofErr w:type="spellEnd"/>
      <w:r>
        <w:rPr>
          <w:bCs/>
          <w:szCs w:val="22"/>
        </w:rPr>
        <w:t>. Les deux dispositions sont entrées en vigueur le 1</w:t>
      </w:r>
      <w:r>
        <w:rPr>
          <w:bCs/>
          <w:szCs w:val="22"/>
          <w:vertAlign w:val="superscript"/>
        </w:rPr>
        <w:t>er</w:t>
      </w:r>
      <w:r>
        <w:rPr>
          <w:bCs/>
          <w:szCs w:val="22"/>
        </w:rPr>
        <w:t> avril 2003</w:t>
      </w:r>
      <w:r>
        <w:rPr>
          <w:rStyle w:val="FootnoteReference"/>
          <w:bCs/>
          <w:szCs w:val="22"/>
        </w:rPr>
        <w:footnoteReference w:id="79"/>
      </w:r>
      <w:r>
        <w:rPr>
          <w:bCs/>
          <w:szCs w:val="22"/>
        </w:rPr>
        <w:t>.</w:t>
      </w:r>
    </w:p>
    <w:p w:rsidR="00000000" w:rsidRDefault="00000000">
      <w:pPr>
        <w:spacing w:after="200"/>
        <w:rPr>
          <w:bCs/>
          <w:szCs w:val="22"/>
        </w:rPr>
      </w:pPr>
      <w:r>
        <w:rPr>
          <w:bCs/>
          <w:szCs w:val="22"/>
        </w:rPr>
        <w:t>114.</w:t>
      </w:r>
      <w:r>
        <w:rPr>
          <w:bCs/>
          <w:szCs w:val="22"/>
        </w:rPr>
        <w:tab/>
        <w:t xml:space="preserve">À l’entrée en vigueur de la </w:t>
      </w:r>
      <w:r>
        <w:rPr>
          <w:szCs w:val="22"/>
        </w:rPr>
        <w:t>garantie de l’accès au juge,</w:t>
      </w:r>
      <w:r>
        <w:rPr>
          <w:bCs/>
          <w:szCs w:val="22"/>
        </w:rPr>
        <w:t xml:space="preserve"> le justiciable obtiendra un droit très complet de porter tout litige, quel qu’il soit, devant une autorité judiciaire. La possib</w:t>
      </w:r>
      <w:r>
        <w:rPr>
          <w:bCs/>
          <w:szCs w:val="22"/>
        </w:rPr>
        <w:t>i</w:t>
      </w:r>
      <w:r>
        <w:rPr>
          <w:bCs/>
          <w:szCs w:val="22"/>
        </w:rPr>
        <w:t xml:space="preserve">lité de déroger à cette règle par des dispositions légales est toutefois prévue à l’article 29 </w:t>
      </w:r>
      <w:r>
        <w:rPr>
          <w:bCs/>
          <w:i/>
          <w:iCs/>
          <w:szCs w:val="22"/>
        </w:rPr>
        <w:t>a</w:t>
      </w:r>
      <w:r>
        <w:rPr>
          <w:bCs/>
          <w:szCs w:val="22"/>
        </w:rPr>
        <w:t xml:space="preserve"> de la Constitution fédérale. La date d’entrée en vigueur de la nouvelle norme, qui sera fixée par l’</w:t>
      </w:r>
      <w:proofErr w:type="spellStart"/>
      <w:r>
        <w:rPr>
          <w:bCs/>
          <w:szCs w:val="22"/>
        </w:rPr>
        <w:t>Assemblée</w:t>
      </w:r>
      <w:proofErr w:type="spellEnd"/>
      <w:r>
        <w:rPr>
          <w:bCs/>
          <w:szCs w:val="22"/>
        </w:rPr>
        <w:t xml:space="preserve"> féd</w:t>
      </w:r>
      <w:r>
        <w:rPr>
          <w:bCs/>
          <w:szCs w:val="22"/>
        </w:rPr>
        <w:t>é</w:t>
      </w:r>
      <w:r>
        <w:rPr>
          <w:bCs/>
          <w:szCs w:val="22"/>
        </w:rPr>
        <w:t xml:space="preserve">rale, n’est pas encore connue. </w:t>
      </w:r>
    </w:p>
    <w:p w:rsidR="00000000" w:rsidRDefault="00000000">
      <w:pPr>
        <w:spacing w:after="200"/>
        <w:rPr>
          <w:bCs/>
          <w:szCs w:val="22"/>
        </w:rPr>
      </w:pPr>
      <w:r>
        <w:rPr>
          <w:bCs/>
          <w:szCs w:val="22"/>
        </w:rPr>
        <w:t>115.</w:t>
      </w:r>
      <w:r>
        <w:rPr>
          <w:bCs/>
          <w:szCs w:val="22"/>
        </w:rPr>
        <w:tab/>
        <w:t xml:space="preserve">Dans le contexte de cette réforme, on a en outre préparé un projet de </w:t>
      </w:r>
      <w:r>
        <w:rPr>
          <w:szCs w:val="22"/>
        </w:rPr>
        <w:t>code de</w:t>
      </w:r>
      <w:r>
        <w:rPr>
          <w:b/>
          <w:bCs/>
          <w:szCs w:val="22"/>
        </w:rPr>
        <w:t xml:space="preserve"> </w:t>
      </w:r>
      <w:r>
        <w:rPr>
          <w:szCs w:val="22"/>
        </w:rPr>
        <w:t>proc</w:t>
      </w:r>
      <w:r>
        <w:rPr>
          <w:szCs w:val="22"/>
        </w:rPr>
        <w:t>é</w:t>
      </w:r>
      <w:r>
        <w:rPr>
          <w:szCs w:val="22"/>
        </w:rPr>
        <w:t>dure pénale suisse</w:t>
      </w:r>
      <w:r>
        <w:rPr>
          <w:bCs/>
          <w:szCs w:val="22"/>
        </w:rPr>
        <w:t>. Avec la révision de l’article 123 de la Constitution fédérale, la Confédération a obtenu la co</w:t>
      </w:r>
      <w:r>
        <w:rPr>
          <w:bCs/>
          <w:szCs w:val="22"/>
        </w:rPr>
        <w:t>m</w:t>
      </w:r>
      <w:r>
        <w:rPr>
          <w:bCs/>
          <w:szCs w:val="22"/>
        </w:rPr>
        <w:t>pétence de réglementer non seulement le droit pénal quant au fond, mais aussi le droit de procédure pénale. Le pr</w:t>
      </w:r>
      <w:r>
        <w:rPr>
          <w:bCs/>
          <w:szCs w:val="22"/>
        </w:rPr>
        <w:t>o</w:t>
      </w:r>
      <w:r>
        <w:rPr>
          <w:bCs/>
          <w:szCs w:val="22"/>
        </w:rPr>
        <w:t>jet est fondé sur le modèle «ministère public», ce qui signifie que l’instruction relève directement du Procureur. Pour contrebalancer la position de force du m</w:t>
      </w:r>
      <w:r>
        <w:rPr>
          <w:bCs/>
          <w:szCs w:val="22"/>
        </w:rPr>
        <w:t>i</w:t>
      </w:r>
      <w:r>
        <w:rPr>
          <w:bCs/>
          <w:szCs w:val="22"/>
        </w:rPr>
        <w:t>nistère public, les garanties données aux prévenus et aux vict</w:t>
      </w:r>
      <w:r>
        <w:rPr>
          <w:bCs/>
          <w:szCs w:val="22"/>
        </w:rPr>
        <w:t>i</w:t>
      </w:r>
      <w:r>
        <w:rPr>
          <w:bCs/>
          <w:szCs w:val="22"/>
        </w:rPr>
        <w:t>mes du point de vue de l’état de droit sont renforcées. On prévoit ainsi la création d’un trib</w:t>
      </w:r>
      <w:r>
        <w:rPr>
          <w:bCs/>
          <w:szCs w:val="22"/>
        </w:rPr>
        <w:t>u</w:t>
      </w:r>
      <w:r>
        <w:rPr>
          <w:bCs/>
          <w:szCs w:val="22"/>
        </w:rPr>
        <w:t>nal des mesures de contrainte, chargé de décider des mesures les plus contraignantes requises par le Proc</w:t>
      </w:r>
      <w:r>
        <w:rPr>
          <w:bCs/>
          <w:szCs w:val="22"/>
        </w:rPr>
        <w:t>u</w:t>
      </w:r>
      <w:r>
        <w:rPr>
          <w:bCs/>
          <w:szCs w:val="22"/>
        </w:rPr>
        <w:t>reur. En outre, on envisage d’instituer ce qu’il est convenu d’appeler l’«avocat de la première heure»: le pr</w:t>
      </w:r>
      <w:r>
        <w:rPr>
          <w:bCs/>
          <w:szCs w:val="22"/>
        </w:rPr>
        <w:t>é</w:t>
      </w:r>
      <w:r>
        <w:rPr>
          <w:bCs/>
          <w:szCs w:val="22"/>
        </w:rPr>
        <w:t>venu arrêté provisoirement par la police peut communiquer immédiatement et librement avec son défenseur, qui a également le droit d’être présent dès la première audition de son client. Cette innovation répond à une exigence formulée par diff</w:t>
      </w:r>
      <w:r>
        <w:rPr>
          <w:bCs/>
          <w:szCs w:val="22"/>
        </w:rPr>
        <w:t>é</w:t>
      </w:r>
      <w:r>
        <w:rPr>
          <w:bCs/>
          <w:szCs w:val="22"/>
        </w:rPr>
        <w:t>rents comités internationaux des droits humains</w:t>
      </w:r>
      <w:r>
        <w:rPr>
          <w:rStyle w:val="FootnoteReference"/>
        </w:rPr>
        <w:footnoteReference w:id="80"/>
      </w:r>
      <w:r>
        <w:rPr>
          <w:sz w:val="20"/>
        </w:rPr>
        <w:t>.</w:t>
      </w:r>
    </w:p>
    <w:p w:rsidR="00000000" w:rsidRDefault="00000000">
      <w:pPr>
        <w:spacing w:after="200"/>
        <w:rPr>
          <w:bCs/>
          <w:szCs w:val="22"/>
        </w:rPr>
      </w:pPr>
      <w:r>
        <w:rPr>
          <w:bCs/>
          <w:szCs w:val="22"/>
        </w:rPr>
        <w:t>116.</w:t>
      </w:r>
      <w:r>
        <w:rPr>
          <w:bCs/>
          <w:szCs w:val="22"/>
        </w:rPr>
        <w:tab/>
        <w:t>L’harmonisation des différentes procédures augmentera la sécurité du droit et dim</w:t>
      </w:r>
      <w:r>
        <w:rPr>
          <w:bCs/>
          <w:szCs w:val="22"/>
        </w:rPr>
        <w:t>i</w:t>
      </w:r>
      <w:r>
        <w:rPr>
          <w:bCs/>
          <w:szCs w:val="22"/>
        </w:rPr>
        <w:t xml:space="preserve">nuera le nombre des inégalités de traitement. On souhaite pouvoir intervenir rapidement et sans complications </w:t>
      </w:r>
      <w:proofErr w:type="spellStart"/>
      <w:r>
        <w:rPr>
          <w:bCs/>
          <w:szCs w:val="22"/>
        </w:rPr>
        <w:t>par</w:t>
      </w:r>
      <w:r>
        <w:rPr>
          <w:bCs/>
          <w:szCs w:val="22"/>
        </w:rPr>
        <w:noBreakHyphen/>
        <w:t>delà</w:t>
      </w:r>
      <w:proofErr w:type="spellEnd"/>
      <w:r>
        <w:rPr>
          <w:bCs/>
          <w:szCs w:val="22"/>
        </w:rPr>
        <w:t xml:space="preserve"> les frontières cantonales, ce qui accroîtra l’efficacité de la lutte contre la criminalité sans toutefois restreindre les droits de la défense dans leur ensemble.</w:t>
      </w:r>
    </w:p>
    <w:p w:rsidR="00000000" w:rsidRDefault="00000000">
      <w:pPr>
        <w:spacing w:after="200"/>
        <w:rPr>
          <w:bCs/>
          <w:szCs w:val="22"/>
        </w:rPr>
      </w:pPr>
      <w:r>
        <w:t>117.</w:t>
      </w:r>
      <w:r>
        <w:tab/>
        <w:t xml:space="preserve">Pour ce qui est de l’unification de la </w:t>
      </w:r>
      <w:r>
        <w:rPr>
          <w:bCs/>
        </w:rPr>
        <w:t>procédure civile,</w:t>
      </w:r>
      <w:r>
        <w:t xml:space="preserve"> nous renvoyons au paragraphe 36 </w:t>
      </w:r>
      <w:proofErr w:type="spellStart"/>
      <w:r>
        <w:t>ci</w:t>
      </w:r>
      <w:r>
        <w:noBreakHyphen/>
        <w:t>dessus</w:t>
      </w:r>
      <w:proofErr w:type="spellEnd"/>
      <w:r>
        <w:t>.</w:t>
      </w:r>
    </w:p>
    <w:p w:rsidR="00000000" w:rsidRDefault="00000000">
      <w:pPr>
        <w:keepNext/>
        <w:spacing w:after="200"/>
        <w:ind w:left="567" w:hanging="567"/>
        <w:rPr>
          <w:b/>
          <w:bCs/>
        </w:rPr>
      </w:pPr>
      <w:bookmarkStart w:id="88" w:name="_Toc163552229"/>
      <w:r>
        <w:rPr>
          <w:b/>
          <w:bCs/>
          <w:i/>
          <w:iCs/>
        </w:rPr>
        <w:t>b)</w:t>
      </w:r>
      <w:r>
        <w:rPr>
          <w:b/>
          <w:bCs/>
          <w:i/>
          <w:iCs/>
        </w:rPr>
        <w:tab/>
        <w:t>Loi fédérale sur l’investigation secrète et loi fédérale sur la surveillance de la correspondance par poste et télécommunication</w:t>
      </w:r>
      <w:bookmarkEnd w:id="88"/>
    </w:p>
    <w:p w:rsidR="00000000" w:rsidRDefault="00000000">
      <w:pPr>
        <w:spacing w:after="200"/>
        <w:rPr>
          <w:bCs/>
          <w:szCs w:val="22"/>
        </w:rPr>
      </w:pPr>
      <w:r>
        <w:rPr>
          <w:bCs/>
          <w:szCs w:val="22"/>
        </w:rPr>
        <w:t>118.</w:t>
      </w:r>
      <w:r>
        <w:rPr>
          <w:bCs/>
          <w:szCs w:val="22"/>
        </w:rPr>
        <w:tab/>
        <w:t xml:space="preserve">La </w:t>
      </w:r>
      <w:r>
        <w:rPr>
          <w:szCs w:val="22"/>
        </w:rPr>
        <w:t>loi fédérale sur l’investigation secrète (</w:t>
      </w:r>
      <w:proofErr w:type="spellStart"/>
      <w:r>
        <w:rPr>
          <w:szCs w:val="22"/>
        </w:rPr>
        <w:t>LFIS</w:t>
      </w:r>
      <w:proofErr w:type="spellEnd"/>
      <w:r>
        <w:rPr>
          <w:szCs w:val="22"/>
        </w:rPr>
        <w:t>)</w:t>
      </w:r>
      <w:r>
        <w:rPr>
          <w:bCs/>
          <w:szCs w:val="22"/>
        </w:rPr>
        <w:t xml:space="preserve"> est entrée en vigueur le 1</w:t>
      </w:r>
      <w:r>
        <w:rPr>
          <w:bCs/>
          <w:szCs w:val="22"/>
          <w:vertAlign w:val="superscript"/>
        </w:rPr>
        <w:t>er</w:t>
      </w:r>
      <w:r>
        <w:rPr>
          <w:bCs/>
          <w:szCs w:val="22"/>
        </w:rPr>
        <w:t xml:space="preserve"> janvier 2005. L’investigation secrète consiste, pour des membres de la police qui ne sont pas identifiables comme tels, à infiltrer des milieux criminels sous une fausse identité pour enquêter sur certa</w:t>
      </w:r>
      <w:r>
        <w:rPr>
          <w:bCs/>
          <w:szCs w:val="22"/>
        </w:rPr>
        <w:t>i</w:t>
      </w:r>
      <w:r>
        <w:rPr>
          <w:bCs/>
          <w:szCs w:val="22"/>
        </w:rPr>
        <w:t>nes infractions. La loi fédérale tient compte des exigences de l’efficacité de la poursuite p</w:t>
      </w:r>
      <w:r>
        <w:rPr>
          <w:bCs/>
          <w:szCs w:val="22"/>
        </w:rPr>
        <w:t>é</w:t>
      </w:r>
      <w:r>
        <w:rPr>
          <w:bCs/>
          <w:szCs w:val="22"/>
        </w:rPr>
        <w:t>nale tout en garantissant qu’il soit procédé de façon correcte du point de vue des règles de l’état de droit. Le recours à des agents infiltrés est limité à l’enquête sur des crimes particuli</w:t>
      </w:r>
      <w:r>
        <w:rPr>
          <w:bCs/>
          <w:szCs w:val="22"/>
        </w:rPr>
        <w:t>è</w:t>
      </w:r>
      <w:r>
        <w:rPr>
          <w:bCs/>
          <w:szCs w:val="22"/>
        </w:rPr>
        <w:t>rement graves, énumérés de façon exhaustive. Les opérations impliquant des agents infiltrés doivent en outre être proportionnées aux crimes commis et avoir été appro</w:t>
      </w:r>
      <w:r>
        <w:rPr>
          <w:bCs/>
          <w:szCs w:val="22"/>
        </w:rPr>
        <w:t>u</w:t>
      </w:r>
      <w:r>
        <w:rPr>
          <w:bCs/>
          <w:szCs w:val="22"/>
        </w:rPr>
        <w:t>vées par le juge.</w:t>
      </w:r>
    </w:p>
    <w:p w:rsidR="00000000" w:rsidRDefault="00000000">
      <w:pPr>
        <w:spacing w:after="200"/>
        <w:rPr>
          <w:bCs/>
          <w:szCs w:val="22"/>
        </w:rPr>
      </w:pPr>
      <w:r>
        <w:rPr>
          <w:bCs/>
          <w:szCs w:val="22"/>
        </w:rPr>
        <w:t>119.</w:t>
      </w:r>
      <w:r>
        <w:rPr>
          <w:bCs/>
          <w:szCs w:val="22"/>
        </w:rPr>
        <w:tab/>
        <w:t xml:space="preserve">La </w:t>
      </w:r>
      <w:r>
        <w:rPr>
          <w:szCs w:val="22"/>
        </w:rPr>
        <w:t>loi fédérale sur la surveillance de la correspondance par poste et télécommunic</w:t>
      </w:r>
      <w:r>
        <w:rPr>
          <w:szCs w:val="22"/>
        </w:rPr>
        <w:t>a</w:t>
      </w:r>
      <w:r>
        <w:rPr>
          <w:szCs w:val="22"/>
        </w:rPr>
        <w:t>tion (</w:t>
      </w:r>
      <w:proofErr w:type="spellStart"/>
      <w:r>
        <w:rPr>
          <w:szCs w:val="22"/>
        </w:rPr>
        <w:t>LSCPT</w:t>
      </w:r>
      <w:proofErr w:type="spellEnd"/>
      <w:r>
        <w:rPr>
          <w:szCs w:val="22"/>
        </w:rPr>
        <w:t>)</w:t>
      </w:r>
      <w:r>
        <w:rPr>
          <w:bCs/>
          <w:szCs w:val="22"/>
        </w:rPr>
        <w:t xml:space="preserve"> est entrée en vigueur le 1</w:t>
      </w:r>
      <w:r>
        <w:rPr>
          <w:bCs/>
          <w:szCs w:val="22"/>
          <w:vertAlign w:val="superscript"/>
        </w:rPr>
        <w:t>er</w:t>
      </w:r>
      <w:r>
        <w:rPr>
          <w:bCs/>
          <w:szCs w:val="22"/>
        </w:rPr>
        <w:t xml:space="preserve"> janvier 2002. Les conditions auxquelles une telle survei</w:t>
      </w:r>
      <w:r>
        <w:rPr>
          <w:bCs/>
          <w:szCs w:val="22"/>
        </w:rPr>
        <w:t>l</w:t>
      </w:r>
      <w:r>
        <w:rPr>
          <w:bCs/>
          <w:szCs w:val="22"/>
        </w:rPr>
        <w:t>lance peut être autorisée sont désormais les mêmes sur tout le territoire suisse: il faut que de graves soupçons pèsent sur la personne visée quant à la commission de l’une des infra</w:t>
      </w:r>
      <w:r>
        <w:rPr>
          <w:bCs/>
          <w:szCs w:val="22"/>
        </w:rPr>
        <w:t>c</w:t>
      </w:r>
      <w:r>
        <w:rPr>
          <w:bCs/>
          <w:szCs w:val="22"/>
        </w:rPr>
        <w:t>tions pénales énumérées dans la loi. Il faut en outre que la gravité de l’acte justifie la survei</w:t>
      </w:r>
      <w:r>
        <w:rPr>
          <w:bCs/>
          <w:szCs w:val="22"/>
        </w:rPr>
        <w:t>l</w:t>
      </w:r>
      <w:r>
        <w:rPr>
          <w:bCs/>
          <w:szCs w:val="22"/>
        </w:rPr>
        <w:t xml:space="preserve">lance et que </w:t>
      </w:r>
      <w:proofErr w:type="spellStart"/>
      <w:r>
        <w:rPr>
          <w:bCs/>
          <w:szCs w:val="22"/>
        </w:rPr>
        <w:t>celle</w:t>
      </w:r>
      <w:r>
        <w:rPr>
          <w:bCs/>
          <w:szCs w:val="22"/>
        </w:rPr>
        <w:noBreakHyphen/>
        <w:t>ci</w:t>
      </w:r>
      <w:proofErr w:type="spellEnd"/>
      <w:r>
        <w:rPr>
          <w:bCs/>
          <w:szCs w:val="22"/>
        </w:rPr>
        <w:t xml:space="preserve"> soit ordonnée par une autorité judiciaire. L’atteinte à la sphère privée que con</w:t>
      </w:r>
      <w:r>
        <w:rPr>
          <w:bCs/>
          <w:szCs w:val="22"/>
        </w:rPr>
        <w:t>s</w:t>
      </w:r>
      <w:r>
        <w:rPr>
          <w:bCs/>
          <w:szCs w:val="22"/>
        </w:rPr>
        <w:t xml:space="preserve">titue la surveillance est compatible avec le paragraphe 2 de l’article 8 de la </w:t>
      </w:r>
      <w:proofErr w:type="spellStart"/>
      <w:r>
        <w:rPr>
          <w:bCs/>
          <w:szCs w:val="22"/>
        </w:rPr>
        <w:t>CEDH</w:t>
      </w:r>
      <w:proofErr w:type="spellEnd"/>
      <w:r>
        <w:rPr>
          <w:bCs/>
          <w:szCs w:val="22"/>
        </w:rPr>
        <w:t xml:space="preserve"> ainsi qu’avec la juri</w:t>
      </w:r>
      <w:r>
        <w:rPr>
          <w:bCs/>
          <w:szCs w:val="22"/>
        </w:rPr>
        <w:t>s</w:t>
      </w:r>
      <w:r>
        <w:rPr>
          <w:bCs/>
          <w:szCs w:val="22"/>
        </w:rPr>
        <w:t>prudence de la Cour européenne des droits de l’homme</w:t>
      </w:r>
      <w:r>
        <w:rPr>
          <w:rStyle w:val="FootnoteReference"/>
          <w:bCs/>
          <w:szCs w:val="22"/>
        </w:rPr>
        <w:footnoteReference w:id="81"/>
      </w:r>
      <w:r>
        <w:rPr>
          <w:bCs/>
          <w:szCs w:val="22"/>
        </w:rPr>
        <w:t>.</w:t>
      </w:r>
    </w:p>
    <w:p w:rsidR="00000000" w:rsidRDefault="00000000">
      <w:pPr>
        <w:keepNext/>
        <w:spacing w:after="240"/>
        <w:rPr>
          <w:b/>
          <w:bCs/>
        </w:rPr>
      </w:pPr>
      <w:bookmarkStart w:id="89" w:name="_Toc163552230"/>
      <w:r>
        <w:rPr>
          <w:b/>
          <w:bCs/>
          <w:i/>
          <w:iCs/>
        </w:rPr>
        <w:t>c)</w:t>
      </w:r>
      <w:r>
        <w:rPr>
          <w:b/>
          <w:bCs/>
          <w:i/>
          <w:iCs/>
        </w:rPr>
        <w:tab/>
        <w:t>Révision totale de l’organisation judiciaire fédérale</w:t>
      </w:r>
      <w:bookmarkEnd w:id="89"/>
    </w:p>
    <w:p w:rsidR="00000000" w:rsidRDefault="00000000">
      <w:pPr>
        <w:spacing w:after="240"/>
        <w:rPr>
          <w:bCs/>
          <w:szCs w:val="22"/>
        </w:rPr>
      </w:pPr>
      <w:r>
        <w:rPr>
          <w:bCs/>
          <w:szCs w:val="22"/>
        </w:rPr>
        <w:t>120.</w:t>
      </w:r>
      <w:r>
        <w:rPr>
          <w:bCs/>
          <w:szCs w:val="22"/>
        </w:rPr>
        <w:tab/>
        <w:t>Le 28 février 2001, le Gouvernement suisse a soumis au Parlement le me</w:t>
      </w:r>
      <w:r>
        <w:rPr>
          <w:bCs/>
          <w:szCs w:val="22"/>
        </w:rPr>
        <w:t>s</w:t>
      </w:r>
      <w:r>
        <w:rPr>
          <w:bCs/>
          <w:szCs w:val="22"/>
        </w:rPr>
        <w:t>sage relatif à la révision totale de l’organisation judiciaire fédérale. Il s’agit là du premier pan de la r</w:t>
      </w:r>
      <w:r>
        <w:rPr>
          <w:bCs/>
          <w:szCs w:val="22"/>
        </w:rPr>
        <w:t>é</w:t>
      </w:r>
      <w:r>
        <w:rPr>
          <w:bCs/>
          <w:szCs w:val="22"/>
        </w:rPr>
        <w:t>forme de la justice qui se trouve concrétisé au niveau de la loi</w:t>
      </w:r>
      <w:r>
        <w:rPr>
          <w:szCs w:val="22"/>
        </w:rPr>
        <w:t xml:space="preserve">. </w:t>
      </w:r>
      <w:r>
        <w:rPr>
          <w:bCs/>
          <w:szCs w:val="22"/>
        </w:rPr>
        <w:t xml:space="preserve">La </w:t>
      </w:r>
      <w:r>
        <w:rPr>
          <w:szCs w:val="22"/>
        </w:rPr>
        <w:t>loi fédérale sur le Tribunal fédéral (</w:t>
      </w:r>
      <w:proofErr w:type="spellStart"/>
      <w:r>
        <w:rPr>
          <w:szCs w:val="22"/>
        </w:rPr>
        <w:t>LTF</w:t>
      </w:r>
      <w:proofErr w:type="spellEnd"/>
      <w:r>
        <w:rPr>
          <w:szCs w:val="22"/>
        </w:rPr>
        <w:t>),</w:t>
      </w:r>
      <w:r>
        <w:rPr>
          <w:b/>
          <w:bCs/>
          <w:szCs w:val="22"/>
        </w:rPr>
        <w:t xml:space="preserve"> </w:t>
      </w:r>
      <w:r>
        <w:rPr>
          <w:szCs w:val="22"/>
        </w:rPr>
        <w:t>qui</w:t>
      </w:r>
      <w:r>
        <w:rPr>
          <w:bCs/>
          <w:szCs w:val="22"/>
        </w:rPr>
        <w:t xml:space="preserve"> viendra remplacer la loi fédérale d’organisation judiciaire, a été votée par le Parlement le 17 juin 2005, et le délai pour le dépôt d’un référendum est échu le 6 octobre 2005 sans qu’une telle demande n’ait été présentée. Une des modifications les plus remarquables est l’introduction du recours unifié en matière de droit civil, de droit pénal et de droit public. Simplifié, le nouveau système des voies de r</w:t>
      </w:r>
      <w:r>
        <w:rPr>
          <w:bCs/>
          <w:szCs w:val="22"/>
        </w:rPr>
        <w:t>e</w:t>
      </w:r>
      <w:r>
        <w:rPr>
          <w:bCs/>
          <w:szCs w:val="22"/>
        </w:rPr>
        <w:t xml:space="preserve">cours viendra augmenter la sécurité du droit et permettra aux justiciables d’économiser du travail, du temps et de l’argent. Le Parlement a également approuvé la </w:t>
      </w:r>
      <w:r>
        <w:rPr>
          <w:szCs w:val="22"/>
        </w:rPr>
        <w:t>loi sur le Tribunal administratif fédéral (</w:t>
      </w:r>
      <w:proofErr w:type="spellStart"/>
      <w:r>
        <w:rPr>
          <w:szCs w:val="22"/>
        </w:rPr>
        <w:t>LTAF</w:t>
      </w:r>
      <w:proofErr w:type="spellEnd"/>
      <w:r>
        <w:rPr>
          <w:bCs/>
          <w:szCs w:val="22"/>
        </w:rPr>
        <w:t>), qui prévoit un Tribunal administratif fédéral unique destiné à remplacer les commissions de r</w:t>
      </w:r>
      <w:r>
        <w:rPr>
          <w:bCs/>
          <w:szCs w:val="22"/>
        </w:rPr>
        <w:t>e</w:t>
      </w:r>
      <w:r>
        <w:rPr>
          <w:bCs/>
          <w:szCs w:val="22"/>
        </w:rPr>
        <w:t>cours et de conciliation existantes. Le Tribunal administratif fédéral fonctionnera dès 2007. La loi fédérale sur le Tribunal pénal fédéral a déjà été votée. Le Tribunal a pris ses fonctions le 1</w:t>
      </w:r>
      <w:r>
        <w:rPr>
          <w:bCs/>
          <w:szCs w:val="22"/>
          <w:vertAlign w:val="superscript"/>
        </w:rPr>
        <w:t>er</w:t>
      </w:r>
      <w:r>
        <w:rPr>
          <w:bCs/>
          <w:szCs w:val="22"/>
        </w:rPr>
        <w:t xml:space="preserve"> avril 2004.</w:t>
      </w:r>
    </w:p>
    <w:p w:rsidR="00000000" w:rsidRDefault="00000000">
      <w:pPr>
        <w:spacing w:after="240"/>
        <w:rPr>
          <w:bCs/>
          <w:szCs w:val="22"/>
        </w:rPr>
      </w:pPr>
      <w:r>
        <w:rPr>
          <w:bCs/>
          <w:szCs w:val="22"/>
        </w:rPr>
        <w:t>121.</w:t>
      </w:r>
      <w:r>
        <w:rPr>
          <w:bCs/>
          <w:szCs w:val="22"/>
        </w:rPr>
        <w:tab/>
        <w:t>Différentes tentatives de créer un service de médiation au niveau fédéral ont déjà été entreprises. La dernière en date a été celle de la Commission des affa</w:t>
      </w:r>
      <w:r>
        <w:rPr>
          <w:bCs/>
          <w:szCs w:val="22"/>
        </w:rPr>
        <w:t>i</w:t>
      </w:r>
      <w:r>
        <w:rPr>
          <w:bCs/>
          <w:szCs w:val="22"/>
        </w:rPr>
        <w:t xml:space="preserve">res politiques du Conseil national, qui a présenté un </w:t>
      </w:r>
      <w:proofErr w:type="spellStart"/>
      <w:r>
        <w:rPr>
          <w:bCs/>
          <w:szCs w:val="22"/>
        </w:rPr>
        <w:t>avant</w:t>
      </w:r>
      <w:r>
        <w:rPr>
          <w:bCs/>
          <w:szCs w:val="22"/>
        </w:rPr>
        <w:noBreakHyphen/>
        <w:t>projet</w:t>
      </w:r>
      <w:proofErr w:type="spellEnd"/>
      <w:r>
        <w:rPr>
          <w:bCs/>
          <w:szCs w:val="22"/>
        </w:rPr>
        <w:t xml:space="preserve"> de loi fédérale sur le Bureau fédéral de m</w:t>
      </w:r>
      <w:r>
        <w:rPr>
          <w:bCs/>
          <w:szCs w:val="22"/>
        </w:rPr>
        <w:t>é</w:t>
      </w:r>
      <w:r>
        <w:rPr>
          <w:bCs/>
          <w:szCs w:val="22"/>
        </w:rPr>
        <w:t>diation. Le médiateur, tel qu’il était prévu dans ce projet, aurait eu pour mission de consei</w:t>
      </w:r>
      <w:r>
        <w:rPr>
          <w:bCs/>
          <w:szCs w:val="22"/>
        </w:rPr>
        <w:t>l</w:t>
      </w:r>
      <w:r>
        <w:rPr>
          <w:bCs/>
          <w:szCs w:val="22"/>
        </w:rPr>
        <w:t>ler les personnes physiques ou morales dans leurs relations avec les autorités fédérales et de s’entremettre en cas de litige. Compte tenu des résultats de la procédure de consultation et de la situation financière très tendue, la Commission a finalement décidé d’abandonner le projet</w:t>
      </w:r>
      <w:r>
        <w:rPr>
          <w:rStyle w:val="FootnoteReference"/>
          <w:bCs/>
          <w:szCs w:val="22"/>
        </w:rPr>
        <w:footnoteReference w:id="82"/>
      </w:r>
      <w:r>
        <w:rPr>
          <w:bCs/>
          <w:szCs w:val="22"/>
        </w:rPr>
        <w:t>. Une intervention au contenu identique, présentée sous la forme d’une initiative pa</w:t>
      </w:r>
      <w:r>
        <w:rPr>
          <w:bCs/>
          <w:szCs w:val="22"/>
        </w:rPr>
        <w:t>r</w:t>
      </w:r>
      <w:r>
        <w:rPr>
          <w:bCs/>
          <w:szCs w:val="22"/>
        </w:rPr>
        <w:t>lementaire, a également été rejetée par le Conseil national peu de temps après</w:t>
      </w:r>
      <w:r>
        <w:rPr>
          <w:rStyle w:val="FootnoteReference"/>
          <w:bCs/>
          <w:szCs w:val="22"/>
        </w:rPr>
        <w:footnoteReference w:id="83"/>
      </w:r>
      <w:r>
        <w:rPr>
          <w:bCs/>
          <w:szCs w:val="22"/>
        </w:rPr>
        <w:t xml:space="preserve">. </w:t>
      </w:r>
    </w:p>
    <w:p w:rsidR="00000000" w:rsidRDefault="00000000">
      <w:pPr>
        <w:keepNext/>
        <w:spacing w:after="240"/>
        <w:jc w:val="center"/>
        <w:rPr>
          <w:b/>
          <w:bCs/>
          <w:szCs w:val="24"/>
        </w:rPr>
      </w:pPr>
      <w:bookmarkStart w:id="90" w:name="_Toc163552231"/>
      <w:r>
        <w:rPr>
          <w:b/>
          <w:bCs/>
          <w:szCs w:val="24"/>
        </w:rPr>
        <w:t>2.  Droit à la sûreté de la personne et à la protection de l’</w:t>
      </w:r>
      <w:proofErr w:type="spellStart"/>
      <w:r>
        <w:rPr>
          <w:b/>
          <w:bCs/>
          <w:szCs w:val="24"/>
        </w:rPr>
        <w:t>État</w:t>
      </w:r>
      <w:proofErr w:type="spellEnd"/>
      <w:r>
        <w:rPr>
          <w:b/>
          <w:bCs/>
          <w:szCs w:val="24"/>
        </w:rPr>
        <w:t xml:space="preserve"> </w:t>
      </w:r>
      <w:r>
        <w:rPr>
          <w:b/>
          <w:bCs/>
          <w:szCs w:val="24"/>
        </w:rPr>
        <w:br/>
        <w:t xml:space="preserve">(art. 5, al. </w:t>
      </w:r>
      <w:r>
        <w:rPr>
          <w:b/>
          <w:bCs/>
          <w:i/>
          <w:iCs/>
          <w:szCs w:val="24"/>
        </w:rPr>
        <w:t>b</w:t>
      </w:r>
      <w:r>
        <w:rPr>
          <w:b/>
          <w:bCs/>
          <w:szCs w:val="24"/>
        </w:rPr>
        <w:t>)</w:t>
      </w:r>
      <w:r>
        <w:rPr>
          <w:rStyle w:val="FootnoteReference"/>
          <w:szCs w:val="24"/>
        </w:rPr>
        <w:footnoteReference w:id="84"/>
      </w:r>
      <w:bookmarkEnd w:id="90"/>
    </w:p>
    <w:p w:rsidR="00000000" w:rsidRDefault="00000000">
      <w:pPr>
        <w:spacing w:after="240"/>
        <w:rPr>
          <w:bCs/>
          <w:szCs w:val="22"/>
        </w:rPr>
      </w:pPr>
      <w:r>
        <w:rPr>
          <w:bCs/>
          <w:szCs w:val="22"/>
        </w:rPr>
        <w:t>122.</w:t>
      </w:r>
      <w:r>
        <w:rPr>
          <w:bCs/>
          <w:szCs w:val="22"/>
        </w:rPr>
        <w:tab/>
        <w:t>En cas de mauvais traitements relevant du droit pénal commis par des organes de la police, les victimes peuvent dénoncer la commission d’infractions pénales. Ces actes, en concours nécessaire avec l’abus d’autorité (art. 312 CP), se poursuivent d’office et sont just</w:t>
      </w:r>
      <w:r>
        <w:rPr>
          <w:bCs/>
          <w:szCs w:val="22"/>
        </w:rPr>
        <w:t>i</w:t>
      </w:r>
      <w:r>
        <w:rPr>
          <w:bCs/>
          <w:szCs w:val="22"/>
        </w:rPr>
        <w:t>ciables des autorités judiciaires pénales. Dans de nombreux cantons, la plainte peut être d</w:t>
      </w:r>
      <w:r>
        <w:rPr>
          <w:bCs/>
          <w:szCs w:val="22"/>
        </w:rPr>
        <w:t>é</w:t>
      </w:r>
      <w:r>
        <w:rPr>
          <w:bCs/>
          <w:szCs w:val="22"/>
        </w:rPr>
        <w:t>posée auprès de l’une des différentes autorités de poursuite pénale. Un jugement en pr</w:t>
      </w:r>
      <w:r>
        <w:rPr>
          <w:bCs/>
          <w:szCs w:val="22"/>
        </w:rPr>
        <w:t>e</w:t>
      </w:r>
      <w:r>
        <w:rPr>
          <w:bCs/>
          <w:szCs w:val="22"/>
        </w:rPr>
        <w:t xml:space="preserve">mière instance ou une décision de </w:t>
      </w:r>
      <w:proofErr w:type="spellStart"/>
      <w:r>
        <w:rPr>
          <w:bCs/>
          <w:szCs w:val="22"/>
        </w:rPr>
        <w:t>non</w:t>
      </w:r>
      <w:r>
        <w:rPr>
          <w:bCs/>
          <w:szCs w:val="22"/>
        </w:rPr>
        <w:noBreakHyphen/>
        <w:t>entrée</w:t>
      </w:r>
      <w:proofErr w:type="spellEnd"/>
      <w:r>
        <w:rPr>
          <w:bCs/>
          <w:szCs w:val="22"/>
        </w:rPr>
        <w:t xml:space="preserve"> en matière peut être contesté d’abord au n</w:t>
      </w:r>
      <w:r>
        <w:rPr>
          <w:bCs/>
          <w:szCs w:val="22"/>
        </w:rPr>
        <w:t>i</w:t>
      </w:r>
      <w:r>
        <w:rPr>
          <w:bCs/>
          <w:szCs w:val="22"/>
        </w:rPr>
        <w:t>veau cant</w:t>
      </w:r>
      <w:r>
        <w:rPr>
          <w:bCs/>
          <w:szCs w:val="22"/>
        </w:rPr>
        <w:t>o</w:t>
      </w:r>
      <w:r>
        <w:rPr>
          <w:bCs/>
          <w:szCs w:val="22"/>
        </w:rPr>
        <w:t>nal, puis devant le Tribunal fédéral</w:t>
      </w:r>
      <w:r>
        <w:rPr>
          <w:rStyle w:val="FootnoteReference"/>
          <w:bCs/>
          <w:szCs w:val="22"/>
        </w:rPr>
        <w:footnoteReference w:id="85"/>
      </w:r>
      <w:r>
        <w:rPr>
          <w:bCs/>
          <w:szCs w:val="22"/>
        </w:rPr>
        <w:t>.</w:t>
      </w:r>
      <w:bookmarkEnd w:id="83"/>
    </w:p>
    <w:p w:rsidR="00000000" w:rsidRDefault="00000000">
      <w:pPr>
        <w:spacing w:after="240"/>
        <w:rPr>
          <w:bCs/>
          <w:szCs w:val="22"/>
        </w:rPr>
      </w:pPr>
      <w:r>
        <w:rPr>
          <w:bCs/>
          <w:szCs w:val="22"/>
        </w:rPr>
        <w:t>123.</w:t>
      </w:r>
      <w:r>
        <w:rPr>
          <w:bCs/>
          <w:szCs w:val="22"/>
        </w:rPr>
        <w:tab/>
        <w:t>Un comportement fautif de la police peut aussi entraîner des mesures disciplina</w:t>
      </w:r>
      <w:r>
        <w:rPr>
          <w:bCs/>
          <w:szCs w:val="22"/>
        </w:rPr>
        <w:t>i</w:t>
      </w:r>
      <w:r>
        <w:rPr>
          <w:bCs/>
          <w:szCs w:val="22"/>
        </w:rPr>
        <w:t xml:space="preserve">res. </w:t>
      </w:r>
      <w:proofErr w:type="spellStart"/>
      <w:r>
        <w:rPr>
          <w:bCs/>
          <w:szCs w:val="22"/>
        </w:rPr>
        <w:t>Celles</w:t>
      </w:r>
      <w:r>
        <w:rPr>
          <w:bCs/>
          <w:szCs w:val="22"/>
        </w:rPr>
        <w:noBreakHyphen/>
        <w:t>ci</w:t>
      </w:r>
      <w:proofErr w:type="spellEnd"/>
      <w:r>
        <w:rPr>
          <w:bCs/>
          <w:szCs w:val="22"/>
        </w:rPr>
        <w:t xml:space="preserve"> ne représentent pas une peine au sens strict du terme, mais une sanction admini</w:t>
      </w:r>
      <w:r>
        <w:rPr>
          <w:bCs/>
          <w:szCs w:val="22"/>
        </w:rPr>
        <w:t>s</w:t>
      </w:r>
      <w:r>
        <w:rPr>
          <w:bCs/>
          <w:szCs w:val="22"/>
        </w:rPr>
        <w:t>trative répressive, dont le but est de préserver le crédit, l’autorité et la confiance dont la police bénéficie. La procédure pour violation des devoirs de fonction est généralement conduite par l’autorité de surveillance de la police</w:t>
      </w:r>
      <w:r>
        <w:rPr>
          <w:rStyle w:val="FootnoteReference"/>
          <w:bCs/>
          <w:szCs w:val="22"/>
        </w:rPr>
        <w:footnoteReference w:id="86"/>
      </w:r>
      <w:r>
        <w:rPr>
          <w:bCs/>
          <w:szCs w:val="22"/>
        </w:rPr>
        <w:t xml:space="preserve">. </w:t>
      </w:r>
    </w:p>
    <w:p w:rsidR="00000000" w:rsidRDefault="00000000">
      <w:pPr>
        <w:spacing w:after="240"/>
        <w:rPr>
          <w:bCs/>
          <w:szCs w:val="22"/>
        </w:rPr>
      </w:pPr>
      <w:r>
        <w:rPr>
          <w:bCs/>
          <w:szCs w:val="22"/>
        </w:rPr>
        <w:t>124.</w:t>
      </w:r>
      <w:r>
        <w:rPr>
          <w:bCs/>
          <w:szCs w:val="22"/>
        </w:rPr>
        <w:tab/>
        <w:t>Lors du renvoi d’étrangers, le recours de la police à la violence a posé des pr</w:t>
      </w:r>
      <w:r>
        <w:rPr>
          <w:bCs/>
          <w:szCs w:val="22"/>
        </w:rPr>
        <w:t>o</w:t>
      </w:r>
      <w:r>
        <w:rPr>
          <w:bCs/>
          <w:szCs w:val="22"/>
        </w:rPr>
        <w:t>blèmes à plusieurs reprises. En 1999 et en 2001, l’usage de la contrainte a malheureusement été à l’origine de deux décès. Inquiète de cette évolution, la Conférence des directrices et dire</w:t>
      </w:r>
      <w:r>
        <w:rPr>
          <w:bCs/>
          <w:szCs w:val="22"/>
        </w:rPr>
        <w:t>c</w:t>
      </w:r>
      <w:r>
        <w:rPr>
          <w:bCs/>
          <w:szCs w:val="22"/>
        </w:rPr>
        <w:t>teurs des départements cantonaux de justice et police (</w:t>
      </w:r>
      <w:proofErr w:type="spellStart"/>
      <w:r>
        <w:rPr>
          <w:bCs/>
          <w:szCs w:val="22"/>
        </w:rPr>
        <w:t>CCDJP</w:t>
      </w:r>
      <w:proofErr w:type="spellEnd"/>
      <w:r>
        <w:rPr>
          <w:bCs/>
          <w:szCs w:val="22"/>
        </w:rPr>
        <w:t xml:space="preserve">) a émis des directives aux fins d’uniformiser les critères pour l’usage </w:t>
      </w:r>
      <w:r>
        <w:t>de la contrainte. Comme de simples directives ne suff</w:t>
      </w:r>
      <w:r>
        <w:t>i</w:t>
      </w:r>
      <w:r>
        <w:t>sent cependant pas à légaliser une atteinte à la liberté perso</w:t>
      </w:r>
      <w:r>
        <w:t>n</w:t>
      </w:r>
      <w:r>
        <w:t>nelle, la création d’une base légale s’est révélée n</w:t>
      </w:r>
      <w:r>
        <w:t>é</w:t>
      </w:r>
      <w:r>
        <w:t>cessaire.</w:t>
      </w:r>
    </w:p>
    <w:p w:rsidR="00000000" w:rsidRDefault="00000000">
      <w:pPr>
        <w:spacing w:after="240"/>
        <w:rPr>
          <w:bCs/>
          <w:szCs w:val="22"/>
        </w:rPr>
      </w:pPr>
      <w:r>
        <w:t>125.</w:t>
      </w:r>
      <w:r>
        <w:tab/>
        <w:t>Un projet de loi a donc été préparé à cet effet</w:t>
      </w:r>
      <w:r>
        <w:rPr>
          <w:rStyle w:val="FootnoteReference"/>
        </w:rPr>
        <w:footnoteReference w:id="87"/>
      </w:r>
      <w:r>
        <w:t>. La</w:t>
      </w:r>
      <w:r>
        <w:rPr>
          <w:b/>
        </w:rPr>
        <w:t xml:space="preserve"> </w:t>
      </w:r>
      <w:r>
        <w:rPr>
          <w:bCs/>
        </w:rPr>
        <w:t>loi sur l’usage de la contrainte</w:t>
      </w:r>
      <w:r>
        <w:rPr>
          <w:b/>
        </w:rPr>
        <w:t xml:space="preserve"> </w:t>
      </w:r>
      <w:r>
        <w:rPr>
          <w:bCs/>
        </w:rPr>
        <w:t>(</w:t>
      </w:r>
      <w:proofErr w:type="spellStart"/>
      <w:r>
        <w:rPr>
          <w:bCs/>
        </w:rPr>
        <w:t>LUsC</w:t>
      </w:r>
      <w:proofErr w:type="spellEnd"/>
      <w:r>
        <w:rPr>
          <w:bCs/>
        </w:rPr>
        <w:t>)</w:t>
      </w:r>
      <w:r>
        <w:t xml:space="preserve"> s’appliquera aux organes de police de la Confédération ainsi qu’aux organes des ca</w:t>
      </w:r>
      <w:r>
        <w:t>n</w:t>
      </w:r>
      <w:r>
        <w:t>tons lorsque, sur mandat d’une autorité fédérale, ils procèdent au rapatriement forcé d’étrangers ou assurent le transport de personnes en Suisse. Uniforme et claire, la nouvelle réglementation vise à garantir le respect du principe de la proportionnalité par les autorités amenées à faire usage de la contrainte policière. Le recours à la force physique, à des moyens auxiliaires ou à des armes, doit être approprié aux circonstances et porter le moins possible atteinte à l’intégrité physique des personnes concernées. Selon la loi, les moyens auxiliaires admis sont les menottes et autres liens, ainsi que les chiens de service. Sont en revanche interdits les moyens auxiliaires pouvant entraver la respiration ou porter gravement atteinte à la santé des intéressés. La loi interdit également l’usage de dispositifs incapac</w:t>
      </w:r>
      <w:r>
        <w:t>i</w:t>
      </w:r>
      <w:r>
        <w:t>tants (appareils à électrochocs). La loi sur l’usage de la contrainte règle en outre l’assistance méd</w:t>
      </w:r>
      <w:r>
        <w:t>i</w:t>
      </w:r>
      <w:r>
        <w:t xml:space="preserve">cale et l’utilisation de médicaments. </w:t>
      </w:r>
      <w:proofErr w:type="spellStart"/>
      <w:r>
        <w:t>Ceux</w:t>
      </w:r>
      <w:r>
        <w:noBreakHyphen/>
        <w:t>ci</w:t>
      </w:r>
      <w:proofErr w:type="spellEnd"/>
      <w:r>
        <w:t xml:space="preserve"> ne peuvent être administrés qu’à des fins méd</w:t>
      </w:r>
      <w:r>
        <w:t>i</w:t>
      </w:r>
      <w:r>
        <w:t>cales. Ils ne peuvent être utilisés en lieu et place de la contrainte policière, aux fins de ca</w:t>
      </w:r>
      <w:r>
        <w:t>l</w:t>
      </w:r>
      <w:r>
        <w:t>mer ou d’endormir une personne. Enfin, la loi oblige les autorités à ne charger de tâches pouvant impliquer l’usage de la contrainte policière que des personnes spécialement fo</w:t>
      </w:r>
      <w:r>
        <w:t>r</w:t>
      </w:r>
      <w:r>
        <w:t>mées à cet effet. Le Conseil fédéral a approuvé le message à l’appui du projet de loi sur l’usage de la contrainte le 18 janvier 2006.</w:t>
      </w:r>
    </w:p>
    <w:p w:rsidR="00000000" w:rsidRDefault="00000000">
      <w:pPr>
        <w:spacing w:after="240"/>
        <w:jc w:val="center"/>
        <w:rPr>
          <w:b/>
          <w:bCs/>
          <w:szCs w:val="24"/>
        </w:rPr>
      </w:pPr>
      <w:bookmarkStart w:id="91" w:name="_Toc163552232"/>
      <w:r>
        <w:rPr>
          <w:b/>
          <w:bCs/>
          <w:szCs w:val="24"/>
        </w:rPr>
        <w:t xml:space="preserve">3.  Droits politiques </w:t>
      </w:r>
      <w:r>
        <w:rPr>
          <w:b/>
          <w:bCs/>
          <w:szCs w:val="24"/>
        </w:rPr>
        <w:br/>
        <w:t xml:space="preserve">(art. 5, al. </w:t>
      </w:r>
      <w:r>
        <w:rPr>
          <w:b/>
          <w:bCs/>
          <w:i/>
          <w:iCs/>
          <w:szCs w:val="24"/>
        </w:rPr>
        <w:t>c</w:t>
      </w:r>
      <w:r>
        <w:rPr>
          <w:b/>
          <w:bCs/>
          <w:szCs w:val="24"/>
        </w:rPr>
        <w:t>)</w:t>
      </w:r>
      <w:bookmarkEnd w:id="91"/>
    </w:p>
    <w:p w:rsidR="00000000" w:rsidRDefault="00000000">
      <w:pPr>
        <w:spacing w:after="240"/>
        <w:rPr>
          <w:bCs/>
          <w:szCs w:val="22"/>
        </w:rPr>
      </w:pPr>
      <w:r>
        <w:rPr>
          <w:bCs/>
          <w:szCs w:val="22"/>
        </w:rPr>
        <w:t>126.</w:t>
      </w:r>
      <w:r>
        <w:rPr>
          <w:bCs/>
          <w:szCs w:val="22"/>
        </w:rPr>
        <w:tab/>
        <w:t xml:space="preserve">Au niveau fédéral, le droit de vote est régi par les </w:t>
      </w:r>
      <w:r>
        <w:rPr>
          <w:szCs w:val="22"/>
        </w:rPr>
        <w:t>articles 136 et 39 de la Constitution fédérale</w:t>
      </w:r>
      <w:r>
        <w:rPr>
          <w:b/>
          <w:bCs/>
          <w:szCs w:val="22"/>
        </w:rPr>
        <w:t xml:space="preserve"> </w:t>
      </w:r>
      <w:r>
        <w:rPr>
          <w:szCs w:val="22"/>
        </w:rPr>
        <w:t>et par la</w:t>
      </w:r>
      <w:r>
        <w:rPr>
          <w:b/>
          <w:bCs/>
          <w:szCs w:val="22"/>
        </w:rPr>
        <w:t xml:space="preserve"> </w:t>
      </w:r>
      <w:r>
        <w:rPr>
          <w:szCs w:val="22"/>
        </w:rPr>
        <w:t>loi fédérale du 17 décembre 1976 sur les droits politiques (</w:t>
      </w:r>
      <w:proofErr w:type="spellStart"/>
      <w:r>
        <w:rPr>
          <w:szCs w:val="22"/>
        </w:rPr>
        <w:t>LDP</w:t>
      </w:r>
      <w:proofErr w:type="spellEnd"/>
      <w:r>
        <w:rPr>
          <w:szCs w:val="22"/>
        </w:rPr>
        <w:t>) (voir </w:t>
      </w:r>
      <w:proofErr w:type="spellStart"/>
      <w:r>
        <w:rPr>
          <w:szCs w:val="22"/>
        </w:rPr>
        <w:t>CERD</w:t>
      </w:r>
      <w:proofErr w:type="spellEnd"/>
      <w:r>
        <w:rPr>
          <w:szCs w:val="22"/>
        </w:rPr>
        <w:t>/C/351/</w:t>
      </w:r>
      <w:proofErr w:type="spellStart"/>
      <w:r>
        <w:rPr>
          <w:szCs w:val="22"/>
        </w:rPr>
        <w:t>Add.2</w:t>
      </w:r>
      <w:proofErr w:type="spellEnd"/>
      <w:r>
        <w:rPr>
          <w:szCs w:val="22"/>
        </w:rPr>
        <w:t>, par. 138 à 142).</w:t>
      </w:r>
      <w:r>
        <w:rPr>
          <w:bCs/>
          <w:szCs w:val="22"/>
        </w:rPr>
        <w:t xml:space="preserve"> Aux termes de l’article 136 de la Constitution, l’exercice des droits politiques est réservé aux personnes de nationalité suisse. Deux postulats, proposant l’octroi du droit de vote aux étrangers, ont été rejetés</w:t>
      </w:r>
      <w:r>
        <w:rPr>
          <w:rStyle w:val="FootnoteReference"/>
          <w:bCs/>
          <w:szCs w:val="22"/>
        </w:rPr>
        <w:footnoteReference w:id="88"/>
      </w:r>
      <w:r>
        <w:rPr>
          <w:bCs/>
          <w:szCs w:val="22"/>
        </w:rPr>
        <w:t>.</w:t>
      </w:r>
    </w:p>
    <w:p w:rsidR="00000000" w:rsidRDefault="00000000">
      <w:pPr>
        <w:spacing w:after="200"/>
        <w:rPr>
          <w:bCs/>
          <w:szCs w:val="22"/>
        </w:rPr>
      </w:pPr>
      <w:r>
        <w:rPr>
          <w:bCs/>
          <w:szCs w:val="22"/>
        </w:rPr>
        <w:t>127.</w:t>
      </w:r>
      <w:r>
        <w:rPr>
          <w:bCs/>
          <w:szCs w:val="22"/>
        </w:rPr>
        <w:tab/>
        <w:t>Aux niveaux cantonal et communal, ce sont les cantons qui, selon l’article 39 de la Constitution fédérale, règlent l’exercice des droits politiques. Depuis la présentation des deuxième et troisième rapports périodiques, la liste des cantons ayant accordé le droit de vote aux étrangers s’est a</w:t>
      </w:r>
      <w:r>
        <w:rPr>
          <w:bCs/>
          <w:szCs w:val="22"/>
        </w:rPr>
        <w:t>l</w:t>
      </w:r>
      <w:r>
        <w:rPr>
          <w:bCs/>
          <w:szCs w:val="22"/>
        </w:rPr>
        <w:t>longée: depuis 2002, le canton de Neuchâtel accorde le droit de vote en matière cantonale aux étra</w:t>
      </w:r>
      <w:r>
        <w:rPr>
          <w:bCs/>
          <w:szCs w:val="22"/>
        </w:rPr>
        <w:t>n</w:t>
      </w:r>
      <w:r>
        <w:rPr>
          <w:bCs/>
          <w:szCs w:val="22"/>
        </w:rPr>
        <w:t xml:space="preserve">gers qui bénéficient d’une autorisation d’établissement et qui sont domiciliés dans le canton depuis au moins cinq ans. Les constitutions des cantons des Grisons et de </w:t>
      </w:r>
      <w:proofErr w:type="spellStart"/>
      <w:r>
        <w:rPr>
          <w:bCs/>
          <w:szCs w:val="22"/>
        </w:rPr>
        <w:t>Bâle</w:t>
      </w:r>
      <w:r>
        <w:rPr>
          <w:bCs/>
          <w:szCs w:val="22"/>
        </w:rPr>
        <w:noBreakHyphen/>
        <w:t>ville</w:t>
      </w:r>
      <w:proofErr w:type="spellEnd"/>
      <w:r>
        <w:rPr>
          <w:bCs/>
          <w:szCs w:val="22"/>
        </w:rPr>
        <w:t xml:space="preserve"> permettent aux communes d’introduire le droit de vote des étrangers. Dans le canton de Vaud, les étrangers ont le droit de vote à condition qu’ils soient domiciliés en Suisse depuis au moins dix ans, dont trois au moins sur le territoire cantonal. Le canton de Fribourg, final</w:t>
      </w:r>
      <w:r>
        <w:rPr>
          <w:bCs/>
          <w:szCs w:val="22"/>
        </w:rPr>
        <w:t>e</w:t>
      </w:r>
      <w:r>
        <w:rPr>
          <w:bCs/>
          <w:szCs w:val="22"/>
        </w:rPr>
        <w:t>ment, vient d’accorder le droit de vote en matière communale à tous les étrangers qui sont au bénéfice d’une autorisation d’établissement et qui sont domiciliés dans le canton depuis au moins c</w:t>
      </w:r>
      <w:r>
        <w:rPr>
          <w:bCs/>
          <w:szCs w:val="22"/>
        </w:rPr>
        <w:t>i</w:t>
      </w:r>
      <w:r>
        <w:rPr>
          <w:bCs/>
          <w:szCs w:val="22"/>
        </w:rPr>
        <w:t>nq ans.</w:t>
      </w:r>
    </w:p>
    <w:p w:rsidR="00000000" w:rsidRDefault="00000000">
      <w:pPr>
        <w:spacing w:after="200"/>
        <w:rPr>
          <w:bCs/>
          <w:szCs w:val="22"/>
        </w:rPr>
      </w:pPr>
      <w:r>
        <w:rPr>
          <w:bCs/>
          <w:szCs w:val="22"/>
        </w:rPr>
        <w:t>128.</w:t>
      </w:r>
      <w:r>
        <w:rPr>
          <w:bCs/>
          <w:szCs w:val="22"/>
        </w:rPr>
        <w:tab/>
        <w:t>Les choses ont aussi changé en ce qui concerne les règles d’admission à la fon</w:t>
      </w:r>
      <w:r>
        <w:rPr>
          <w:bCs/>
          <w:szCs w:val="22"/>
        </w:rPr>
        <w:t>c</w:t>
      </w:r>
      <w:r>
        <w:rPr>
          <w:bCs/>
          <w:szCs w:val="22"/>
        </w:rPr>
        <w:t xml:space="preserve">tion publique. La nouvelle </w:t>
      </w:r>
      <w:r>
        <w:rPr>
          <w:szCs w:val="22"/>
        </w:rPr>
        <w:t>loi sur le personnel de la Confédération (</w:t>
      </w:r>
      <w:proofErr w:type="spellStart"/>
      <w:r>
        <w:rPr>
          <w:szCs w:val="22"/>
        </w:rPr>
        <w:t>LPers</w:t>
      </w:r>
      <w:proofErr w:type="spellEnd"/>
      <w:r>
        <w:rPr>
          <w:szCs w:val="22"/>
        </w:rPr>
        <w:t>)</w:t>
      </w:r>
      <w:r>
        <w:rPr>
          <w:bCs/>
          <w:szCs w:val="22"/>
        </w:rPr>
        <w:t>, entrée en vigueur au 1</w:t>
      </w:r>
      <w:r>
        <w:rPr>
          <w:bCs/>
          <w:szCs w:val="22"/>
          <w:vertAlign w:val="superscript"/>
        </w:rPr>
        <w:t>er</w:t>
      </w:r>
      <w:r>
        <w:rPr>
          <w:bCs/>
          <w:szCs w:val="22"/>
        </w:rPr>
        <w:t> janvier 2001, ne contient plus de disposition limitant l’accès aux postes impliquant l’exercice de la puissance publique aux personnes possédant la nationalité suisse</w:t>
      </w:r>
      <w:r>
        <w:rPr>
          <w:rStyle w:val="FootnoteReference"/>
          <w:bCs/>
          <w:szCs w:val="22"/>
        </w:rPr>
        <w:footnoteReference w:id="89"/>
      </w:r>
      <w:r>
        <w:rPr>
          <w:bCs/>
          <w:szCs w:val="22"/>
        </w:rPr>
        <w:t>. Dans le cas de certaines fonctions particulières, dans le secteur international notamment, l’engagement peut néanmoins être assujetti à la condition que le candidat soit de nationalité suisse. Les domaines dans lesquels de telles restrictions sont possibles sont définis dans l’ordonnance sur le pe</w:t>
      </w:r>
      <w:r>
        <w:rPr>
          <w:bCs/>
          <w:szCs w:val="22"/>
        </w:rPr>
        <w:t>r</w:t>
      </w:r>
      <w:r>
        <w:rPr>
          <w:bCs/>
          <w:szCs w:val="22"/>
        </w:rPr>
        <w:t>sonnel de la Confédération</w:t>
      </w:r>
      <w:r>
        <w:rPr>
          <w:rStyle w:val="FootnoteReference"/>
          <w:bCs/>
          <w:szCs w:val="22"/>
        </w:rPr>
        <w:footnoteReference w:id="90"/>
      </w:r>
      <w:r>
        <w:rPr>
          <w:bCs/>
          <w:szCs w:val="22"/>
        </w:rPr>
        <w:t>.</w:t>
      </w:r>
    </w:p>
    <w:p w:rsidR="00000000" w:rsidRDefault="00000000">
      <w:pPr>
        <w:keepNext/>
        <w:spacing w:after="200"/>
        <w:jc w:val="center"/>
        <w:rPr>
          <w:b/>
          <w:bCs/>
          <w:szCs w:val="24"/>
        </w:rPr>
      </w:pPr>
      <w:bookmarkStart w:id="92" w:name="_Toc163552233"/>
      <w:r>
        <w:rPr>
          <w:b/>
          <w:bCs/>
          <w:szCs w:val="24"/>
        </w:rPr>
        <w:t xml:space="preserve">4.  Autres droits civils </w:t>
      </w:r>
      <w:r>
        <w:rPr>
          <w:b/>
          <w:bCs/>
          <w:szCs w:val="24"/>
        </w:rPr>
        <w:br/>
        <w:t xml:space="preserve">(art. 5, al. </w:t>
      </w:r>
      <w:r>
        <w:rPr>
          <w:b/>
          <w:bCs/>
          <w:i/>
          <w:iCs/>
          <w:szCs w:val="24"/>
        </w:rPr>
        <w:t>d</w:t>
      </w:r>
      <w:r>
        <w:rPr>
          <w:b/>
          <w:bCs/>
          <w:szCs w:val="24"/>
        </w:rPr>
        <w:t>)</w:t>
      </w:r>
      <w:bookmarkEnd w:id="92"/>
    </w:p>
    <w:p w:rsidR="00000000" w:rsidRDefault="00000000">
      <w:pPr>
        <w:keepNext/>
        <w:spacing w:after="200"/>
        <w:ind w:left="567" w:hanging="567"/>
        <w:rPr>
          <w:b/>
          <w:bCs/>
        </w:rPr>
      </w:pPr>
      <w:bookmarkStart w:id="93" w:name="_Toc163552234"/>
      <w:r>
        <w:rPr>
          <w:b/>
          <w:bCs/>
          <w:i/>
          <w:iCs/>
        </w:rPr>
        <w:t>a)</w:t>
      </w:r>
      <w:r>
        <w:rPr>
          <w:b/>
          <w:bCs/>
          <w:i/>
          <w:iCs/>
        </w:rPr>
        <w:tab/>
        <w:t>Droit de circuler librement et de choisir son lieu de résidence à l’intérieur de l’</w:t>
      </w:r>
      <w:proofErr w:type="spellStart"/>
      <w:r>
        <w:rPr>
          <w:b/>
          <w:bCs/>
          <w:i/>
          <w:iCs/>
        </w:rPr>
        <w:t>État</w:t>
      </w:r>
      <w:proofErr w:type="spellEnd"/>
      <w:r>
        <w:rPr>
          <w:b/>
          <w:bCs/>
          <w:i/>
          <w:iCs/>
        </w:rPr>
        <w:t xml:space="preserve"> </w:t>
      </w:r>
      <w:r>
        <w:rPr>
          <w:b/>
          <w:bCs/>
        </w:rPr>
        <w:t>(art</w:t>
      </w:r>
      <w:r>
        <w:rPr>
          <w:b/>
          <w:bCs/>
          <w:i/>
          <w:iCs/>
        </w:rPr>
        <w:t>. 5, </w:t>
      </w:r>
      <w:r>
        <w:rPr>
          <w:b/>
          <w:bCs/>
        </w:rPr>
        <w:t>al.</w:t>
      </w:r>
      <w:r>
        <w:rPr>
          <w:b/>
          <w:bCs/>
          <w:i/>
          <w:iCs/>
        </w:rPr>
        <w:t xml:space="preserve"> d, </w:t>
      </w:r>
      <w:r>
        <w:rPr>
          <w:b/>
          <w:bCs/>
        </w:rPr>
        <w:t>i))</w:t>
      </w:r>
      <w:bookmarkEnd w:id="93"/>
    </w:p>
    <w:p w:rsidR="00000000" w:rsidRDefault="00000000">
      <w:pPr>
        <w:spacing w:after="200"/>
        <w:rPr>
          <w:bCs/>
          <w:szCs w:val="22"/>
        </w:rPr>
      </w:pPr>
      <w:r>
        <w:rPr>
          <w:bCs/>
          <w:szCs w:val="22"/>
        </w:rPr>
        <w:t>129.</w:t>
      </w:r>
      <w:r>
        <w:rPr>
          <w:bCs/>
          <w:szCs w:val="22"/>
        </w:rPr>
        <w:tab/>
        <w:t>Comme nous l’avions déjà relevé dans le précédent rapport, seuls les ressortissants sui</w:t>
      </w:r>
      <w:r>
        <w:rPr>
          <w:bCs/>
          <w:szCs w:val="22"/>
        </w:rPr>
        <w:t>s</w:t>
      </w:r>
      <w:r>
        <w:rPr>
          <w:bCs/>
          <w:szCs w:val="22"/>
        </w:rPr>
        <w:t xml:space="preserve">ses peuvent invoquer le droit à la liberté d’établissement (art. 24, al. 1, </w:t>
      </w:r>
      <w:proofErr w:type="spellStart"/>
      <w:r>
        <w:rPr>
          <w:bCs/>
          <w:szCs w:val="22"/>
        </w:rPr>
        <w:t>Cst</w:t>
      </w:r>
      <w:proofErr w:type="spellEnd"/>
      <w:r>
        <w:rPr>
          <w:bCs/>
          <w:szCs w:val="22"/>
        </w:rPr>
        <w:t>. féd.). Depuis le 1</w:t>
      </w:r>
      <w:r>
        <w:rPr>
          <w:bCs/>
          <w:szCs w:val="22"/>
          <w:vertAlign w:val="superscript"/>
        </w:rPr>
        <w:t>er</w:t>
      </w:r>
      <w:r>
        <w:rPr>
          <w:bCs/>
          <w:szCs w:val="22"/>
        </w:rPr>
        <w:t xml:space="preserve"> juin 2002, 60 % des étrangers vivant en Suisse tombent toutefois sous le coup de l’</w:t>
      </w:r>
      <w:proofErr w:type="spellStart"/>
      <w:r>
        <w:rPr>
          <w:bCs/>
          <w:szCs w:val="22"/>
        </w:rPr>
        <w:t>Accord</w:t>
      </w:r>
      <w:proofErr w:type="spellEnd"/>
      <w:r>
        <w:rPr>
          <w:bCs/>
          <w:szCs w:val="22"/>
        </w:rPr>
        <w:t xml:space="preserve"> sur la libre circulation des personnes (</w:t>
      </w:r>
      <w:proofErr w:type="spellStart"/>
      <w:r>
        <w:rPr>
          <w:bCs/>
          <w:szCs w:val="22"/>
        </w:rPr>
        <w:t>ALCP</w:t>
      </w:r>
      <w:proofErr w:type="spellEnd"/>
      <w:r>
        <w:rPr>
          <w:bCs/>
          <w:szCs w:val="22"/>
        </w:rPr>
        <w:t>), qui s’applique aux ressorti</w:t>
      </w:r>
      <w:r>
        <w:rPr>
          <w:bCs/>
          <w:szCs w:val="22"/>
        </w:rPr>
        <w:t>s</w:t>
      </w:r>
      <w:r>
        <w:rPr>
          <w:bCs/>
          <w:szCs w:val="22"/>
        </w:rPr>
        <w:t>sants des pays membres de l’</w:t>
      </w:r>
      <w:proofErr w:type="spellStart"/>
      <w:r>
        <w:rPr>
          <w:bCs/>
          <w:szCs w:val="22"/>
        </w:rPr>
        <w:t>UE</w:t>
      </w:r>
      <w:proofErr w:type="spellEnd"/>
      <w:r>
        <w:rPr>
          <w:bCs/>
          <w:szCs w:val="22"/>
        </w:rPr>
        <w:t xml:space="preserve"> ou de l’</w:t>
      </w:r>
      <w:proofErr w:type="spellStart"/>
      <w:r>
        <w:rPr>
          <w:bCs/>
          <w:szCs w:val="22"/>
        </w:rPr>
        <w:t>AELE</w:t>
      </w:r>
      <w:proofErr w:type="spellEnd"/>
      <w:r>
        <w:rPr>
          <w:bCs/>
          <w:szCs w:val="22"/>
        </w:rPr>
        <w:t xml:space="preserve"> et qui confère à </w:t>
      </w:r>
      <w:proofErr w:type="spellStart"/>
      <w:r>
        <w:rPr>
          <w:bCs/>
          <w:szCs w:val="22"/>
        </w:rPr>
        <w:t>ceux</w:t>
      </w:r>
      <w:r>
        <w:rPr>
          <w:bCs/>
          <w:szCs w:val="22"/>
        </w:rPr>
        <w:noBreakHyphen/>
        <w:t>ci</w:t>
      </w:r>
      <w:proofErr w:type="spellEnd"/>
      <w:r>
        <w:rPr>
          <w:bCs/>
          <w:szCs w:val="22"/>
        </w:rPr>
        <w:t xml:space="preserve"> un droit à la mobilité professionnelle et géographique et leur garantit donc un statut équivalant à celui des resso</w:t>
      </w:r>
      <w:r>
        <w:rPr>
          <w:bCs/>
          <w:szCs w:val="22"/>
        </w:rPr>
        <w:t>r</w:t>
      </w:r>
      <w:r>
        <w:rPr>
          <w:bCs/>
          <w:szCs w:val="22"/>
        </w:rPr>
        <w:t>tissants suisses. Les autorisations accordées en vertu de la législation sur les étrangers ne sont plus limitées à certains cantons, mais valent pour l’ensemble du territoire suisse. Les étrangers qui changent d’emploi n’ont en outre plus besoin d’une autorisation suppléme</w:t>
      </w:r>
      <w:r>
        <w:rPr>
          <w:bCs/>
          <w:szCs w:val="22"/>
        </w:rPr>
        <w:t>n</w:t>
      </w:r>
      <w:r>
        <w:rPr>
          <w:bCs/>
          <w:szCs w:val="22"/>
        </w:rPr>
        <w:t>taire.</w:t>
      </w:r>
    </w:p>
    <w:p w:rsidR="00000000" w:rsidRDefault="00000000">
      <w:pPr>
        <w:spacing w:after="200"/>
        <w:rPr>
          <w:bCs/>
          <w:szCs w:val="22"/>
        </w:rPr>
      </w:pPr>
      <w:r>
        <w:rPr>
          <w:bCs/>
          <w:szCs w:val="22"/>
        </w:rPr>
        <w:t>130.</w:t>
      </w:r>
      <w:r>
        <w:rPr>
          <w:bCs/>
          <w:szCs w:val="22"/>
        </w:rPr>
        <w:tab/>
        <w:t xml:space="preserve">Tous les autres étrangers continuent d’être assujettis à la </w:t>
      </w:r>
      <w:proofErr w:type="spellStart"/>
      <w:r>
        <w:rPr>
          <w:bCs/>
          <w:szCs w:val="22"/>
        </w:rPr>
        <w:t>LSEE</w:t>
      </w:r>
      <w:proofErr w:type="spellEnd"/>
      <w:r>
        <w:rPr>
          <w:bCs/>
          <w:szCs w:val="22"/>
        </w:rPr>
        <w:t>. Nous renvoyons à ce propos aux deuxième et troisième rapports périodiques (</w:t>
      </w:r>
      <w:proofErr w:type="spellStart"/>
      <w:r>
        <w:rPr>
          <w:bCs/>
          <w:szCs w:val="22"/>
        </w:rPr>
        <w:t>CERD</w:t>
      </w:r>
      <w:proofErr w:type="spellEnd"/>
      <w:r>
        <w:rPr>
          <w:bCs/>
          <w:szCs w:val="22"/>
        </w:rPr>
        <w:t>/C/351/</w:t>
      </w:r>
      <w:proofErr w:type="spellStart"/>
      <w:r>
        <w:rPr>
          <w:bCs/>
          <w:szCs w:val="22"/>
        </w:rPr>
        <w:t>Add.2</w:t>
      </w:r>
      <w:proofErr w:type="spellEnd"/>
      <w:r>
        <w:rPr>
          <w:bCs/>
          <w:szCs w:val="22"/>
        </w:rPr>
        <w:t>, par. 153 à 155).</w:t>
      </w:r>
    </w:p>
    <w:p w:rsidR="00000000" w:rsidRDefault="00000000">
      <w:pPr>
        <w:spacing w:after="200"/>
        <w:rPr>
          <w:bCs/>
          <w:szCs w:val="22"/>
        </w:rPr>
      </w:pPr>
      <w:r>
        <w:rPr>
          <w:bCs/>
          <w:szCs w:val="22"/>
        </w:rPr>
        <w:t>131.</w:t>
      </w:r>
      <w:r>
        <w:rPr>
          <w:bCs/>
          <w:szCs w:val="22"/>
        </w:rPr>
        <w:tab/>
        <w:t>À la faveur de la révision totale de la loi sur les étrangers, un a</w:t>
      </w:r>
      <w:r>
        <w:rPr>
          <w:bCs/>
          <w:szCs w:val="22"/>
        </w:rPr>
        <w:t>s</w:t>
      </w:r>
      <w:r>
        <w:rPr>
          <w:bCs/>
          <w:szCs w:val="22"/>
        </w:rPr>
        <w:t>souplissement a été prévu en matière de mobilité: les titulaires d’une autorisation de séjour ou d’établissement pourront choisir l</w:t>
      </w:r>
      <w:r>
        <w:rPr>
          <w:bCs/>
          <w:szCs w:val="22"/>
        </w:rPr>
        <w:t>i</w:t>
      </w:r>
      <w:r>
        <w:rPr>
          <w:bCs/>
          <w:szCs w:val="22"/>
        </w:rPr>
        <w:t xml:space="preserve">brement leur lieu de résidence sur le territoire du canton qui a octroyé l’autorisation (art. 36 </w:t>
      </w:r>
      <w:proofErr w:type="spellStart"/>
      <w:r>
        <w:rPr>
          <w:bCs/>
          <w:szCs w:val="22"/>
        </w:rPr>
        <w:t>LEtr</w:t>
      </w:r>
      <w:proofErr w:type="spellEnd"/>
      <w:r>
        <w:rPr>
          <w:bCs/>
          <w:szCs w:val="22"/>
        </w:rPr>
        <w:t>). Si le transfert de domicile dans un autre canton continue d’être soumis à autorisation, les titulaires d’une autorisation de séjour ou d’établissement y auront désormais droit et pou</w:t>
      </w:r>
      <w:r>
        <w:rPr>
          <w:bCs/>
          <w:szCs w:val="22"/>
        </w:rPr>
        <w:t>r</w:t>
      </w:r>
      <w:r>
        <w:rPr>
          <w:bCs/>
          <w:szCs w:val="22"/>
        </w:rPr>
        <w:t xml:space="preserve">ront donc y prétendre (art. 37 </w:t>
      </w:r>
      <w:proofErr w:type="spellStart"/>
      <w:r>
        <w:rPr>
          <w:bCs/>
          <w:szCs w:val="22"/>
        </w:rPr>
        <w:t>LEtr</w:t>
      </w:r>
      <w:proofErr w:type="spellEnd"/>
      <w:r>
        <w:rPr>
          <w:bCs/>
          <w:szCs w:val="22"/>
        </w:rPr>
        <w:t>).</w:t>
      </w:r>
    </w:p>
    <w:p w:rsidR="00000000" w:rsidRDefault="00000000">
      <w:pPr>
        <w:keepNext/>
        <w:spacing w:after="240"/>
        <w:ind w:left="567" w:hanging="567"/>
        <w:rPr>
          <w:b/>
          <w:bCs/>
        </w:rPr>
      </w:pPr>
      <w:bookmarkStart w:id="94" w:name="_Toc163552235"/>
      <w:r>
        <w:rPr>
          <w:b/>
          <w:bCs/>
          <w:i/>
          <w:iCs/>
        </w:rPr>
        <w:t>b)</w:t>
      </w:r>
      <w:r>
        <w:rPr>
          <w:b/>
          <w:bCs/>
          <w:i/>
          <w:iCs/>
        </w:rPr>
        <w:tab/>
        <w:t>Droit de quitter tout pays, y compris le sien, et de revenir dans son propre pays</w:t>
      </w:r>
      <w:r>
        <w:rPr>
          <w:b/>
          <w:bCs/>
        </w:rPr>
        <w:t xml:space="preserve"> (art. 5, al. </w:t>
      </w:r>
      <w:r>
        <w:rPr>
          <w:b/>
          <w:bCs/>
          <w:i/>
          <w:iCs/>
        </w:rPr>
        <w:t>d</w:t>
      </w:r>
      <w:r>
        <w:rPr>
          <w:b/>
          <w:bCs/>
        </w:rPr>
        <w:t xml:space="preserve">, </w:t>
      </w:r>
      <w:proofErr w:type="spellStart"/>
      <w:r>
        <w:rPr>
          <w:b/>
          <w:bCs/>
        </w:rPr>
        <w:t>ii</w:t>
      </w:r>
      <w:proofErr w:type="spellEnd"/>
      <w:r>
        <w:rPr>
          <w:b/>
          <w:bCs/>
        </w:rPr>
        <w:t>))</w:t>
      </w:r>
      <w:bookmarkEnd w:id="94"/>
      <w:r>
        <w:rPr>
          <w:b/>
          <w:bCs/>
        </w:rPr>
        <w:t xml:space="preserve"> </w:t>
      </w:r>
    </w:p>
    <w:p w:rsidR="00000000" w:rsidRDefault="00000000">
      <w:pPr>
        <w:spacing w:after="240"/>
        <w:rPr>
          <w:bCs/>
          <w:szCs w:val="22"/>
        </w:rPr>
      </w:pPr>
      <w:r>
        <w:rPr>
          <w:bCs/>
          <w:szCs w:val="22"/>
        </w:rPr>
        <w:t>132.</w:t>
      </w:r>
      <w:r>
        <w:rPr>
          <w:bCs/>
          <w:szCs w:val="22"/>
        </w:rPr>
        <w:tab/>
        <w:t>Nous renvoyons à ce propos aux deuxième et troisième rapports périodiques (</w:t>
      </w:r>
      <w:proofErr w:type="spellStart"/>
      <w:r>
        <w:rPr>
          <w:bCs/>
          <w:szCs w:val="22"/>
        </w:rPr>
        <w:t>CERD</w:t>
      </w:r>
      <w:proofErr w:type="spellEnd"/>
      <w:r>
        <w:rPr>
          <w:bCs/>
          <w:szCs w:val="22"/>
        </w:rPr>
        <w:t>/C/351/</w:t>
      </w:r>
      <w:proofErr w:type="spellStart"/>
      <w:r>
        <w:rPr>
          <w:bCs/>
          <w:szCs w:val="22"/>
        </w:rPr>
        <w:t>Add.2</w:t>
      </w:r>
      <w:proofErr w:type="spellEnd"/>
      <w:r>
        <w:rPr>
          <w:bCs/>
          <w:szCs w:val="22"/>
        </w:rPr>
        <w:t>, par. 156 et 157).</w:t>
      </w:r>
    </w:p>
    <w:p w:rsidR="00000000" w:rsidRDefault="00000000">
      <w:pPr>
        <w:keepNext/>
        <w:spacing w:after="240"/>
        <w:rPr>
          <w:b/>
          <w:bCs/>
        </w:rPr>
      </w:pPr>
      <w:bookmarkStart w:id="95" w:name="_Toc163552236"/>
      <w:r>
        <w:rPr>
          <w:b/>
          <w:bCs/>
          <w:i/>
          <w:iCs/>
        </w:rPr>
        <w:t>c)</w:t>
      </w:r>
      <w:r>
        <w:rPr>
          <w:b/>
          <w:bCs/>
          <w:i/>
          <w:iCs/>
        </w:rPr>
        <w:tab/>
        <w:t>Droit à une nationalité</w:t>
      </w:r>
      <w:r>
        <w:rPr>
          <w:b/>
          <w:bCs/>
        </w:rPr>
        <w:t xml:space="preserve"> (art. 5, al. </w:t>
      </w:r>
      <w:r>
        <w:rPr>
          <w:b/>
          <w:bCs/>
          <w:i/>
          <w:iCs/>
        </w:rPr>
        <w:t>d</w:t>
      </w:r>
      <w:r>
        <w:rPr>
          <w:b/>
          <w:bCs/>
        </w:rPr>
        <w:t xml:space="preserve">, </w:t>
      </w:r>
      <w:proofErr w:type="spellStart"/>
      <w:r>
        <w:rPr>
          <w:b/>
          <w:bCs/>
        </w:rPr>
        <w:t>iii</w:t>
      </w:r>
      <w:proofErr w:type="spellEnd"/>
      <w:r>
        <w:rPr>
          <w:b/>
          <w:bCs/>
        </w:rPr>
        <w:t>)</w:t>
      </w:r>
      <w:bookmarkEnd w:id="95"/>
      <w:r>
        <w:rPr>
          <w:b/>
          <w:bCs/>
        </w:rPr>
        <w:t>)</w:t>
      </w:r>
    </w:p>
    <w:p w:rsidR="00000000" w:rsidRDefault="00000000">
      <w:pPr>
        <w:spacing w:after="240"/>
        <w:rPr>
          <w:bCs/>
          <w:szCs w:val="22"/>
        </w:rPr>
      </w:pPr>
      <w:r>
        <w:rPr>
          <w:bCs/>
          <w:szCs w:val="22"/>
        </w:rPr>
        <w:t>133.</w:t>
      </w:r>
      <w:r>
        <w:rPr>
          <w:bCs/>
          <w:szCs w:val="22"/>
        </w:rPr>
        <w:tab/>
        <w:t>Les deux projets qui auraient facilité l’acquisition de la nationalité suisse par les jeunes étrangers ayant grandi en Suisse ont été rejetés par le peuple. À l’exception de quelques m</w:t>
      </w:r>
      <w:r>
        <w:rPr>
          <w:bCs/>
          <w:szCs w:val="22"/>
        </w:rPr>
        <w:t>o</w:t>
      </w:r>
      <w:r>
        <w:rPr>
          <w:bCs/>
          <w:szCs w:val="22"/>
        </w:rPr>
        <w:t xml:space="preserve">difications législatives, la politique suisse en matière de naturalisations n’a pas connu de changements fondamentaux (voir </w:t>
      </w:r>
      <w:r>
        <w:rPr>
          <w:bCs/>
          <w:i/>
          <w:iCs/>
          <w:szCs w:val="22"/>
        </w:rPr>
        <w:t>infra</w:t>
      </w:r>
      <w:r>
        <w:rPr>
          <w:bCs/>
          <w:szCs w:val="22"/>
        </w:rPr>
        <w:t>,</w:t>
      </w:r>
      <w:r>
        <w:rPr>
          <w:bCs/>
          <w:i/>
          <w:iCs/>
          <w:szCs w:val="22"/>
        </w:rPr>
        <w:t xml:space="preserve"> </w:t>
      </w:r>
      <w:r>
        <w:rPr>
          <w:bCs/>
          <w:szCs w:val="22"/>
        </w:rPr>
        <w:t>par. 256 à 273).</w:t>
      </w:r>
    </w:p>
    <w:p w:rsidR="00000000" w:rsidRDefault="00000000">
      <w:pPr>
        <w:spacing w:after="240"/>
        <w:rPr>
          <w:bCs/>
          <w:szCs w:val="22"/>
        </w:rPr>
      </w:pPr>
      <w:r>
        <w:rPr>
          <w:bCs/>
          <w:szCs w:val="22"/>
        </w:rPr>
        <w:t>134.</w:t>
      </w:r>
      <w:r>
        <w:rPr>
          <w:bCs/>
          <w:szCs w:val="22"/>
        </w:rPr>
        <w:tab/>
        <w:t>Le tableau qui suit donne un aperçu des naturalisations pour les années 2003 et 2004 en indiquant la nationalité d’origine des personnes naturalisées</w:t>
      </w:r>
      <w:r>
        <w:rPr>
          <w:rStyle w:val="FootnoteReference"/>
          <w:bCs/>
          <w:szCs w:val="22"/>
        </w:rPr>
        <w:footnoteReference w:id="91"/>
      </w:r>
      <w:r>
        <w:rPr>
          <w:bCs/>
          <w:szCs w:val="22"/>
        </w:rPr>
        <w:t>.</w:t>
      </w:r>
    </w:p>
    <w:p w:rsidR="00000000" w:rsidRDefault="00000000">
      <w:pPr>
        <w:keepNext/>
        <w:spacing w:after="120"/>
        <w:jc w:val="center"/>
        <w:rPr>
          <w:b/>
          <w:sz w:val="22"/>
          <w:szCs w:val="22"/>
        </w:rPr>
      </w:pPr>
      <w:r>
        <w:rPr>
          <w:b/>
          <w:sz w:val="22"/>
          <w:szCs w:val="22"/>
        </w:rPr>
        <w:t>Tableau 6: Aperçu des naturalisations par pays d’origine pour 2003 et 2004</w:t>
      </w:r>
    </w:p>
    <w:tbl>
      <w:tblPr>
        <w:tblW w:w="94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68" w:type="dxa"/>
          <w:right w:w="68" w:type="dxa"/>
        </w:tblCellMar>
        <w:tblLook w:val="01E0" w:firstRow="1" w:lastRow="1" w:firstColumn="1" w:lastColumn="1" w:noHBand="0" w:noVBand="0"/>
      </w:tblPr>
      <w:tblGrid>
        <w:gridCol w:w="2948"/>
        <w:gridCol w:w="1091"/>
        <w:gridCol w:w="1092"/>
        <w:gridCol w:w="1091"/>
        <w:gridCol w:w="1092"/>
        <w:gridCol w:w="1091"/>
        <w:gridCol w:w="1092"/>
      </w:tblGrid>
      <w:tr w:rsidR="00000000">
        <w:trPr>
          <w:cantSplit/>
        </w:trPr>
        <w:tc>
          <w:tcPr>
            <w:tcW w:w="2948" w:type="dxa"/>
            <w:vMerge w:val="restart"/>
            <w:noWrap/>
            <w:vAlign w:val="center"/>
          </w:tcPr>
          <w:p w:rsidR="00000000" w:rsidRDefault="00000000">
            <w:pPr>
              <w:keepNext/>
              <w:spacing w:before="30" w:after="30"/>
              <w:jc w:val="center"/>
              <w:rPr>
                <w:sz w:val="22"/>
              </w:rPr>
            </w:pPr>
            <w:r>
              <w:rPr>
                <w:sz w:val="22"/>
              </w:rPr>
              <w:t>Pays d’origine</w:t>
            </w:r>
          </w:p>
        </w:tc>
        <w:tc>
          <w:tcPr>
            <w:tcW w:w="2183" w:type="dxa"/>
            <w:gridSpan w:val="2"/>
            <w:noWrap/>
            <w:vAlign w:val="center"/>
          </w:tcPr>
          <w:p w:rsidR="00000000" w:rsidRDefault="00000000">
            <w:pPr>
              <w:keepNext/>
              <w:spacing w:before="30" w:after="30"/>
              <w:jc w:val="center"/>
              <w:rPr>
                <w:sz w:val="22"/>
              </w:rPr>
            </w:pPr>
            <w:r>
              <w:rPr>
                <w:sz w:val="22"/>
              </w:rPr>
              <w:t>Total</w:t>
            </w:r>
          </w:p>
        </w:tc>
        <w:tc>
          <w:tcPr>
            <w:tcW w:w="2183" w:type="dxa"/>
            <w:gridSpan w:val="2"/>
            <w:noWrap/>
            <w:vAlign w:val="center"/>
          </w:tcPr>
          <w:p w:rsidR="00000000" w:rsidRDefault="00000000">
            <w:pPr>
              <w:keepNext/>
              <w:spacing w:before="30" w:after="30"/>
              <w:jc w:val="center"/>
              <w:rPr>
                <w:sz w:val="22"/>
              </w:rPr>
            </w:pPr>
            <w:r>
              <w:rPr>
                <w:sz w:val="22"/>
              </w:rPr>
              <w:t>Ordinaires</w:t>
            </w:r>
          </w:p>
        </w:tc>
        <w:tc>
          <w:tcPr>
            <w:tcW w:w="2183" w:type="dxa"/>
            <w:gridSpan w:val="2"/>
            <w:noWrap/>
            <w:vAlign w:val="center"/>
          </w:tcPr>
          <w:p w:rsidR="00000000" w:rsidRDefault="00000000">
            <w:pPr>
              <w:keepNext/>
              <w:spacing w:before="30" w:after="30"/>
              <w:jc w:val="center"/>
              <w:rPr>
                <w:sz w:val="22"/>
              </w:rPr>
            </w:pPr>
            <w:r>
              <w:rPr>
                <w:sz w:val="22"/>
              </w:rPr>
              <w:t>Facilitées</w:t>
            </w:r>
            <w:r>
              <w:rPr>
                <w:rStyle w:val="FootnoteReference"/>
                <w:sz w:val="22"/>
              </w:rPr>
              <w:footnoteReference w:id="92"/>
            </w:r>
          </w:p>
        </w:tc>
      </w:tr>
      <w:tr w:rsidR="00000000">
        <w:trPr>
          <w:cantSplit/>
        </w:trPr>
        <w:tc>
          <w:tcPr>
            <w:tcW w:w="2948" w:type="dxa"/>
            <w:vMerge/>
            <w:noWrap/>
            <w:vAlign w:val="center"/>
          </w:tcPr>
          <w:p w:rsidR="00000000" w:rsidRDefault="00000000">
            <w:pPr>
              <w:keepNext/>
              <w:spacing w:before="30" w:after="30"/>
              <w:jc w:val="center"/>
              <w:rPr>
                <w:sz w:val="22"/>
              </w:rPr>
            </w:pPr>
          </w:p>
        </w:tc>
        <w:tc>
          <w:tcPr>
            <w:tcW w:w="1091" w:type="dxa"/>
            <w:noWrap/>
            <w:vAlign w:val="center"/>
          </w:tcPr>
          <w:p w:rsidR="00000000" w:rsidRDefault="00000000">
            <w:pPr>
              <w:keepNext/>
              <w:spacing w:before="30" w:after="30"/>
              <w:jc w:val="center"/>
              <w:rPr>
                <w:sz w:val="22"/>
              </w:rPr>
            </w:pPr>
            <w:r>
              <w:rPr>
                <w:sz w:val="22"/>
              </w:rPr>
              <w:t>2003</w:t>
            </w:r>
          </w:p>
        </w:tc>
        <w:tc>
          <w:tcPr>
            <w:tcW w:w="1092" w:type="dxa"/>
            <w:noWrap/>
            <w:vAlign w:val="center"/>
          </w:tcPr>
          <w:p w:rsidR="00000000" w:rsidRDefault="00000000">
            <w:pPr>
              <w:keepNext/>
              <w:spacing w:before="30" w:after="30"/>
              <w:jc w:val="center"/>
              <w:rPr>
                <w:sz w:val="22"/>
              </w:rPr>
            </w:pPr>
            <w:r>
              <w:rPr>
                <w:sz w:val="22"/>
              </w:rPr>
              <w:t>2004</w:t>
            </w:r>
          </w:p>
        </w:tc>
        <w:tc>
          <w:tcPr>
            <w:tcW w:w="1091" w:type="dxa"/>
            <w:noWrap/>
            <w:vAlign w:val="center"/>
          </w:tcPr>
          <w:p w:rsidR="00000000" w:rsidRDefault="00000000">
            <w:pPr>
              <w:keepNext/>
              <w:spacing w:before="30" w:after="30"/>
              <w:jc w:val="center"/>
              <w:rPr>
                <w:sz w:val="22"/>
              </w:rPr>
            </w:pPr>
            <w:r>
              <w:rPr>
                <w:sz w:val="22"/>
              </w:rPr>
              <w:t>2003</w:t>
            </w:r>
          </w:p>
        </w:tc>
        <w:tc>
          <w:tcPr>
            <w:tcW w:w="1092" w:type="dxa"/>
            <w:noWrap/>
            <w:vAlign w:val="center"/>
          </w:tcPr>
          <w:p w:rsidR="00000000" w:rsidRDefault="00000000">
            <w:pPr>
              <w:keepNext/>
              <w:spacing w:before="30" w:after="30"/>
              <w:jc w:val="center"/>
              <w:rPr>
                <w:sz w:val="22"/>
              </w:rPr>
            </w:pPr>
            <w:r>
              <w:rPr>
                <w:sz w:val="22"/>
              </w:rPr>
              <w:t>2004</w:t>
            </w:r>
          </w:p>
        </w:tc>
        <w:tc>
          <w:tcPr>
            <w:tcW w:w="1091" w:type="dxa"/>
            <w:noWrap/>
            <w:vAlign w:val="center"/>
          </w:tcPr>
          <w:p w:rsidR="00000000" w:rsidRDefault="00000000">
            <w:pPr>
              <w:keepNext/>
              <w:spacing w:before="30" w:after="30"/>
              <w:jc w:val="center"/>
              <w:rPr>
                <w:sz w:val="22"/>
              </w:rPr>
            </w:pPr>
            <w:r>
              <w:rPr>
                <w:sz w:val="22"/>
              </w:rPr>
              <w:t>2003</w:t>
            </w:r>
          </w:p>
        </w:tc>
        <w:tc>
          <w:tcPr>
            <w:tcW w:w="1092" w:type="dxa"/>
            <w:noWrap/>
            <w:vAlign w:val="center"/>
          </w:tcPr>
          <w:p w:rsidR="00000000" w:rsidRDefault="00000000">
            <w:pPr>
              <w:keepNext/>
              <w:spacing w:before="30" w:after="30"/>
              <w:jc w:val="center"/>
              <w:rPr>
                <w:sz w:val="22"/>
              </w:rPr>
            </w:pPr>
            <w:r>
              <w:rPr>
                <w:sz w:val="22"/>
              </w:rPr>
              <w:t>2004</w:t>
            </w:r>
          </w:p>
        </w:tc>
      </w:tr>
      <w:tr w:rsidR="00000000">
        <w:tc>
          <w:tcPr>
            <w:tcW w:w="2948" w:type="dxa"/>
            <w:noWrap/>
          </w:tcPr>
          <w:p w:rsidR="00000000" w:rsidRDefault="00000000">
            <w:pPr>
              <w:keepNext/>
              <w:spacing w:before="30" w:after="30"/>
              <w:rPr>
                <w:sz w:val="22"/>
              </w:rPr>
            </w:pPr>
            <w:proofErr w:type="spellStart"/>
            <w:r>
              <w:rPr>
                <w:sz w:val="22"/>
              </w:rPr>
              <w:t>Serbie</w:t>
            </w:r>
            <w:r>
              <w:rPr>
                <w:sz w:val="22"/>
              </w:rPr>
              <w:noBreakHyphen/>
              <w:t>et</w:t>
            </w:r>
            <w:r>
              <w:rPr>
                <w:sz w:val="22"/>
              </w:rPr>
              <w:noBreakHyphen/>
              <w:t>Mo</w:t>
            </w:r>
            <w:r>
              <w:rPr>
                <w:sz w:val="22"/>
              </w:rPr>
              <w:t>n</w:t>
            </w:r>
            <w:r>
              <w:rPr>
                <w:sz w:val="22"/>
              </w:rPr>
              <w:t>ténégro</w:t>
            </w:r>
            <w:proofErr w:type="spellEnd"/>
          </w:p>
        </w:tc>
        <w:tc>
          <w:tcPr>
            <w:tcW w:w="1091" w:type="dxa"/>
            <w:noWrap/>
          </w:tcPr>
          <w:p w:rsidR="00000000" w:rsidRDefault="00000000">
            <w:pPr>
              <w:keepNext/>
              <w:spacing w:before="30" w:after="30"/>
              <w:ind w:right="113"/>
              <w:jc w:val="right"/>
              <w:rPr>
                <w:sz w:val="22"/>
                <w:lang w:val="de-CH"/>
              </w:rPr>
            </w:pPr>
            <w:r>
              <w:rPr>
                <w:sz w:val="22"/>
                <w:lang w:val="de-CH"/>
              </w:rPr>
              <w:t>6 316</w:t>
            </w:r>
          </w:p>
        </w:tc>
        <w:tc>
          <w:tcPr>
            <w:tcW w:w="1092" w:type="dxa"/>
            <w:noWrap/>
          </w:tcPr>
          <w:p w:rsidR="00000000" w:rsidRDefault="00000000">
            <w:pPr>
              <w:keepNext/>
              <w:spacing w:before="30" w:after="30"/>
              <w:ind w:right="113"/>
              <w:jc w:val="right"/>
              <w:rPr>
                <w:sz w:val="22"/>
                <w:lang w:val="de-CH"/>
              </w:rPr>
            </w:pPr>
            <w:r>
              <w:rPr>
                <w:sz w:val="22"/>
                <w:lang w:val="de-CH"/>
              </w:rPr>
              <w:t>7 840</w:t>
            </w:r>
          </w:p>
        </w:tc>
        <w:tc>
          <w:tcPr>
            <w:tcW w:w="1091" w:type="dxa"/>
            <w:noWrap/>
          </w:tcPr>
          <w:p w:rsidR="00000000" w:rsidRDefault="00000000">
            <w:pPr>
              <w:keepNext/>
              <w:spacing w:before="30" w:after="30"/>
              <w:ind w:right="113"/>
              <w:jc w:val="right"/>
              <w:rPr>
                <w:sz w:val="22"/>
                <w:lang w:val="de-CH"/>
              </w:rPr>
            </w:pPr>
            <w:r>
              <w:rPr>
                <w:sz w:val="22"/>
                <w:lang w:val="de-CH"/>
              </w:rPr>
              <w:t>5 994</w:t>
            </w:r>
          </w:p>
        </w:tc>
        <w:tc>
          <w:tcPr>
            <w:tcW w:w="1092" w:type="dxa"/>
            <w:noWrap/>
          </w:tcPr>
          <w:p w:rsidR="00000000" w:rsidRDefault="00000000">
            <w:pPr>
              <w:keepNext/>
              <w:spacing w:before="30" w:after="30"/>
              <w:ind w:right="113"/>
              <w:jc w:val="right"/>
              <w:rPr>
                <w:sz w:val="22"/>
                <w:lang w:val="de-CH"/>
              </w:rPr>
            </w:pPr>
            <w:r>
              <w:rPr>
                <w:sz w:val="22"/>
                <w:lang w:val="de-CH"/>
              </w:rPr>
              <w:t>7 485</w:t>
            </w:r>
          </w:p>
        </w:tc>
        <w:tc>
          <w:tcPr>
            <w:tcW w:w="1091" w:type="dxa"/>
            <w:noWrap/>
          </w:tcPr>
          <w:p w:rsidR="00000000" w:rsidRDefault="00000000">
            <w:pPr>
              <w:keepNext/>
              <w:spacing w:before="30" w:after="30"/>
              <w:ind w:right="113"/>
              <w:jc w:val="right"/>
              <w:rPr>
                <w:sz w:val="22"/>
                <w:lang w:val="de-CH"/>
              </w:rPr>
            </w:pPr>
            <w:r>
              <w:rPr>
                <w:sz w:val="22"/>
                <w:lang w:val="de-CH"/>
              </w:rPr>
              <w:t>322</w:t>
            </w:r>
          </w:p>
        </w:tc>
        <w:tc>
          <w:tcPr>
            <w:tcW w:w="1092" w:type="dxa"/>
            <w:noWrap/>
          </w:tcPr>
          <w:p w:rsidR="00000000" w:rsidRDefault="00000000">
            <w:pPr>
              <w:keepNext/>
              <w:spacing w:before="30" w:after="30"/>
              <w:ind w:right="113"/>
              <w:jc w:val="right"/>
              <w:rPr>
                <w:sz w:val="22"/>
                <w:lang w:val="de-CH"/>
              </w:rPr>
            </w:pPr>
            <w:r>
              <w:rPr>
                <w:sz w:val="22"/>
                <w:lang w:val="de-CH"/>
              </w:rPr>
              <w:t>355</w:t>
            </w:r>
          </w:p>
        </w:tc>
      </w:tr>
      <w:tr w:rsidR="00000000">
        <w:tc>
          <w:tcPr>
            <w:tcW w:w="2948" w:type="dxa"/>
            <w:noWrap/>
          </w:tcPr>
          <w:p w:rsidR="00000000" w:rsidRDefault="00000000">
            <w:pPr>
              <w:keepNext/>
              <w:spacing w:before="30" w:after="30"/>
              <w:rPr>
                <w:sz w:val="22"/>
                <w:lang w:val="de-CH"/>
              </w:rPr>
            </w:pPr>
            <w:proofErr w:type="spellStart"/>
            <w:r>
              <w:rPr>
                <w:sz w:val="22"/>
                <w:lang w:val="de-CH"/>
              </w:rPr>
              <w:t>Italie</w:t>
            </w:r>
            <w:proofErr w:type="spellEnd"/>
          </w:p>
        </w:tc>
        <w:tc>
          <w:tcPr>
            <w:tcW w:w="1091" w:type="dxa"/>
            <w:noWrap/>
          </w:tcPr>
          <w:p w:rsidR="00000000" w:rsidRDefault="00000000">
            <w:pPr>
              <w:keepNext/>
              <w:spacing w:before="30" w:after="30"/>
              <w:ind w:right="113"/>
              <w:jc w:val="right"/>
              <w:rPr>
                <w:sz w:val="22"/>
                <w:lang w:val="de-CH"/>
              </w:rPr>
            </w:pPr>
            <w:r>
              <w:rPr>
                <w:sz w:val="22"/>
                <w:lang w:val="de-CH"/>
              </w:rPr>
              <w:t>5 357</w:t>
            </w:r>
          </w:p>
        </w:tc>
        <w:tc>
          <w:tcPr>
            <w:tcW w:w="1092" w:type="dxa"/>
            <w:noWrap/>
          </w:tcPr>
          <w:p w:rsidR="00000000" w:rsidRDefault="00000000">
            <w:pPr>
              <w:keepNext/>
              <w:spacing w:before="30" w:after="30"/>
              <w:ind w:right="113"/>
              <w:jc w:val="right"/>
              <w:rPr>
                <w:sz w:val="22"/>
                <w:lang w:val="de-CH"/>
              </w:rPr>
            </w:pPr>
            <w:r>
              <w:rPr>
                <w:sz w:val="22"/>
                <w:lang w:val="de-CH"/>
              </w:rPr>
              <w:t>4 408</w:t>
            </w:r>
          </w:p>
        </w:tc>
        <w:tc>
          <w:tcPr>
            <w:tcW w:w="1091" w:type="dxa"/>
            <w:noWrap/>
          </w:tcPr>
          <w:p w:rsidR="00000000" w:rsidRDefault="00000000">
            <w:pPr>
              <w:keepNext/>
              <w:spacing w:before="30" w:after="30"/>
              <w:ind w:right="113"/>
              <w:jc w:val="right"/>
              <w:rPr>
                <w:sz w:val="22"/>
                <w:lang w:val="de-CH"/>
              </w:rPr>
            </w:pPr>
            <w:r>
              <w:rPr>
                <w:sz w:val="22"/>
                <w:lang w:val="de-CH"/>
              </w:rPr>
              <w:t>3 874</w:t>
            </w:r>
          </w:p>
        </w:tc>
        <w:tc>
          <w:tcPr>
            <w:tcW w:w="1092" w:type="dxa"/>
            <w:noWrap/>
          </w:tcPr>
          <w:p w:rsidR="00000000" w:rsidRDefault="00000000">
            <w:pPr>
              <w:keepNext/>
              <w:spacing w:before="30" w:after="30"/>
              <w:ind w:right="113"/>
              <w:jc w:val="right"/>
              <w:rPr>
                <w:sz w:val="22"/>
                <w:lang w:val="de-CH"/>
              </w:rPr>
            </w:pPr>
            <w:r>
              <w:rPr>
                <w:sz w:val="22"/>
                <w:lang w:val="de-CH"/>
              </w:rPr>
              <w:t>3 001</w:t>
            </w:r>
          </w:p>
        </w:tc>
        <w:tc>
          <w:tcPr>
            <w:tcW w:w="1091" w:type="dxa"/>
            <w:noWrap/>
          </w:tcPr>
          <w:p w:rsidR="00000000" w:rsidRDefault="00000000">
            <w:pPr>
              <w:keepNext/>
              <w:spacing w:before="30" w:after="30"/>
              <w:ind w:right="113"/>
              <w:jc w:val="right"/>
              <w:rPr>
                <w:sz w:val="22"/>
                <w:lang w:val="de-CH"/>
              </w:rPr>
            </w:pPr>
            <w:r>
              <w:rPr>
                <w:sz w:val="22"/>
                <w:lang w:val="de-CH"/>
              </w:rPr>
              <w:t>1 478</w:t>
            </w:r>
          </w:p>
        </w:tc>
        <w:tc>
          <w:tcPr>
            <w:tcW w:w="1092" w:type="dxa"/>
            <w:noWrap/>
          </w:tcPr>
          <w:p w:rsidR="00000000" w:rsidRDefault="00000000">
            <w:pPr>
              <w:keepNext/>
              <w:spacing w:before="30" w:after="30"/>
              <w:ind w:right="113"/>
              <w:jc w:val="right"/>
              <w:rPr>
                <w:sz w:val="22"/>
                <w:lang w:val="de-CH"/>
              </w:rPr>
            </w:pPr>
            <w:r>
              <w:rPr>
                <w:sz w:val="22"/>
                <w:lang w:val="de-CH"/>
              </w:rPr>
              <w:t>1 406</w:t>
            </w:r>
          </w:p>
        </w:tc>
      </w:tr>
      <w:tr w:rsidR="00000000">
        <w:tc>
          <w:tcPr>
            <w:tcW w:w="2948" w:type="dxa"/>
            <w:noWrap/>
          </w:tcPr>
          <w:p w:rsidR="00000000" w:rsidRDefault="00000000">
            <w:pPr>
              <w:keepNext/>
              <w:spacing w:before="30" w:after="30"/>
              <w:rPr>
                <w:sz w:val="22"/>
                <w:lang w:val="de-CH"/>
              </w:rPr>
            </w:pPr>
            <w:proofErr w:type="spellStart"/>
            <w:r>
              <w:rPr>
                <w:sz w:val="22"/>
                <w:lang w:val="de-CH"/>
              </w:rPr>
              <w:t>Turquie</w:t>
            </w:r>
            <w:proofErr w:type="spellEnd"/>
          </w:p>
        </w:tc>
        <w:tc>
          <w:tcPr>
            <w:tcW w:w="1091" w:type="dxa"/>
            <w:noWrap/>
          </w:tcPr>
          <w:p w:rsidR="00000000" w:rsidRDefault="00000000">
            <w:pPr>
              <w:keepNext/>
              <w:spacing w:before="30" w:after="30"/>
              <w:ind w:right="113"/>
              <w:jc w:val="right"/>
              <w:rPr>
                <w:sz w:val="22"/>
                <w:lang w:val="de-CH"/>
              </w:rPr>
            </w:pPr>
            <w:r>
              <w:rPr>
                <w:sz w:val="22"/>
                <w:lang w:val="de-CH"/>
              </w:rPr>
              <w:t>4 212</w:t>
            </w:r>
          </w:p>
        </w:tc>
        <w:tc>
          <w:tcPr>
            <w:tcW w:w="1092" w:type="dxa"/>
            <w:noWrap/>
          </w:tcPr>
          <w:p w:rsidR="00000000" w:rsidRDefault="00000000">
            <w:pPr>
              <w:keepNext/>
              <w:spacing w:before="30" w:after="30"/>
              <w:ind w:right="113"/>
              <w:jc w:val="right"/>
              <w:rPr>
                <w:sz w:val="22"/>
                <w:lang w:val="de-CH"/>
              </w:rPr>
            </w:pPr>
            <w:r>
              <w:rPr>
                <w:sz w:val="22"/>
                <w:lang w:val="de-CH"/>
              </w:rPr>
              <w:t>3 558</w:t>
            </w:r>
          </w:p>
        </w:tc>
        <w:tc>
          <w:tcPr>
            <w:tcW w:w="1091" w:type="dxa"/>
            <w:noWrap/>
          </w:tcPr>
          <w:p w:rsidR="00000000" w:rsidRDefault="00000000">
            <w:pPr>
              <w:keepNext/>
              <w:spacing w:before="30" w:after="30"/>
              <w:ind w:right="113"/>
              <w:jc w:val="right"/>
              <w:rPr>
                <w:sz w:val="22"/>
                <w:lang w:val="de-CH"/>
              </w:rPr>
            </w:pPr>
            <w:r>
              <w:rPr>
                <w:sz w:val="22"/>
                <w:lang w:val="de-CH"/>
              </w:rPr>
              <w:t>4 006</w:t>
            </w:r>
          </w:p>
        </w:tc>
        <w:tc>
          <w:tcPr>
            <w:tcW w:w="1092" w:type="dxa"/>
            <w:noWrap/>
          </w:tcPr>
          <w:p w:rsidR="00000000" w:rsidRDefault="00000000">
            <w:pPr>
              <w:keepNext/>
              <w:spacing w:before="30" w:after="30"/>
              <w:ind w:right="113"/>
              <w:jc w:val="right"/>
              <w:rPr>
                <w:sz w:val="22"/>
                <w:lang w:val="de-CH"/>
              </w:rPr>
            </w:pPr>
            <w:r>
              <w:rPr>
                <w:sz w:val="22"/>
                <w:lang w:val="de-CH"/>
              </w:rPr>
              <w:t>3 382</w:t>
            </w:r>
          </w:p>
        </w:tc>
        <w:tc>
          <w:tcPr>
            <w:tcW w:w="1091" w:type="dxa"/>
            <w:noWrap/>
          </w:tcPr>
          <w:p w:rsidR="00000000" w:rsidRDefault="00000000">
            <w:pPr>
              <w:keepNext/>
              <w:spacing w:before="30" w:after="30"/>
              <w:ind w:right="113"/>
              <w:jc w:val="right"/>
              <w:rPr>
                <w:sz w:val="22"/>
                <w:lang w:val="de-CH"/>
              </w:rPr>
            </w:pPr>
            <w:r>
              <w:rPr>
                <w:sz w:val="22"/>
                <w:lang w:val="de-CH"/>
              </w:rPr>
              <w:t>206</w:t>
            </w:r>
          </w:p>
        </w:tc>
        <w:tc>
          <w:tcPr>
            <w:tcW w:w="1092" w:type="dxa"/>
            <w:noWrap/>
          </w:tcPr>
          <w:p w:rsidR="00000000" w:rsidRDefault="00000000">
            <w:pPr>
              <w:keepNext/>
              <w:spacing w:before="30" w:after="30"/>
              <w:ind w:right="113"/>
              <w:jc w:val="right"/>
              <w:rPr>
                <w:sz w:val="22"/>
                <w:lang w:val="de-CH"/>
              </w:rPr>
            </w:pPr>
            <w:r>
              <w:rPr>
                <w:sz w:val="22"/>
                <w:lang w:val="de-CH"/>
              </w:rPr>
              <w:t>186</w:t>
            </w:r>
          </w:p>
        </w:tc>
      </w:tr>
      <w:tr w:rsidR="00000000">
        <w:tc>
          <w:tcPr>
            <w:tcW w:w="2948" w:type="dxa"/>
            <w:noWrap/>
          </w:tcPr>
          <w:p w:rsidR="00000000" w:rsidRDefault="00000000">
            <w:pPr>
              <w:keepNext/>
              <w:spacing w:before="30" w:after="30"/>
              <w:rPr>
                <w:sz w:val="22"/>
                <w:lang w:val="de-CH"/>
              </w:rPr>
            </w:pPr>
            <w:proofErr w:type="spellStart"/>
            <w:r>
              <w:rPr>
                <w:sz w:val="22"/>
                <w:lang w:val="de-CH"/>
              </w:rPr>
              <w:t>Bosnie</w:t>
            </w:r>
            <w:r>
              <w:rPr>
                <w:sz w:val="22"/>
                <w:lang w:val="de-CH"/>
              </w:rPr>
              <w:noBreakHyphen/>
              <w:t>Herzégovine</w:t>
            </w:r>
            <w:proofErr w:type="spellEnd"/>
          </w:p>
        </w:tc>
        <w:tc>
          <w:tcPr>
            <w:tcW w:w="1091" w:type="dxa"/>
            <w:noWrap/>
          </w:tcPr>
          <w:p w:rsidR="00000000" w:rsidRDefault="00000000">
            <w:pPr>
              <w:keepNext/>
              <w:spacing w:before="30" w:after="30"/>
              <w:ind w:right="113"/>
              <w:jc w:val="right"/>
              <w:rPr>
                <w:sz w:val="22"/>
              </w:rPr>
            </w:pPr>
            <w:r>
              <w:rPr>
                <w:sz w:val="22"/>
              </w:rPr>
              <w:t>2 268</w:t>
            </w:r>
          </w:p>
        </w:tc>
        <w:tc>
          <w:tcPr>
            <w:tcW w:w="1092" w:type="dxa"/>
            <w:noWrap/>
          </w:tcPr>
          <w:p w:rsidR="00000000" w:rsidRDefault="00000000">
            <w:pPr>
              <w:keepNext/>
              <w:spacing w:before="30" w:after="30"/>
              <w:ind w:right="113"/>
              <w:jc w:val="right"/>
              <w:rPr>
                <w:sz w:val="22"/>
              </w:rPr>
            </w:pPr>
            <w:r>
              <w:rPr>
                <w:sz w:val="22"/>
              </w:rPr>
              <w:t>2 369</w:t>
            </w:r>
          </w:p>
        </w:tc>
        <w:tc>
          <w:tcPr>
            <w:tcW w:w="1091" w:type="dxa"/>
            <w:noWrap/>
          </w:tcPr>
          <w:p w:rsidR="00000000" w:rsidRDefault="00000000">
            <w:pPr>
              <w:keepNext/>
              <w:spacing w:before="30" w:after="30"/>
              <w:ind w:right="113"/>
              <w:jc w:val="right"/>
              <w:rPr>
                <w:sz w:val="22"/>
              </w:rPr>
            </w:pPr>
            <w:r>
              <w:rPr>
                <w:sz w:val="22"/>
              </w:rPr>
              <w:t>2 157</w:t>
            </w:r>
          </w:p>
        </w:tc>
        <w:tc>
          <w:tcPr>
            <w:tcW w:w="1092" w:type="dxa"/>
            <w:noWrap/>
          </w:tcPr>
          <w:p w:rsidR="00000000" w:rsidRDefault="00000000">
            <w:pPr>
              <w:keepNext/>
              <w:spacing w:before="30" w:after="30"/>
              <w:ind w:right="113"/>
              <w:jc w:val="right"/>
              <w:rPr>
                <w:sz w:val="22"/>
              </w:rPr>
            </w:pPr>
            <w:r>
              <w:rPr>
                <w:sz w:val="22"/>
              </w:rPr>
              <w:t>2 308</w:t>
            </w:r>
          </w:p>
        </w:tc>
        <w:tc>
          <w:tcPr>
            <w:tcW w:w="1091" w:type="dxa"/>
            <w:noWrap/>
          </w:tcPr>
          <w:p w:rsidR="00000000" w:rsidRDefault="00000000">
            <w:pPr>
              <w:keepNext/>
              <w:spacing w:before="30" w:after="30"/>
              <w:ind w:right="113"/>
              <w:jc w:val="right"/>
              <w:rPr>
                <w:sz w:val="22"/>
              </w:rPr>
            </w:pPr>
            <w:r>
              <w:rPr>
                <w:sz w:val="22"/>
              </w:rPr>
              <w:t>111</w:t>
            </w:r>
          </w:p>
        </w:tc>
        <w:tc>
          <w:tcPr>
            <w:tcW w:w="1092" w:type="dxa"/>
            <w:noWrap/>
          </w:tcPr>
          <w:p w:rsidR="00000000" w:rsidRDefault="00000000">
            <w:pPr>
              <w:keepNext/>
              <w:spacing w:before="30" w:after="30"/>
              <w:ind w:right="113"/>
              <w:jc w:val="right"/>
              <w:rPr>
                <w:sz w:val="22"/>
              </w:rPr>
            </w:pPr>
            <w:r>
              <w:rPr>
                <w:sz w:val="22"/>
              </w:rPr>
              <w:t>61</w:t>
            </w:r>
          </w:p>
        </w:tc>
      </w:tr>
      <w:tr w:rsidR="00000000">
        <w:tc>
          <w:tcPr>
            <w:tcW w:w="2948" w:type="dxa"/>
            <w:noWrap/>
          </w:tcPr>
          <w:p w:rsidR="00000000" w:rsidRDefault="00000000">
            <w:pPr>
              <w:keepNext/>
              <w:spacing w:before="30" w:after="30"/>
              <w:rPr>
                <w:sz w:val="22"/>
              </w:rPr>
            </w:pPr>
            <w:r>
              <w:rPr>
                <w:sz w:val="22"/>
              </w:rPr>
              <w:t>Macédoine</w:t>
            </w:r>
          </w:p>
        </w:tc>
        <w:tc>
          <w:tcPr>
            <w:tcW w:w="1091" w:type="dxa"/>
            <w:noWrap/>
          </w:tcPr>
          <w:p w:rsidR="00000000" w:rsidRDefault="00000000">
            <w:pPr>
              <w:keepNext/>
              <w:spacing w:before="30" w:after="30"/>
              <w:ind w:right="113"/>
              <w:jc w:val="right"/>
              <w:rPr>
                <w:sz w:val="22"/>
              </w:rPr>
            </w:pPr>
            <w:r>
              <w:rPr>
                <w:sz w:val="22"/>
              </w:rPr>
              <w:t>1 795</w:t>
            </w:r>
          </w:p>
        </w:tc>
        <w:tc>
          <w:tcPr>
            <w:tcW w:w="1092" w:type="dxa"/>
            <w:noWrap/>
          </w:tcPr>
          <w:p w:rsidR="00000000" w:rsidRDefault="00000000">
            <w:pPr>
              <w:keepNext/>
              <w:spacing w:before="30" w:after="30"/>
              <w:ind w:right="113"/>
              <w:jc w:val="right"/>
              <w:rPr>
                <w:sz w:val="22"/>
              </w:rPr>
            </w:pPr>
            <w:r>
              <w:rPr>
                <w:sz w:val="22"/>
              </w:rPr>
              <w:t>1 976</w:t>
            </w:r>
          </w:p>
        </w:tc>
        <w:tc>
          <w:tcPr>
            <w:tcW w:w="1091" w:type="dxa"/>
            <w:noWrap/>
          </w:tcPr>
          <w:p w:rsidR="00000000" w:rsidRDefault="00000000">
            <w:pPr>
              <w:keepNext/>
              <w:spacing w:before="30" w:after="30"/>
              <w:ind w:right="113"/>
              <w:jc w:val="right"/>
              <w:rPr>
                <w:sz w:val="22"/>
              </w:rPr>
            </w:pPr>
            <w:r>
              <w:rPr>
                <w:sz w:val="22"/>
              </w:rPr>
              <w:t>1 734</w:t>
            </w:r>
          </w:p>
        </w:tc>
        <w:tc>
          <w:tcPr>
            <w:tcW w:w="1092" w:type="dxa"/>
            <w:noWrap/>
          </w:tcPr>
          <w:p w:rsidR="00000000" w:rsidRDefault="00000000">
            <w:pPr>
              <w:keepNext/>
              <w:spacing w:before="30" w:after="30"/>
              <w:ind w:right="113"/>
              <w:jc w:val="right"/>
              <w:rPr>
                <w:sz w:val="22"/>
              </w:rPr>
            </w:pPr>
            <w:r>
              <w:rPr>
                <w:sz w:val="22"/>
              </w:rPr>
              <w:t>1 940</w:t>
            </w:r>
          </w:p>
        </w:tc>
        <w:tc>
          <w:tcPr>
            <w:tcW w:w="1091" w:type="dxa"/>
            <w:noWrap/>
          </w:tcPr>
          <w:p w:rsidR="00000000" w:rsidRDefault="00000000">
            <w:pPr>
              <w:keepNext/>
              <w:spacing w:before="30" w:after="30"/>
              <w:ind w:right="113"/>
              <w:jc w:val="right"/>
              <w:rPr>
                <w:sz w:val="22"/>
              </w:rPr>
            </w:pPr>
            <w:r>
              <w:rPr>
                <w:sz w:val="22"/>
              </w:rPr>
              <w:t>61</w:t>
            </w:r>
          </w:p>
        </w:tc>
        <w:tc>
          <w:tcPr>
            <w:tcW w:w="1092" w:type="dxa"/>
            <w:noWrap/>
          </w:tcPr>
          <w:p w:rsidR="00000000" w:rsidRDefault="00000000">
            <w:pPr>
              <w:keepNext/>
              <w:spacing w:before="30" w:after="30"/>
              <w:ind w:right="113"/>
              <w:jc w:val="right"/>
              <w:rPr>
                <w:sz w:val="22"/>
              </w:rPr>
            </w:pPr>
            <w:r>
              <w:rPr>
                <w:sz w:val="22"/>
              </w:rPr>
              <w:t>36</w:t>
            </w:r>
          </w:p>
        </w:tc>
      </w:tr>
      <w:tr w:rsidR="00000000">
        <w:tc>
          <w:tcPr>
            <w:tcW w:w="2948" w:type="dxa"/>
            <w:noWrap/>
          </w:tcPr>
          <w:p w:rsidR="00000000" w:rsidRDefault="00000000">
            <w:pPr>
              <w:keepNext/>
              <w:spacing w:before="30" w:after="30"/>
              <w:rPr>
                <w:sz w:val="22"/>
              </w:rPr>
            </w:pPr>
            <w:r>
              <w:rPr>
                <w:sz w:val="22"/>
              </w:rPr>
              <w:t>Croatie</w:t>
            </w:r>
          </w:p>
        </w:tc>
        <w:tc>
          <w:tcPr>
            <w:tcW w:w="1091" w:type="dxa"/>
            <w:noWrap/>
          </w:tcPr>
          <w:p w:rsidR="00000000" w:rsidRDefault="00000000">
            <w:pPr>
              <w:keepNext/>
              <w:spacing w:before="30" w:after="30"/>
              <w:ind w:right="113"/>
              <w:jc w:val="right"/>
              <w:rPr>
                <w:sz w:val="22"/>
              </w:rPr>
            </w:pPr>
            <w:r>
              <w:rPr>
                <w:sz w:val="22"/>
              </w:rPr>
              <w:t>1 560</w:t>
            </w:r>
          </w:p>
        </w:tc>
        <w:tc>
          <w:tcPr>
            <w:tcW w:w="1092" w:type="dxa"/>
            <w:noWrap/>
          </w:tcPr>
          <w:p w:rsidR="00000000" w:rsidRDefault="00000000">
            <w:pPr>
              <w:keepNext/>
              <w:spacing w:before="30" w:after="30"/>
              <w:ind w:right="113"/>
              <w:jc w:val="right"/>
              <w:rPr>
                <w:sz w:val="22"/>
              </w:rPr>
            </w:pPr>
            <w:r>
              <w:rPr>
                <w:sz w:val="22"/>
              </w:rPr>
              <w:t>1 615</w:t>
            </w:r>
          </w:p>
        </w:tc>
        <w:tc>
          <w:tcPr>
            <w:tcW w:w="1091" w:type="dxa"/>
            <w:noWrap/>
          </w:tcPr>
          <w:p w:rsidR="00000000" w:rsidRDefault="00000000">
            <w:pPr>
              <w:keepNext/>
              <w:spacing w:before="30" w:after="30"/>
              <w:ind w:right="113"/>
              <w:jc w:val="right"/>
              <w:rPr>
                <w:sz w:val="22"/>
              </w:rPr>
            </w:pPr>
            <w:r>
              <w:rPr>
                <w:sz w:val="22"/>
              </w:rPr>
              <w:t>1 456</w:t>
            </w:r>
          </w:p>
        </w:tc>
        <w:tc>
          <w:tcPr>
            <w:tcW w:w="1092" w:type="dxa"/>
            <w:noWrap/>
          </w:tcPr>
          <w:p w:rsidR="00000000" w:rsidRDefault="00000000">
            <w:pPr>
              <w:keepNext/>
              <w:spacing w:before="30" w:after="30"/>
              <w:ind w:right="113"/>
              <w:jc w:val="right"/>
              <w:rPr>
                <w:sz w:val="22"/>
              </w:rPr>
            </w:pPr>
            <w:r>
              <w:rPr>
                <w:sz w:val="22"/>
              </w:rPr>
              <w:t>1 521</w:t>
            </w:r>
          </w:p>
        </w:tc>
        <w:tc>
          <w:tcPr>
            <w:tcW w:w="1091" w:type="dxa"/>
            <w:noWrap/>
          </w:tcPr>
          <w:p w:rsidR="00000000" w:rsidRDefault="00000000">
            <w:pPr>
              <w:keepNext/>
              <w:spacing w:before="30" w:after="30"/>
              <w:ind w:right="113"/>
              <w:jc w:val="right"/>
              <w:rPr>
                <w:sz w:val="22"/>
              </w:rPr>
            </w:pPr>
            <w:r>
              <w:rPr>
                <w:sz w:val="22"/>
              </w:rPr>
              <w:t>104</w:t>
            </w:r>
          </w:p>
        </w:tc>
        <w:tc>
          <w:tcPr>
            <w:tcW w:w="1092" w:type="dxa"/>
            <w:noWrap/>
          </w:tcPr>
          <w:p w:rsidR="00000000" w:rsidRDefault="00000000">
            <w:pPr>
              <w:keepNext/>
              <w:spacing w:before="30" w:after="30"/>
              <w:ind w:right="113"/>
              <w:jc w:val="right"/>
              <w:rPr>
                <w:sz w:val="22"/>
              </w:rPr>
            </w:pPr>
            <w:r>
              <w:rPr>
                <w:sz w:val="22"/>
              </w:rPr>
              <w:t>94</w:t>
            </w:r>
          </w:p>
        </w:tc>
      </w:tr>
      <w:tr w:rsidR="00000000">
        <w:tc>
          <w:tcPr>
            <w:tcW w:w="2948" w:type="dxa"/>
            <w:noWrap/>
          </w:tcPr>
          <w:p w:rsidR="00000000" w:rsidRDefault="00000000">
            <w:pPr>
              <w:keepNext/>
              <w:spacing w:before="30" w:after="30"/>
              <w:rPr>
                <w:sz w:val="22"/>
              </w:rPr>
            </w:pPr>
            <w:r>
              <w:rPr>
                <w:sz w:val="22"/>
              </w:rPr>
              <w:t>Portugal</w:t>
            </w:r>
          </w:p>
        </w:tc>
        <w:tc>
          <w:tcPr>
            <w:tcW w:w="1091" w:type="dxa"/>
            <w:noWrap/>
          </w:tcPr>
          <w:p w:rsidR="00000000" w:rsidRDefault="00000000">
            <w:pPr>
              <w:keepNext/>
              <w:spacing w:before="30" w:after="30"/>
              <w:ind w:right="113"/>
              <w:jc w:val="right"/>
              <w:rPr>
                <w:sz w:val="22"/>
              </w:rPr>
            </w:pPr>
            <w:r>
              <w:rPr>
                <w:sz w:val="22"/>
              </w:rPr>
              <w:t>1 153</w:t>
            </w:r>
          </w:p>
        </w:tc>
        <w:tc>
          <w:tcPr>
            <w:tcW w:w="1092" w:type="dxa"/>
            <w:noWrap/>
          </w:tcPr>
          <w:p w:rsidR="00000000" w:rsidRDefault="00000000">
            <w:pPr>
              <w:keepNext/>
              <w:spacing w:before="30" w:after="30"/>
              <w:ind w:right="113"/>
              <w:jc w:val="right"/>
              <w:rPr>
                <w:sz w:val="22"/>
              </w:rPr>
            </w:pPr>
            <w:r>
              <w:rPr>
                <w:sz w:val="22"/>
              </w:rPr>
              <w:t>1 189</w:t>
            </w:r>
          </w:p>
        </w:tc>
        <w:tc>
          <w:tcPr>
            <w:tcW w:w="1091" w:type="dxa"/>
            <w:noWrap/>
          </w:tcPr>
          <w:p w:rsidR="00000000" w:rsidRDefault="00000000">
            <w:pPr>
              <w:keepNext/>
              <w:spacing w:before="30" w:after="30"/>
              <w:ind w:right="113"/>
              <w:jc w:val="right"/>
              <w:rPr>
                <w:sz w:val="22"/>
              </w:rPr>
            </w:pPr>
            <w:r>
              <w:rPr>
                <w:sz w:val="22"/>
              </w:rPr>
              <w:t>971</w:t>
            </w:r>
          </w:p>
        </w:tc>
        <w:tc>
          <w:tcPr>
            <w:tcW w:w="1092" w:type="dxa"/>
            <w:noWrap/>
          </w:tcPr>
          <w:p w:rsidR="00000000" w:rsidRDefault="00000000">
            <w:pPr>
              <w:keepNext/>
              <w:spacing w:before="30" w:after="30"/>
              <w:ind w:right="113"/>
              <w:jc w:val="right"/>
              <w:rPr>
                <w:sz w:val="22"/>
              </w:rPr>
            </w:pPr>
            <w:r>
              <w:rPr>
                <w:sz w:val="22"/>
              </w:rPr>
              <w:t>1 008</w:t>
            </w:r>
          </w:p>
        </w:tc>
        <w:tc>
          <w:tcPr>
            <w:tcW w:w="1091" w:type="dxa"/>
            <w:noWrap/>
          </w:tcPr>
          <w:p w:rsidR="00000000" w:rsidRDefault="00000000">
            <w:pPr>
              <w:keepNext/>
              <w:spacing w:before="30" w:after="30"/>
              <w:ind w:right="113"/>
              <w:jc w:val="right"/>
              <w:rPr>
                <w:sz w:val="22"/>
              </w:rPr>
            </w:pPr>
            <w:r>
              <w:rPr>
                <w:sz w:val="22"/>
              </w:rPr>
              <w:t>182</w:t>
            </w:r>
          </w:p>
        </w:tc>
        <w:tc>
          <w:tcPr>
            <w:tcW w:w="1092" w:type="dxa"/>
            <w:noWrap/>
          </w:tcPr>
          <w:p w:rsidR="00000000" w:rsidRDefault="00000000">
            <w:pPr>
              <w:keepNext/>
              <w:spacing w:before="30" w:after="30"/>
              <w:ind w:right="113"/>
              <w:jc w:val="right"/>
              <w:rPr>
                <w:sz w:val="22"/>
              </w:rPr>
            </w:pPr>
            <w:r>
              <w:rPr>
                <w:sz w:val="22"/>
              </w:rPr>
              <w:t>181</w:t>
            </w:r>
          </w:p>
        </w:tc>
      </w:tr>
      <w:tr w:rsidR="00000000">
        <w:tc>
          <w:tcPr>
            <w:tcW w:w="2948" w:type="dxa"/>
            <w:noWrap/>
          </w:tcPr>
          <w:p w:rsidR="00000000" w:rsidRDefault="00000000">
            <w:pPr>
              <w:keepNext/>
              <w:spacing w:before="30" w:after="30"/>
              <w:rPr>
                <w:sz w:val="22"/>
              </w:rPr>
            </w:pPr>
            <w:r>
              <w:rPr>
                <w:sz w:val="22"/>
              </w:rPr>
              <w:t xml:space="preserve">Sri </w:t>
            </w:r>
            <w:proofErr w:type="spellStart"/>
            <w:r>
              <w:rPr>
                <w:sz w:val="22"/>
              </w:rPr>
              <w:t>Lanka</w:t>
            </w:r>
            <w:proofErr w:type="spellEnd"/>
          </w:p>
        </w:tc>
        <w:tc>
          <w:tcPr>
            <w:tcW w:w="1091" w:type="dxa"/>
            <w:noWrap/>
          </w:tcPr>
          <w:p w:rsidR="00000000" w:rsidRDefault="00000000">
            <w:pPr>
              <w:keepNext/>
              <w:spacing w:before="30" w:after="30"/>
              <w:ind w:right="113"/>
              <w:jc w:val="right"/>
              <w:rPr>
                <w:sz w:val="22"/>
              </w:rPr>
            </w:pPr>
            <w:r>
              <w:rPr>
                <w:sz w:val="22"/>
              </w:rPr>
              <w:t>1 138</w:t>
            </w:r>
          </w:p>
        </w:tc>
        <w:tc>
          <w:tcPr>
            <w:tcW w:w="1092" w:type="dxa"/>
            <w:noWrap/>
          </w:tcPr>
          <w:p w:rsidR="00000000" w:rsidRDefault="00000000">
            <w:pPr>
              <w:keepNext/>
              <w:spacing w:before="30" w:after="30"/>
              <w:ind w:right="113"/>
              <w:jc w:val="right"/>
              <w:rPr>
                <w:sz w:val="22"/>
              </w:rPr>
            </w:pPr>
            <w:r>
              <w:rPr>
                <w:sz w:val="22"/>
              </w:rPr>
              <w:t>1 563</w:t>
            </w:r>
          </w:p>
        </w:tc>
        <w:tc>
          <w:tcPr>
            <w:tcW w:w="1091" w:type="dxa"/>
            <w:noWrap/>
          </w:tcPr>
          <w:p w:rsidR="00000000" w:rsidRDefault="00000000">
            <w:pPr>
              <w:keepNext/>
              <w:spacing w:before="30" w:after="30"/>
              <w:ind w:right="113"/>
              <w:jc w:val="right"/>
              <w:rPr>
                <w:sz w:val="22"/>
              </w:rPr>
            </w:pPr>
            <w:r>
              <w:rPr>
                <w:sz w:val="22"/>
              </w:rPr>
              <w:t>1 095</w:t>
            </w:r>
          </w:p>
        </w:tc>
        <w:tc>
          <w:tcPr>
            <w:tcW w:w="1092" w:type="dxa"/>
            <w:noWrap/>
          </w:tcPr>
          <w:p w:rsidR="00000000" w:rsidRDefault="00000000">
            <w:pPr>
              <w:keepNext/>
              <w:spacing w:before="30" w:after="30"/>
              <w:ind w:right="113"/>
              <w:jc w:val="right"/>
              <w:rPr>
                <w:sz w:val="22"/>
              </w:rPr>
            </w:pPr>
            <w:r>
              <w:rPr>
                <w:sz w:val="22"/>
              </w:rPr>
              <w:t>1 527</w:t>
            </w:r>
          </w:p>
        </w:tc>
        <w:tc>
          <w:tcPr>
            <w:tcW w:w="1091" w:type="dxa"/>
            <w:noWrap/>
          </w:tcPr>
          <w:p w:rsidR="00000000" w:rsidRDefault="00000000">
            <w:pPr>
              <w:keepNext/>
              <w:spacing w:before="30" w:after="30"/>
              <w:ind w:right="113"/>
              <w:jc w:val="right"/>
              <w:rPr>
                <w:sz w:val="22"/>
              </w:rPr>
            </w:pPr>
            <w:r>
              <w:rPr>
                <w:sz w:val="22"/>
              </w:rPr>
              <w:t>43</w:t>
            </w:r>
          </w:p>
        </w:tc>
        <w:tc>
          <w:tcPr>
            <w:tcW w:w="1092" w:type="dxa"/>
            <w:noWrap/>
          </w:tcPr>
          <w:p w:rsidR="00000000" w:rsidRDefault="00000000">
            <w:pPr>
              <w:keepNext/>
              <w:spacing w:before="30" w:after="30"/>
              <w:ind w:right="113"/>
              <w:jc w:val="right"/>
              <w:rPr>
                <w:sz w:val="22"/>
              </w:rPr>
            </w:pPr>
            <w:r>
              <w:rPr>
                <w:sz w:val="22"/>
              </w:rPr>
              <w:t>36</w:t>
            </w:r>
          </w:p>
        </w:tc>
      </w:tr>
      <w:tr w:rsidR="00000000">
        <w:tc>
          <w:tcPr>
            <w:tcW w:w="2948" w:type="dxa"/>
            <w:noWrap/>
          </w:tcPr>
          <w:p w:rsidR="00000000" w:rsidRDefault="00000000">
            <w:pPr>
              <w:keepNext/>
              <w:spacing w:before="30" w:after="30"/>
              <w:rPr>
                <w:sz w:val="22"/>
              </w:rPr>
            </w:pPr>
            <w:r>
              <w:rPr>
                <w:sz w:val="22"/>
              </w:rPr>
              <w:t>Espagne</w:t>
            </w:r>
          </w:p>
        </w:tc>
        <w:tc>
          <w:tcPr>
            <w:tcW w:w="1091" w:type="dxa"/>
            <w:noWrap/>
          </w:tcPr>
          <w:p w:rsidR="00000000" w:rsidRDefault="00000000">
            <w:pPr>
              <w:keepNext/>
              <w:spacing w:before="30" w:after="30"/>
              <w:ind w:right="113"/>
              <w:jc w:val="right"/>
              <w:rPr>
                <w:sz w:val="22"/>
              </w:rPr>
            </w:pPr>
            <w:r>
              <w:rPr>
                <w:sz w:val="22"/>
              </w:rPr>
              <w:t>814</w:t>
            </w:r>
          </w:p>
        </w:tc>
        <w:tc>
          <w:tcPr>
            <w:tcW w:w="1092" w:type="dxa"/>
            <w:noWrap/>
          </w:tcPr>
          <w:p w:rsidR="00000000" w:rsidRDefault="00000000">
            <w:pPr>
              <w:keepNext/>
              <w:spacing w:before="30" w:after="30"/>
              <w:ind w:right="113"/>
              <w:jc w:val="right"/>
              <w:rPr>
                <w:sz w:val="22"/>
              </w:rPr>
            </w:pPr>
            <w:r>
              <w:rPr>
                <w:sz w:val="22"/>
              </w:rPr>
              <w:t>842</w:t>
            </w:r>
          </w:p>
        </w:tc>
        <w:tc>
          <w:tcPr>
            <w:tcW w:w="1091" w:type="dxa"/>
            <w:noWrap/>
          </w:tcPr>
          <w:p w:rsidR="00000000" w:rsidRDefault="00000000">
            <w:pPr>
              <w:keepNext/>
              <w:spacing w:before="30" w:after="30"/>
              <w:ind w:right="113"/>
              <w:jc w:val="right"/>
              <w:rPr>
                <w:sz w:val="22"/>
              </w:rPr>
            </w:pPr>
            <w:r>
              <w:rPr>
                <w:sz w:val="22"/>
              </w:rPr>
              <w:t>603</w:t>
            </w:r>
          </w:p>
        </w:tc>
        <w:tc>
          <w:tcPr>
            <w:tcW w:w="1092" w:type="dxa"/>
            <w:noWrap/>
          </w:tcPr>
          <w:p w:rsidR="00000000" w:rsidRDefault="00000000">
            <w:pPr>
              <w:keepNext/>
              <w:spacing w:before="30" w:after="30"/>
              <w:ind w:right="113"/>
              <w:jc w:val="right"/>
              <w:rPr>
                <w:sz w:val="22"/>
              </w:rPr>
            </w:pPr>
            <w:r>
              <w:rPr>
                <w:sz w:val="22"/>
              </w:rPr>
              <w:t>547</w:t>
            </w:r>
          </w:p>
        </w:tc>
        <w:tc>
          <w:tcPr>
            <w:tcW w:w="1091" w:type="dxa"/>
            <w:noWrap/>
          </w:tcPr>
          <w:p w:rsidR="00000000" w:rsidRDefault="00000000">
            <w:pPr>
              <w:keepNext/>
              <w:spacing w:before="30" w:after="30"/>
              <w:ind w:right="113"/>
              <w:jc w:val="right"/>
              <w:rPr>
                <w:sz w:val="22"/>
              </w:rPr>
            </w:pPr>
            <w:r>
              <w:rPr>
                <w:sz w:val="22"/>
              </w:rPr>
              <w:t>211</w:t>
            </w:r>
          </w:p>
        </w:tc>
        <w:tc>
          <w:tcPr>
            <w:tcW w:w="1092" w:type="dxa"/>
            <w:noWrap/>
          </w:tcPr>
          <w:p w:rsidR="00000000" w:rsidRDefault="00000000">
            <w:pPr>
              <w:keepNext/>
              <w:spacing w:before="30" w:after="30"/>
              <w:ind w:right="113"/>
              <w:jc w:val="right"/>
              <w:rPr>
                <w:sz w:val="22"/>
              </w:rPr>
            </w:pPr>
            <w:r>
              <w:rPr>
                <w:sz w:val="22"/>
              </w:rPr>
              <w:t>295</w:t>
            </w:r>
          </w:p>
        </w:tc>
      </w:tr>
      <w:tr w:rsidR="00000000">
        <w:tc>
          <w:tcPr>
            <w:tcW w:w="2948" w:type="dxa"/>
            <w:noWrap/>
          </w:tcPr>
          <w:p w:rsidR="00000000" w:rsidRDefault="00000000">
            <w:pPr>
              <w:keepNext/>
              <w:spacing w:before="30" w:after="30"/>
              <w:rPr>
                <w:sz w:val="22"/>
              </w:rPr>
            </w:pPr>
            <w:r>
              <w:rPr>
                <w:sz w:val="22"/>
              </w:rPr>
              <w:t>Autres États</w:t>
            </w:r>
          </w:p>
        </w:tc>
        <w:tc>
          <w:tcPr>
            <w:tcW w:w="1091" w:type="dxa"/>
            <w:noWrap/>
          </w:tcPr>
          <w:p w:rsidR="00000000" w:rsidRDefault="00000000">
            <w:pPr>
              <w:keepNext/>
              <w:spacing w:before="30" w:after="30"/>
              <w:ind w:right="113"/>
              <w:jc w:val="right"/>
              <w:rPr>
                <w:sz w:val="22"/>
              </w:rPr>
            </w:pPr>
            <w:r>
              <w:rPr>
                <w:sz w:val="22"/>
              </w:rPr>
              <w:t>10 123</w:t>
            </w:r>
          </w:p>
        </w:tc>
        <w:tc>
          <w:tcPr>
            <w:tcW w:w="1092" w:type="dxa"/>
            <w:noWrap/>
          </w:tcPr>
          <w:p w:rsidR="00000000" w:rsidRDefault="00000000">
            <w:pPr>
              <w:keepNext/>
              <w:spacing w:before="30" w:after="30"/>
              <w:ind w:right="113"/>
              <w:jc w:val="right"/>
              <w:rPr>
                <w:sz w:val="22"/>
              </w:rPr>
            </w:pPr>
            <w:r>
              <w:rPr>
                <w:sz w:val="22"/>
              </w:rPr>
              <w:t>11 587</w:t>
            </w:r>
          </w:p>
        </w:tc>
        <w:tc>
          <w:tcPr>
            <w:tcW w:w="1091" w:type="dxa"/>
            <w:noWrap/>
          </w:tcPr>
          <w:p w:rsidR="00000000" w:rsidRDefault="00000000">
            <w:pPr>
              <w:keepNext/>
              <w:spacing w:before="30" w:after="30"/>
              <w:ind w:right="113"/>
              <w:jc w:val="right"/>
              <w:rPr>
                <w:sz w:val="22"/>
              </w:rPr>
            </w:pPr>
            <w:r>
              <w:rPr>
                <w:sz w:val="22"/>
              </w:rPr>
              <w:t>4 478</w:t>
            </w:r>
          </w:p>
        </w:tc>
        <w:tc>
          <w:tcPr>
            <w:tcW w:w="1092" w:type="dxa"/>
            <w:noWrap/>
          </w:tcPr>
          <w:p w:rsidR="00000000" w:rsidRDefault="00000000">
            <w:pPr>
              <w:keepNext/>
              <w:spacing w:before="30" w:after="30"/>
              <w:ind w:right="113"/>
              <w:jc w:val="right"/>
              <w:rPr>
                <w:sz w:val="22"/>
              </w:rPr>
            </w:pPr>
            <w:r>
              <w:rPr>
                <w:sz w:val="22"/>
              </w:rPr>
              <w:t>4 623</w:t>
            </w:r>
          </w:p>
        </w:tc>
        <w:tc>
          <w:tcPr>
            <w:tcW w:w="1091" w:type="dxa"/>
            <w:noWrap/>
          </w:tcPr>
          <w:p w:rsidR="00000000" w:rsidRDefault="00000000">
            <w:pPr>
              <w:keepNext/>
              <w:spacing w:before="30" w:after="30"/>
              <w:ind w:right="113"/>
              <w:jc w:val="right"/>
              <w:rPr>
                <w:sz w:val="22"/>
              </w:rPr>
            </w:pPr>
            <w:r>
              <w:rPr>
                <w:sz w:val="22"/>
              </w:rPr>
              <w:t>5 538</w:t>
            </w:r>
          </w:p>
        </w:tc>
        <w:tc>
          <w:tcPr>
            <w:tcW w:w="1092" w:type="dxa"/>
            <w:noWrap/>
          </w:tcPr>
          <w:p w:rsidR="00000000" w:rsidRDefault="00000000">
            <w:pPr>
              <w:keepNext/>
              <w:spacing w:before="30" w:after="30"/>
              <w:ind w:right="113"/>
              <w:jc w:val="right"/>
              <w:rPr>
                <w:sz w:val="22"/>
              </w:rPr>
            </w:pPr>
            <w:r>
              <w:rPr>
                <w:sz w:val="22"/>
              </w:rPr>
              <w:t>6 810</w:t>
            </w:r>
          </w:p>
        </w:tc>
      </w:tr>
      <w:tr w:rsidR="00000000">
        <w:tc>
          <w:tcPr>
            <w:tcW w:w="2948" w:type="dxa"/>
            <w:noWrap/>
          </w:tcPr>
          <w:p w:rsidR="00000000" w:rsidRDefault="00000000">
            <w:pPr>
              <w:spacing w:before="30" w:after="30"/>
              <w:ind w:left="284"/>
              <w:rPr>
                <w:b/>
                <w:bCs/>
                <w:sz w:val="22"/>
              </w:rPr>
            </w:pPr>
            <w:r>
              <w:rPr>
                <w:b/>
                <w:bCs/>
                <w:sz w:val="22"/>
              </w:rPr>
              <w:t>Total</w:t>
            </w:r>
          </w:p>
        </w:tc>
        <w:tc>
          <w:tcPr>
            <w:tcW w:w="1091" w:type="dxa"/>
            <w:noWrap/>
          </w:tcPr>
          <w:p w:rsidR="00000000" w:rsidRDefault="00000000">
            <w:pPr>
              <w:spacing w:before="30" w:after="30"/>
              <w:ind w:right="113"/>
              <w:jc w:val="right"/>
              <w:rPr>
                <w:b/>
                <w:bCs/>
                <w:sz w:val="22"/>
              </w:rPr>
            </w:pPr>
            <w:r>
              <w:rPr>
                <w:b/>
                <w:bCs/>
                <w:sz w:val="22"/>
              </w:rPr>
              <w:t>37 070</w:t>
            </w:r>
          </w:p>
        </w:tc>
        <w:tc>
          <w:tcPr>
            <w:tcW w:w="1092" w:type="dxa"/>
            <w:noWrap/>
          </w:tcPr>
          <w:p w:rsidR="00000000" w:rsidRDefault="00000000">
            <w:pPr>
              <w:spacing w:before="30" w:after="30"/>
              <w:ind w:right="113"/>
              <w:jc w:val="right"/>
              <w:rPr>
                <w:b/>
                <w:bCs/>
                <w:sz w:val="22"/>
              </w:rPr>
            </w:pPr>
            <w:r>
              <w:rPr>
                <w:b/>
                <w:bCs/>
                <w:sz w:val="22"/>
              </w:rPr>
              <w:t>36 947</w:t>
            </w:r>
          </w:p>
        </w:tc>
        <w:tc>
          <w:tcPr>
            <w:tcW w:w="1091" w:type="dxa"/>
            <w:noWrap/>
          </w:tcPr>
          <w:p w:rsidR="00000000" w:rsidRDefault="00000000">
            <w:pPr>
              <w:spacing w:before="30" w:after="30"/>
              <w:ind w:right="113"/>
              <w:jc w:val="right"/>
              <w:rPr>
                <w:b/>
                <w:bCs/>
                <w:sz w:val="22"/>
              </w:rPr>
            </w:pPr>
            <w:r>
              <w:rPr>
                <w:b/>
                <w:bCs/>
                <w:sz w:val="22"/>
              </w:rPr>
              <w:t>27 015</w:t>
            </w:r>
          </w:p>
        </w:tc>
        <w:tc>
          <w:tcPr>
            <w:tcW w:w="1092" w:type="dxa"/>
            <w:noWrap/>
          </w:tcPr>
          <w:p w:rsidR="00000000" w:rsidRDefault="00000000">
            <w:pPr>
              <w:spacing w:before="30" w:after="30"/>
              <w:ind w:right="113"/>
              <w:jc w:val="right"/>
              <w:rPr>
                <w:b/>
                <w:bCs/>
                <w:sz w:val="22"/>
              </w:rPr>
            </w:pPr>
            <w:r>
              <w:rPr>
                <w:b/>
                <w:bCs/>
                <w:sz w:val="22"/>
              </w:rPr>
              <w:t>27 342</w:t>
            </w:r>
          </w:p>
        </w:tc>
        <w:tc>
          <w:tcPr>
            <w:tcW w:w="1091" w:type="dxa"/>
            <w:noWrap/>
          </w:tcPr>
          <w:p w:rsidR="00000000" w:rsidRDefault="00000000">
            <w:pPr>
              <w:spacing w:before="30" w:after="30"/>
              <w:ind w:right="113"/>
              <w:jc w:val="right"/>
              <w:rPr>
                <w:b/>
                <w:bCs/>
                <w:sz w:val="22"/>
              </w:rPr>
            </w:pPr>
            <w:r>
              <w:rPr>
                <w:b/>
                <w:bCs/>
                <w:sz w:val="22"/>
              </w:rPr>
              <w:t>9 865</w:t>
            </w:r>
          </w:p>
        </w:tc>
        <w:tc>
          <w:tcPr>
            <w:tcW w:w="1092" w:type="dxa"/>
            <w:noWrap/>
          </w:tcPr>
          <w:p w:rsidR="00000000" w:rsidRDefault="00000000">
            <w:pPr>
              <w:spacing w:before="30" w:after="30"/>
              <w:ind w:right="113"/>
              <w:jc w:val="right"/>
              <w:rPr>
                <w:b/>
                <w:bCs/>
                <w:sz w:val="22"/>
              </w:rPr>
            </w:pPr>
            <w:r>
              <w:rPr>
                <w:b/>
                <w:bCs/>
                <w:sz w:val="22"/>
              </w:rPr>
              <w:t>9 460</w:t>
            </w:r>
          </w:p>
        </w:tc>
      </w:tr>
    </w:tbl>
    <w:p w:rsidR="00000000" w:rsidRDefault="00000000">
      <w:pPr>
        <w:keepNext/>
        <w:spacing w:after="240"/>
      </w:pPr>
      <w:r>
        <w:t>135.</w:t>
      </w:r>
      <w:r>
        <w:tab/>
        <w:t>Le tableau suivant donne un aperçu</w:t>
      </w:r>
      <w:r>
        <w:rPr>
          <w:szCs w:val="22"/>
        </w:rPr>
        <w:t xml:space="preserve"> </w:t>
      </w:r>
      <w:r>
        <w:t>général des naturalisations ventilées par catégories.</w:t>
      </w:r>
    </w:p>
    <w:p w:rsidR="00000000" w:rsidRDefault="00000000">
      <w:pPr>
        <w:keepNext/>
        <w:spacing w:after="120"/>
        <w:jc w:val="center"/>
        <w:rPr>
          <w:b/>
          <w:bCs/>
          <w:sz w:val="22"/>
        </w:rPr>
      </w:pPr>
      <w:r>
        <w:rPr>
          <w:b/>
          <w:bCs/>
          <w:sz w:val="22"/>
        </w:rPr>
        <w:t>Tableau 7: Aperçu général des naturalisations pour 1999</w:t>
      </w:r>
      <w:r>
        <w:rPr>
          <w:b/>
          <w:bCs/>
          <w:sz w:val="22"/>
        </w:rPr>
        <w:noBreakHyphen/>
        <w:t>2003</w:t>
      </w:r>
    </w:p>
    <w:tbl>
      <w:tblPr>
        <w:tblW w:w="94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68" w:type="dxa"/>
          <w:right w:w="68" w:type="dxa"/>
        </w:tblCellMar>
        <w:tblLook w:val="01E0" w:firstRow="1" w:lastRow="1" w:firstColumn="1" w:lastColumn="1" w:noHBand="0" w:noVBand="0"/>
      </w:tblPr>
      <w:tblGrid>
        <w:gridCol w:w="3057"/>
        <w:gridCol w:w="1288"/>
        <w:gridCol w:w="1288"/>
        <w:gridCol w:w="1288"/>
        <w:gridCol w:w="1288"/>
        <w:gridCol w:w="1288"/>
      </w:tblGrid>
      <w:tr w:rsidR="00000000">
        <w:trPr>
          <w:cantSplit/>
        </w:trPr>
        <w:tc>
          <w:tcPr>
            <w:tcW w:w="2988" w:type="dxa"/>
            <w:noWrap/>
          </w:tcPr>
          <w:p w:rsidR="00000000" w:rsidRDefault="00000000">
            <w:pPr>
              <w:spacing w:before="30" w:after="30"/>
              <w:rPr>
                <w:sz w:val="22"/>
              </w:rPr>
            </w:pPr>
          </w:p>
        </w:tc>
        <w:tc>
          <w:tcPr>
            <w:tcW w:w="1259" w:type="dxa"/>
            <w:noWrap/>
          </w:tcPr>
          <w:p w:rsidR="00000000" w:rsidRDefault="00000000">
            <w:pPr>
              <w:spacing w:before="30" w:after="30"/>
              <w:jc w:val="center"/>
              <w:rPr>
                <w:sz w:val="22"/>
              </w:rPr>
            </w:pPr>
            <w:r>
              <w:rPr>
                <w:sz w:val="22"/>
              </w:rPr>
              <w:t>1999</w:t>
            </w:r>
          </w:p>
        </w:tc>
        <w:tc>
          <w:tcPr>
            <w:tcW w:w="1260" w:type="dxa"/>
            <w:noWrap/>
          </w:tcPr>
          <w:p w:rsidR="00000000" w:rsidRDefault="00000000">
            <w:pPr>
              <w:spacing w:before="30" w:after="30"/>
              <w:jc w:val="center"/>
              <w:rPr>
                <w:sz w:val="22"/>
              </w:rPr>
            </w:pPr>
            <w:r>
              <w:rPr>
                <w:sz w:val="22"/>
              </w:rPr>
              <w:t>2000</w:t>
            </w:r>
          </w:p>
        </w:tc>
        <w:tc>
          <w:tcPr>
            <w:tcW w:w="1260" w:type="dxa"/>
            <w:noWrap/>
          </w:tcPr>
          <w:p w:rsidR="00000000" w:rsidRDefault="00000000">
            <w:pPr>
              <w:spacing w:before="30" w:after="30"/>
              <w:jc w:val="center"/>
              <w:rPr>
                <w:sz w:val="22"/>
              </w:rPr>
            </w:pPr>
            <w:r>
              <w:rPr>
                <w:sz w:val="22"/>
              </w:rPr>
              <w:t>2001</w:t>
            </w:r>
          </w:p>
        </w:tc>
        <w:tc>
          <w:tcPr>
            <w:tcW w:w="1260" w:type="dxa"/>
            <w:noWrap/>
          </w:tcPr>
          <w:p w:rsidR="00000000" w:rsidRDefault="00000000">
            <w:pPr>
              <w:spacing w:before="30" w:after="30"/>
              <w:jc w:val="center"/>
              <w:rPr>
                <w:sz w:val="22"/>
              </w:rPr>
            </w:pPr>
            <w:r>
              <w:rPr>
                <w:sz w:val="22"/>
              </w:rPr>
              <w:t>20002</w:t>
            </w:r>
          </w:p>
        </w:tc>
        <w:tc>
          <w:tcPr>
            <w:tcW w:w="1260" w:type="dxa"/>
            <w:noWrap/>
          </w:tcPr>
          <w:p w:rsidR="00000000" w:rsidRDefault="00000000">
            <w:pPr>
              <w:spacing w:before="30" w:after="30"/>
              <w:jc w:val="center"/>
              <w:rPr>
                <w:sz w:val="22"/>
              </w:rPr>
            </w:pPr>
            <w:r>
              <w:rPr>
                <w:sz w:val="22"/>
              </w:rPr>
              <w:t>2003</w:t>
            </w:r>
          </w:p>
        </w:tc>
      </w:tr>
      <w:tr w:rsidR="00000000">
        <w:trPr>
          <w:cantSplit/>
        </w:trPr>
        <w:tc>
          <w:tcPr>
            <w:tcW w:w="2988" w:type="dxa"/>
            <w:noWrap/>
          </w:tcPr>
          <w:p w:rsidR="00000000" w:rsidRDefault="00000000">
            <w:pPr>
              <w:spacing w:before="30" w:after="30"/>
              <w:rPr>
                <w:sz w:val="22"/>
              </w:rPr>
            </w:pPr>
            <w:r>
              <w:rPr>
                <w:sz w:val="22"/>
              </w:rPr>
              <w:t>Naturalisations ordinaires</w:t>
            </w:r>
          </w:p>
        </w:tc>
        <w:tc>
          <w:tcPr>
            <w:tcW w:w="1259" w:type="dxa"/>
            <w:noWrap/>
          </w:tcPr>
          <w:p w:rsidR="00000000" w:rsidRDefault="00000000">
            <w:pPr>
              <w:spacing w:before="30" w:after="30"/>
              <w:ind w:right="113"/>
              <w:jc w:val="right"/>
              <w:rPr>
                <w:sz w:val="22"/>
              </w:rPr>
            </w:pPr>
            <w:r>
              <w:rPr>
                <w:sz w:val="22"/>
              </w:rPr>
              <w:t>14 634</w:t>
            </w:r>
          </w:p>
        </w:tc>
        <w:tc>
          <w:tcPr>
            <w:tcW w:w="1260" w:type="dxa"/>
            <w:noWrap/>
          </w:tcPr>
          <w:p w:rsidR="00000000" w:rsidRDefault="00000000">
            <w:pPr>
              <w:spacing w:before="30" w:after="30"/>
              <w:ind w:right="113"/>
              <w:jc w:val="right"/>
              <w:rPr>
                <w:sz w:val="22"/>
              </w:rPr>
            </w:pPr>
            <w:r>
              <w:rPr>
                <w:sz w:val="22"/>
              </w:rPr>
              <w:t>20 418</w:t>
            </w:r>
          </w:p>
        </w:tc>
        <w:tc>
          <w:tcPr>
            <w:tcW w:w="1260" w:type="dxa"/>
            <w:noWrap/>
          </w:tcPr>
          <w:p w:rsidR="00000000" w:rsidRDefault="00000000">
            <w:pPr>
              <w:spacing w:before="30" w:after="30"/>
              <w:ind w:right="113"/>
              <w:jc w:val="right"/>
              <w:rPr>
                <w:sz w:val="22"/>
              </w:rPr>
            </w:pPr>
            <w:r>
              <w:rPr>
                <w:sz w:val="22"/>
              </w:rPr>
              <w:t>19 239</w:t>
            </w:r>
          </w:p>
        </w:tc>
        <w:tc>
          <w:tcPr>
            <w:tcW w:w="1260" w:type="dxa"/>
            <w:noWrap/>
          </w:tcPr>
          <w:p w:rsidR="00000000" w:rsidRDefault="00000000">
            <w:pPr>
              <w:spacing w:before="30" w:after="30"/>
              <w:ind w:right="113"/>
              <w:jc w:val="right"/>
              <w:rPr>
                <w:sz w:val="22"/>
              </w:rPr>
            </w:pPr>
            <w:r>
              <w:rPr>
                <w:sz w:val="22"/>
              </w:rPr>
              <w:t>27 216</w:t>
            </w:r>
          </w:p>
        </w:tc>
        <w:tc>
          <w:tcPr>
            <w:tcW w:w="1260" w:type="dxa"/>
            <w:noWrap/>
          </w:tcPr>
          <w:p w:rsidR="00000000" w:rsidRDefault="00000000">
            <w:pPr>
              <w:spacing w:before="30" w:after="30"/>
              <w:ind w:right="113"/>
              <w:jc w:val="right"/>
              <w:rPr>
                <w:sz w:val="22"/>
              </w:rPr>
            </w:pPr>
            <w:r>
              <w:rPr>
                <w:sz w:val="22"/>
              </w:rPr>
              <w:t>27 015</w:t>
            </w:r>
          </w:p>
        </w:tc>
      </w:tr>
      <w:tr w:rsidR="00000000">
        <w:trPr>
          <w:cantSplit/>
        </w:trPr>
        <w:tc>
          <w:tcPr>
            <w:tcW w:w="2988" w:type="dxa"/>
            <w:noWrap/>
          </w:tcPr>
          <w:p w:rsidR="00000000" w:rsidRDefault="00000000">
            <w:pPr>
              <w:spacing w:before="30" w:after="30"/>
              <w:rPr>
                <w:sz w:val="22"/>
              </w:rPr>
            </w:pPr>
            <w:r>
              <w:rPr>
                <w:sz w:val="22"/>
              </w:rPr>
              <w:t>Naturalisations facilitées</w:t>
            </w:r>
          </w:p>
        </w:tc>
        <w:tc>
          <w:tcPr>
            <w:tcW w:w="1259" w:type="dxa"/>
            <w:noWrap/>
          </w:tcPr>
          <w:p w:rsidR="00000000" w:rsidRDefault="00000000">
            <w:pPr>
              <w:spacing w:before="30" w:after="30"/>
              <w:ind w:right="113"/>
              <w:jc w:val="right"/>
              <w:rPr>
                <w:sz w:val="22"/>
              </w:rPr>
            </w:pPr>
            <w:r>
              <w:rPr>
                <w:sz w:val="22"/>
              </w:rPr>
              <w:t>6 818</w:t>
            </w:r>
          </w:p>
        </w:tc>
        <w:tc>
          <w:tcPr>
            <w:tcW w:w="1260" w:type="dxa"/>
            <w:noWrap/>
          </w:tcPr>
          <w:p w:rsidR="00000000" w:rsidRDefault="00000000">
            <w:pPr>
              <w:spacing w:before="30" w:after="30"/>
              <w:ind w:right="113"/>
              <w:jc w:val="right"/>
              <w:rPr>
                <w:sz w:val="22"/>
              </w:rPr>
            </w:pPr>
            <w:r>
              <w:rPr>
                <w:sz w:val="22"/>
              </w:rPr>
              <w:t>9 759</w:t>
            </w:r>
          </w:p>
        </w:tc>
        <w:tc>
          <w:tcPr>
            <w:tcW w:w="1260" w:type="dxa"/>
            <w:noWrap/>
          </w:tcPr>
          <w:p w:rsidR="00000000" w:rsidRDefault="00000000">
            <w:pPr>
              <w:spacing w:before="30" w:after="30"/>
              <w:ind w:right="113"/>
              <w:jc w:val="right"/>
              <w:rPr>
                <w:sz w:val="22"/>
              </w:rPr>
            </w:pPr>
            <w:r>
              <w:rPr>
                <w:sz w:val="22"/>
              </w:rPr>
              <w:t>10 563</w:t>
            </w:r>
          </w:p>
        </w:tc>
        <w:tc>
          <w:tcPr>
            <w:tcW w:w="1260" w:type="dxa"/>
            <w:noWrap/>
          </w:tcPr>
          <w:p w:rsidR="00000000" w:rsidRDefault="00000000">
            <w:pPr>
              <w:spacing w:before="30" w:after="30"/>
              <w:ind w:right="113"/>
              <w:jc w:val="right"/>
              <w:rPr>
                <w:sz w:val="22"/>
              </w:rPr>
            </w:pPr>
            <w:r>
              <w:rPr>
                <w:sz w:val="22"/>
              </w:rPr>
              <w:t>11 400</w:t>
            </w:r>
          </w:p>
        </w:tc>
        <w:tc>
          <w:tcPr>
            <w:tcW w:w="1260" w:type="dxa"/>
            <w:noWrap/>
          </w:tcPr>
          <w:p w:rsidR="00000000" w:rsidRDefault="00000000">
            <w:pPr>
              <w:spacing w:before="30" w:after="30"/>
              <w:ind w:right="113"/>
              <w:jc w:val="right"/>
              <w:rPr>
                <w:sz w:val="22"/>
              </w:rPr>
            </w:pPr>
            <w:r>
              <w:rPr>
                <w:sz w:val="22"/>
              </w:rPr>
              <w:t>9 865</w:t>
            </w:r>
          </w:p>
        </w:tc>
      </w:tr>
      <w:tr w:rsidR="00000000">
        <w:trPr>
          <w:cantSplit/>
        </w:trPr>
        <w:tc>
          <w:tcPr>
            <w:tcW w:w="2988" w:type="dxa"/>
            <w:noWrap/>
          </w:tcPr>
          <w:p w:rsidR="00000000" w:rsidRDefault="00000000">
            <w:pPr>
              <w:spacing w:before="30" w:after="30"/>
              <w:rPr>
                <w:sz w:val="22"/>
              </w:rPr>
            </w:pPr>
            <w:r>
              <w:rPr>
                <w:sz w:val="22"/>
              </w:rPr>
              <w:t>Réintégrations</w:t>
            </w:r>
          </w:p>
        </w:tc>
        <w:tc>
          <w:tcPr>
            <w:tcW w:w="1259" w:type="dxa"/>
            <w:noWrap/>
          </w:tcPr>
          <w:p w:rsidR="00000000" w:rsidRDefault="00000000">
            <w:pPr>
              <w:spacing w:before="30" w:after="30"/>
              <w:ind w:right="113"/>
              <w:jc w:val="right"/>
              <w:rPr>
                <w:sz w:val="22"/>
              </w:rPr>
            </w:pPr>
            <w:r>
              <w:rPr>
                <w:sz w:val="22"/>
              </w:rPr>
              <w:t>246</w:t>
            </w:r>
          </w:p>
        </w:tc>
        <w:tc>
          <w:tcPr>
            <w:tcW w:w="1260" w:type="dxa"/>
            <w:noWrap/>
          </w:tcPr>
          <w:p w:rsidR="00000000" w:rsidRDefault="00000000">
            <w:pPr>
              <w:spacing w:before="30" w:after="30"/>
              <w:ind w:right="113"/>
              <w:jc w:val="right"/>
              <w:rPr>
                <w:sz w:val="22"/>
              </w:rPr>
            </w:pPr>
            <w:r>
              <w:rPr>
                <w:sz w:val="22"/>
              </w:rPr>
              <w:t>275</w:t>
            </w:r>
          </w:p>
        </w:tc>
        <w:tc>
          <w:tcPr>
            <w:tcW w:w="1260" w:type="dxa"/>
            <w:noWrap/>
          </w:tcPr>
          <w:p w:rsidR="00000000" w:rsidRDefault="00000000">
            <w:pPr>
              <w:spacing w:before="30" w:after="30"/>
              <w:ind w:right="113"/>
              <w:jc w:val="right"/>
              <w:rPr>
                <w:sz w:val="22"/>
              </w:rPr>
            </w:pPr>
            <w:r>
              <w:rPr>
                <w:sz w:val="22"/>
              </w:rPr>
              <w:t>273</w:t>
            </w:r>
          </w:p>
        </w:tc>
        <w:tc>
          <w:tcPr>
            <w:tcW w:w="1260" w:type="dxa"/>
            <w:noWrap/>
          </w:tcPr>
          <w:p w:rsidR="00000000" w:rsidRDefault="00000000">
            <w:pPr>
              <w:spacing w:before="30" w:after="30"/>
              <w:ind w:right="113"/>
              <w:jc w:val="right"/>
              <w:rPr>
                <w:sz w:val="22"/>
              </w:rPr>
            </w:pPr>
            <w:r>
              <w:rPr>
                <w:sz w:val="22"/>
              </w:rPr>
              <w:t>217</w:t>
            </w:r>
          </w:p>
        </w:tc>
        <w:tc>
          <w:tcPr>
            <w:tcW w:w="1260" w:type="dxa"/>
            <w:noWrap/>
          </w:tcPr>
          <w:p w:rsidR="00000000" w:rsidRDefault="00000000">
            <w:pPr>
              <w:spacing w:before="30" w:after="30"/>
              <w:ind w:right="113"/>
              <w:jc w:val="right"/>
              <w:rPr>
                <w:sz w:val="22"/>
              </w:rPr>
            </w:pPr>
            <w:r>
              <w:rPr>
                <w:sz w:val="22"/>
              </w:rPr>
              <w:t>190</w:t>
            </w:r>
          </w:p>
        </w:tc>
      </w:tr>
      <w:tr w:rsidR="00000000">
        <w:trPr>
          <w:cantSplit/>
        </w:trPr>
        <w:tc>
          <w:tcPr>
            <w:tcW w:w="2988" w:type="dxa"/>
            <w:noWrap/>
          </w:tcPr>
          <w:p w:rsidR="00000000" w:rsidRDefault="00000000">
            <w:pPr>
              <w:spacing w:before="30" w:after="30"/>
              <w:ind w:left="284"/>
              <w:rPr>
                <w:b/>
                <w:bCs/>
                <w:sz w:val="22"/>
              </w:rPr>
            </w:pPr>
            <w:r>
              <w:rPr>
                <w:b/>
                <w:bCs/>
                <w:sz w:val="22"/>
              </w:rPr>
              <w:t>Total</w:t>
            </w:r>
          </w:p>
        </w:tc>
        <w:tc>
          <w:tcPr>
            <w:tcW w:w="1259" w:type="dxa"/>
            <w:noWrap/>
          </w:tcPr>
          <w:p w:rsidR="00000000" w:rsidRDefault="00000000">
            <w:pPr>
              <w:spacing w:before="30" w:after="30"/>
              <w:ind w:right="113"/>
              <w:jc w:val="right"/>
              <w:rPr>
                <w:b/>
                <w:bCs/>
                <w:sz w:val="22"/>
              </w:rPr>
            </w:pPr>
            <w:r>
              <w:rPr>
                <w:b/>
                <w:bCs/>
                <w:sz w:val="22"/>
              </w:rPr>
              <w:t>21 698</w:t>
            </w:r>
          </w:p>
        </w:tc>
        <w:tc>
          <w:tcPr>
            <w:tcW w:w="1260" w:type="dxa"/>
            <w:noWrap/>
          </w:tcPr>
          <w:p w:rsidR="00000000" w:rsidRDefault="00000000">
            <w:pPr>
              <w:spacing w:before="30" w:after="30"/>
              <w:ind w:right="113"/>
              <w:jc w:val="right"/>
              <w:rPr>
                <w:b/>
                <w:bCs/>
                <w:sz w:val="22"/>
              </w:rPr>
            </w:pPr>
            <w:r>
              <w:rPr>
                <w:b/>
                <w:bCs/>
                <w:sz w:val="22"/>
              </w:rPr>
              <w:t>30 452</w:t>
            </w:r>
          </w:p>
        </w:tc>
        <w:tc>
          <w:tcPr>
            <w:tcW w:w="1260" w:type="dxa"/>
            <w:noWrap/>
          </w:tcPr>
          <w:p w:rsidR="00000000" w:rsidRDefault="00000000">
            <w:pPr>
              <w:spacing w:before="30" w:after="30"/>
              <w:ind w:right="113"/>
              <w:jc w:val="right"/>
              <w:rPr>
                <w:b/>
                <w:bCs/>
                <w:sz w:val="22"/>
              </w:rPr>
            </w:pPr>
            <w:r>
              <w:rPr>
                <w:b/>
                <w:bCs/>
                <w:sz w:val="22"/>
              </w:rPr>
              <w:t>30 075</w:t>
            </w:r>
          </w:p>
        </w:tc>
        <w:tc>
          <w:tcPr>
            <w:tcW w:w="1260" w:type="dxa"/>
            <w:noWrap/>
          </w:tcPr>
          <w:p w:rsidR="00000000" w:rsidRDefault="00000000">
            <w:pPr>
              <w:spacing w:before="30" w:after="30"/>
              <w:ind w:right="113"/>
              <w:jc w:val="right"/>
              <w:rPr>
                <w:b/>
                <w:bCs/>
                <w:sz w:val="22"/>
              </w:rPr>
            </w:pPr>
            <w:r>
              <w:rPr>
                <w:b/>
                <w:bCs/>
                <w:sz w:val="22"/>
              </w:rPr>
              <w:t>38 833</w:t>
            </w:r>
          </w:p>
        </w:tc>
        <w:tc>
          <w:tcPr>
            <w:tcW w:w="1260" w:type="dxa"/>
            <w:noWrap/>
          </w:tcPr>
          <w:p w:rsidR="00000000" w:rsidRDefault="00000000">
            <w:pPr>
              <w:spacing w:before="30" w:after="30"/>
              <w:ind w:right="113"/>
              <w:jc w:val="right"/>
              <w:rPr>
                <w:b/>
                <w:bCs/>
                <w:sz w:val="22"/>
              </w:rPr>
            </w:pPr>
            <w:r>
              <w:rPr>
                <w:b/>
                <w:bCs/>
                <w:sz w:val="22"/>
              </w:rPr>
              <w:t>37 070</w:t>
            </w:r>
          </w:p>
        </w:tc>
      </w:tr>
    </w:tbl>
    <w:p w:rsidR="00000000" w:rsidRDefault="00000000">
      <w:pPr>
        <w:spacing w:before="120" w:after="360"/>
      </w:pPr>
      <w:r>
        <w:rPr>
          <w:i/>
          <w:iCs/>
        </w:rPr>
        <w:t>Source</w:t>
      </w:r>
      <w:r>
        <w:t xml:space="preserve">: </w:t>
      </w:r>
      <w:proofErr w:type="spellStart"/>
      <w:r>
        <w:t>OFM</w:t>
      </w:r>
      <w:proofErr w:type="spellEnd"/>
      <w:r>
        <w:t>, Naturalisations, réintégrations et naturalis</w:t>
      </w:r>
      <w:r>
        <w:t>a</w:t>
      </w:r>
      <w:r>
        <w:t>tions facilitées depuis 1978 − aperçu général; état au 22 mars 2004.</w:t>
      </w:r>
    </w:p>
    <w:p w:rsidR="00000000" w:rsidRDefault="00000000">
      <w:pPr>
        <w:spacing w:after="200"/>
        <w:rPr>
          <w:bCs/>
          <w:szCs w:val="22"/>
        </w:rPr>
      </w:pPr>
      <w:r>
        <w:rPr>
          <w:bCs/>
          <w:szCs w:val="22"/>
        </w:rPr>
        <w:t>136.</w:t>
      </w:r>
      <w:r>
        <w:rPr>
          <w:bCs/>
          <w:szCs w:val="22"/>
        </w:rPr>
        <w:tab/>
        <w:t>L’augmentation des naturalisations lors de ces dernières années est essentiell</w:t>
      </w:r>
      <w:r>
        <w:rPr>
          <w:bCs/>
          <w:szCs w:val="22"/>
        </w:rPr>
        <w:t>e</w:t>
      </w:r>
      <w:r>
        <w:rPr>
          <w:bCs/>
          <w:szCs w:val="22"/>
        </w:rPr>
        <w:t>ment due à l’augmentation de la proportion d’étrangers vivant depuis longtemps en Suisse, ayant grandi dans notre pays ou s’étant mariés avec un citoyen suisse. Si le nombre des naturalis</w:t>
      </w:r>
      <w:r>
        <w:rPr>
          <w:bCs/>
          <w:szCs w:val="22"/>
        </w:rPr>
        <w:t>a</w:t>
      </w:r>
      <w:r>
        <w:rPr>
          <w:bCs/>
          <w:szCs w:val="22"/>
        </w:rPr>
        <w:t>tions augmente constamment, seuls 2,4 étrangers vivant en Suisse sur 100 ont reçu la nati</w:t>
      </w:r>
      <w:r>
        <w:rPr>
          <w:bCs/>
          <w:szCs w:val="22"/>
        </w:rPr>
        <w:t>o</w:t>
      </w:r>
      <w:r>
        <w:rPr>
          <w:bCs/>
          <w:szCs w:val="22"/>
        </w:rPr>
        <w:t>nalité suisse en 2002</w:t>
      </w:r>
      <w:r>
        <w:rPr>
          <w:rStyle w:val="FootnoteReference"/>
          <w:bCs/>
          <w:szCs w:val="22"/>
        </w:rPr>
        <w:footnoteReference w:id="93"/>
      </w:r>
      <w:r>
        <w:rPr>
          <w:bCs/>
          <w:szCs w:val="22"/>
        </w:rPr>
        <w:t>.</w:t>
      </w:r>
    </w:p>
    <w:p w:rsidR="00000000" w:rsidRDefault="00000000">
      <w:pPr>
        <w:keepNext/>
        <w:spacing w:after="200"/>
        <w:rPr>
          <w:b/>
          <w:bCs/>
        </w:rPr>
      </w:pPr>
      <w:bookmarkStart w:id="96" w:name="_Toc163552237"/>
      <w:r>
        <w:rPr>
          <w:b/>
          <w:bCs/>
          <w:i/>
          <w:iCs/>
        </w:rPr>
        <w:t>d)</w:t>
      </w:r>
      <w:r>
        <w:rPr>
          <w:b/>
          <w:bCs/>
          <w:i/>
          <w:iCs/>
        </w:rPr>
        <w:tab/>
        <w:t xml:space="preserve">Droit de se marier et de choisir son conjoint </w:t>
      </w:r>
      <w:r>
        <w:rPr>
          <w:b/>
          <w:bCs/>
        </w:rPr>
        <w:t xml:space="preserve">(art. 5, al. </w:t>
      </w:r>
      <w:r>
        <w:rPr>
          <w:b/>
          <w:bCs/>
          <w:i/>
          <w:iCs/>
        </w:rPr>
        <w:t>d</w:t>
      </w:r>
      <w:r>
        <w:rPr>
          <w:b/>
          <w:bCs/>
        </w:rPr>
        <w:t xml:space="preserve">, </w:t>
      </w:r>
      <w:proofErr w:type="spellStart"/>
      <w:r>
        <w:rPr>
          <w:b/>
          <w:bCs/>
        </w:rPr>
        <w:t>iv</w:t>
      </w:r>
      <w:proofErr w:type="spellEnd"/>
      <w:r>
        <w:rPr>
          <w:b/>
          <w:bCs/>
        </w:rPr>
        <w:t>)</w:t>
      </w:r>
      <w:bookmarkEnd w:id="96"/>
      <w:r>
        <w:rPr>
          <w:b/>
          <w:bCs/>
        </w:rPr>
        <w:t>)</w:t>
      </w:r>
    </w:p>
    <w:p w:rsidR="00000000" w:rsidRDefault="00000000">
      <w:pPr>
        <w:keepNext/>
        <w:spacing w:after="200"/>
        <w:ind w:left="567"/>
        <w:rPr>
          <w:b/>
          <w:bCs/>
          <w:i/>
          <w:iCs/>
        </w:rPr>
      </w:pPr>
      <w:r>
        <w:rPr>
          <w:b/>
          <w:bCs/>
          <w:i/>
          <w:iCs/>
        </w:rPr>
        <w:t>i)</w:t>
      </w:r>
      <w:r>
        <w:rPr>
          <w:b/>
          <w:bCs/>
          <w:i/>
          <w:iCs/>
        </w:rPr>
        <w:tab/>
      </w:r>
      <w:r>
        <w:rPr>
          <w:b/>
          <w:bCs/>
          <w:i/>
          <w:iCs/>
          <w:szCs w:val="24"/>
        </w:rPr>
        <w:t>Droit au mariage</w:t>
      </w:r>
    </w:p>
    <w:p w:rsidR="00000000" w:rsidRDefault="00000000">
      <w:pPr>
        <w:spacing w:after="200"/>
        <w:rPr>
          <w:bCs/>
          <w:szCs w:val="22"/>
        </w:rPr>
      </w:pPr>
      <w:r>
        <w:rPr>
          <w:bCs/>
          <w:szCs w:val="22"/>
        </w:rPr>
        <w:t>137.</w:t>
      </w:r>
      <w:r>
        <w:rPr>
          <w:bCs/>
          <w:szCs w:val="22"/>
        </w:rPr>
        <w:tab/>
        <w:t>Le droit au mariage, garanti à l’article 14 de la Constitution fédérale, implique la liberté d’épouser que</w:t>
      </w:r>
      <w:r>
        <w:rPr>
          <w:bCs/>
          <w:szCs w:val="22"/>
        </w:rPr>
        <w:t>l</w:t>
      </w:r>
      <w:r>
        <w:rPr>
          <w:bCs/>
          <w:szCs w:val="22"/>
        </w:rPr>
        <w:t xml:space="preserve">qu’un sans avoir à se plier à des restrictions étatiques, policières en particulier, ainsi que la liberté de fonder une famille. La vie commune des époux est protégée essentiellement par l’article 13 de la Constitution fédérale, combiné avec l’article 8 de la </w:t>
      </w:r>
      <w:proofErr w:type="spellStart"/>
      <w:r>
        <w:rPr>
          <w:bCs/>
          <w:szCs w:val="22"/>
        </w:rPr>
        <w:t>CEDH</w:t>
      </w:r>
      <w:proofErr w:type="spellEnd"/>
      <w:r>
        <w:rPr>
          <w:bCs/>
          <w:szCs w:val="22"/>
        </w:rPr>
        <w:t>.</w:t>
      </w:r>
    </w:p>
    <w:p w:rsidR="00000000" w:rsidRDefault="00000000">
      <w:pPr>
        <w:spacing w:after="200"/>
        <w:rPr>
          <w:bCs/>
          <w:szCs w:val="22"/>
        </w:rPr>
      </w:pPr>
      <w:r>
        <w:rPr>
          <w:bCs/>
          <w:szCs w:val="22"/>
        </w:rPr>
        <w:t>138.</w:t>
      </w:r>
      <w:r>
        <w:rPr>
          <w:bCs/>
          <w:szCs w:val="22"/>
        </w:rPr>
        <w:tab/>
        <w:t>Dans son annexe 1, l’</w:t>
      </w:r>
      <w:proofErr w:type="spellStart"/>
      <w:r>
        <w:rPr>
          <w:bCs/>
          <w:szCs w:val="22"/>
        </w:rPr>
        <w:t>Accord</w:t>
      </w:r>
      <w:proofErr w:type="spellEnd"/>
      <w:r>
        <w:rPr>
          <w:bCs/>
          <w:szCs w:val="22"/>
        </w:rPr>
        <w:t xml:space="preserve"> sur la libre circulation des personnes (</w:t>
      </w:r>
      <w:proofErr w:type="spellStart"/>
      <w:r>
        <w:rPr>
          <w:bCs/>
          <w:szCs w:val="22"/>
        </w:rPr>
        <w:t>ALCP</w:t>
      </w:r>
      <w:proofErr w:type="spellEnd"/>
      <w:r>
        <w:rPr>
          <w:bCs/>
          <w:szCs w:val="22"/>
        </w:rPr>
        <w:t xml:space="preserve">) contient des dispositions relatives au regroupement familial. Quelle que puisse être leur nationalité, les membres de la famille du travailleur étranger obtiennent la même autorisation de séjour que </w:t>
      </w:r>
      <w:proofErr w:type="spellStart"/>
      <w:r>
        <w:rPr>
          <w:bCs/>
          <w:szCs w:val="22"/>
        </w:rPr>
        <w:t>celui</w:t>
      </w:r>
      <w:r>
        <w:rPr>
          <w:bCs/>
          <w:szCs w:val="22"/>
        </w:rPr>
        <w:noBreakHyphen/>
        <w:t>ci</w:t>
      </w:r>
      <w:proofErr w:type="spellEnd"/>
      <w:r>
        <w:rPr>
          <w:bCs/>
          <w:szCs w:val="22"/>
        </w:rPr>
        <w:t>. Ils obtiennent aussi le droit d’exercer une activité lucrative et les enfants ont libre a</w:t>
      </w:r>
      <w:r>
        <w:rPr>
          <w:bCs/>
          <w:szCs w:val="22"/>
        </w:rPr>
        <w:t>c</w:t>
      </w:r>
      <w:r>
        <w:rPr>
          <w:bCs/>
          <w:szCs w:val="22"/>
        </w:rPr>
        <w:t>cès aux établissements scolaires.</w:t>
      </w:r>
    </w:p>
    <w:p w:rsidR="00000000" w:rsidRDefault="00000000">
      <w:pPr>
        <w:spacing w:after="200"/>
        <w:rPr>
          <w:bCs/>
          <w:szCs w:val="22"/>
        </w:rPr>
      </w:pPr>
      <w:r>
        <w:rPr>
          <w:bCs/>
          <w:szCs w:val="22"/>
        </w:rPr>
        <w:t>139.</w:t>
      </w:r>
      <w:r>
        <w:rPr>
          <w:bCs/>
          <w:szCs w:val="22"/>
        </w:rPr>
        <w:tab/>
        <w:t xml:space="preserve">Un droit au regroupement familial ne peut être déduit de la </w:t>
      </w:r>
      <w:proofErr w:type="spellStart"/>
      <w:r>
        <w:rPr>
          <w:bCs/>
          <w:szCs w:val="22"/>
        </w:rPr>
        <w:t>CEDH</w:t>
      </w:r>
      <w:proofErr w:type="spellEnd"/>
      <w:r>
        <w:rPr>
          <w:bCs/>
          <w:szCs w:val="22"/>
        </w:rPr>
        <w:t xml:space="preserve"> ou de la Constitution fédérale que par des personnes ayant un droit de présence en Suisse bien établi. Outre la nationalité suisse et l’autorisation d’établissement, une simple autorisation de séjour est aussi consid</w:t>
      </w:r>
      <w:r>
        <w:rPr>
          <w:bCs/>
          <w:szCs w:val="22"/>
        </w:rPr>
        <w:t>é</w:t>
      </w:r>
      <w:r>
        <w:rPr>
          <w:bCs/>
          <w:szCs w:val="22"/>
        </w:rPr>
        <w:t>rée comme droit de présence bien établi, à condition que le titulaire possède un droit bien ét</w:t>
      </w:r>
      <w:r>
        <w:rPr>
          <w:bCs/>
          <w:szCs w:val="22"/>
        </w:rPr>
        <w:t>a</w:t>
      </w:r>
      <w:r>
        <w:rPr>
          <w:bCs/>
          <w:szCs w:val="22"/>
        </w:rPr>
        <w:t xml:space="preserve">bli à l’obtention de </w:t>
      </w:r>
      <w:proofErr w:type="spellStart"/>
      <w:r>
        <w:rPr>
          <w:bCs/>
          <w:szCs w:val="22"/>
        </w:rPr>
        <w:t>celle</w:t>
      </w:r>
      <w:r>
        <w:rPr>
          <w:bCs/>
          <w:szCs w:val="22"/>
        </w:rPr>
        <w:noBreakHyphen/>
        <w:t>ci</w:t>
      </w:r>
      <w:proofErr w:type="spellEnd"/>
      <w:r>
        <w:rPr>
          <w:bCs/>
          <w:szCs w:val="22"/>
        </w:rPr>
        <w:t xml:space="preserve">. À titre d’exemple, le Tribunal fédéral a reconnu ce droit à un homme originaire de </w:t>
      </w:r>
      <w:proofErr w:type="spellStart"/>
      <w:r>
        <w:rPr>
          <w:bCs/>
          <w:szCs w:val="22"/>
        </w:rPr>
        <w:t>Serbie</w:t>
      </w:r>
      <w:r>
        <w:rPr>
          <w:bCs/>
          <w:szCs w:val="22"/>
        </w:rPr>
        <w:noBreakHyphen/>
        <w:t>et</w:t>
      </w:r>
      <w:r>
        <w:rPr>
          <w:bCs/>
          <w:szCs w:val="22"/>
        </w:rPr>
        <w:noBreakHyphen/>
        <w:t>Monténégro</w:t>
      </w:r>
      <w:proofErr w:type="spellEnd"/>
      <w:r>
        <w:rPr>
          <w:bCs/>
          <w:szCs w:val="22"/>
        </w:rPr>
        <w:t xml:space="preserve"> qui vivait en Suisse depuis vingt ans, qui était marié depuis dix ans, et qui avait deux filles. Malgré l’endettement et l’instabilité profe</w:t>
      </w:r>
      <w:r>
        <w:rPr>
          <w:bCs/>
          <w:szCs w:val="22"/>
        </w:rPr>
        <w:t>s</w:t>
      </w:r>
      <w:r>
        <w:rPr>
          <w:bCs/>
          <w:szCs w:val="22"/>
        </w:rPr>
        <w:t>sionnelle de cet homme, le Tribunal fédéral a considéré que ses attaches avec la Suisse étaient suffisa</w:t>
      </w:r>
      <w:r>
        <w:rPr>
          <w:bCs/>
          <w:szCs w:val="22"/>
        </w:rPr>
        <w:t>n</w:t>
      </w:r>
      <w:r>
        <w:rPr>
          <w:bCs/>
          <w:szCs w:val="22"/>
        </w:rPr>
        <w:t>tes pour lui reconnaître un droit de présence en Suisse fondé sur les garanties de la vie pr</w:t>
      </w:r>
      <w:r>
        <w:rPr>
          <w:bCs/>
          <w:szCs w:val="22"/>
        </w:rPr>
        <w:t>i</w:t>
      </w:r>
      <w:r>
        <w:rPr>
          <w:bCs/>
          <w:szCs w:val="22"/>
        </w:rPr>
        <w:t>vée et familiale</w:t>
      </w:r>
      <w:r>
        <w:rPr>
          <w:rStyle w:val="FootnoteReference"/>
          <w:bCs/>
          <w:szCs w:val="22"/>
        </w:rPr>
        <w:footnoteReference w:id="94"/>
      </w:r>
      <w:r>
        <w:rPr>
          <w:bCs/>
          <w:szCs w:val="22"/>
        </w:rPr>
        <w:t>.</w:t>
      </w:r>
    </w:p>
    <w:p w:rsidR="00000000" w:rsidRDefault="00000000">
      <w:pPr>
        <w:keepNext/>
        <w:spacing w:after="240"/>
        <w:ind w:left="567"/>
        <w:rPr>
          <w:b/>
          <w:bCs/>
          <w:i/>
          <w:iCs/>
          <w:szCs w:val="24"/>
        </w:rPr>
      </w:pPr>
      <w:proofErr w:type="spellStart"/>
      <w:r>
        <w:rPr>
          <w:b/>
          <w:bCs/>
          <w:i/>
          <w:iCs/>
          <w:szCs w:val="24"/>
        </w:rPr>
        <w:t>ii</w:t>
      </w:r>
      <w:proofErr w:type="spellEnd"/>
      <w:r>
        <w:rPr>
          <w:b/>
          <w:bCs/>
          <w:i/>
          <w:iCs/>
          <w:szCs w:val="24"/>
        </w:rPr>
        <w:t>)</w:t>
      </w:r>
      <w:r>
        <w:rPr>
          <w:b/>
          <w:bCs/>
          <w:i/>
          <w:iCs/>
          <w:szCs w:val="24"/>
        </w:rPr>
        <w:tab/>
        <w:t>Droit au libre choix du conjoint</w:t>
      </w:r>
    </w:p>
    <w:p w:rsidR="00000000" w:rsidRDefault="00000000">
      <w:pPr>
        <w:spacing w:after="240"/>
        <w:rPr>
          <w:bCs/>
          <w:szCs w:val="22"/>
        </w:rPr>
      </w:pPr>
      <w:r>
        <w:rPr>
          <w:color w:val="000000"/>
          <w:szCs w:val="22"/>
        </w:rPr>
        <w:t>140.</w:t>
      </w:r>
      <w:r>
        <w:rPr>
          <w:color w:val="000000"/>
          <w:szCs w:val="22"/>
        </w:rPr>
        <w:tab/>
        <w:t xml:space="preserve">Dans le sillage de la </w:t>
      </w:r>
      <w:proofErr w:type="spellStart"/>
      <w:r>
        <w:rPr>
          <w:color w:val="000000"/>
          <w:szCs w:val="22"/>
        </w:rPr>
        <w:t>multiculturalité</w:t>
      </w:r>
      <w:proofErr w:type="spellEnd"/>
      <w:r>
        <w:rPr>
          <w:color w:val="000000"/>
          <w:szCs w:val="22"/>
        </w:rPr>
        <w:t xml:space="preserve"> croissante de notre société, le mariage forcé est un sujet qui fait parler de lui de plus en plus souvent en Suisse</w:t>
      </w:r>
      <w:r>
        <w:rPr>
          <w:rStyle w:val="FootnoteReference"/>
          <w:color w:val="000000"/>
          <w:szCs w:val="22"/>
        </w:rPr>
        <w:footnoteReference w:id="95"/>
      </w:r>
      <w:r>
        <w:rPr>
          <w:color w:val="000000"/>
          <w:szCs w:val="22"/>
        </w:rPr>
        <w:t>. Les dispositions perme</w:t>
      </w:r>
      <w:r>
        <w:rPr>
          <w:color w:val="000000"/>
          <w:szCs w:val="22"/>
        </w:rPr>
        <w:t>t</w:t>
      </w:r>
      <w:r>
        <w:rPr>
          <w:color w:val="000000"/>
          <w:szCs w:val="22"/>
        </w:rPr>
        <w:t>tant de punir cette atteinte à la liberté de choisir son conjoint existent. Selon le Code civil suisse, le fait qu’un époux ait contracté le mariage sous la menace d’un danger grave et i</w:t>
      </w:r>
      <w:r>
        <w:rPr>
          <w:color w:val="000000"/>
          <w:szCs w:val="22"/>
        </w:rPr>
        <w:t>m</w:t>
      </w:r>
      <w:r>
        <w:rPr>
          <w:color w:val="000000"/>
          <w:szCs w:val="22"/>
        </w:rPr>
        <w:t>minent pour sa vie, sa santé ou son honneur, ou ceux de l’un de ses proches, est une cause de nullité (art. 107, par. 4, du Code civil). Si cet état de fait est établi, il peut en principe tomber sous le coup de la norme pénale relative à la contrainte (art. 181 du Code pénal), être donc poursuivi d’office, et être puni de trois ans d’emprisonnement au plus ou de l’amende.</w:t>
      </w:r>
    </w:p>
    <w:p w:rsidR="00000000" w:rsidRDefault="00000000">
      <w:pPr>
        <w:spacing w:after="240"/>
        <w:rPr>
          <w:bCs/>
          <w:szCs w:val="22"/>
        </w:rPr>
      </w:pPr>
      <w:r>
        <w:rPr>
          <w:bCs/>
          <w:szCs w:val="22"/>
        </w:rPr>
        <w:t>141.</w:t>
      </w:r>
      <w:r>
        <w:rPr>
          <w:bCs/>
          <w:szCs w:val="22"/>
        </w:rPr>
        <w:tab/>
        <w:t>En dépit de l’existence de ces moyens d’action civile et pénale, on discute actuell</w:t>
      </w:r>
      <w:r>
        <w:rPr>
          <w:bCs/>
          <w:szCs w:val="22"/>
        </w:rPr>
        <w:t>e</w:t>
      </w:r>
      <w:r>
        <w:rPr>
          <w:bCs/>
          <w:szCs w:val="22"/>
        </w:rPr>
        <w:t>ment de la nécessité d’interdire expressément les mariages forcés dans la loi. Le Conseil des États a approuvé un projet visant à compléter le Code pénal par une norme rendant la contrainte au mariage pénalement répréhensible. Ce projet devra maintenant être approfondi par les commissions compétentes</w:t>
      </w:r>
      <w:r>
        <w:rPr>
          <w:rStyle w:val="FootnoteReference"/>
          <w:bCs/>
          <w:szCs w:val="22"/>
        </w:rPr>
        <w:footnoteReference w:id="96"/>
      </w:r>
      <w:r>
        <w:rPr>
          <w:bCs/>
          <w:szCs w:val="22"/>
        </w:rPr>
        <w:t>. Au moyen d’un postulat, le Conseil national a dema</w:t>
      </w:r>
      <w:r>
        <w:rPr>
          <w:bCs/>
          <w:szCs w:val="22"/>
        </w:rPr>
        <w:t>n</w:t>
      </w:r>
      <w:r>
        <w:rPr>
          <w:bCs/>
          <w:szCs w:val="22"/>
        </w:rPr>
        <w:t>dé au Conseil fédéral d’étudier les différents moyens pouvant être mis en œuvre en droit civil et en droit pénal pour lutter contre les mariages forcés ou arrangés de personnes domiciliées en Suisse et de présenter les résultats sous la forme d’un rapport. Il importe toutefois de relever que la création d’un tel instrument ne changera rien au fait qu’il restera toujours très difficile de réunir les éléments nécessaires à l’accusation. Les personnes mariées de force n’osent en effet souvent pas en parler, et il est difficile, voire impossible, dans de nombreux cas, de pro</w:t>
      </w:r>
      <w:r>
        <w:rPr>
          <w:bCs/>
          <w:szCs w:val="22"/>
        </w:rPr>
        <w:t>u</w:t>
      </w:r>
      <w:r>
        <w:rPr>
          <w:bCs/>
          <w:szCs w:val="22"/>
        </w:rPr>
        <w:t>ver qu’il y a réellement eu contrainte.</w:t>
      </w:r>
    </w:p>
    <w:p w:rsidR="00000000" w:rsidRDefault="00000000">
      <w:pPr>
        <w:keepNext/>
        <w:spacing w:after="240"/>
        <w:rPr>
          <w:b/>
          <w:bCs/>
        </w:rPr>
      </w:pPr>
      <w:bookmarkStart w:id="97" w:name="_Toc163552238"/>
      <w:r>
        <w:rPr>
          <w:b/>
          <w:bCs/>
          <w:i/>
          <w:iCs/>
        </w:rPr>
        <w:t>e)</w:t>
      </w:r>
      <w:r>
        <w:rPr>
          <w:b/>
          <w:bCs/>
          <w:i/>
          <w:iCs/>
        </w:rPr>
        <w:tab/>
        <w:t>Droit à la propriété</w:t>
      </w:r>
      <w:r>
        <w:rPr>
          <w:b/>
          <w:bCs/>
        </w:rPr>
        <w:t xml:space="preserve"> (art. 5, al. </w:t>
      </w:r>
      <w:r>
        <w:rPr>
          <w:b/>
          <w:bCs/>
          <w:i/>
          <w:iCs/>
        </w:rPr>
        <w:t>d</w:t>
      </w:r>
      <w:r>
        <w:rPr>
          <w:b/>
          <w:bCs/>
        </w:rPr>
        <w:t>, v)</w:t>
      </w:r>
      <w:bookmarkEnd w:id="97"/>
      <w:r>
        <w:rPr>
          <w:b/>
          <w:bCs/>
        </w:rPr>
        <w:t>)</w:t>
      </w:r>
    </w:p>
    <w:p w:rsidR="00000000" w:rsidRDefault="00000000">
      <w:pPr>
        <w:spacing w:after="240"/>
        <w:rPr>
          <w:bCs/>
          <w:szCs w:val="22"/>
        </w:rPr>
      </w:pPr>
      <w:r>
        <w:rPr>
          <w:bCs/>
          <w:szCs w:val="22"/>
        </w:rPr>
        <w:t>142.</w:t>
      </w:r>
      <w:r>
        <w:rPr>
          <w:bCs/>
          <w:szCs w:val="22"/>
        </w:rPr>
        <w:tab/>
        <w:t>Nous renvoyons aux deuxième et troisième rapports périodiques, par. 170 et 171.</w:t>
      </w:r>
    </w:p>
    <w:p w:rsidR="00000000" w:rsidRDefault="00000000">
      <w:pPr>
        <w:keepNext/>
        <w:spacing w:after="240"/>
        <w:rPr>
          <w:b/>
          <w:bCs/>
        </w:rPr>
      </w:pPr>
      <w:bookmarkStart w:id="98" w:name="_Toc163552239"/>
      <w:r>
        <w:rPr>
          <w:b/>
          <w:bCs/>
          <w:i/>
          <w:iCs/>
        </w:rPr>
        <w:t>f)</w:t>
      </w:r>
      <w:r>
        <w:rPr>
          <w:b/>
          <w:bCs/>
          <w:i/>
          <w:iCs/>
        </w:rPr>
        <w:tab/>
        <w:t>Droit d’hériter</w:t>
      </w:r>
      <w:r>
        <w:rPr>
          <w:b/>
          <w:bCs/>
        </w:rPr>
        <w:t xml:space="preserve"> (art. 5, al. </w:t>
      </w:r>
      <w:r>
        <w:rPr>
          <w:b/>
          <w:bCs/>
          <w:i/>
          <w:iCs/>
        </w:rPr>
        <w:t>d</w:t>
      </w:r>
      <w:r>
        <w:rPr>
          <w:b/>
          <w:bCs/>
        </w:rPr>
        <w:t xml:space="preserve">, </w:t>
      </w:r>
      <w:proofErr w:type="spellStart"/>
      <w:r>
        <w:rPr>
          <w:b/>
          <w:bCs/>
        </w:rPr>
        <w:t>vi</w:t>
      </w:r>
      <w:proofErr w:type="spellEnd"/>
      <w:r>
        <w:rPr>
          <w:b/>
          <w:bCs/>
        </w:rPr>
        <w:t>)</w:t>
      </w:r>
      <w:bookmarkEnd w:id="98"/>
      <w:r>
        <w:rPr>
          <w:b/>
          <w:bCs/>
        </w:rPr>
        <w:t>)</w:t>
      </w:r>
    </w:p>
    <w:p w:rsidR="00000000" w:rsidRDefault="00000000">
      <w:pPr>
        <w:spacing w:after="240"/>
        <w:rPr>
          <w:bCs/>
          <w:szCs w:val="22"/>
        </w:rPr>
      </w:pPr>
      <w:r>
        <w:rPr>
          <w:bCs/>
          <w:szCs w:val="22"/>
        </w:rPr>
        <w:t>143.</w:t>
      </w:r>
      <w:r>
        <w:rPr>
          <w:bCs/>
          <w:szCs w:val="22"/>
        </w:rPr>
        <w:tab/>
        <w:t>Nous renvoyons ici aux explications données dans le rapport initial (ch. 119).</w:t>
      </w:r>
    </w:p>
    <w:p w:rsidR="00000000" w:rsidRDefault="00000000">
      <w:pPr>
        <w:keepNext/>
        <w:spacing w:after="240"/>
        <w:rPr>
          <w:b/>
          <w:bCs/>
        </w:rPr>
      </w:pPr>
      <w:bookmarkStart w:id="99" w:name="_Toc163552240"/>
      <w:r>
        <w:rPr>
          <w:b/>
          <w:bCs/>
          <w:i/>
          <w:iCs/>
        </w:rPr>
        <w:t>g)</w:t>
      </w:r>
      <w:r>
        <w:rPr>
          <w:b/>
          <w:bCs/>
          <w:i/>
          <w:iCs/>
        </w:rPr>
        <w:tab/>
        <w:t>Droit à la liberté de pensée, de con</w:t>
      </w:r>
      <w:r>
        <w:rPr>
          <w:b/>
          <w:bCs/>
          <w:i/>
          <w:iCs/>
        </w:rPr>
        <w:t>s</w:t>
      </w:r>
      <w:r>
        <w:rPr>
          <w:b/>
          <w:bCs/>
          <w:i/>
          <w:iCs/>
        </w:rPr>
        <w:t>cience et de religion</w:t>
      </w:r>
      <w:r>
        <w:rPr>
          <w:b/>
          <w:bCs/>
        </w:rPr>
        <w:t xml:space="preserve"> (art. 5, al. </w:t>
      </w:r>
      <w:r>
        <w:rPr>
          <w:b/>
          <w:bCs/>
          <w:i/>
          <w:iCs/>
        </w:rPr>
        <w:t>d</w:t>
      </w:r>
      <w:r>
        <w:rPr>
          <w:b/>
          <w:bCs/>
        </w:rPr>
        <w:t xml:space="preserve">, </w:t>
      </w:r>
      <w:proofErr w:type="spellStart"/>
      <w:r>
        <w:rPr>
          <w:b/>
          <w:bCs/>
        </w:rPr>
        <w:t>vii</w:t>
      </w:r>
      <w:proofErr w:type="spellEnd"/>
      <w:r>
        <w:rPr>
          <w:b/>
          <w:bCs/>
        </w:rPr>
        <w:t>)</w:t>
      </w:r>
      <w:bookmarkEnd w:id="99"/>
      <w:r>
        <w:rPr>
          <w:b/>
          <w:bCs/>
        </w:rPr>
        <w:t>)</w:t>
      </w:r>
    </w:p>
    <w:p w:rsidR="00000000" w:rsidRDefault="00000000">
      <w:pPr>
        <w:keepNext/>
        <w:spacing w:after="240"/>
        <w:ind w:left="1134" w:hanging="567"/>
        <w:rPr>
          <w:b/>
          <w:bCs/>
          <w:i/>
          <w:iCs/>
          <w:szCs w:val="24"/>
        </w:rPr>
      </w:pPr>
      <w:r>
        <w:rPr>
          <w:b/>
          <w:bCs/>
          <w:i/>
          <w:iCs/>
          <w:szCs w:val="24"/>
        </w:rPr>
        <w:t>i)</w:t>
      </w:r>
      <w:r>
        <w:rPr>
          <w:b/>
          <w:bCs/>
          <w:i/>
          <w:iCs/>
          <w:szCs w:val="24"/>
        </w:rPr>
        <w:tab/>
        <w:t>Droit à l’expression et à la mise en pratique de convictions religieuses</w:t>
      </w:r>
    </w:p>
    <w:p w:rsidR="00000000" w:rsidRDefault="00000000">
      <w:pPr>
        <w:spacing w:after="180"/>
        <w:rPr>
          <w:bCs/>
          <w:szCs w:val="22"/>
        </w:rPr>
      </w:pPr>
      <w:r>
        <w:rPr>
          <w:bCs/>
          <w:szCs w:val="22"/>
        </w:rPr>
        <w:t>144.</w:t>
      </w:r>
      <w:r>
        <w:rPr>
          <w:bCs/>
          <w:szCs w:val="22"/>
        </w:rPr>
        <w:tab/>
        <w:t>La compétence de reconnaître des communautés religieuses en droit public et de fixer les conditions de cette reconnaissance est du ressort des cantons. Depuis la présent</w:t>
      </w:r>
      <w:r>
        <w:rPr>
          <w:bCs/>
          <w:szCs w:val="22"/>
        </w:rPr>
        <w:t>a</w:t>
      </w:r>
      <w:r>
        <w:rPr>
          <w:bCs/>
          <w:szCs w:val="22"/>
        </w:rPr>
        <w:t xml:space="preserve">tion du dernier rapport, les communautés israélites ont été reconnues comme étant de droit public dans les constitutions révisées des cantons de Berne, </w:t>
      </w:r>
      <w:proofErr w:type="spellStart"/>
      <w:r>
        <w:rPr>
          <w:bCs/>
          <w:szCs w:val="22"/>
        </w:rPr>
        <w:t>Saint</w:t>
      </w:r>
      <w:r>
        <w:rPr>
          <w:bCs/>
          <w:szCs w:val="22"/>
        </w:rPr>
        <w:noBreakHyphen/>
        <w:t>Gall</w:t>
      </w:r>
      <w:proofErr w:type="spellEnd"/>
      <w:r>
        <w:rPr>
          <w:bCs/>
          <w:szCs w:val="22"/>
        </w:rPr>
        <w:t xml:space="preserve"> et </w:t>
      </w:r>
      <w:proofErr w:type="spellStart"/>
      <w:r>
        <w:rPr>
          <w:bCs/>
          <w:szCs w:val="22"/>
        </w:rPr>
        <w:t>Bâle</w:t>
      </w:r>
      <w:r>
        <w:rPr>
          <w:bCs/>
          <w:szCs w:val="22"/>
        </w:rPr>
        <w:noBreakHyphen/>
        <w:t>ville</w:t>
      </w:r>
      <w:proofErr w:type="spellEnd"/>
      <w:r>
        <w:rPr>
          <w:bCs/>
          <w:szCs w:val="22"/>
        </w:rPr>
        <w:t>. Les ca</w:t>
      </w:r>
      <w:r>
        <w:rPr>
          <w:bCs/>
          <w:szCs w:val="22"/>
        </w:rPr>
        <w:t>n</w:t>
      </w:r>
      <w:r>
        <w:rPr>
          <w:bCs/>
          <w:szCs w:val="22"/>
        </w:rPr>
        <w:t>tons de </w:t>
      </w:r>
      <w:proofErr w:type="spellStart"/>
      <w:r>
        <w:rPr>
          <w:bCs/>
          <w:szCs w:val="22"/>
        </w:rPr>
        <w:t>Bâle</w:t>
      </w:r>
      <w:r>
        <w:rPr>
          <w:bCs/>
          <w:szCs w:val="22"/>
        </w:rPr>
        <w:noBreakHyphen/>
        <w:t>campagne</w:t>
      </w:r>
      <w:proofErr w:type="spellEnd"/>
      <w:r>
        <w:rPr>
          <w:bCs/>
          <w:szCs w:val="22"/>
        </w:rPr>
        <w:t xml:space="preserve">, </w:t>
      </w:r>
      <w:proofErr w:type="spellStart"/>
      <w:r>
        <w:rPr>
          <w:bCs/>
          <w:szCs w:val="22"/>
        </w:rPr>
        <w:t>Bâle</w:t>
      </w:r>
      <w:r>
        <w:rPr>
          <w:bCs/>
          <w:szCs w:val="22"/>
        </w:rPr>
        <w:noBreakHyphen/>
        <w:t>ville</w:t>
      </w:r>
      <w:proofErr w:type="spellEnd"/>
      <w:r>
        <w:rPr>
          <w:bCs/>
          <w:szCs w:val="22"/>
        </w:rPr>
        <w:t>, Berne, Obwald, Nidwald, Glaris, Fribourg, Soleure, Jura, Schaf</w:t>
      </w:r>
      <w:r>
        <w:rPr>
          <w:bCs/>
          <w:szCs w:val="22"/>
        </w:rPr>
        <w:t>f</w:t>
      </w:r>
      <w:r>
        <w:rPr>
          <w:bCs/>
          <w:szCs w:val="22"/>
        </w:rPr>
        <w:t xml:space="preserve">house, Appenzell </w:t>
      </w:r>
      <w:proofErr w:type="spellStart"/>
      <w:r>
        <w:rPr>
          <w:bCs/>
          <w:szCs w:val="22"/>
        </w:rPr>
        <w:t>Rhodes</w:t>
      </w:r>
      <w:r>
        <w:rPr>
          <w:bCs/>
          <w:szCs w:val="22"/>
        </w:rPr>
        <w:noBreakHyphen/>
        <w:t>Extérieures</w:t>
      </w:r>
      <w:proofErr w:type="spellEnd"/>
      <w:r>
        <w:rPr>
          <w:bCs/>
          <w:szCs w:val="22"/>
        </w:rPr>
        <w:t>, Grisons, Neuchâtel, Argovie, Te</w:t>
      </w:r>
      <w:r>
        <w:rPr>
          <w:bCs/>
          <w:szCs w:val="22"/>
        </w:rPr>
        <w:t>s</w:t>
      </w:r>
      <w:r>
        <w:rPr>
          <w:bCs/>
          <w:szCs w:val="22"/>
        </w:rPr>
        <w:t>sin, Vaud et Valais prévoient la possibilité de reconnaître encore d’autres communautés religieuses que celles qu’ils ont déjà reconnues. Dans certains cantons, les conditions de cette reconnai</w:t>
      </w:r>
      <w:r>
        <w:rPr>
          <w:bCs/>
          <w:szCs w:val="22"/>
        </w:rPr>
        <w:t>s</w:t>
      </w:r>
      <w:r>
        <w:rPr>
          <w:bCs/>
          <w:szCs w:val="22"/>
        </w:rPr>
        <w:t>sance sont inscrites dans la Constitution, alors que dans d’autres elles sont dévelo</w:t>
      </w:r>
      <w:r>
        <w:rPr>
          <w:bCs/>
          <w:szCs w:val="22"/>
        </w:rPr>
        <w:t>p</w:t>
      </w:r>
      <w:r>
        <w:rPr>
          <w:bCs/>
          <w:szCs w:val="22"/>
        </w:rPr>
        <w:t>pées au niveau de la loi.</w:t>
      </w:r>
    </w:p>
    <w:p w:rsidR="00000000" w:rsidRDefault="00000000">
      <w:pPr>
        <w:spacing w:after="180"/>
        <w:rPr>
          <w:bCs/>
          <w:szCs w:val="22"/>
        </w:rPr>
      </w:pPr>
      <w:r>
        <w:rPr>
          <w:bCs/>
          <w:szCs w:val="22"/>
        </w:rPr>
        <w:t>145.</w:t>
      </w:r>
      <w:r>
        <w:rPr>
          <w:bCs/>
          <w:szCs w:val="22"/>
        </w:rPr>
        <w:tab/>
        <w:t>Dans les autres constitutions cantonales, on cherche en vain une disposition perme</w:t>
      </w:r>
      <w:r>
        <w:rPr>
          <w:bCs/>
          <w:szCs w:val="22"/>
        </w:rPr>
        <w:t>t</w:t>
      </w:r>
      <w:r>
        <w:rPr>
          <w:bCs/>
          <w:szCs w:val="22"/>
        </w:rPr>
        <w:t>tant d’allonger la liste des communautés religieuses reconnues. En règle générale, les co</w:t>
      </w:r>
      <w:r>
        <w:rPr>
          <w:bCs/>
          <w:szCs w:val="22"/>
        </w:rPr>
        <w:t>m</w:t>
      </w:r>
      <w:r>
        <w:rPr>
          <w:bCs/>
          <w:szCs w:val="22"/>
        </w:rPr>
        <w:t>munautés religieuses qui ne sont pas reconnues en droit public sont assujetties au droit privé. Le 30 novembre 2003, le peuple du canton de Zurich a rejeté une loi sur la reconnai</w:t>
      </w:r>
      <w:r>
        <w:rPr>
          <w:bCs/>
          <w:szCs w:val="22"/>
        </w:rPr>
        <w:t>s</w:t>
      </w:r>
      <w:r>
        <w:rPr>
          <w:bCs/>
          <w:szCs w:val="22"/>
        </w:rPr>
        <w:t xml:space="preserve">sance d’autres communautés religieuses. La campagne des opposants était essentiellement fondée sur des slogans </w:t>
      </w:r>
      <w:proofErr w:type="spellStart"/>
      <w:r>
        <w:rPr>
          <w:bCs/>
          <w:szCs w:val="22"/>
        </w:rPr>
        <w:t>anti</w:t>
      </w:r>
      <w:r>
        <w:rPr>
          <w:bCs/>
          <w:szCs w:val="22"/>
        </w:rPr>
        <w:noBreakHyphen/>
        <w:t>islamiques</w:t>
      </w:r>
      <w:proofErr w:type="spellEnd"/>
      <w:r>
        <w:rPr>
          <w:rStyle w:val="FootnoteReference"/>
          <w:bCs/>
          <w:szCs w:val="22"/>
        </w:rPr>
        <w:footnoteReference w:id="97"/>
      </w:r>
      <w:r>
        <w:rPr>
          <w:bCs/>
          <w:szCs w:val="22"/>
        </w:rPr>
        <w:t>.</w:t>
      </w:r>
    </w:p>
    <w:p w:rsidR="00000000" w:rsidRDefault="00000000">
      <w:pPr>
        <w:spacing w:after="180"/>
        <w:rPr>
          <w:bCs/>
          <w:szCs w:val="22"/>
        </w:rPr>
      </w:pPr>
      <w:r>
        <w:rPr>
          <w:bCs/>
          <w:szCs w:val="22"/>
        </w:rPr>
        <w:t>146.</w:t>
      </w:r>
      <w:r>
        <w:rPr>
          <w:bCs/>
          <w:szCs w:val="22"/>
        </w:rPr>
        <w:tab/>
        <w:t>Même si la plupart des cantons n’accordent pas le statut de droit public à des comm</w:t>
      </w:r>
      <w:r>
        <w:rPr>
          <w:bCs/>
          <w:szCs w:val="22"/>
        </w:rPr>
        <w:t>u</w:t>
      </w:r>
      <w:r>
        <w:rPr>
          <w:bCs/>
          <w:szCs w:val="22"/>
        </w:rPr>
        <w:t>nautés religieuses qui ne l’ont pas encore, les membres de ces dernières ont le droit de prat</w:t>
      </w:r>
      <w:r>
        <w:rPr>
          <w:bCs/>
          <w:szCs w:val="22"/>
        </w:rPr>
        <w:t>i</w:t>
      </w:r>
      <w:r>
        <w:rPr>
          <w:bCs/>
          <w:szCs w:val="22"/>
        </w:rPr>
        <w:t>quer librement leur culte. La question de l’inhumation continue d’être l’une des princ</w:t>
      </w:r>
      <w:r>
        <w:rPr>
          <w:bCs/>
          <w:szCs w:val="22"/>
        </w:rPr>
        <w:t>i</w:t>
      </w:r>
      <w:r>
        <w:rPr>
          <w:bCs/>
          <w:szCs w:val="22"/>
        </w:rPr>
        <w:t>pales préoccupations de la communauté musulmane. Il n’existe que quelques communes dans le</w:t>
      </w:r>
      <w:r>
        <w:rPr>
          <w:bCs/>
          <w:szCs w:val="22"/>
        </w:rPr>
        <w:t>s</w:t>
      </w:r>
      <w:r>
        <w:rPr>
          <w:bCs/>
          <w:szCs w:val="22"/>
        </w:rPr>
        <w:t>quelles les défunts peuvent être ensevelis selon le rite islamique. On dénote néa</w:t>
      </w:r>
      <w:r>
        <w:rPr>
          <w:bCs/>
          <w:szCs w:val="22"/>
        </w:rPr>
        <w:t>n</w:t>
      </w:r>
      <w:r>
        <w:rPr>
          <w:bCs/>
          <w:szCs w:val="22"/>
        </w:rPr>
        <w:t>moins une tendance accrue à l’aménagement de secteurs islamiques dans les cimetières publics. Les municipalités de Genève, Bâle, Berne, Neuchâtel, Zurich et Lucerne, mais aussi de comm</w:t>
      </w:r>
      <w:r>
        <w:rPr>
          <w:bCs/>
          <w:szCs w:val="22"/>
        </w:rPr>
        <w:t>u</w:t>
      </w:r>
      <w:r>
        <w:rPr>
          <w:bCs/>
          <w:szCs w:val="22"/>
        </w:rPr>
        <w:t>nes moins importantes, ont ainsi donné l’exemple ces dernières années. Dans d’autres villes, la question est discutée et des initiatives ont été prises dans ce sens.</w:t>
      </w:r>
    </w:p>
    <w:p w:rsidR="00000000" w:rsidRDefault="00000000">
      <w:pPr>
        <w:spacing w:after="180"/>
        <w:rPr>
          <w:bCs/>
          <w:szCs w:val="22"/>
        </w:rPr>
      </w:pPr>
      <w:r>
        <w:rPr>
          <w:bCs/>
          <w:szCs w:val="22"/>
        </w:rPr>
        <w:t>147.</w:t>
      </w:r>
      <w:r>
        <w:rPr>
          <w:bCs/>
          <w:szCs w:val="22"/>
        </w:rPr>
        <w:tab/>
        <w:t>La construction de lieux de culte est une question qui a ému l’opinion publique ces derniers temps, notamment dans le contexte des discussions qui ont entouré des projets de construction de lieux de prière par la minorité musulmane. La Suisse a commandé un avis de droit relatif au traitement de projets de construction de bâtiments de culte en droit de la plan</w:t>
      </w:r>
      <w:r>
        <w:rPr>
          <w:bCs/>
          <w:szCs w:val="22"/>
        </w:rPr>
        <w:t>i</w:t>
      </w:r>
      <w:r>
        <w:rPr>
          <w:bCs/>
          <w:szCs w:val="22"/>
        </w:rPr>
        <w:t>fication et de la construction à la lumière de la liberté de conscience et de croyance</w:t>
      </w:r>
      <w:r>
        <w:rPr>
          <w:rStyle w:val="FootnoteReference"/>
          <w:bCs/>
          <w:szCs w:val="22"/>
        </w:rPr>
        <w:footnoteReference w:id="98"/>
      </w:r>
      <w:r>
        <w:rPr>
          <w:bCs/>
          <w:szCs w:val="22"/>
        </w:rPr>
        <w:t>. Il en re</w:t>
      </w:r>
      <w:r>
        <w:rPr>
          <w:bCs/>
          <w:szCs w:val="22"/>
        </w:rPr>
        <w:t>s</w:t>
      </w:r>
      <w:r>
        <w:rPr>
          <w:bCs/>
          <w:szCs w:val="22"/>
        </w:rPr>
        <w:t>sort que les communautés religieuses qui souhaitent construire ou transformer des lieux de culte sont souvent confrontées au problème de l’absence de zones spécialement rése</w:t>
      </w:r>
      <w:r>
        <w:rPr>
          <w:bCs/>
          <w:szCs w:val="22"/>
        </w:rPr>
        <w:t>r</w:t>
      </w:r>
      <w:r>
        <w:rPr>
          <w:bCs/>
          <w:szCs w:val="22"/>
        </w:rPr>
        <w:t>vées aux monuments sacrés dans les plans d’affectation locaux. Des exemples tirés de la juri</w:t>
      </w:r>
      <w:r>
        <w:rPr>
          <w:bCs/>
          <w:szCs w:val="22"/>
        </w:rPr>
        <w:t>s</w:t>
      </w:r>
      <w:r>
        <w:rPr>
          <w:bCs/>
          <w:szCs w:val="22"/>
        </w:rPr>
        <w:t>prudence récente des tribunaux montrent que ce problème peut se poser pour toutes les communautés religieuses, mais que celles qui sont implantées en Suisse depuis longtemps disposent en général déjà de bâtiments existants alors que les confessions nouvelles dans notre pays n’ont souvent pas de lieu de culte sur lequel elles puissent se rabattre. La con</w:t>
      </w:r>
      <w:r>
        <w:rPr>
          <w:bCs/>
          <w:szCs w:val="22"/>
        </w:rPr>
        <w:t>s</w:t>
      </w:r>
      <w:r>
        <w:rPr>
          <w:bCs/>
          <w:szCs w:val="22"/>
        </w:rPr>
        <w:t xml:space="preserve">truction de lieux de culte est en principe protégée par la liberté de croyance (art. 15, par. 2, </w:t>
      </w:r>
      <w:proofErr w:type="spellStart"/>
      <w:r>
        <w:rPr>
          <w:bCs/>
          <w:szCs w:val="22"/>
        </w:rPr>
        <w:t>Cst</w:t>
      </w:r>
      <w:proofErr w:type="spellEnd"/>
      <w:r>
        <w:rPr>
          <w:bCs/>
          <w:szCs w:val="22"/>
        </w:rPr>
        <w:t>. féd.). L’empêchement d’une telle construction ou les restrictions imposées représentent donc en fait une atteinte à la liberté de croyance et ne sont conformes au droit que s’ils sont fo</w:t>
      </w:r>
      <w:r>
        <w:rPr>
          <w:bCs/>
          <w:szCs w:val="22"/>
        </w:rPr>
        <w:t>n</w:t>
      </w:r>
      <w:r>
        <w:rPr>
          <w:bCs/>
          <w:szCs w:val="22"/>
        </w:rPr>
        <w:t>dés sur des bases légales suffisantes, si l’intérêt public l’exige, si le principe de proportionn</w:t>
      </w:r>
      <w:r>
        <w:rPr>
          <w:bCs/>
          <w:szCs w:val="22"/>
        </w:rPr>
        <w:t>a</w:t>
      </w:r>
      <w:r>
        <w:rPr>
          <w:bCs/>
          <w:szCs w:val="22"/>
        </w:rPr>
        <w:t xml:space="preserve">lité est respecté et si les éléments essentiels de la liberté de croyance sont préservés (art. 36, </w:t>
      </w:r>
      <w:proofErr w:type="spellStart"/>
      <w:r>
        <w:rPr>
          <w:bCs/>
          <w:szCs w:val="22"/>
        </w:rPr>
        <w:t>Cst</w:t>
      </w:r>
      <w:proofErr w:type="spellEnd"/>
      <w:r>
        <w:rPr>
          <w:bCs/>
          <w:szCs w:val="22"/>
        </w:rPr>
        <w:t>. féd.). Pour savoir si ces conditions sont remplies, chaque cas doit être examiné sépar</w:t>
      </w:r>
      <w:r>
        <w:rPr>
          <w:bCs/>
          <w:szCs w:val="22"/>
        </w:rPr>
        <w:t>é</w:t>
      </w:r>
      <w:r>
        <w:rPr>
          <w:bCs/>
          <w:szCs w:val="22"/>
        </w:rPr>
        <w:t>ment. Récemment, dans une affaire qui a fait beaucoup de bruit, la commission communale compétente a rejeté une demande de permis pour la construction d’un m</w:t>
      </w:r>
      <w:r>
        <w:rPr>
          <w:bCs/>
          <w:szCs w:val="22"/>
        </w:rPr>
        <w:t>i</w:t>
      </w:r>
      <w:r>
        <w:rPr>
          <w:bCs/>
          <w:szCs w:val="22"/>
        </w:rPr>
        <w:t>naret sur un lieu de prière, arguant du fait que le minaret n’était conforme ni à la zone ni à la législation cantonale sur les constructions.</w:t>
      </w:r>
    </w:p>
    <w:p w:rsidR="00000000" w:rsidRDefault="00000000">
      <w:pPr>
        <w:spacing w:after="240"/>
        <w:rPr>
          <w:bCs/>
          <w:szCs w:val="22"/>
        </w:rPr>
      </w:pPr>
      <w:r>
        <w:rPr>
          <w:bCs/>
          <w:szCs w:val="22"/>
        </w:rPr>
        <w:t>148.</w:t>
      </w:r>
      <w:r>
        <w:rPr>
          <w:bCs/>
          <w:szCs w:val="22"/>
        </w:rPr>
        <w:tab/>
        <w:t>La liberté du culte peut subir certaines restrictions dans les établissements d’exécution des peines si l’intérêt public l’exige (par exemple pour limiter le risque d’évasion ou pour assurer le bon fonctionnement de l’établissement). Ces restrictions ne doivent toutefois pas provoquer une discrimination des communautés religieuses non reconnues</w:t>
      </w:r>
      <w:r>
        <w:rPr>
          <w:rStyle w:val="FootnoteReference"/>
          <w:bCs/>
          <w:szCs w:val="22"/>
        </w:rPr>
        <w:footnoteReference w:id="99"/>
      </w:r>
      <w:r>
        <w:rPr>
          <w:bCs/>
          <w:szCs w:val="22"/>
        </w:rPr>
        <w:t xml:space="preserve">. Il importe de trouver des solutions permettant l’exercice des pratiques religieuses sans que </w:t>
      </w:r>
      <w:proofErr w:type="spellStart"/>
      <w:r>
        <w:rPr>
          <w:bCs/>
          <w:szCs w:val="22"/>
        </w:rPr>
        <w:t>celles</w:t>
      </w:r>
      <w:r>
        <w:rPr>
          <w:bCs/>
          <w:szCs w:val="22"/>
        </w:rPr>
        <w:noBreakHyphen/>
        <w:t>ci</w:t>
      </w:r>
      <w:proofErr w:type="spellEnd"/>
      <w:r>
        <w:rPr>
          <w:bCs/>
          <w:szCs w:val="22"/>
        </w:rPr>
        <w:t xml:space="preserve"> n’entravent l’exécution des peines de manière excessive. Le Tribunal fédéral a ainsi estimé que les dét</w:t>
      </w:r>
      <w:r>
        <w:rPr>
          <w:bCs/>
          <w:szCs w:val="22"/>
        </w:rPr>
        <w:t>e</w:t>
      </w:r>
      <w:r>
        <w:rPr>
          <w:bCs/>
          <w:szCs w:val="22"/>
        </w:rPr>
        <w:t>nus musulmans avaient un droit à la célébration commune de la prière du ve</w:t>
      </w:r>
      <w:r>
        <w:rPr>
          <w:bCs/>
          <w:szCs w:val="22"/>
        </w:rPr>
        <w:t>n</w:t>
      </w:r>
      <w:r>
        <w:rPr>
          <w:bCs/>
          <w:szCs w:val="22"/>
        </w:rPr>
        <w:t>dredi</w:t>
      </w:r>
      <w:r>
        <w:rPr>
          <w:rStyle w:val="FootnoteReference"/>
          <w:bCs/>
          <w:szCs w:val="22"/>
        </w:rPr>
        <w:footnoteReference w:id="100"/>
      </w:r>
      <w:r>
        <w:rPr>
          <w:bCs/>
          <w:szCs w:val="22"/>
        </w:rPr>
        <w:t>.</w:t>
      </w:r>
    </w:p>
    <w:p w:rsidR="00000000" w:rsidRDefault="00000000">
      <w:pPr>
        <w:keepNext/>
        <w:spacing w:after="240"/>
        <w:ind w:left="1134" w:hanging="567"/>
        <w:rPr>
          <w:b/>
          <w:bCs/>
          <w:szCs w:val="24"/>
        </w:rPr>
      </w:pPr>
      <w:proofErr w:type="spellStart"/>
      <w:r>
        <w:rPr>
          <w:b/>
          <w:bCs/>
          <w:i/>
          <w:iCs/>
          <w:szCs w:val="24"/>
        </w:rPr>
        <w:t>ii</w:t>
      </w:r>
      <w:proofErr w:type="spellEnd"/>
      <w:r>
        <w:rPr>
          <w:b/>
          <w:bCs/>
          <w:i/>
          <w:iCs/>
          <w:szCs w:val="24"/>
        </w:rPr>
        <w:t>)</w:t>
      </w:r>
      <w:r>
        <w:rPr>
          <w:b/>
          <w:bCs/>
          <w:i/>
          <w:iCs/>
          <w:szCs w:val="24"/>
        </w:rPr>
        <w:tab/>
        <w:t>Écoles publiques neutres sur le plan confessionnel</w:t>
      </w:r>
    </w:p>
    <w:p w:rsidR="00000000" w:rsidRDefault="00000000">
      <w:pPr>
        <w:spacing w:after="240"/>
        <w:rPr>
          <w:bCs/>
          <w:szCs w:val="22"/>
        </w:rPr>
      </w:pPr>
      <w:r>
        <w:rPr>
          <w:bCs/>
          <w:szCs w:val="22"/>
        </w:rPr>
        <w:t>149.</w:t>
      </w:r>
      <w:r>
        <w:rPr>
          <w:bCs/>
          <w:szCs w:val="22"/>
        </w:rPr>
        <w:tab/>
        <w:t>Le 15 février 2001, la Cour européenne des droits humains a confirmé l’arrêt du Tr</w:t>
      </w:r>
      <w:r>
        <w:rPr>
          <w:bCs/>
          <w:szCs w:val="22"/>
        </w:rPr>
        <w:t>i</w:t>
      </w:r>
      <w:r>
        <w:rPr>
          <w:bCs/>
          <w:szCs w:val="22"/>
        </w:rPr>
        <w:t>bunal fédéral</w:t>
      </w:r>
      <w:r>
        <w:rPr>
          <w:rStyle w:val="FootnoteReference"/>
          <w:bCs/>
          <w:szCs w:val="22"/>
        </w:rPr>
        <w:footnoteReference w:id="101"/>
      </w:r>
      <w:r>
        <w:rPr>
          <w:bCs/>
          <w:szCs w:val="22"/>
        </w:rPr>
        <w:t xml:space="preserve"> interdisant à une maîtresse d’école primaire le port du foulard islamique d</w:t>
      </w:r>
      <w:r>
        <w:rPr>
          <w:bCs/>
          <w:szCs w:val="22"/>
        </w:rPr>
        <w:t>u</w:t>
      </w:r>
      <w:r>
        <w:rPr>
          <w:bCs/>
          <w:szCs w:val="22"/>
        </w:rPr>
        <w:t>rant l’exercice de son activité d’enseignante. Elle a conclu que ce jugement n’était pas contraire à la </w:t>
      </w:r>
      <w:proofErr w:type="spellStart"/>
      <w:r>
        <w:rPr>
          <w:bCs/>
          <w:szCs w:val="22"/>
        </w:rPr>
        <w:t>CEDH</w:t>
      </w:r>
      <w:proofErr w:type="spellEnd"/>
      <w:r>
        <w:rPr>
          <w:bCs/>
          <w:szCs w:val="22"/>
        </w:rPr>
        <w:t>, que le port de vêtements à caractère religieux tombait bien sous le coup de la liberté de culte et de conscience, mais que ce même droit fondamental garantissait au</w:t>
      </w:r>
      <w:r>
        <w:rPr>
          <w:bCs/>
          <w:szCs w:val="22"/>
        </w:rPr>
        <w:t>s</w:t>
      </w:r>
      <w:r>
        <w:rPr>
          <w:bCs/>
          <w:szCs w:val="22"/>
        </w:rPr>
        <w:t>si la neutralité confessionnelle de l’enseignement dispensé dans les écoles publ</w:t>
      </w:r>
      <w:r>
        <w:rPr>
          <w:bCs/>
          <w:szCs w:val="22"/>
        </w:rPr>
        <w:t>i</w:t>
      </w:r>
      <w:r>
        <w:rPr>
          <w:bCs/>
          <w:szCs w:val="22"/>
        </w:rPr>
        <w:t>ques. Elle a considéré que ce second aspect primait le premier.</w:t>
      </w:r>
    </w:p>
    <w:p w:rsidR="00000000" w:rsidRDefault="00000000">
      <w:pPr>
        <w:spacing w:after="240"/>
        <w:rPr>
          <w:bCs/>
          <w:szCs w:val="22"/>
        </w:rPr>
      </w:pPr>
      <w:r>
        <w:rPr>
          <w:bCs/>
          <w:szCs w:val="22"/>
        </w:rPr>
        <w:t>150.</w:t>
      </w:r>
      <w:r>
        <w:rPr>
          <w:bCs/>
          <w:szCs w:val="22"/>
        </w:rPr>
        <w:tab/>
        <w:t>Le port de symboles religieux par des élèves n’a en revanche encore jamais été l’objet d’une décision judiciaire. Les cantons, qui sont responsables du code vestimentaire dans les écoles, n’ont à ce jour prononcé aucune interdiction du port de symb</w:t>
      </w:r>
      <w:r>
        <w:rPr>
          <w:bCs/>
          <w:szCs w:val="22"/>
        </w:rPr>
        <w:t>o</w:t>
      </w:r>
      <w:r>
        <w:rPr>
          <w:bCs/>
          <w:szCs w:val="22"/>
        </w:rPr>
        <w:t>les religieux; les litiges à ce propos semblent être quasiment inexistants. Les gouvernements des ca</w:t>
      </w:r>
      <w:r>
        <w:rPr>
          <w:bCs/>
          <w:szCs w:val="22"/>
        </w:rPr>
        <w:t>n</w:t>
      </w:r>
      <w:r>
        <w:rPr>
          <w:bCs/>
          <w:szCs w:val="22"/>
        </w:rPr>
        <w:t>tons de Zurich et de </w:t>
      </w:r>
      <w:proofErr w:type="spellStart"/>
      <w:r>
        <w:rPr>
          <w:bCs/>
          <w:szCs w:val="22"/>
        </w:rPr>
        <w:t>Bâle</w:t>
      </w:r>
      <w:r>
        <w:rPr>
          <w:bCs/>
          <w:szCs w:val="22"/>
        </w:rPr>
        <w:noBreakHyphen/>
        <w:t>ville</w:t>
      </w:r>
      <w:proofErr w:type="spellEnd"/>
      <w:r>
        <w:rPr>
          <w:bCs/>
          <w:szCs w:val="22"/>
        </w:rPr>
        <w:t xml:space="preserve"> ont envisagé d’interdire le port du foulard dans les écoles, mais ont fini par y renoncer</w:t>
      </w:r>
      <w:r>
        <w:rPr>
          <w:rStyle w:val="FootnoteReference"/>
          <w:bCs/>
          <w:szCs w:val="22"/>
        </w:rPr>
        <w:footnoteReference w:id="102"/>
      </w:r>
      <w:r>
        <w:rPr>
          <w:bCs/>
          <w:szCs w:val="22"/>
        </w:rPr>
        <w:t>.</w:t>
      </w:r>
    </w:p>
    <w:p w:rsidR="00000000" w:rsidRDefault="00000000">
      <w:pPr>
        <w:spacing w:after="240"/>
        <w:rPr>
          <w:bCs/>
          <w:szCs w:val="22"/>
        </w:rPr>
      </w:pPr>
      <w:r>
        <w:rPr>
          <w:bCs/>
          <w:szCs w:val="22"/>
        </w:rPr>
        <w:t>151.</w:t>
      </w:r>
      <w:r>
        <w:rPr>
          <w:bCs/>
          <w:szCs w:val="22"/>
        </w:rPr>
        <w:tab/>
        <w:t>Les questions qui se posent en rapport avec la dispense d’élèves de certains él</w:t>
      </w:r>
      <w:r>
        <w:rPr>
          <w:bCs/>
          <w:szCs w:val="22"/>
        </w:rPr>
        <w:t>é</w:t>
      </w:r>
      <w:r>
        <w:rPr>
          <w:bCs/>
          <w:szCs w:val="22"/>
        </w:rPr>
        <w:t>ments du programme scolaire, comme les cours de natation, de gymnastique ou d’éducation sexuelle, pour des raisons religieuses, ou encore avec la dispense scolaire les jours de fêtes rel</w:t>
      </w:r>
      <w:r>
        <w:rPr>
          <w:bCs/>
          <w:szCs w:val="22"/>
        </w:rPr>
        <w:t>i</w:t>
      </w:r>
      <w:r>
        <w:rPr>
          <w:bCs/>
          <w:szCs w:val="22"/>
        </w:rPr>
        <w:t>gieuses, continuent d’être discutées. Le Tribunal fédéral s’est prononcé à ce sujet dans trois arrêts relativement anciens</w:t>
      </w:r>
      <w:r>
        <w:rPr>
          <w:rStyle w:val="FootnoteReference"/>
          <w:bCs/>
          <w:szCs w:val="22"/>
        </w:rPr>
        <w:footnoteReference w:id="103"/>
      </w:r>
      <w:r>
        <w:rPr>
          <w:bCs/>
          <w:szCs w:val="22"/>
        </w:rPr>
        <w:t xml:space="preserve"> (voir aussi </w:t>
      </w:r>
      <w:proofErr w:type="spellStart"/>
      <w:r>
        <w:rPr>
          <w:szCs w:val="24"/>
        </w:rPr>
        <w:t>CERD</w:t>
      </w:r>
      <w:proofErr w:type="spellEnd"/>
      <w:r>
        <w:rPr>
          <w:szCs w:val="24"/>
        </w:rPr>
        <w:t>/C/351/</w:t>
      </w:r>
      <w:proofErr w:type="spellStart"/>
      <w:r>
        <w:rPr>
          <w:szCs w:val="24"/>
        </w:rPr>
        <w:t>Add.2</w:t>
      </w:r>
      <w:proofErr w:type="spellEnd"/>
      <w:r>
        <w:rPr>
          <w:szCs w:val="24"/>
        </w:rPr>
        <w:t>,</w:t>
      </w:r>
      <w:r>
        <w:rPr>
          <w:bCs/>
          <w:szCs w:val="22"/>
        </w:rPr>
        <w:t xml:space="preserve"> par. 181). Il s’est avant tout attardé sur la question de la proportionnalité des mesures prises pour préserver le caractère obligatoire de l’enseignement. Il a ainsi estimé que seul un intérêt public important et impératif qui ait été prouvé de manière convaincante pouvait être prédominant par rapport à la liberté religieuse, garantie par la Constitution. Ces arrêts montrent que les autorités sc</w:t>
      </w:r>
      <w:r>
        <w:rPr>
          <w:bCs/>
          <w:szCs w:val="22"/>
        </w:rPr>
        <w:t>o</w:t>
      </w:r>
      <w:r>
        <w:rPr>
          <w:bCs/>
          <w:szCs w:val="22"/>
        </w:rPr>
        <w:t>laires peuvent se trouver confrontées à des problèmes délicats lorsqu’elles s’efforcent de préserver le caractère obligatoire de l’enseignement et de satisfaire à l’obligation de neutral</w:t>
      </w:r>
      <w:r>
        <w:rPr>
          <w:bCs/>
          <w:szCs w:val="22"/>
        </w:rPr>
        <w:t>i</w:t>
      </w:r>
      <w:r>
        <w:rPr>
          <w:bCs/>
          <w:szCs w:val="22"/>
        </w:rPr>
        <w:t>té à l’école. Ils montrent aussi que les règles existantes doivent être appliquées avec so</w:t>
      </w:r>
      <w:r>
        <w:rPr>
          <w:bCs/>
          <w:szCs w:val="22"/>
        </w:rPr>
        <w:t>u</w:t>
      </w:r>
      <w:r>
        <w:rPr>
          <w:bCs/>
          <w:szCs w:val="22"/>
        </w:rPr>
        <w:t>plesse. Certains cantons ont émis des recommandations</w:t>
      </w:r>
      <w:r>
        <w:rPr>
          <w:rStyle w:val="FootnoteReference"/>
          <w:bCs/>
          <w:szCs w:val="22"/>
        </w:rPr>
        <w:footnoteReference w:id="104"/>
      </w:r>
      <w:r>
        <w:rPr>
          <w:bCs/>
          <w:szCs w:val="22"/>
        </w:rPr>
        <w:t xml:space="preserve"> à ce propos ou ont consigné les règles pour le traitement de certaines questions concrètes dans des ordonnances</w:t>
      </w:r>
      <w:r>
        <w:rPr>
          <w:rStyle w:val="FootnoteReference"/>
          <w:bCs/>
          <w:szCs w:val="22"/>
        </w:rPr>
        <w:footnoteReference w:id="105"/>
      </w:r>
      <w:r>
        <w:rPr>
          <w:bCs/>
          <w:szCs w:val="22"/>
        </w:rPr>
        <w:t>.</w:t>
      </w:r>
    </w:p>
    <w:p w:rsidR="00000000" w:rsidRDefault="00000000">
      <w:pPr>
        <w:spacing w:after="240"/>
        <w:rPr>
          <w:bCs/>
          <w:szCs w:val="22"/>
        </w:rPr>
      </w:pPr>
      <w:r>
        <w:rPr>
          <w:bCs/>
          <w:szCs w:val="22"/>
        </w:rPr>
        <w:t>152.</w:t>
      </w:r>
      <w:r>
        <w:rPr>
          <w:bCs/>
          <w:szCs w:val="22"/>
        </w:rPr>
        <w:tab/>
        <w:t>La garantie de la liberté de culte et de conscience interdit que l’enseignement rel</w:t>
      </w:r>
      <w:r>
        <w:rPr>
          <w:bCs/>
          <w:szCs w:val="22"/>
        </w:rPr>
        <w:t>i</w:t>
      </w:r>
      <w:r>
        <w:rPr>
          <w:bCs/>
          <w:szCs w:val="22"/>
        </w:rPr>
        <w:t>gieux, quel qu’il puisse être, soit rendu obligatoire. L’enseignement religieux dans les écoles relève des cantons, qui n’ont pas tous la même approche du problème. Comme l’appartenance religieuse de la population suisse a beaucoup évolué ces dernières années, on dénote néanmoins une tendance à la neutralité confessionnelle de l’enseignement dans de nombreux cantons. L’enseignement de matières telles que «éthique et religion» ou «rel</w:t>
      </w:r>
      <w:r>
        <w:rPr>
          <w:bCs/>
          <w:szCs w:val="22"/>
        </w:rPr>
        <w:t>i</w:t>
      </w:r>
      <w:r>
        <w:rPr>
          <w:bCs/>
          <w:szCs w:val="22"/>
        </w:rPr>
        <w:t>gion et culture» doit consister en une présentation au</w:t>
      </w:r>
      <w:r>
        <w:rPr>
          <w:bCs/>
          <w:szCs w:val="22"/>
        </w:rPr>
        <w:t>s</w:t>
      </w:r>
      <w:r>
        <w:rPr>
          <w:bCs/>
          <w:szCs w:val="22"/>
        </w:rPr>
        <w:t>si neutre que possible des grandes religions. Le but est d’initier les élèves aux différentes conceptions religieuses et de les inciter à s’intéresser aux autres religions.</w:t>
      </w:r>
    </w:p>
    <w:p w:rsidR="00000000" w:rsidRDefault="00000000">
      <w:pPr>
        <w:spacing w:after="240"/>
        <w:rPr>
          <w:bCs/>
          <w:szCs w:val="22"/>
        </w:rPr>
      </w:pPr>
      <w:r>
        <w:rPr>
          <w:bCs/>
          <w:szCs w:val="22"/>
        </w:rPr>
        <w:t>153.</w:t>
      </w:r>
      <w:r>
        <w:rPr>
          <w:bCs/>
          <w:szCs w:val="22"/>
        </w:rPr>
        <w:tab/>
        <w:t>Différents cantons sont en train d’étudier la possibilité de permettre aux comm</w:t>
      </w:r>
      <w:r>
        <w:rPr>
          <w:bCs/>
          <w:szCs w:val="22"/>
        </w:rPr>
        <w:t>u</w:t>
      </w:r>
      <w:r>
        <w:rPr>
          <w:bCs/>
          <w:szCs w:val="22"/>
        </w:rPr>
        <w:t>nautés religieuses non reconnues en droit public d’organiser elles aussi − à certaines cond</w:t>
      </w:r>
      <w:r>
        <w:rPr>
          <w:bCs/>
          <w:szCs w:val="22"/>
        </w:rPr>
        <w:t>i</w:t>
      </w:r>
      <w:r>
        <w:rPr>
          <w:bCs/>
          <w:szCs w:val="22"/>
        </w:rPr>
        <w:t xml:space="preserve">tions − un enseignement religieux à l’école. Deux communes </w:t>
      </w:r>
      <w:proofErr w:type="spellStart"/>
      <w:r>
        <w:rPr>
          <w:bCs/>
          <w:szCs w:val="22"/>
        </w:rPr>
        <w:t>lucernoises</w:t>
      </w:r>
      <w:proofErr w:type="spellEnd"/>
      <w:r>
        <w:rPr>
          <w:bCs/>
          <w:szCs w:val="22"/>
        </w:rPr>
        <w:t xml:space="preserve"> ont ainsi introduit un ense</w:t>
      </w:r>
      <w:r>
        <w:rPr>
          <w:bCs/>
          <w:szCs w:val="22"/>
        </w:rPr>
        <w:t>i</w:t>
      </w:r>
      <w:r>
        <w:rPr>
          <w:bCs/>
          <w:szCs w:val="22"/>
        </w:rPr>
        <w:t>gnement religieux islamique: les autorités scolaires mettent à disposition les plages h</w:t>
      </w:r>
      <w:r>
        <w:rPr>
          <w:bCs/>
          <w:szCs w:val="22"/>
        </w:rPr>
        <w:t>o</w:t>
      </w:r>
      <w:r>
        <w:rPr>
          <w:bCs/>
          <w:szCs w:val="22"/>
        </w:rPr>
        <w:t>raires et les locaux nécessaires; le contenu de l’enseignement ainsi que les conceptions pédagog</w:t>
      </w:r>
      <w:r>
        <w:rPr>
          <w:bCs/>
          <w:szCs w:val="22"/>
        </w:rPr>
        <w:t>i</w:t>
      </w:r>
      <w:r>
        <w:rPr>
          <w:bCs/>
          <w:szCs w:val="22"/>
        </w:rPr>
        <w:t>ques, de même que la formation et la rétribution des enseignants, étant l’affaire de la co</w:t>
      </w:r>
      <w:r>
        <w:rPr>
          <w:bCs/>
          <w:szCs w:val="22"/>
        </w:rPr>
        <w:t>m</w:t>
      </w:r>
      <w:r>
        <w:rPr>
          <w:bCs/>
          <w:szCs w:val="22"/>
        </w:rPr>
        <w:t>munauté religieuse responsable</w:t>
      </w:r>
      <w:r>
        <w:rPr>
          <w:rStyle w:val="FootnoteReference"/>
          <w:bCs/>
          <w:szCs w:val="22"/>
        </w:rPr>
        <w:footnoteReference w:id="106"/>
      </w:r>
      <w:r>
        <w:rPr>
          <w:bCs/>
          <w:szCs w:val="22"/>
        </w:rPr>
        <w:t>. Ce projet a pour but d’initier les enfants aux bases de l’islam, de renforcer leur capacité de réflexion et leur sens de la démocratie ainsi que de pr</w:t>
      </w:r>
      <w:r>
        <w:rPr>
          <w:bCs/>
          <w:szCs w:val="22"/>
        </w:rPr>
        <w:t>o</w:t>
      </w:r>
      <w:r>
        <w:rPr>
          <w:bCs/>
          <w:szCs w:val="22"/>
        </w:rPr>
        <w:t>mouvoir l’intégration sociale des immigrants musulmans</w:t>
      </w:r>
      <w:r>
        <w:rPr>
          <w:rStyle w:val="FootnoteReference"/>
          <w:bCs/>
          <w:szCs w:val="22"/>
        </w:rPr>
        <w:footnoteReference w:id="107"/>
      </w:r>
      <w:r>
        <w:rPr>
          <w:bCs/>
          <w:szCs w:val="22"/>
        </w:rPr>
        <w:t>.</w:t>
      </w:r>
    </w:p>
    <w:p w:rsidR="00000000" w:rsidRDefault="00000000">
      <w:pPr>
        <w:keepNext/>
        <w:spacing w:after="240"/>
        <w:rPr>
          <w:b/>
          <w:bCs/>
        </w:rPr>
      </w:pPr>
      <w:bookmarkStart w:id="100" w:name="_Toc163552241"/>
      <w:r>
        <w:rPr>
          <w:b/>
          <w:bCs/>
          <w:i/>
          <w:iCs/>
        </w:rPr>
        <w:t>h)</w:t>
      </w:r>
      <w:r>
        <w:rPr>
          <w:b/>
          <w:bCs/>
          <w:i/>
          <w:iCs/>
        </w:rPr>
        <w:tab/>
        <w:t>Droit à la liberté d’opinion et d’expression</w:t>
      </w:r>
      <w:r>
        <w:rPr>
          <w:b/>
          <w:bCs/>
        </w:rPr>
        <w:t xml:space="preserve"> (art. 5, al. </w:t>
      </w:r>
      <w:r>
        <w:rPr>
          <w:b/>
          <w:bCs/>
          <w:i/>
          <w:iCs/>
        </w:rPr>
        <w:t>d</w:t>
      </w:r>
      <w:r>
        <w:rPr>
          <w:b/>
          <w:bCs/>
        </w:rPr>
        <w:t xml:space="preserve">, </w:t>
      </w:r>
      <w:proofErr w:type="spellStart"/>
      <w:r>
        <w:rPr>
          <w:b/>
          <w:bCs/>
        </w:rPr>
        <w:t>vii</w:t>
      </w:r>
      <w:proofErr w:type="spellEnd"/>
      <w:r>
        <w:rPr>
          <w:b/>
          <w:bCs/>
        </w:rPr>
        <w:t>)</w:t>
      </w:r>
      <w:bookmarkEnd w:id="100"/>
      <w:r>
        <w:rPr>
          <w:b/>
          <w:bCs/>
        </w:rPr>
        <w:t>)</w:t>
      </w:r>
    </w:p>
    <w:p w:rsidR="00000000" w:rsidRDefault="00000000">
      <w:pPr>
        <w:spacing w:after="240"/>
        <w:rPr>
          <w:bCs/>
          <w:szCs w:val="22"/>
        </w:rPr>
      </w:pPr>
      <w:r>
        <w:rPr>
          <w:bCs/>
          <w:szCs w:val="22"/>
        </w:rPr>
        <w:t>154.</w:t>
      </w:r>
      <w:r>
        <w:rPr>
          <w:bCs/>
          <w:szCs w:val="22"/>
        </w:rPr>
        <w:tab/>
        <w:t xml:space="preserve">Le droit à la liberté d’opinion et d’expression est garanti tant par la Constitution fédérale (art. 16) que par la </w:t>
      </w:r>
      <w:proofErr w:type="spellStart"/>
      <w:r>
        <w:rPr>
          <w:bCs/>
          <w:szCs w:val="22"/>
        </w:rPr>
        <w:t>CEDH</w:t>
      </w:r>
      <w:proofErr w:type="spellEnd"/>
      <w:r>
        <w:rPr>
          <w:bCs/>
          <w:szCs w:val="22"/>
        </w:rPr>
        <w:t xml:space="preserve"> (art. 10) et par le Pacte international relatif aux droits civils et politiques (art. 19). Des restrictions ne sont admiss</w:t>
      </w:r>
      <w:r>
        <w:rPr>
          <w:bCs/>
          <w:szCs w:val="22"/>
        </w:rPr>
        <w:t>i</w:t>
      </w:r>
      <w:r>
        <w:rPr>
          <w:bCs/>
          <w:szCs w:val="22"/>
        </w:rPr>
        <w:t>bles que si elles sont prévues par la loi, si elles sont dans l’intérêt public et si elles ne sont pas disproportionnées.</w:t>
      </w:r>
    </w:p>
    <w:p w:rsidR="00000000" w:rsidRDefault="00000000">
      <w:pPr>
        <w:spacing w:after="240"/>
        <w:rPr>
          <w:bCs/>
          <w:szCs w:val="22"/>
        </w:rPr>
      </w:pPr>
      <w:r>
        <w:rPr>
          <w:bCs/>
          <w:szCs w:val="22"/>
        </w:rPr>
        <w:t>155.</w:t>
      </w:r>
      <w:r>
        <w:rPr>
          <w:bCs/>
          <w:szCs w:val="22"/>
        </w:rPr>
        <w:tab/>
        <w:t xml:space="preserve">Dans un jugement récent, le Tribunal fédéral a tenu compte du droit à la liberté d’opinion dans son interprétation de l’article 261 </w:t>
      </w:r>
      <w:r>
        <w:rPr>
          <w:bCs/>
          <w:i/>
          <w:iCs/>
          <w:szCs w:val="22"/>
        </w:rPr>
        <w:t>bis</w:t>
      </w:r>
      <w:r>
        <w:rPr>
          <w:bCs/>
          <w:szCs w:val="22"/>
        </w:rPr>
        <w:t xml:space="preserve"> du Code pénal. Il a en effet estimé que le droit à la libe</w:t>
      </w:r>
      <w:r>
        <w:rPr>
          <w:bCs/>
          <w:szCs w:val="22"/>
        </w:rPr>
        <w:t>r</w:t>
      </w:r>
      <w:r>
        <w:rPr>
          <w:bCs/>
          <w:szCs w:val="22"/>
        </w:rPr>
        <w:t xml:space="preserve">té d’expression interdisait de conclure à la légère à un rabaissement ou à une discrimination au sens de l’article 261 </w:t>
      </w:r>
      <w:r>
        <w:rPr>
          <w:bCs/>
          <w:i/>
          <w:iCs/>
          <w:szCs w:val="22"/>
        </w:rPr>
        <w:t>bis</w:t>
      </w:r>
      <w:r>
        <w:rPr>
          <w:bCs/>
          <w:szCs w:val="22"/>
        </w:rPr>
        <w:t>, alinéa 4, du Code pénal dans le contexte d’un débat politique. Il a considéré que faire une remarque peu flatteuse sur une frange de la population ne suffisait pas à r</w:t>
      </w:r>
      <w:r>
        <w:rPr>
          <w:bCs/>
          <w:szCs w:val="22"/>
        </w:rPr>
        <w:t>é</w:t>
      </w:r>
      <w:r>
        <w:rPr>
          <w:bCs/>
          <w:szCs w:val="22"/>
        </w:rPr>
        <w:t>unir les éléments constitutifs de l’infraction tant que l’auteur de la remarque l’avait formulée dans le contexte plus large d’une critique objective fondée sur des faits. Il a jugé essentiel pour le fonctionnement d’une démocratie qu’il soit possible de défendre des points de vue qu’une majorité de la population ne partage pas et que certains peuvent même trouver choquants. L’importance accordée à la liberté d’expression ne doit cependant pas être telle, s</w:t>
      </w:r>
      <w:r>
        <w:rPr>
          <w:bCs/>
          <w:szCs w:val="22"/>
        </w:rPr>
        <w:t>e</w:t>
      </w:r>
      <w:r>
        <w:rPr>
          <w:bCs/>
          <w:szCs w:val="22"/>
        </w:rPr>
        <w:t>lon lui, que la lutte contre la discrimination raciale soit vidée de sa substance</w:t>
      </w:r>
      <w:r>
        <w:rPr>
          <w:rStyle w:val="FootnoteReference"/>
          <w:bCs/>
          <w:szCs w:val="22"/>
        </w:rPr>
        <w:footnoteReference w:id="108"/>
      </w:r>
      <w:r>
        <w:rPr>
          <w:bCs/>
          <w:szCs w:val="22"/>
        </w:rPr>
        <w:t xml:space="preserve">. </w:t>
      </w:r>
    </w:p>
    <w:p w:rsidR="00000000" w:rsidRDefault="00000000">
      <w:pPr>
        <w:spacing w:after="240"/>
        <w:rPr>
          <w:bCs/>
          <w:szCs w:val="22"/>
        </w:rPr>
      </w:pPr>
      <w:r>
        <w:rPr>
          <w:bCs/>
          <w:szCs w:val="22"/>
        </w:rPr>
        <w:t>156.</w:t>
      </w:r>
      <w:r>
        <w:rPr>
          <w:bCs/>
          <w:szCs w:val="22"/>
        </w:rPr>
        <w:tab/>
        <w:t xml:space="preserve">La nouvelle loi sur la transparence de l’administration (voir </w:t>
      </w:r>
      <w:r>
        <w:rPr>
          <w:bCs/>
          <w:i/>
          <w:iCs/>
          <w:szCs w:val="22"/>
        </w:rPr>
        <w:t>supra</w:t>
      </w:r>
      <w:r>
        <w:rPr>
          <w:bCs/>
          <w:szCs w:val="22"/>
        </w:rPr>
        <w:t>, par. 49) viendra renforcer la liberté d’information en tant qu’élément de la liberté d’opinion et d’expression et permettra d’augmenter la transparence de l’administration</w:t>
      </w:r>
      <w:r>
        <w:rPr>
          <w:rStyle w:val="FootnoteReference"/>
          <w:bCs/>
          <w:szCs w:val="22"/>
        </w:rPr>
        <w:footnoteReference w:id="109"/>
      </w:r>
      <w:r>
        <w:rPr>
          <w:bCs/>
          <w:szCs w:val="22"/>
        </w:rPr>
        <w:t>.</w:t>
      </w:r>
    </w:p>
    <w:p w:rsidR="00000000" w:rsidRDefault="00000000">
      <w:pPr>
        <w:keepNext/>
        <w:spacing w:after="240"/>
        <w:rPr>
          <w:b/>
          <w:bCs/>
        </w:rPr>
      </w:pPr>
      <w:bookmarkStart w:id="101" w:name="_Toc163552242"/>
      <w:r>
        <w:rPr>
          <w:b/>
          <w:bCs/>
          <w:i/>
          <w:iCs/>
        </w:rPr>
        <w:t>i)</w:t>
      </w:r>
      <w:r>
        <w:rPr>
          <w:b/>
          <w:bCs/>
          <w:i/>
          <w:iCs/>
        </w:rPr>
        <w:tab/>
        <w:t xml:space="preserve">Droit à la liberté de réunion et d’association pacifiques </w:t>
      </w:r>
      <w:r>
        <w:rPr>
          <w:b/>
          <w:bCs/>
        </w:rPr>
        <w:t xml:space="preserve">(art 5, al. </w:t>
      </w:r>
      <w:r>
        <w:rPr>
          <w:b/>
          <w:bCs/>
          <w:i/>
          <w:iCs/>
        </w:rPr>
        <w:t>d</w:t>
      </w:r>
      <w:r>
        <w:rPr>
          <w:b/>
          <w:bCs/>
        </w:rPr>
        <w:t xml:space="preserve">, </w:t>
      </w:r>
      <w:proofErr w:type="spellStart"/>
      <w:r>
        <w:rPr>
          <w:b/>
          <w:bCs/>
        </w:rPr>
        <w:t>ix</w:t>
      </w:r>
      <w:proofErr w:type="spellEnd"/>
      <w:r>
        <w:rPr>
          <w:b/>
          <w:bCs/>
        </w:rPr>
        <w:t>)</w:t>
      </w:r>
      <w:bookmarkEnd w:id="101"/>
      <w:r>
        <w:rPr>
          <w:b/>
          <w:bCs/>
        </w:rPr>
        <w:t>)</w:t>
      </w:r>
    </w:p>
    <w:p w:rsidR="00000000" w:rsidRDefault="00000000">
      <w:pPr>
        <w:spacing w:after="240"/>
        <w:rPr>
          <w:bCs/>
          <w:szCs w:val="22"/>
        </w:rPr>
      </w:pPr>
      <w:r>
        <w:rPr>
          <w:bCs/>
          <w:szCs w:val="22"/>
        </w:rPr>
        <w:t>157.</w:t>
      </w:r>
      <w:r>
        <w:rPr>
          <w:bCs/>
          <w:szCs w:val="22"/>
        </w:rPr>
        <w:tab/>
        <w:t>Les manifestations sont protégées non seulement par la liberté d’expression, mais aussi par la liberté de réunion. Comme elles impliquent une utilisation de la voie publique a</w:t>
      </w:r>
      <w:r>
        <w:rPr>
          <w:bCs/>
          <w:szCs w:val="22"/>
        </w:rPr>
        <w:t>l</w:t>
      </w:r>
      <w:r>
        <w:rPr>
          <w:bCs/>
          <w:szCs w:val="22"/>
        </w:rPr>
        <w:t xml:space="preserve">lant </w:t>
      </w:r>
      <w:proofErr w:type="spellStart"/>
      <w:r>
        <w:rPr>
          <w:bCs/>
          <w:szCs w:val="22"/>
        </w:rPr>
        <w:t>au</w:t>
      </w:r>
      <w:r>
        <w:rPr>
          <w:bCs/>
          <w:szCs w:val="22"/>
        </w:rPr>
        <w:noBreakHyphen/>
        <w:t>delà</w:t>
      </w:r>
      <w:proofErr w:type="spellEnd"/>
      <w:r>
        <w:rPr>
          <w:bCs/>
          <w:szCs w:val="22"/>
        </w:rPr>
        <w:t xml:space="preserve"> de l’usage commun, les cantons peuvent les soumettre à autorisation. Dans sa jurisprudence récente, le Tribunal fédéral reconnaît toutefois l’existence d’un droit conditio</w:t>
      </w:r>
      <w:r>
        <w:rPr>
          <w:bCs/>
          <w:szCs w:val="22"/>
        </w:rPr>
        <w:t>n</w:t>
      </w:r>
      <w:r>
        <w:rPr>
          <w:bCs/>
          <w:szCs w:val="22"/>
        </w:rPr>
        <w:t>nel à l’utilisation de la voie publique pour l’organisation de manifestations</w:t>
      </w:r>
      <w:r>
        <w:rPr>
          <w:rStyle w:val="FootnoteReference"/>
          <w:bCs/>
          <w:szCs w:val="22"/>
        </w:rPr>
        <w:footnoteReference w:id="110"/>
      </w:r>
      <w:r>
        <w:rPr>
          <w:bCs/>
          <w:szCs w:val="22"/>
        </w:rPr>
        <w:t>. Les étra</w:t>
      </w:r>
      <w:r>
        <w:rPr>
          <w:bCs/>
          <w:szCs w:val="22"/>
        </w:rPr>
        <w:t>n</w:t>
      </w:r>
      <w:r>
        <w:rPr>
          <w:bCs/>
          <w:szCs w:val="22"/>
        </w:rPr>
        <w:t>gers peuvent eux aussi invoquer ce droit, même si les manifestations réunissant des étrangers peuvent être l’objet de restrictions policières supplémentaires, notamment si l’on r</w:t>
      </w:r>
      <w:r>
        <w:rPr>
          <w:bCs/>
          <w:szCs w:val="22"/>
        </w:rPr>
        <w:t>e</w:t>
      </w:r>
      <w:r>
        <w:rPr>
          <w:bCs/>
          <w:szCs w:val="22"/>
        </w:rPr>
        <w:t>doute des accrochages entre groupes rivaux</w:t>
      </w:r>
      <w:r>
        <w:rPr>
          <w:rStyle w:val="FootnoteReference"/>
          <w:bCs/>
          <w:szCs w:val="22"/>
        </w:rPr>
        <w:footnoteReference w:id="111"/>
      </w:r>
      <w:r>
        <w:rPr>
          <w:bCs/>
          <w:szCs w:val="22"/>
        </w:rPr>
        <w:t>.</w:t>
      </w:r>
    </w:p>
    <w:p w:rsidR="00000000" w:rsidRDefault="00000000">
      <w:pPr>
        <w:spacing w:after="240"/>
        <w:rPr>
          <w:bCs/>
          <w:szCs w:val="22"/>
        </w:rPr>
      </w:pPr>
      <w:r>
        <w:rPr>
          <w:bCs/>
          <w:szCs w:val="22"/>
        </w:rPr>
        <w:t>158.</w:t>
      </w:r>
      <w:r>
        <w:rPr>
          <w:bCs/>
          <w:szCs w:val="22"/>
        </w:rPr>
        <w:tab/>
        <w:t>La liberté d’association est garantie à l’article 23 de la Constitution fédérale. Les associations illégales ou représentant une menace pour l’</w:t>
      </w:r>
      <w:proofErr w:type="spellStart"/>
      <w:r>
        <w:rPr>
          <w:bCs/>
          <w:szCs w:val="22"/>
        </w:rPr>
        <w:t>État</w:t>
      </w:r>
      <w:proofErr w:type="spellEnd"/>
      <w:r>
        <w:rPr>
          <w:bCs/>
          <w:szCs w:val="22"/>
        </w:rPr>
        <w:t xml:space="preserve"> ne sont toutefois pas protégées par cette dispos</w:t>
      </w:r>
      <w:r>
        <w:rPr>
          <w:bCs/>
          <w:szCs w:val="22"/>
        </w:rPr>
        <w:t>i</w:t>
      </w:r>
      <w:r>
        <w:rPr>
          <w:bCs/>
          <w:szCs w:val="22"/>
        </w:rPr>
        <w:t xml:space="preserve">tion (voir </w:t>
      </w:r>
      <w:proofErr w:type="spellStart"/>
      <w:r>
        <w:rPr>
          <w:bCs/>
          <w:szCs w:val="22"/>
        </w:rPr>
        <w:t>CERD</w:t>
      </w:r>
      <w:proofErr w:type="spellEnd"/>
      <w:r>
        <w:rPr>
          <w:bCs/>
          <w:szCs w:val="22"/>
        </w:rPr>
        <w:t>/C/270/</w:t>
      </w:r>
      <w:proofErr w:type="spellStart"/>
      <w:r>
        <w:rPr>
          <w:bCs/>
          <w:szCs w:val="22"/>
        </w:rPr>
        <w:t>Add.1</w:t>
      </w:r>
      <w:proofErr w:type="spellEnd"/>
      <w:r>
        <w:rPr>
          <w:bCs/>
          <w:szCs w:val="22"/>
        </w:rPr>
        <w:t xml:space="preserve">, par. 146). Ce droit peut aussi être invoqué tant par les étrangers que par les personnes morales ou les associations </w:t>
      </w:r>
      <w:proofErr w:type="spellStart"/>
      <w:r>
        <w:rPr>
          <w:bCs/>
          <w:szCs w:val="22"/>
        </w:rPr>
        <w:t>elles</w:t>
      </w:r>
      <w:r>
        <w:rPr>
          <w:bCs/>
          <w:szCs w:val="22"/>
        </w:rPr>
        <w:noBreakHyphen/>
        <w:t>mêmes</w:t>
      </w:r>
      <w:proofErr w:type="spellEnd"/>
      <w:r>
        <w:rPr>
          <w:rStyle w:val="FootnoteReference"/>
          <w:bCs/>
          <w:szCs w:val="22"/>
        </w:rPr>
        <w:footnoteReference w:id="112"/>
      </w:r>
      <w:r>
        <w:rPr>
          <w:bCs/>
          <w:szCs w:val="22"/>
        </w:rPr>
        <w:t>.</w:t>
      </w:r>
    </w:p>
    <w:p w:rsidR="00000000" w:rsidRDefault="00000000">
      <w:pPr>
        <w:keepNext/>
        <w:spacing w:after="240"/>
        <w:jc w:val="center"/>
        <w:rPr>
          <w:b/>
          <w:bCs/>
          <w:szCs w:val="24"/>
        </w:rPr>
      </w:pPr>
      <w:bookmarkStart w:id="102" w:name="_Toc163552243"/>
      <w:r>
        <w:rPr>
          <w:b/>
          <w:bCs/>
          <w:szCs w:val="24"/>
        </w:rPr>
        <w:t xml:space="preserve">5.  Droits économiques, sociaux et culturels </w:t>
      </w:r>
      <w:r>
        <w:rPr>
          <w:b/>
          <w:bCs/>
          <w:szCs w:val="24"/>
        </w:rPr>
        <w:br/>
        <w:t xml:space="preserve">(art. 5, al. </w:t>
      </w:r>
      <w:r>
        <w:rPr>
          <w:b/>
          <w:bCs/>
          <w:i/>
          <w:iCs/>
          <w:szCs w:val="24"/>
        </w:rPr>
        <w:t>e</w:t>
      </w:r>
      <w:r>
        <w:rPr>
          <w:b/>
          <w:bCs/>
          <w:szCs w:val="24"/>
        </w:rPr>
        <w:t>)</w:t>
      </w:r>
      <w:bookmarkEnd w:id="102"/>
    </w:p>
    <w:p w:rsidR="00000000" w:rsidRDefault="00000000">
      <w:pPr>
        <w:spacing w:after="240"/>
        <w:rPr>
          <w:bCs/>
          <w:szCs w:val="22"/>
        </w:rPr>
      </w:pPr>
      <w:r>
        <w:rPr>
          <w:bCs/>
          <w:szCs w:val="22"/>
        </w:rPr>
        <w:t>159.</w:t>
      </w:r>
      <w:r>
        <w:rPr>
          <w:bCs/>
          <w:szCs w:val="22"/>
        </w:rPr>
        <w:tab/>
        <w:t>Pour une information complète et détaillée sur les droits économiques, sociaux et culturels, nous recommandons de consulter le premier rapport de la Suisse sur la mise en œuvre du Pacte relatif aux droits économiques, sociaux et culturels du 30 juin 1994. Depuis la présentation de ce rapport en 1998, la situation de la Suisse en ce qui concerne ces droits n’a pas cessé d’évoluer. Le deuxième rapport est en préparation et sera soumis au Comité auss</w:t>
      </w:r>
      <w:r>
        <w:rPr>
          <w:bCs/>
          <w:szCs w:val="22"/>
        </w:rPr>
        <w:t>i</w:t>
      </w:r>
      <w:r>
        <w:rPr>
          <w:bCs/>
          <w:szCs w:val="22"/>
        </w:rPr>
        <w:t>tôt que possible.</w:t>
      </w:r>
    </w:p>
    <w:p w:rsidR="00000000" w:rsidRDefault="00000000">
      <w:pPr>
        <w:spacing w:after="200"/>
        <w:rPr>
          <w:bCs/>
          <w:szCs w:val="22"/>
        </w:rPr>
      </w:pPr>
      <w:r>
        <w:rPr>
          <w:bCs/>
          <w:szCs w:val="22"/>
        </w:rPr>
        <w:t>160.</w:t>
      </w:r>
      <w:r>
        <w:rPr>
          <w:bCs/>
          <w:szCs w:val="22"/>
        </w:rPr>
        <w:tab/>
        <w:t>En sa qualité d’</w:t>
      </w:r>
      <w:proofErr w:type="spellStart"/>
      <w:r>
        <w:rPr>
          <w:bCs/>
          <w:szCs w:val="22"/>
        </w:rPr>
        <w:t>État</w:t>
      </w:r>
      <w:proofErr w:type="spellEnd"/>
      <w:r>
        <w:rPr>
          <w:bCs/>
          <w:szCs w:val="22"/>
        </w:rPr>
        <w:t xml:space="preserve"> partie au Pacte international relatif aux droits économiques, sociaux et culturels, la Suisse admet que les droits écon</w:t>
      </w:r>
      <w:r>
        <w:rPr>
          <w:bCs/>
          <w:szCs w:val="22"/>
        </w:rPr>
        <w:t>o</w:t>
      </w:r>
      <w:r>
        <w:rPr>
          <w:bCs/>
          <w:szCs w:val="22"/>
        </w:rPr>
        <w:t>miques, sociaux et culturels qui y sont garantis ont, par principe, valeur de programme. Elle considère donc être tenue de les concrétiser progressivement, en profitant de toutes les o</w:t>
      </w:r>
      <w:r>
        <w:rPr>
          <w:bCs/>
          <w:szCs w:val="22"/>
        </w:rPr>
        <w:t>c</w:t>
      </w:r>
      <w:r>
        <w:rPr>
          <w:bCs/>
          <w:szCs w:val="22"/>
        </w:rPr>
        <w:t>casions et en usant de tous les moyens dont elle dispose, avant tout dans le contexte de son activité législative. Les normes du Pacte ne peuvent normalement pas être invoquées par des individus. Un citoyen ne peut donc pas en exiger l’application devant les autorités administr</w:t>
      </w:r>
      <w:r>
        <w:rPr>
          <w:bCs/>
          <w:szCs w:val="22"/>
        </w:rPr>
        <w:t>a</w:t>
      </w:r>
      <w:r>
        <w:rPr>
          <w:bCs/>
          <w:szCs w:val="22"/>
        </w:rPr>
        <w:t>tives et judiciaires suisses. Le Tribunal fédéral a pourtant estimé que certaines dispos</w:t>
      </w:r>
      <w:r>
        <w:rPr>
          <w:bCs/>
          <w:szCs w:val="22"/>
        </w:rPr>
        <w:t>i</w:t>
      </w:r>
      <w:r>
        <w:rPr>
          <w:bCs/>
          <w:szCs w:val="22"/>
        </w:rPr>
        <w:t xml:space="preserve">tions pouvaient, exceptionnellement, être applicables directement, comme le droit de grève, garanti à l’article 8, paragraphe 1, alinéa </w:t>
      </w:r>
      <w:r>
        <w:rPr>
          <w:bCs/>
          <w:i/>
          <w:iCs/>
          <w:szCs w:val="22"/>
        </w:rPr>
        <w:t>d</w:t>
      </w:r>
      <w:r>
        <w:rPr>
          <w:bCs/>
          <w:szCs w:val="22"/>
        </w:rPr>
        <w:t>, du Pacte international relatif aux droits économiques, sociaux et culturels.</w:t>
      </w:r>
    </w:p>
    <w:p w:rsidR="00000000" w:rsidRDefault="00000000">
      <w:pPr>
        <w:spacing w:after="200"/>
        <w:rPr>
          <w:bCs/>
          <w:szCs w:val="22"/>
        </w:rPr>
      </w:pPr>
      <w:r>
        <w:rPr>
          <w:bCs/>
          <w:szCs w:val="22"/>
        </w:rPr>
        <w:t>161.</w:t>
      </w:r>
      <w:r>
        <w:rPr>
          <w:bCs/>
          <w:szCs w:val="22"/>
        </w:rPr>
        <w:tab/>
        <w:t>L’article 41 de la Constitution fédérale contient une liste de ce que l’on a appelé les buts sociaux. Il ne s’agit pas de droits à des prestations de l’</w:t>
      </w:r>
      <w:proofErr w:type="spellStart"/>
      <w:r>
        <w:rPr>
          <w:bCs/>
          <w:szCs w:val="22"/>
        </w:rPr>
        <w:t>État</w:t>
      </w:r>
      <w:proofErr w:type="spellEnd"/>
      <w:r>
        <w:rPr>
          <w:bCs/>
          <w:szCs w:val="22"/>
        </w:rPr>
        <w:t xml:space="preserve"> auxquelles le citoyen peut prétendre dire</w:t>
      </w:r>
      <w:r>
        <w:rPr>
          <w:bCs/>
          <w:szCs w:val="22"/>
        </w:rPr>
        <w:t>c</w:t>
      </w:r>
      <w:r>
        <w:rPr>
          <w:bCs/>
          <w:szCs w:val="22"/>
        </w:rPr>
        <w:t>tement, mais d’un programme qui s’adresse aux autorités polit</w:t>
      </w:r>
      <w:r>
        <w:rPr>
          <w:bCs/>
          <w:szCs w:val="22"/>
        </w:rPr>
        <w:t>i</w:t>
      </w:r>
      <w:r>
        <w:rPr>
          <w:bCs/>
          <w:szCs w:val="22"/>
        </w:rPr>
        <w:t xml:space="preserve">ques et qui leur indique les domaines dans lesquels une action s’impose. Le droit d’obtenir de l’aide dans des situations de détresse (art. 12, </w:t>
      </w:r>
      <w:proofErr w:type="spellStart"/>
      <w:r>
        <w:rPr>
          <w:bCs/>
          <w:szCs w:val="22"/>
        </w:rPr>
        <w:t>Cst</w:t>
      </w:r>
      <w:proofErr w:type="spellEnd"/>
      <w:r>
        <w:rPr>
          <w:bCs/>
          <w:szCs w:val="22"/>
        </w:rPr>
        <w:t>. féd.), le droit à un enseignement de base suffisant et gr</w:t>
      </w:r>
      <w:r>
        <w:rPr>
          <w:bCs/>
          <w:szCs w:val="22"/>
        </w:rPr>
        <w:t>a</w:t>
      </w:r>
      <w:r>
        <w:rPr>
          <w:bCs/>
          <w:szCs w:val="22"/>
        </w:rPr>
        <w:t>tuit (art. 19, </w:t>
      </w:r>
      <w:proofErr w:type="spellStart"/>
      <w:r>
        <w:rPr>
          <w:bCs/>
          <w:szCs w:val="22"/>
        </w:rPr>
        <w:t>Cst</w:t>
      </w:r>
      <w:proofErr w:type="spellEnd"/>
      <w:r>
        <w:rPr>
          <w:bCs/>
          <w:szCs w:val="22"/>
        </w:rPr>
        <w:t>. féd.), le droit à des obsèques décentes (qui résulte du droit à la protection de la dign</w:t>
      </w:r>
      <w:r>
        <w:rPr>
          <w:bCs/>
          <w:szCs w:val="22"/>
        </w:rPr>
        <w:t>i</w:t>
      </w:r>
      <w:r>
        <w:rPr>
          <w:bCs/>
          <w:szCs w:val="22"/>
        </w:rPr>
        <w:t xml:space="preserve">té humaine, art. 7, </w:t>
      </w:r>
      <w:proofErr w:type="spellStart"/>
      <w:r>
        <w:rPr>
          <w:bCs/>
          <w:szCs w:val="22"/>
        </w:rPr>
        <w:t>Cst</w:t>
      </w:r>
      <w:proofErr w:type="spellEnd"/>
      <w:r>
        <w:rPr>
          <w:bCs/>
          <w:szCs w:val="22"/>
        </w:rPr>
        <w:t xml:space="preserve">. féd.) ainsi que le droit à l’assistance judiciaire gratuite (art. 29, al. 3, </w:t>
      </w:r>
      <w:proofErr w:type="spellStart"/>
      <w:r>
        <w:rPr>
          <w:bCs/>
          <w:szCs w:val="22"/>
        </w:rPr>
        <w:t>Cst</w:t>
      </w:r>
      <w:proofErr w:type="spellEnd"/>
      <w:r>
        <w:rPr>
          <w:bCs/>
          <w:szCs w:val="22"/>
        </w:rPr>
        <w:t>. féd.) sont des droits que chacun peut faire valoir devant l’autorité compétente. Ces droits reviennent également aux étrangers, indépendamment du statut r</w:t>
      </w:r>
      <w:r>
        <w:rPr>
          <w:bCs/>
          <w:szCs w:val="22"/>
        </w:rPr>
        <w:t>é</w:t>
      </w:r>
      <w:r>
        <w:rPr>
          <w:bCs/>
          <w:szCs w:val="22"/>
        </w:rPr>
        <w:t>gissant leur séjour (même s’ils se trouvent en Suisse illégalement)</w:t>
      </w:r>
      <w:r>
        <w:rPr>
          <w:rStyle w:val="FootnoteReference"/>
          <w:bCs/>
          <w:szCs w:val="22"/>
        </w:rPr>
        <w:footnoteReference w:id="113"/>
      </w:r>
      <w:r>
        <w:rPr>
          <w:bCs/>
          <w:szCs w:val="22"/>
        </w:rPr>
        <w:t>.</w:t>
      </w:r>
    </w:p>
    <w:p w:rsidR="00000000" w:rsidRDefault="00000000">
      <w:pPr>
        <w:spacing w:after="200"/>
        <w:rPr>
          <w:bCs/>
          <w:szCs w:val="22"/>
        </w:rPr>
      </w:pPr>
      <w:r>
        <w:rPr>
          <w:bCs/>
          <w:szCs w:val="22"/>
        </w:rPr>
        <w:t>162.</w:t>
      </w:r>
      <w:r>
        <w:rPr>
          <w:bCs/>
          <w:szCs w:val="22"/>
        </w:rPr>
        <w:tab/>
        <w:t>Selon l’article 12 de la Constitution fédérale, «quiconque est dans une situation de détresse et n’est pas en mesure de subvenir à son entretien a le droit d’être aidé et assisté et de recevoir les moyens indispensables pour mener une existence conforme à la dignité humaine». Cette di</w:t>
      </w:r>
      <w:r>
        <w:rPr>
          <w:bCs/>
          <w:szCs w:val="22"/>
        </w:rPr>
        <w:t>s</w:t>
      </w:r>
      <w:r>
        <w:rPr>
          <w:bCs/>
          <w:szCs w:val="22"/>
        </w:rPr>
        <w:t>position ne garantit pas un revenu minimum au sens du minimum vital respecté dans le cadre de la poursuite pour dettes, mais uniquement ce dont une personne a besoin pour pouvoir vivre dignement</w:t>
      </w:r>
      <w:r>
        <w:rPr>
          <w:rStyle w:val="FootnoteReference"/>
          <w:bCs/>
          <w:szCs w:val="22"/>
        </w:rPr>
        <w:footnoteReference w:id="114"/>
      </w:r>
      <w:r>
        <w:rPr>
          <w:bCs/>
          <w:szCs w:val="22"/>
        </w:rPr>
        <w:t>.</w:t>
      </w:r>
    </w:p>
    <w:p w:rsidR="00000000" w:rsidRDefault="00000000">
      <w:pPr>
        <w:spacing w:after="200"/>
        <w:rPr>
          <w:bCs/>
          <w:szCs w:val="22"/>
        </w:rPr>
      </w:pPr>
      <w:r>
        <w:rPr>
          <w:bCs/>
          <w:szCs w:val="22"/>
        </w:rPr>
        <w:t>163.</w:t>
      </w:r>
      <w:r>
        <w:rPr>
          <w:bCs/>
          <w:szCs w:val="22"/>
        </w:rPr>
        <w:tab/>
        <w:t>Invoquant l’article 12 de la Constitution fédérale, le Tribunal fédéral a considéré que la suppression de l’aide d’urgence était contraire à la Constitution, même dans le cas des requérants d’asile séjou</w:t>
      </w:r>
      <w:r>
        <w:rPr>
          <w:bCs/>
          <w:szCs w:val="22"/>
        </w:rPr>
        <w:t>r</w:t>
      </w:r>
      <w:r>
        <w:rPr>
          <w:bCs/>
          <w:szCs w:val="22"/>
        </w:rPr>
        <w:t>nant en Suisse illégalement et ne coopérant pas avec les autorités. Il a estimé qu’il était inadmissible d’utiliser le refus de l’aide minimale comme moyen de pression pour obtenir l’exécution du renvoi</w:t>
      </w:r>
      <w:r>
        <w:rPr>
          <w:rStyle w:val="FootnoteReference"/>
          <w:bCs/>
          <w:szCs w:val="22"/>
        </w:rPr>
        <w:footnoteReference w:id="115"/>
      </w:r>
      <w:r>
        <w:rPr>
          <w:bCs/>
          <w:szCs w:val="22"/>
        </w:rPr>
        <w:t>.</w:t>
      </w:r>
    </w:p>
    <w:p w:rsidR="00000000" w:rsidRDefault="00000000">
      <w:pPr>
        <w:keepNext/>
        <w:spacing w:after="200"/>
        <w:ind w:left="567" w:hanging="567"/>
        <w:rPr>
          <w:b/>
          <w:bCs/>
        </w:rPr>
      </w:pPr>
      <w:bookmarkStart w:id="103" w:name="_Toc163552244"/>
      <w:r>
        <w:rPr>
          <w:b/>
          <w:bCs/>
          <w:i/>
          <w:iCs/>
        </w:rPr>
        <w:t>a)</w:t>
      </w:r>
      <w:r>
        <w:rPr>
          <w:b/>
          <w:bCs/>
          <w:i/>
          <w:iCs/>
        </w:rPr>
        <w:tab/>
        <w:t>Droit au travail</w:t>
      </w:r>
      <w:r>
        <w:rPr>
          <w:b/>
          <w:bCs/>
        </w:rPr>
        <w:t xml:space="preserve"> (art. 5, al. </w:t>
      </w:r>
      <w:r>
        <w:rPr>
          <w:b/>
          <w:bCs/>
          <w:i/>
          <w:iCs/>
        </w:rPr>
        <w:t>e</w:t>
      </w:r>
      <w:r>
        <w:rPr>
          <w:b/>
          <w:bCs/>
        </w:rPr>
        <w:t>, i)</w:t>
      </w:r>
      <w:bookmarkEnd w:id="103"/>
      <w:r>
        <w:rPr>
          <w:b/>
          <w:bCs/>
        </w:rPr>
        <w:t>)</w:t>
      </w:r>
    </w:p>
    <w:p w:rsidR="00000000" w:rsidRDefault="00000000">
      <w:pPr>
        <w:keepNext/>
        <w:spacing w:after="200"/>
        <w:ind w:left="1134" w:hanging="567"/>
        <w:rPr>
          <w:b/>
          <w:bCs/>
        </w:rPr>
      </w:pPr>
      <w:r>
        <w:rPr>
          <w:b/>
          <w:bCs/>
          <w:i/>
          <w:iCs/>
        </w:rPr>
        <w:t>i)</w:t>
      </w:r>
      <w:r>
        <w:rPr>
          <w:b/>
          <w:bCs/>
          <w:i/>
          <w:iCs/>
        </w:rPr>
        <w:tab/>
        <w:t>Droit au travail</w:t>
      </w:r>
    </w:p>
    <w:p w:rsidR="00000000" w:rsidRDefault="00000000">
      <w:pPr>
        <w:spacing w:after="200"/>
        <w:rPr>
          <w:bCs/>
          <w:szCs w:val="22"/>
        </w:rPr>
      </w:pPr>
      <w:r>
        <w:rPr>
          <w:bCs/>
          <w:szCs w:val="22"/>
        </w:rPr>
        <w:t>164.</w:t>
      </w:r>
      <w:r>
        <w:rPr>
          <w:bCs/>
          <w:szCs w:val="22"/>
        </w:rPr>
        <w:tab/>
        <w:t>Pour ce qui est de l’effet horizontal entre individus de l’interdiction de discrimin</w:t>
      </w:r>
      <w:r>
        <w:rPr>
          <w:bCs/>
          <w:szCs w:val="22"/>
        </w:rPr>
        <w:t>a</w:t>
      </w:r>
      <w:r>
        <w:rPr>
          <w:bCs/>
          <w:szCs w:val="22"/>
        </w:rPr>
        <w:t>tion, nous renvoyons aux deuxième et troisième rapports périodiques (</w:t>
      </w:r>
      <w:proofErr w:type="spellStart"/>
      <w:r>
        <w:rPr>
          <w:bCs/>
          <w:szCs w:val="22"/>
        </w:rPr>
        <w:t>CERD</w:t>
      </w:r>
      <w:proofErr w:type="spellEnd"/>
      <w:r>
        <w:rPr>
          <w:bCs/>
          <w:szCs w:val="22"/>
        </w:rPr>
        <w:t>/C/351/</w:t>
      </w:r>
      <w:proofErr w:type="spellStart"/>
      <w:r>
        <w:rPr>
          <w:bCs/>
          <w:szCs w:val="22"/>
        </w:rPr>
        <w:t>Add.2</w:t>
      </w:r>
      <w:proofErr w:type="spellEnd"/>
      <w:r>
        <w:rPr>
          <w:bCs/>
          <w:szCs w:val="22"/>
        </w:rPr>
        <w:t>, par. 86 à 88). En complément des ra</w:t>
      </w:r>
      <w:r>
        <w:rPr>
          <w:bCs/>
          <w:szCs w:val="22"/>
        </w:rPr>
        <w:t>p</w:t>
      </w:r>
      <w:r>
        <w:rPr>
          <w:bCs/>
          <w:szCs w:val="22"/>
        </w:rPr>
        <w:t>ports antérieurs, nous tenons à relever ceci:</w:t>
      </w:r>
    </w:p>
    <w:p w:rsidR="00000000" w:rsidRDefault="00000000">
      <w:pPr>
        <w:spacing w:after="200"/>
        <w:rPr>
          <w:bCs/>
          <w:szCs w:val="22"/>
        </w:rPr>
      </w:pPr>
      <w:r>
        <w:rPr>
          <w:bCs/>
          <w:szCs w:val="22"/>
        </w:rPr>
        <w:t>165.</w:t>
      </w:r>
      <w:r>
        <w:rPr>
          <w:bCs/>
          <w:szCs w:val="22"/>
        </w:rPr>
        <w:tab/>
        <w:t>Les données statistiques (2004) montrent qu’en Suisse une personne exerçant une activité lucrative sur quatre est de nationalité étrangère (25,3 %). Plus de la moitié de ces travailleurs étrangers (52,8 %) sont occupés par des entreprises comptant plus de 50 employés (Suisses/Suissesses: 46,6 %). Le secteur dans lequel on trouve le plus d’étrangers est c</w:t>
      </w:r>
      <w:r>
        <w:rPr>
          <w:bCs/>
          <w:szCs w:val="22"/>
        </w:rPr>
        <w:t>e</w:t>
      </w:r>
      <w:r>
        <w:rPr>
          <w:bCs/>
          <w:szCs w:val="22"/>
        </w:rPr>
        <w:t>lui de l’hôtellerie et de la restauration (53 %). La proportion de travailleurs étrangers est aussi élevée dans les «ménages privés» (40,1 %) et dans la construction (36,5 %). Un travailleur étranger sur cinq a des horaires irréguliers (19,3 %), et un sur cinq également travaille le </w:t>
      </w:r>
      <w:proofErr w:type="spellStart"/>
      <w:r>
        <w:rPr>
          <w:bCs/>
          <w:szCs w:val="22"/>
        </w:rPr>
        <w:t>week</w:t>
      </w:r>
      <w:r>
        <w:rPr>
          <w:bCs/>
          <w:szCs w:val="22"/>
        </w:rPr>
        <w:noBreakHyphen/>
        <w:t>end</w:t>
      </w:r>
      <w:proofErr w:type="spellEnd"/>
      <w:r>
        <w:rPr>
          <w:bCs/>
          <w:szCs w:val="22"/>
        </w:rPr>
        <w:t xml:space="preserve"> (20,1 %)</w:t>
      </w:r>
      <w:r>
        <w:rPr>
          <w:rStyle w:val="FootnoteReference"/>
          <w:bCs/>
          <w:szCs w:val="22"/>
        </w:rPr>
        <w:footnoteReference w:id="116"/>
      </w:r>
      <w:r>
        <w:rPr>
          <w:bCs/>
          <w:szCs w:val="22"/>
        </w:rPr>
        <w:t>.</w:t>
      </w:r>
    </w:p>
    <w:p w:rsidR="00000000" w:rsidRDefault="00000000">
      <w:pPr>
        <w:spacing w:after="240"/>
        <w:rPr>
          <w:bCs/>
          <w:szCs w:val="22"/>
        </w:rPr>
      </w:pPr>
      <w:r>
        <w:rPr>
          <w:bCs/>
          <w:szCs w:val="22"/>
        </w:rPr>
        <w:t>166.</w:t>
      </w:r>
      <w:r>
        <w:rPr>
          <w:bCs/>
          <w:szCs w:val="22"/>
        </w:rPr>
        <w:tab/>
        <w:t>Le droit d’accès des citoyens des pays membres de l’</w:t>
      </w:r>
      <w:proofErr w:type="spellStart"/>
      <w:r>
        <w:rPr>
          <w:bCs/>
          <w:szCs w:val="22"/>
        </w:rPr>
        <w:t>UE</w:t>
      </w:r>
      <w:proofErr w:type="spellEnd"/>
      <w:r>
        <w:rPr>
          <w:bCs/>
          <w:szCs w:val="22"/>
        </w:rPr>
        <w:t xml:space="preserve"> ou de l’</w:t>
      </w:r>
      <w:proofErr w:type="spellStart"/>
      <w:r>
        <w:rPr>
          <w:bCs/>
          <w:szCs w:val="22"/>
        </w:rPr>
        <w:t>AELE</w:t>
      </w:r>
      <w:proofErr w:type="spellEnd"/>
      <w:r>
        <w:rPr>
          <w:bCs/>
          <w:szCs w:val="22"/>
        </w:rPr>
        <w:t xml:space="preserve"> au marché suisse du travail est accordé par étapes. Il est prévu, dans l’</w:t>
      </w:r>
      <w:proofErr w:type="spellStart"/>
      <w:r>
        <w:rPr>
          <w:bCs/>
          <w:szCs w:val="22"/>
        </w:rPr>
        <w:t>Accord</w:t>
      </w:r>
      <w:proofErr w:type="spellEnd"/>
      <w:r>
        <w:rPr>
          <w:bCs/>
          <w:szCs w:val="22"/>
        </w:rPr>
        <w:t xml:space="preserve"> sur la libre circulation des personnes, que la libre circulation − autrement dit l’ouverture inconditionnelle du marché du travail suisse sans quotas − devra être garantie dès 2007, au terme d’un délai transitoire de cinq ans (voir art. 10, </w:t>
      </w:r>
      <w:proofErr w:type="spellStart"/>
      <w:r>
        <w:rPr>
          <w:bCs/>
          <w:szCs w:val="22"/>
        </w:rPr>
        <w:t>ALCP</w:t>
      </w:r>
      <w:proofErr w:type="spellEnd"/>
      <w:r>
        <w:rPr>
          <w:bCs/>
          <w:szCs w:val="22"/>
        </w:rPr>
        <w:t>).</w:t>
      </w:r>
    </w:p>
    <w:p w:rsidR="00000000" w:rsidRDefault="00000000">
      <w:pPr>
        <w:spacing w:after="240"/>
        <w:rPr>
          <w:bCs/>
          <w:szCs w:val="22"/>
        </w:rPr>
      </w:pPr>
      <w:r>
        <w:rPr>
          <w:bCs/>
          <w:szCs w:val="22"/>
        </w:rPr>
        <w:t>167.</w:t>
      </w:r>
      <w:r>
        <w:rPr>
          <w:bCs/>
          <w:szCs w:val="22"/>
        </w:rPr>
        <w:tab/>
        <w:t>L’ordonnance limitant le nombre des étrangers (OLE) régit l’admission en Suisse des étrangers originaires d’</w:t>
      </w:r>
      <w:proofErr w:type="spellStart"/>
      <w:r>
        <w:rPr>
          <w:bCs/>
          <w:szCs w:val="22"/>
        </w:rPr>
        <w:t>États</w:t>
      </w:r>
      <w:proofErr w:type="spellEnd"/>
      <w:r>
        <w:rPr>
          <w:bCs/>
          <w:szCs w:val="22"/>
        </w:rPr>
        <w:t xml:space="preserve"> tiers, soit d’</w:t>
      </w:r>
      <w:proofErr w:type="spellStart"/>
      <w:r>
        <w:rPr>
          <w:bCs/>
          <w:szCs w:val="22"/>
        </w:rPr>
        <w:t>États</w:t>
      </w:r>
      <w:proofErr w:type="spellEnd"/>
      <w:r>
        <w:rPr>
          <w:bCs/>
          <w:szCs w:val="22"/>
        </w:rPr>
        <w:t xml:space="preserve"> qui ne sont membres ni de l’</w:t>
      </w:r>
      <w:proofErr w:type="spellStart"/>
      <w:r>
        <w:rPr>
          <w:bCs/>
          <w:szCs w:val="22"/>
        </w:rPr>
        <w:t>UE</w:t>
      </w:r>
      <w:proofErr w:type="spellEnd"/>
      <w:r>
        <w:rPr>
          <w:bCs/>
          <w:szCs w:val="22"/>
        </w:rPr>
        <w:t xml:space="preserve"> ni de l’</w:t>
      </w:r>
      <w:proofErr w:type="spellStart"/>
      <w:r>
        <w:rPr>
          <w:bCs/>
          <w:szCs w:val="22"/>
        </w:rPr>
        <w:t>AELE</w:t>
      </w:r>
      <w:proofErr w:type="spellEnd"/>
      <w:r>
        <w:rPr>
          <w:bCs/>
          <w:szCs w:val="22"/>
        </w:rPr>
        <w:t>. Le Gouvernement suisse fixe périodiquement des nombres maximums (art. 12, OLE) et les travailleurs suisses ainsi que les ressortissants d’</w:t>
      </w:r>
      <w:proofErr w:type="spellStart"/>
      <w:r>
        <w:rPr>
          <w:bCs/>
          <w:szCs w:val="22"/>
        </w:rPr>
        <w:t>État</w:t>
      </w:r>
      <w:proofErr w:type="spellEnd"/>
      <w:r>
        <w:rPr>
          <w:bCs/>
          <w:szCs w:val="22"/>
        </w:rPr>
        <w:t xml:space="preserve"> membres de l’</w:t>
      </w:r>
      <w:proofErr w:type="spellStart"/>
      <w:r>
        <w:rPr>
          <w:bCs/>
          <w:szCs w:val="22"/>
        </w:rPr>
        <w:t>UE</w:t>
      </w:r>
      <w:proofErr w:type="spellEnd"/>
      <w:r>
        <w:rPr>
          <w:bCs/>
          <w:szCs w:val="22"/>
        </w:rPr>
        <w:t xml:space="preserve"> ou de l’</w:t>
      </w:r>
      <w:proofErr w:type="spellStart"/>
      <w:r>
        <w:rPr>
          <w:bCs/>
          <w:szCs w:val="22"/>
        </w:rPr>
        <w:t>AELE</w:t>
      </w:r>
      <w:proofErr w:type="spellEnd"/>
      <w:r>
        <w:rPr>
          <w:bCs/>
          <w:szCs w:val="22"/>
        </w:rPr>
        <w:t xml:space="preserve"> bénéf</w:t>
      </w:r>
      <w:r>
        <w:rPr>
          <w:bCs/>
          <w:szCs w:val="22"/>
        </w:rPr>
        <w:t>i</w:t>
      </w:r>
      <w:r>
        <w:rPr>
          <w:bCs/>
          <w:szCs w:val="22"/>
        </w:rPr>
        <w:t>cient d’un traitement prioritaire (art. 7 et 8, OLE).</w:t>
      </w:r>
    </w:p>
    <w:p w:rsidR="00000000" w:rsidRDefault="00000000">
      <w:pPr>
        <w:spacing w:after="240"/>
        <w:rPr>
          <w:bCs/>
          <w:szCs w:val="22"/>
        </w:rPr>
      </w:pPr>
      <w:r>
        <w:rPr>
          <w:bCs/>
          <w:szCs w:val="22"/>
        </w:rPr>
        <w:t>168.</w:t>
      </w:r>
      <w:r>
        <w:rPr>
          <w:bCs/>
          <w:szCs w:val="22"/>
        </w:rPr>
        <w:tab/>
        <w:t>L’interdiction générale de travailler qui avait été mentionnée dans les deuxième et tro</w:t>
      </w:r>
      <w:r>
        <w:rPr>
          <w:bCs/>
          <w:szCs w:val="22"/>
        </w:rPr>
        <w:t>i</w:t>
      </w:r>
      <w:r>
        <w:rPr>
          <w:bCs/>
          <w:szCs w:val="22"/>
        </w:rPr>
        <w:t>sième rapports périodiques (</w:t>
      </w:r>
      <w:proofErr w:type="spellStart"/>
      <w:r>
        <w:rPr>
          <w:bCs/>
          <w:szCs w:val="22"/>
        </w:rPr>
        <w:t>CERD</w:t>
      </w:r>
      <w:proofErr w:type="spellEnd"/>
      <w:r>
        <w:rPr>
          <w:bCs/>
          <w:szCs w:val="22"/>
        </w:rPr>
        <w:t>/C/351/</w:t>
      </w:r>
      <w:proofErr w:type="spellStart"/>
      <w:r>
        <w:rPr>
          <w:bCs/>
          <w:szCs w:val="22"/>
        </w:rPr>
        <w:t>Add.2</w:t>
      </w:r>
      <w:proofErr w:type="spellEnd"/>
      <w:r>
        <w:rPr>
          <w:bCs/>
          <w:szCs w:val="22"/>
        </w:rPr>
        <w:t>, par. 196) et dont étaient frappés les demandeurs d’asile a été supprimée par le Gouve</w:t>
      </w:r>
      <w:r>
        <w:rPr>
          <w:bCs/>
          <w:szCs w:val="22"/>
        </w:rPr>
        <w:t>r</w:t>
      </w:r>
      <w:r>
        <w:rPr>
          <w:bCs/>
          <w:szCs w:val="22"/>
        </w:rPr>
        <w:t>nement suisse au 1</w:t>
      </w:r>
      <w:r>
        <w:rPr>
          <w:bCs/>
          <w:szCs w:val="22"/>
          <w:vertAlign w:val="superscript"/>
        </w:rPr>
        <w:t>er</w:t>
      </w:r>
      <w:r>
        <w:rPr>
          <w:bCs/>
          <w:szCs w:val="22"/>
        </w:rPr>
        <w:t xml:space="preserve"> septembre 2000. Le nombre des requérants d’asile et des personnes admises provisoirement avait en effet diminué à un point tel que les conditions légales néce</w:t>
      </w:r>
      <w:r>
        <w:rPr>
          <w:bCs/>
          <w:szCs w:val="22"/>
        </w:rPr>
        <w:t>s</w:t>
      </w:r>
      <w:r>
        <w:rPr>
          <w:bCs/>
          <w:szCs w:val="22"/>
        </w:rPr>
        <w:t>saires au maintien de la mesure n’étaient plus remplies</w:t>
      </w:r>
      <w:r>
        <w:rPr>
          <w:rStyle w:val="FootnoteReference"/>
          <w:bCs/>
          <w:szCs w:val="22"/>
        </w:rPr>
        <w:footnoteReference w:id="117"/>
      </w:r>
      <w:r>
        <w:rPr>
          <w:bCs/>
          <w:szCs w:val="22"/>
        </w:rPr>
        <w:t>. On en est donc revenu à l’ancien régime, en vertu duquel le requérant d’asile avait le droit d’exercer une activité lucr</w:t>
      </w:r>
      <w:r>
        <w:rPr>
          <w:bCs/>
          <w:szCs w:val="22"/>
        </w:rPr>
        <w:t>a</w:t>
      </w:r>
      <w:r>
        <w:rPr>
          <w:bCs/>
          <w:szCs w:val="22"/>
        </w:rPr>
        <w:t xml:space="preserve">tive au terme d’un délai de trois mois à compter du dépôt de sa demande d’asile (art. 43, </w:t>
      </w:r>
      <w:proofErr w:type="spellStart"/>
      <w:r>
        <w:rPr>
          <w:bCs/>
          <w:szCs w:val="22"/>
        </w:rPr>
        <w:t>L</w:t>
      </w:r>
      <w:r>
        <w:rPr>
          <w:bCs/>
          <w:szCs w:val="22"/>
        </w:rPr>
        <w:t>A</w:t>
      </w:r>
      <w:r>
        <w:rPr>
          <w:bCs/>
          <w:szCs w:val="22"/>
        </w:rPr>
        <w:t>si</w:t>
      </w:r>
      <w:proofErr w:type="spellEnd"/>
      <w:r>
        <w:rPr>
          <w:bCs/>
          <w:szCs w:val="22"/>
        </w:rPr>
        <w:t xml:space="preserve">). Dans le projet de révision de la loi sur l’asile, il est prévu à l’article 43, paragraphe 3 </w:t>
      </w:r>
      <w:r>
        <w:rPr>
          <w:bCs/>
          <w:i/>
          <w:iCs/>
          <w:szCs w:val="22"/>
        </w:rPr>
        <w:t>bis</w:t>
      </w:r>
      <w:r>
        <w:rPr>
          <w:bCs/>
          <w:szCs w:val="22"/>
        </w:rPr>
        <w:t>, d’accorder au Gouve</w:t>
      </w:r>
      <w:r>
        <w:rPr>
          <w:bCs/>
          <w:szCs w:val="22"/>
        </w:rPr>
        <w:t>r</w:t>
      </w:r>
      <w:r>
        <w:rPr>
          <w:bCs/>
          <w:szCs w:val="22"/>
        </w:rPr>
        <w:t>nement la compétence de frapper certains groupes de requérants d’asile d’une interdiction temporaire de tr</w:t>
      </w:r>
      <w:r>
        <w:rPr>
          <w:bCs/>
          <w:szCs w:val="22"/>
        </w:rPr>
        <w:t>a</w:t>
      </w:r>
      <w:r>
        <w:rPr>
          <w:bCs/>
          <w:szCs w:val="22"/>
        </w:rPr>
        <w:t>vailler.</w:t>
      </w:r>
    </w:p>
    <w:p w:rsidR="00000000" w:rsidRDefault="00000000">
      <w:pPr>
        <w:spacing w:after="240"/>
        <w:rPr>
          <w:bCs/>
          <w:szCs w:val="22"/>
        </w:rPr>
      </w:pPr>
      <w:r>
        <w:rPr>
          <w:bCs/>
          <w:szCs w:val="22"/>
        </w:rPr>
        <w:t>169.</w:t>
      </w:r>
      <w:r>
        <w:rPr>
          <w:bCs/>
          <w:szCs w:val="22"/>
        </w:rPr>
        <w:tab/>
        <w:t>Les requérants d’asile sont admis provisoirement lorsque l’exécution de la déc</w:t>
      </w:r>
      <w:r>
        <w:rPr>
          <w:bCs/>
          <w:szCs w:val="22"/>
        </w:rPr>
        <w:t>i</w:t>
      </w:r>
      <w:r>
        <w:rPr>
          <w:bCs/>
          <w:szCs w:val="22"/>
        </w:rPr>
        <w:t>sion de renvoi est illégale, impossible, ou ne peut raisonnablement pas être exigée des int</w:t>
      </w:r>
      <w:r>
        <w:rPr>
          <w:bCs/>
          <w:szCs w:val="22"/>
        </w:rPr>
        <w:t>é</w:t>
      </w:r>
      <w:r>
        <w:rPr>
          <w:bCs/>
          <w:szCs w:val="22"/>
        </w:rPr>
        <w:t>ressés. À la fin janvier 2006, le nombre des personnes admises en Suisse à titre provisoire était de 24 600. Leur taux d’occupation (34 %) n’atteint même pas la moitié de celui des étrangers au bénéfice d’un permis de séjour en Suisse. L’expérience a montré qu’une grande majorité de ces personnes demeure en Suisse pendant très longtemps ou même pour toujours. Afin de permettre à ce groupe de personnes d’intégrer la vie professionnelle le plus tôt possible, mais aussi afin de faire des économies au niveau de l’aide sociale, le Conseil fédéral a, au 1</w:t>
      </w:r>
      <w:r>
        <w:rPr>
          <w:bCs/>
          <w:szCs w:val="22"/>
          <w:vertAlign w:val="superscript"/>
        </w:rPr>
        <w:t>er</w:t>
      </w:r>
      <w:r>
        <w:rPr>
          <w:bCs/>
          <w:szCs w:val="22"/>
        </w:rPr>
        <w:t xml:space="preserve"> avril 2006, adapté les prescriptions en matière de priorité dans le recrutement (art. 7, par. 3, OLE): lorsqu’il s’agit de l’exercice d’une première activité, la priorité est accordée, outre aux travai</w:t>
      </w:r>
      <w:r>
        <w:rPr>
          <w:bCs/>
          <w:szCs w:val="22"/>
        </w:rPr>
        <w:t>l</w:t>
      </w:r>
      <w:r>
        <w:rPr>
          <w:bCs/>
          <w:szCs w:val="22"/>
        </w:rPr>
        <w:t>leurs indigènes, aux demandeurs d’emploi étrangers se trouvant déjà en Suisse et a</w:t>
      </w:r>
      <w:r>
        <w:rPr>
          <w:bCs/>
          <w:szCs w:val="22"/>
        </w:rPr>
        <w:t>u</w:t>
      </w:r>
      <w:r>
        <w:rPr>
          <w:bCs/>
          <w:szCs w:val="22"/>
        </w:rPr>
        <w:t>torisés à travailler. Les étrangers admis à titre provisoire bénéficient du même traitement.</w:t>
      </w:r>
    </w:p>
    <w:p w:rsidR="00000000" w:rsidRDefault="00000000">
      <w:pPr>
        <w:keepNext/>
        <w:spacing w:after="240"/>
        <w:ind w:left="1134" w:hanging="567"/>
        <w:rPr>
          <w:b/>
          <w:bCs/>
          <w:i/>
          <w:iCs/>
          <w:szCs w:val="24"/>
        </w:rPr>
      </w:pPr>
      <w:proofErr w:type="spellStart"/>
      <w:r>
        <w:rPr>
          <w:b/>
          <w:bCs/>
          <w:i/>
          <w:iCs/>
          <w:szCs w:val="24"/>
        </w:rPr>
        <w:t>ii</w:t>
      </w:r>
      <w:proofErr w:type="spellEnd"/>
      <w:r>
        <w:rPr>
          <w:b/>
          <w:bCs/>
          <w:i/>
          <w:iCs/>
          <w:szCs w:val="24"/>
        </w:rPr>
        <w:t>)</w:t>
      </w:r>
      <w:r>
        <w:rPr>
          <w:b/>
          <w:bCs/>
          <w:i/>
          <w:iCs/>
          <w:szCs w:val="24"/>
        </w:rPr>
        <w:tab/>
        <w:t>Droit au libre choix de l’emploi</w:t>
      </w:r>
    </w:p>
    <w:p w:rsidR="00000000" w:rsidRDefault="00000000">
      <w:pPr>
        <w:spacing w:after="240"/>
        <w:rPr>
          <w:bCs/>
          <w:szCs w:val="22"/>
        </w:rPr>
      </w:pPr>
      <w:r>
        <w:rPr>
          <w:bCs/>
          <w:szCs w:val="22"/>
        </w:rPr>
        <w:t>170.</w:t>
      </w:r>
      <w:r>
        <w:rPr>
          <w:bCs/>
          <w:szCs w:val="22"/>
        </w:rPr>
        <w:tab/>
        <w:t>L’</w:t>
      </w:r>
      <w:proofErr w:type="spellStart"/>
      <w:r>
        <w:rPr>
          <w:bCs/>
          <w:szCs w:val="22"/>
        </w:rPr>
        <w:t>Accord</w:t>
      </w:r>
      <w:proofErr w:type="spellEnd"/>
      <w:r>
        <w:rPr>
          <w:bCs/>
          <w:szCs w:val="22"/>
        </w:rPr>
        <w:t xml:space="preserve"> sur la libre circulation des personnes (</w:t>
      </w:r>
      <w:proofErr w:type="spellStart"/>
      <w:r>
        <w:rPr>
          <w:bCs/>
          <w:szCs w:val="22"/>
        </w:rPr>
        <w:t>ALCP</w:t>
      </w:r>
      <w:proofErr w:type="spellEnd"/>
      <w:r>
        <w:rPr>
          <w:bCs/>
          <w:szCs w:val="22"/>
        </w:rPr>
        <w:t>) garantit aux ressortissants des États membres de l’</w:t>
      </w:r>
      <w:proofErr w:type="spellStart"/>
      <w:r>
        <w:rPr>
          <w:bCs/>
          <w:szCs w:val="22"/>
        </w:rPr>
        <w:t>UE</w:t>
      </w:r>
      <w:proofErr w:type="spellEnd"/>
      <w:r>
        <w:rPr>
          <w:bCs/>
          <w:szCs w:val="22"/>
        </w:rPr>
        <w:t xml:space="preserve"> ou de l’</w:t>
      </w:r>
      <w:proofErr w:type="spellStart"/>
      <w:r>
        <w:rPr>
          <w:bCs/>
          <w:szCs w:val="22"/>
        </w:rPr>
        <w:t>AELE</w:t>
      </w:r>
      <w:proofErr w:type="spellEnd"/>
      <w:r>
        <w:rPr>
          <w:bCs/>
          <w:szCs w:val="22"/>
        </w:rPr>
        <w:t xml:space="preserve"> un droit complet à la mobilité professionnelle, y compris l’accès à une activité lucrative indépendante</w:t>
      </w:r>
      <w:r>
        <w:rPr>
          <w:rStyle w:val="FootnoteReference"/>
          <w:bCs/>
          <w:szCs w:val="22"/>
        </w:rPr>
        <w:footnoteReference w:id="118"/>
      </w:r>
      <w:r>
        <w:rPr>
          <w:bCs/>
          <w:szCs w:val="22"/>
        </w:rPr>
        <w:t>.</w:t>
      </w:r>
    </w:p>
    <w:p w:rsidR="00000000" w:rsidRDefault="00000000">
      <w:pPr>
        <w:spacing w:after="240"/>
        <w:rPr>
          <w:bCs/>
          <w:szCs w:val="22"/>
        </w:rPr>
      </w:pPr>
      <w:r>
        <w:rPr>
          <w:bCs/>
          <w:szCs w:val="22"/>
        </w:rPr>
        <w:t>171.</w:t>
      </w:r>
      <w:r>
        <w:rPr>
          <w:bCs/>
          <w:szCs w:val="22"/>
        </w:rPr>
        <w:tab/>
        <w:t>La nouvelle loi sur les étrangers prévoit un droit de changer de métier ou d’emploi sans autorisation préalable.</w:t>
      </w:r>
    </w:p>
    <w:p w:rsidR="00000000" w:rsidRDefault="00000000">
      <w:pPr>
        <w:keepNext/>
        <w:spacing w:after="240"/>
        <w:ind w:left="1134" w:hanging="567"/>
        <w:rPr>
          <w:b/>
          <w:bCs/>
          <w:szCs w:val="24"/>
        </w:rPr>
      </w:pPr>
      <w:proofErr w:type="spellStart"/>
      <w:r>
        <w:rPr>
          <w:b/>
          <w:bCs/>
          <w:i/>
          <w:iCs/>
          <w:szCs w:val="24"/>
        </w:rPr>
        <w:t>iii</w:t>
      </w:r>
      <w:proofErr w:type="spellEnd"/>
      <w:r>
        <w:rPr>
          <w:b/>
          <w:bCs/>
          <w:i/>
          <w:iCs/>
          <w:szCs w:val="24"/>
        </w:rPr>
        <w:t>)</w:t>
      </w:r>
      <w:r>
        <w:rPr>
          <w:b/>
          <w:bCs/>
          <w:i/>
          <w:iCs/>
          <w:szCs w:val="24"/>
        </w:rPr>
        <w:tab/>
        <w:t>Droit à des conditions de travail équitables et satisfaisantes</w:t>
      </w:r>
    </w:p>
    <w:p w:rsidR="00000000" w:rsidRDefault="00000000">
      <w:pPr>
        <w:spacing w:after="240"/>
        <w:rPr>
          <w:bCs/>
          <w:szCs w:val="22"/>
        </w:rPr>
      </w:pPr>
      <w:r>
        <w:rPr>
          <w:bCs/>
          <w:szCs w:val="22"/>
        </w:rPr>
        <w:t>172.</w:t>
      </w:r>
      <w:r>
        <w:rPr>
          <w:bCs/>
          <w:szCs w:val="22"/>
        </w:rPr>
        <w:tab/>
        <w:t xml:space="preserve">Outre le principe général de la </w:t>
      </w:r>
      <w:proofErr w:type="spellStart"/>
      <w:r>
        <w:rPr>
          <w:bCs/>
          <w:szCs w:val="22"/>
        </w:rPr>
        <w:t>non</w:t>
      </w:r>
      <w:r>
        <w:rPr>
          <w:bCs/>
          <w:szCs w:val="22"/>
        </w:rPr>
        <w:noBreakHyphen/>
        <w:t>discrimination</w:t>
      </w:r>
      <w:proofErr w:type="spellEnd"/>
      <w:r>
        <w:rPr>
          <w:bCs/>
          <w:szCs w:val="22"/>
        </w:rPr>
        <w:t xml:space="preserve"> en raison de la nationalité (art. 2, </w:t>
      </w:r>
      <w:proofErr w:type="spellStart"/>
      <w:r>
        <w:rPr>
          <w:bCs/>
          <w:szCs w:val="22"/>
        </w:rPr>
        <w:t>ALCP</w:t>
      </w:r>
      <w:proofErr w:type="spellEnd"/>
      <w:r>
        <w:rPr>
          <w:bCs/>
          <w:szCs w:val="22"/>
        </w:rPr>
        <w:t>), l’</w:t>
      </w:r>
      <w:proofErr w:type="spellStart"/>
      <w:r>
        <w:rPr>
          <w:bCs/>
          <w:szCs w:val="22"/>
        </w:rPr>
        <w:t>Accord</w:t>
      </w:r>
      <w:proofErr w:type="spellEnd"/>
      <w:r>
        <w:rPr>
          <w:bCs/>
          <w:szCs w:val="22"/>
        </w:rPr>
        <w:t xml:space="preserve"> sur la libre circulation des personnes régit, à son article 7, alinéa </w:t>
      </w:r>
      <w:r>
        <w:rPr>
          <w:bCs/>
          <w:i/>
          <w:szCs w:val="22"/>
        </w:rPr>
        <w:t>a</w:t>
      </w:r>
      <w:r>
        <w:rPr>
          <w:bCs/>
          <w:szCs w:val="22"/>
        </w:rPr>
        <w:t>, ainsi que dans son annexe I (art. 9), le droit à l’égalité de traitement avec les nationaux en ce qui concerne l’accès à une activité économique et son exercice, ainsi que les conditions de vie, d’emploi et de travail. L’interdiction de toute discrimination déploie un effet direct à l’égard des tiers étant donné que l’article 9, paragraphe 4, de l’</w:t>
      </w:r>
      <w:proofErr w:type="spellStart"/>
      <w:r>
        <w:rPr>
          <w:bCs/>
          <w:szCs w:val="22"/>
        </w:rPr>
        <w:t>ALCP</w:t>
      </w:r>
      <w:proofErr w:type="spellEnd"/>
      <w:r>
        <w:rPr>
          <w:bCs/>
          <w:szCs w:val="22"/>
        </w:rPr>
        <w:t xml:space="preserve"> (annexe I) déclare nulle toute clause de convention collective ou individuelle portant sur l’accès à l’emploi, la rémunération et les a</w:t>
      </w:r>
      <w:r>
        <w:rPr>
          <w:bCs/>
          <w:szCs w:val="22"/>
        </w:rPr>
        <w:t>u</w:t>
      </w:r>
      <w:r>
        <w:rPr>
          <w:bCs/>
          <w:szCs w:val="22"/>
        </w:rPr>
        <w:t>tres conditions de travail et de licenciement qui prévoit ou autorise des conditions discrimin</w:t>
      </w:r>
      <w:r>
        <w:rPr>
          <w:bCs/>
          <w:szCs w:val="22"/>
        </w:rPr>
        <w:t>a</w:t>
      </w:r>
      <w:r>
        <w:rPr>
          <w:bCs/>
          <w:szCs w:val="22"/>
        </w:rPr>
        <w:t>toires à l’égard des travailleurs ressortissants des Parties contractantes.</w:t>
      </w:r>
    </w:p>
    <w:p w:rsidR="00000000" w:rsidRDefault="00000000">
      <w:pPr>
        <w:spacing w:after="240"/>
        <w:rPr>
          <w:bCs/>
          <w:szCs w:val="22"/>
        </w:rPr>
      </w:pPr>
      <w:r>
        <w:rPr>
          <w:bCs/>
          <w:szCs w:val="22"/>
        </w:rPr>
        <w:t>173.</w:t>
      </w:r>
      <w:r>
        <w:rPr>
          <w:bCs/>
          <w:szCs w:val="22"/>
        </w:rPr>
        <w:tab/>
        <w:t>Aux fins d’écarter la menace du dumping social et salarial, la loi fédérale sur les cond</w:t>
      </w:r>
      <w:r>
        <w:rPr>
          <w:bCs/>
          <w:szCs w:val="22"/>
        </w:rPr>
        <w:t>i</w:t>
      </w:r>
      <w:r>
        <w:rPr>
          <w:bCs/>
          <w:szCs w:val="22"/>
        </w:rPr>
        <w:t>tions minimales de travail et de salaire applicables aux travailleurs détachés en Suisse et sur les mesures d’accompagnement a été adoptée en même temps que les accords bilat</w:t>
      </w:r>
      <w:r>
        <w:rPr>
          <w:bCs/>
          <w:szCs w:val="22"/>
        </w:rPr>
        <w:t>é</w:t>
      </w:r>
      <w:r>
        <w:rPr>
          <w:bCs/>
          <w:szCs w:val="22"/>
        </w:rPr>
        <w:t>raux</w:t>
      </w:r>
      <w:r>
        <w:rPr>
          <w:rStyle w:val="FootnoteReference"/>
          <w:bCs/>
          <w:szCs w:val="22"/>
        </w:rPr>
        <w:footnoteReference w:id="119"/>
      </w:r>
      <w:r>
        <w:rPr>
          <w:bCs/>
          <w:szCs w:val="22"/>
        </w:rPr>
        <w:t>.</w:t>
      </w:r>
    </w:p>
    <w:p w:rsidR="00000000" w:rsidRDefault="00000000">
      <w:pPr>
        <w:spacing w:after="240"/>
        <w:rPr>
          <w:bCs/>
          <w:szCs w:val="22"/>
        </w:rPr>
      </w:pPr>
      <w:r>
        <w:rPr>
          <w:bCs/>
          <w:szCs w:val="22"/>
        </w:rPr>
        <w:t>174.</w:t>
      </w:r>
      <w:r>
        <w:rPr>
          <w:bCs/>
          <w:szCs w:val="22"/>
        </w:rPr>
        <w:tab/>
        <w:t>Pour ce qui est des ressortissants de pays non membres de l’</w:t>
      </w:r>
      <w:proofErr w:type="spellStart"/>
      <w:r>
        <w:rPr>
          <w:bCs/>
          <w:szCs w:val="22"/>
        </w:rPr>
        <w:t>UE</w:t>
      </w:r>
      <w:proofErr w:type="spellEnd"/>
      <w:r>
        <w:rPr>
          <w:bCs/>
          <w:szCs w:val="22"/>
        </w:rPr>
        <w:t xml:space="preserve"> ou de l’</w:t>
      </w:r>
      <w:proofErr w:type="spellStart"/>
      <w:r>
        <w:rPr>
          <w:bCs/>
          <w:szCs w:val="22"/>
        </w:rPr>
        <w:t>AELE</w:t>
      </w:r>
      <w:proofErr w:type="spellEnd"/>
      <w:r>
        <w:rPr>
          <w:bCs/>
          <w:szCs w:val="22"/>
        </w:rPr>
        <w:t>, l’</w:t>
      </w:r>
      <w:proofErr w:type="spellStart"/>
      <w:r>
        <w:rPr>
          <w:bCs/>
          <w:szCs w:val="22"/>
        </w:rPr>
        <w:t>OLE</w:t>
      </w:r>
      <w:proofErr w:type="spellEnd"/>
      <w:r>
        <w:rPr>
          <w:bCs/>
          <w:szCs w:val="22"/>
        </w:rPr>
        <w:t xml:space="preserve"> prévoit qu’une autorisation ne peut être accordée que si l’employeur leur assure les m</w:t>
      </w:r>
      <w:r>
        <w:rPr>
          <w:bCs/>
          <w:szCs w:val="22"/>
        </w:rPr>
        <w:t>ê</w:t>
      </w:r>
      <w:r>
        <w:rPr>
          <w:bCs/>
          <w:szCs w:val="22"/>
        </w:rPr>
        <w:t>mes conditions de rémunération et de travail, en usage dans la localité et la profession, qu’il a</w:t>
      </w:r>
      <w:r>
        <w:rPr>
          <w:bCs/>
          <w:szCs w:val="22"/>
        </w:rPr>
        <w:t>c</w:t>
      </w:r>
      <w:r>
        <w:rPr>
          <w:bCs/>
          <w:szCs w:val="22"/>
        </w:rPr>
        <w:t>corde aux Suisses (art. 9, al. 1, OLE).</w:t>
      </w:r>
    </w:p>
    <w:p w:rsidR="00000000" w:rsidRDefault="00000000">
      <w:pPr>
        <w:keepNext/>
        <w:spacing w:after="240"/>
        <w:ind w:left="1134" w:hanging="567"/>
        <w:rPr>
          <w:b/>
          <w:bCs/>
        </w:rPr>
      </w:pPr>
      <w:proofErr w:type="spellStart"/>
      <w:r>
        <w:rPr>
          <w:b/>
          <w:bCs/>
          <w:i/>
          <w:iCs/>
        </w:rPr>
        <w:t>iv</w:t>
      </w:r>
      <w:proofErr w:type="spellEnd"/>
      <w:r>
        <w:rPr>
          <w:b/>
          <w:bCs/>
          <w:i/>
          <w:iCs/>
        </w:rPr>
        <w:t>)</w:t>
      </w:r>
      <w:r>
        <w:rPr>
          <w:b/>
          <w:bCs/>
          <w:i/>
          <w:iCs/>
        </w:rPr>
        <w:tab/>
        <w:t>Droit à un salaire égal pour un travail égal ainsi qu’à une rémunération équit</w:t>
      </w:r>
      <w:r>
        <w:rPr>
          <w:b/>
          <w:bCs/>
          <w:i/>
          <w:iCs/>
        </w:rPr>
        <w:t>a</w:t>
      </w:r>
      <w:r>
        <w:rPr>
          <w:b/>
          <w:bCs/>
          <w:i/>
          <w:iCs/>
        </w:rPr>
        <w:t>ble et satisfaisante</w:t>
      </w:r>
    </w:p>
    <w:p w:rsidR="00000000" w:rsidRDefault="00000000">
      <w:pPr>
        <w:spacing w:after="240"/>
        <w:rPr>
          <w:bCs/>
          <w:szCs w:val="22"/>
        </w:rPr>
      </w:pPr>
      <w:r>
        <w:rPr>
          <w:bCs/>
          <w:szCs w:val="22"/>
        </w:rPr>
        <w:t>175.</w:t>
      </w:r>
      <w:r>
        <w:rPr>
          <w:bCs/>
          <w:szCs w:val="22"/>
        </w:rPr>
        <w:tab/>
        <w:t xml:space="preserve">Nous renvoyons à ce propos au paragraphe 176 </w:t>
      </w:r>
      <w:proofErr w:type="spellStart"/>
      <w:r>
        <w:rPr>
          <w:bCs/>
          <w:szCs w:val="22"/>
        </w:rPr>
        <w:t>ci</w:t>
      </w:r>
      <w:r>
        <w:rPr>
          <w:bCs/>
          <w:szCs w:val="22"/>
        </w:rPr>
        <w:noBreakHyphen/>
        <w:t>dessous</w:t>
      </w:r>
      <w:proofErr w:type="spellEnd"/>
      <w:r>
        <w:rPr>
          <w:bCs/>
          <w:szCs w:val="22"/>
        </w:rPr>
        <w:t xml:space="preserve"> et ainsi qu’au rapport initial (</w:t>
      </w:r>
      <w:proofErr w:type="spellStart"/>
      <w:r>
        <w:rPr>
          <w:bCs/>
          <w:szCs w:val="22"/>
        </w:rPr>
        <w:t>CERD</w:t>
      </w:r>
      <w:proofErr w:type="spellEnd"/>
      <w:r>
        <w:rPr>
          <w:bCs/>
          <w:szCs w:val="22"/>
        </w:rPr>
        <w:t>/C/270/</w:t>
      </w:r>
      <w:proofErr w:type="spellStart"/>
      <w:r>
        <w:rPr>
          <w:bCs/>
          <w:szCs w:val="22"/>
        </w:rPr>
        <w:t>Add.1</w:t>
      </w:r>
      <w:proofErr w:type="spellEnd"/>
      <w:r>
        <w:rPr>
          <w:bCs/>
          <w:szCs w:val="22"/>
        </w:rPr>
        <w:t>, par. 157).</w:t>
      </w:r>
    </w:p>
    <w:p w:rsidR="00000000" w:rsidRDefault="00000000">
      <w:pPr>
        <w:spacing w:after="240"/>
        <w:rPr>
          <w:bCs/>
          <w:szCs w:val="22"/>
        </w:rPr>
      </w:pPr>
      <w:r>
        <w:rPr>
          <w:bCs/>
          <w:szCs w:val="22"/>
        </w:rPr>
        <w:t>176.</w:t>
      </w:r>
      <w:r>
        <w:rPr>
          <w:bCs/>
          <w:szCs w:val="22"/>
        </w:rPr>
        <w:tab/>
        <w:t>De nouveaux relevés statistiques ont révélé qu’en 2002 seul un tiers des étra</w:t>
      </w:r>
      <w:r>
        <w:rPr>
          <w:bCs/>
          <w:szCs w:val="22"/>
        </w:rPr>
        <w:t>n</w:t>
      </w:r>
      <w:r>
        <w:rPr>
          <w:bCs/>
          <w:szCs w:val="22"/>
        </w:rPr>
        <w:t>gers (34,5 %) contre plus de la moitié des Suisses (53,8 %) ont bénéficié d’un salaire mensuel s</w:t>
      </w:r>
      <w:r>
        <w:rPr>
          <w:bCs/>
          <w:szCs w:val="22"/>
        </w:rPr>
        <w:t>u</w:t>
      </w:r>
      <w:r>
        <w:rPr>
          <w:bCs/>
          <w:szCs w:val="22"/>
        </w:rPr>
        <w:t>périeur au salaire brut médian national de 5 417 francs suisses par mois. Si une partie de cet écart peut être expliquée par des différences de formation, d’expérience professionnelle, par les a</w:t>
      </w:r>
      <w:r>
        <w:rPr>
          <w:bCs/>
          <w:szCs w:val="22"/>
        </w:rPr>
        <w:t>n</w:t>
      </w:r>
      <w:r>
        <w:rPr>
          <w:bCs/>
          <w:szCs w:val="22"/>
        </w:rPr>
        <w:t>nées de service, la structure d’âge, ou les secteurs dans lesquels les travailleurs sont o</w:t>
      </w:r>
      <w:r>
        <w:rPr>
          <w:bCs/>
          <w:szCs w:val="22"/>
        </w:rPr>
        <w:t>c</w:t>
      </w:r>
      <w:r>
        <w:rPr>
          <w:bCs/>
          <w:szCs w:val="22"/>
        </w:rPr>
        <w:t>cupés, des études récentes ont montré que la raison principale de ces différe</w:t>
      </w:r>
      <w:r>
        <w:rPr>
          <w:bCs/>
          <w:szCs w:val="22"/>
        </w:rPr>
        <w:t>n</w:t>
      </w:r>
      <w:r>
        <w:rPr>
          <w:bCs/>
          <w:szCs w:val="22"/>
        </w:rPr>
        <w:t>ces était que les étrangers occupent plus des postes caractérisés par des tâches simples et répétitives dans des branches économiques à faible rémunération et qu’on les retrouve moins souvent dans les branches à forte rémunération à des postes exigeants convenant à des perso</w:t>
      </w:r>
      <w:r>
        <w:rPr>
          <w:bCs/>
          <w:szCs w:val="22"/>
        </w:rPr>
        <w:t>n</w:t>
      </w:r>
      <w:r>
        <w:rPr>
          <w:bCs/>
          <w:szCs w:val="22"/>
        </w:rPr>
        <w:t>nes hautement qualifiées. Cependant, à niveau d’exigence égal, on constate parfois dans certa</w:t>
      </w:r>
      <w:r>
        <w:rPr>
          <w:bCs/>
          <w:szCs w:val="22"/>
        </w:rPr>
        <w:t>i</w:t>
      </w:r>
      <w:r>
        <w:rPr>
          <w:bCs/>
          <w:szCs w:val="22"/>
        </w:rPr>
        <w:t>nes branches des disparités salariales importantes entre Suisses et étrangers, surtout lor</w:t>
      </w:r>
      <w:r>
        <w:rPr>
          <w:bCs/>
          <w:szCs w:val="22"/>
        </w:rPr>
        <w:t>s</w:t>
      </w:r>
      <w:r>
        <w:rPr>
          <w:bCs/>
          <w:szCs w:val="22"/>
        </w:rPr>
        <w:t xml:space="preserve">que </w:t>
      </w:r>
      <w:proofErr w:type="spellStart"/>
      <w:r>
        <w:rPr>
          <w:bCs/>
          <w:szCs w:val="22"/>
        </w:rPr>
        <w:t>ceux</w:t>
      </w:r>
      <w:r>
        <w:rPr>
          <w:bCs/>
          <w:szCs w:val="22"/>
        </w:rPr>
        <w:noBreakHyphen/>
        <w:t>ci</w:t>
      </w:r>
      <w:proofErr w:type="spellEnd"/>
      <w:r>
        <w:rPr>
          <w:bCs/>
          <w:szCs w:val="22"/>
        </w:rPr>
        <w:t xml:space="preserve"> ne bénéficient que d’une autorisation de courte durée</w:t>
      </w:r>
      <w:r>
        <w:rPr>
          <w:rStyle w:val="FootnoteReference"/>
          <w:bCs/>
          <w:szCs w:val="22"/>
        </w:rPr>
        <w:footnoteReference w:id="120"/>
      </w:r>
      <w:r>
        <w:rPr>
          <w:bCs/>
          <w:szCs w:val="22"/>
        </w:rPr>
        <w:t>.</w:t>
      </w:r>
    </w:p>
    <w:p w:rsidR="00000000" w:rsidRDefault="00000000">
      <w:pPr>
        <w:keepNext/>
        <w:spacing w:after="240"/>
        <w:rPr>
          <w:b/>
          <w:bCs/>
        </w:rPr>
      </w:pPr>
      <w:r>
        <w:rPr>
          <w:b/>
          <w:bCs/>
          <w:szCs w:val="24"/>
        </w:rPr>
        <w:tab/>
      </w:r>
      <w:r>
        <w:rPr>
          <w:b/>
          <w:bCs/>
          <w:i/>
          <w:iCs/>
          <w:szCs w:val="24"/>
        </w:rPr>
        <w:t>v)</w:t>
      </w:r>
      <w:r>
        <w:rPr>
          <w:b/>
          <w:bCs/>
          <w:i/>
          <w:iCs/>
          <w:szCs w:val="24"/>
        </w:rPr>
        <w:tab/>
        <w:t>Droit à la protection contre le chômage</w:t>
      </w:r>
    </w:p>
    <w:p w:rsidR="00000000" w:rsidRDefault="00000000">
      <w:pPr>
        <w:spacing w:after="240"/>
        <w:rPr>
          <w:bCs/>
          <w:szCs w:val="22"/>
        </w:rPr>
      </w:pPr>
      <w:r>
        <w:rPr>
          <w:bCs/>
          <w:szCs w:val="22"/>
        </w:rPr>
        <w:t>177.</w:t>
      </w:r>
      <w:r>
        <w:rPr>
          <w:bCs/>
          <w:szCs w:val="22"/>
        </w:rPr>
        <w:tab/>
        <w:t>Voir exposé figurant dans le rapport initial de la Suisse, toujours pertinent (</w:t>
      </w:r>
      <w:proofErr w:type="spellStart"/>
      <w:r>
        <w:rPr>
          <w:bCs/>
          <w:szCs w:val="22"/>
        </w:rPr>
        <w:t>CERD</w:t>
      </w:r>
      <w:proofErr w:type="spellEnd"/>
      <w:r>
        <w:rPr>
          <w:bCs/>
          <w:szCs w:val="22"/>
        </w:rPr>
        <w:t>/C/270/</w:t>
      </w:r>
      <w:proofErr w:type="spellStart"/>
      <w:r>
        <w:rPr>
          <w:bCs/>
          <w:szCs w:val="22"/>
        </w:rPr>
        <w:t>Add.1</w:t>
      </w:r>
      <w:proofErr w:type="spellEnd"/>
      <w:r>
        <w:rPr>
          <w:bCs/>
          <w:szCs w:val="22"/>
        </w:rPr>
        <w:t>, par. 158).</w:t>
      </w:r>
    </w:p>
    <w:p w:rsidR="00000000" w:rsidRDefault="00000000">
      <w:pPr>
        <w:keepNext/>
        <w:spacing w:after="240"/>
        <w:rPr>
          <w:b/>
          <w:bCs/>
        </w:rPr>
      </w:pPr>
      <w:bookmarkStart w:id="104" w:name="_Toc163552245"/>
      <w:r>
        <w:rPr>
          <w:b/>
          <w:bCs/>
          <w:i/>
          <w:iCs/>
        </w:rPr>
        <w:t>b)</w:t>
      </w:r>
      <w:r>
        <w:rPr>
          <w:b/>
          <w:bCs/>
          <w:i/>
          <w:iCs/>
        </w:rPr>
        <w:tab/>
        <w:t>Droits syndicaux</w:t>
      </w:r>
      <w:r>
        <w:rPr>
          <w:b/>
          <w:bCs/>
        </w:rPr>
        <w:t xml:space="preserve"> (art. 5, al. </w:t>
      </w:r>
      <w:r>
        <w:rPr>
          <w:b/>
          <w:bCs/>
          <w:i/>
          <w:iCs/>
        </w:rPr>
        <w:t>e</w:t>
      </w:r>
      <w:r>
        <w:rPr>
          <w:b/>
          <w:bCs/>
        </w:rPr>
        <w:t xml:space="preserve">, </w:t>
      </w:r>
      <w:proofErr w:type="spellStart"/>
      <w:r>
        <w:rPr>
          <w:b/>
          <w:bCs/>
        </w:rPr>
        <w:t>ii</w:t>
      </w:r>
      <w:proofErr w:type="spellEnd"/>
      <w:r>
        <w:rPr>
          <w:b/>
          <w:bCs/>
        </w:rPr>
        <w:t>)</w:t>
      </w:r>
      <w:bookmarkEnd w:id="104"/>
    </w:p>
    <w:p w:rsidR="00000000" w:rsidRDefault="00000000">
      <w:pPr>
        <w:keepNext/>
        <w:spacing w:after="240"/>
      </w:pPr>
      <w:r>
        <w:rPr>
          <w:b/>
          <w:bCs/>
        </w:rPr>
        <w:tab/>
      </w:r>
      <w:r>
        <w:rPr>
          <w:b/>
          <w:bCs/>
          <w:i/>
          <w:iCs/>
        </w:rPr>
        <w:t>i)</w:t>
      </w:r>
      <w:r>
        <w:rPr>
          <w:b/>
          <w:bCs/>
          <w:i/>
          <w:iCs/>
        </w:rPr>
        <w:tab/>
      </w:r>
      <w:r>
        <w:rPr>
          <w:b/>
          <w:bCs/>
          <w:i/>
          <w:iCs/>
          <w:szCs w:val="24"/>
        </w:rPr>
        <w:t>Droit de se syndiquer et droit de grève</w:t>
      </w:r>
    </w:p>
    <w:p w:rsidR="00000000" w:rsidRDefault="00000000">
      <w:pPr>
        <w:spacing w:after="240"/>
        <w:rPr>
          <w:bCs/>
          <w:szCs w:val="22"/>
        </w:rPr>
      </w:pPr>
      <w:r>
        <w:rPr>
          <w:bCs/>
          <w:szCs w:val="22"/>
        </w:rPr>
        <w:t>178.</w:t>
      </w:r>
      <w:r>
        <w:rPr>
          <w:bCs/>
          <w:szCs w:val="22"/>
        </w:rPr>
        <w:tab/>
        <w:t>Nous renvoyons ici à ce qui a été écrit dans le rapport initial (</w:t>
      </w:r>
      <w:proofErr w:type="spellStart"/>
      <w:r>
        <w:rPr>
          <w:bCs/>
          <w:szCs w:val="22"/>
        </w:rPr>
        <w:t>CERD</w:t>
      </w:r>
      <w:proofErr w:type="spellEnd"/>
      <w:r>
        <w:rPr>
          <w:bCs/>
          <w:szCs w:val="22"/>
        </w:rPr>
        <w:t>/C/270/</w:t>
      </w:r>
      <w:proofErr w:type="spellStart"/>
      <w:r>
        <w:rPr>
          <w:bCs/>
          <w:szCs w:val="22"/>
        </w:rPr>
        <w:t>Add.1</w:t>
      </w:r>
      <w:proofErr w:type="spellEnd"/>
      <w:r>
        <w:rPr>
          <w:bCs/>
          <w:szCs w:val="22"/>
        </w:rPr>
        <w:t>, par. 160 et suiv.) ainsi que dans les deuxième et troisième rapports périodiques (</w:t>
      </w:r>
      <w:proofErr w:type="spellStart"/>
      <w:r>
        <w:rPr>
          <w:bCs/>
          <w:szCs w:val="22"/>
        </w:rPr>
        <w:t>CERD</w:t>
      </w:r>
      <w:proofErr w:type="spellEnd"/>
      <w:r>
        <w:rPr>
          <w:bCs/>
          <w:szCs w:val="22"/>
        </w:rPr>
        <w:t>/C/351/</w:t>
      </w:r>
      <w:proofErr w:type="spellStart"/>
      <w:r>
        <w:rPr>
          <w:bCs/>
          <w:szCs w:val="22"/>
        </w:rPr>
        <w:t>Add.2</w:t>
      </w:r>
      <w:proofErr w:type="spellEnd"/>
      <w:r>
        <w:rPr>
          <w:bCs/>
          <w:szCs w:val="22"/>
        </w:rPr>
        <w:t>, par. 201 et 202).</w:t>
      </w:r>
    </w:p>
    <w:p w:rsidR="00000000" w:rsidRDefault="00000000">
      <w:pPr>
        <w:keepNext/>
        <w:spacing w:after="240"/>
        <w:rPr>
          <w:b/>
          <w:bCs/>
          <w:i/>
          <w:iCs/>
        </w:rPr>
      </w:pPr>
      <w:bookmarkStart w:id="105" w:name="_Toc163552246"/>
      <w:r>
        <w:rPr>
          <w:b/>
          <w:bCs/>
          <w:i/>
          <w:iCs/>
        </w:rPr>
        <w:t>c)</w:t>
      </w:r>
      <w:r>
        <w:rPr>
          <w:b/>
          <w:bCs/>
          <w:i/>
          <w:iCs/>
        </w:rPr>
        <w:tab/>
        <w:t xml:space="preserve">Droit au logement </w:t>
      </w:r>
      <w:r>
        <w:rPr>
          <w:b/>
          <w:bCs/>
        </w:rPr>
        <w:t xml:space="preserve">(art. 5, al. </w:t>
      </w:r>
      <w:r>
        <w:rPr>
          <w:b/>
          <w:bCs/>
          <w:i/>
          <w:iCs/>
        </w:rPr>
        <w:t>e</w:t>
      </w:r>
      <w:r>
        <w:rPr>
          <w:b/>
          <w:bCs/>
        </w:rPr>
        <w:t xml:space="preserve">, </w:t>
      </w:r>
      <w:proofErr w:type="spellStart"/>
      <w:r>
        <w:rPr>
          <w:b/>
          <w:bCs/>
        </w:rPr>
        <w:t>iii</w:t>
      </w:r>
      <w:proofErr w:type="spellEnd"/>
      <w:r>
        <w:rPr>
          <w:b/>
          <w:bCs/>
        </w:rPr>
        <w:t>))</w:t>
      </w:r>
      <w:bookmarkEnd w:id="105"/>
    </w:p>
    <w:p w:rsidR="00000000" w:rsidRDefault="00000000">
      <w:pPr>
        <w:spacing w:after="240"/>
        <w:rPr>
          <w:bCs/>
          <w:szCs w:val="22"/>
        </w:rPr>
      </w:pPr>
      <w:r>
        <w:rPr>
          <w:bCs/>
          <w:szCs w:val="22"/>
        </w:rPr>
        <w:t>179.</w:t>
      </w:r>
      <w:r>
        <w:rPr>
          <w:bCs/>
          <w:szCs w:val="22"/>
        </w:rPr>
        <w:tab/>
        <w:t>Dans le contexte du recensement 2000, l’</w:t>
      </w:r>
      <w:proofErr w:type="spellStart"/>
      <w:r>
        <w:rPr>
          <w:bCs/>
          <w:szCs w:val="22"/>
        </w:rPr>
        <w:t>Office</w:t>
      </w:r>
      <w:proofErr w:type="spellEnd"/>
      <w:r>
        <w:rPr>
          <w:bCs/>
          <w:szCs w:val="22"/>
        </w:rPr>
        <w:t xml:space="preserve"> fédéral de la statistique a réuni des données sur les conditions de logement en Suisse. Depuis 1990, la proportion des pe</w:t>
      </w:r>
      <w:r>
        <w:rPr>
          <w:bCs/>
          <w:szCs w:val="22"/>
        </w:rPr>
        <w:t>r</w:t>
      </w:r>
      <w:r>
        <w:rPr>
          <w:bCs/>
          <w:szCs w:val="22"/>
        </w:rPr>
        <w:t>sonnes propriétaires de leur logement a passé de 31,3 % à 34,6 %. Seuls 10 % des étrangers sont pr</w:t>
      </w:r>
      <w:r>
        <w:rPr>
          <w:bCs/>
          <w:szCs w:val="22"/>
        </w:rPr>
        <w:t>o</w:t>
      </w:r>
      <w:r>
        <w:rPr>
          <w:bCs/>
          <w:szCs w:val="22"/>
        </w:rPr>
        <w:t>priétaires de leur logement en Suisse, ce qui s’explique, entre autres, par leur souhait de rentrer au pays un jour ou l’autre ou par la précarité de leur statut en Suisse</w:t>
      </w:r>
      <w:r>
        <w:rPr>
          <w:rStyle w:val="FootnoteReference"/>
          <w:bCs/>
          <w:szCs w:val="22"/>
        </w:rPr>
        <w:footnoteReference w:id="121"/>
      </w:r>
      <w:r>
        <w:rPr>
          <w:bCs/>
          <w:szCs w:val="22"/>
        </w:rPr>
        <w:t>. Si 64 % des Suisses sont locataires, cette proportion est beaucoup plus élevée chez les étrangers, pui</w:t>
      </w:r>
      <w:r>
        <w:rPr>
          <w:bCs/>
          <w:szCs w:val="22"/>
        </w:rPr>
        <w:t>s</w:t>
      </w:r>
      <w:r>
        <w:rPr>
          <w:bCs/>
          <w:szCs w:val="22"/>
        </w:rPr>
        <w:t>qu’elle atteint 91 %</w:t>
      </w:r>
      <w:r>
        <w:rPr>
          <w:rStyle w:val="FootnoteReference"/>
          <w:bCs/>
          <w:szCs w:val="22"/>
        </w:rPr>
        <w:footnoteReference w:id="122"/>
      </w:r>
      <w:r>
        <w:rPr>
          <w:bCs/>
          <w:szCs w:val="22"/>
        </w:rPr>
        <w:t>. Moins de 40 % des ménages suisses vivent dans un immeuble de trois unités ou plus. Chez les familles étrangères, ce taux est de 80 %.</w:t>
      </w:r>
    </w:p>
    <w:p w:rsidR="00000000" w:rsidRDefault="00000000">
      <w:pPr>
        <w:spacing w:after="240"/>
        <w:rPr>
          <w:bCs/>
          <w:szCs w:val="22"/>
        </w:rPr>
      </w:pPr>
      <w:r>
        <w:rPr>
          <w:bCs/>
          <w:szCs w:val="22"/>
        </w:rPr>
        <w:t>180.</w:t>
      </w:r>
      <w:r>
        <w:rPr>
          <w:bCs/>
          <w:szCs w:val="22"/>
        </w:rPr>
        <w:tab/>
        <w:t>Les logements sont devenus un bien rare, notamment dans les centres urbains et leurs agglomérations. Les loueurs se permettent donc de sélectionner leurs locataires selon des critères tels que le nom, la maîtrise de la langue ou l’autorisation de séjour. Les étra</w:t>
      </w:r>
      <w:r>
        <w:rPr>
          <w:bCs/>
          <w:szCs w:val="22"/>
        </w:rPr>
        <w:t>n</w:t>
      </w:r>
      <w:r>
        <w:rPr>
          <w:bCs/>
          <w:szCs w:val="22"/>
        </w:rPr>
        <w:t>gers ont donc souvent de la peine à trouver un logement et doivent se rabattre sur des o</w:t>
      </w:r>
      <w:r>
        <w:rPr>
          <w:bCs/>
          <w:szCs w:val="22"/>
        </w:rPr>
        <w:t>b</w:t>
      </w:r>
      <w:r>
        <w:rPr>
          <w:bCs/>
          <w:szCs w:val="22"/>
        </w:rPr>
        <w:t>jets peu avantageux offrant un mauvais rapport qualité/prix. Comme ils ne connaissent gén</w:t>
      </w:r>
      <w:r>
        <w:rPr>
          <w:bCs/>
          <w:szCs w:val="22"/>
        </w:rPr>
        <w:t>é</w:t>
      </w:r>
      <w:r>
        <w:rPr>
          <w:bCs/>
          <w:szCs w:val="22"/>
        </w:rPr>
        <w:t>ralement pas le droit de bail suisse, ils sont mal placés pour se défendre contre les préjudices et l’injustice.</w:t>
      </w:r>
    </w:p>
    <w:p w:rsidR="00000000" w:rsidRDefault="00000000">
      <w:pPr>
        <w:spacing w:after="240"/>
        <w:rPr>
          <w:bCs/>
          <w:szCs w:val="22"/>
        </w:rPr>
      </w:pPr>
      <w:r>
        <w:rPr>
          <w:bCs/>
          <w:szCs w:val="22"/>
        </w:rPr>
        <w:t>181.</w:t>
      </w:r>
      <w:r>
        <w:rPr>
          <w:bCs/>
          <w:szCs w:val="22"/>
        </w:rPr>
        <w:tab/>
        <w:t>Consciente du problème, l’</w:t>
      </w:r>
      <w:proofErr w:type="spellStart"/>
      <w:r>
        <w:rPr>
          <w:bCs/>
          <w:szCs w:val="22"/>
        </w:rPr>
        <w:t>Association</w:t>
      </w:r>
      <w:proofErr w:type="spellEnd"/>
      <w:r>
        <w:rPr>
          <w:bCs/>
          <w:szCs w:val="22"/>
        </w:rPr>
        <w:t xml:space="preserve"> suisse des locataires a lancé le projet «Ég</w:t>
      </w:r>
      <w:r>
        <w:rPr>
          <w:bCs/>
          <w:szCs w:val="22"/>
        </w:rPr>
        <w:t>a</w:t>
      </w:r>
      <w:r>
        <w:rPr>
          <w:bCs/>
          <w:szCs w:val="22"/>
        </w:rPr>
        <w:t>lité des chances (aussi) dans le droit du bail à loyer»: des modules relatifs au droit de bail sont combinés avec des cours de langue et d’intégration, formule qui rencontre un grand succès auprès des participants et qui contribue à la prévention des conflits dans le domaine du droit de bail à loyer</w:t>
      </w:r>
      <w:r>
        <w:rPr>
          <w:rStyle w:val="FootnoteReference"/>
          <w:bCs/>
          <w:szCs w:val="22"/>
        </w:rPr>
        <w:footnoteReference w:id="123"/>
      </w:r>
      <w:r>
        <w:rPr>
          <w:bCs/>
          <w:szCs w:val="22"/>
        </w:rPr>
        <w:t>.</w:t>
      </w:r>
    </w:p>
    <w:p w:rsidR="00000000" w:rsidRDefault="00000000">
      <w:pPr>
        <w:spacing w:after="240"/>
        <w:rPr>
          <w:b/>
          <w:bCs/>
          <w:szCs w:val="22"/>
        </w:rPr>
      </w:pPr>
      <w:r>
        <w:rPr>
          <w:bCs/>
          <w:szCs w:val="22"/>
        </w:rPr>
        <w:t>182.</w:t>
      </w:r>
      <w:r>
        <w:rPr>
          <w:bCs/>
          <w:szCs w:val="22"/>
        </w:rPr>
        <w:tab/>
        <w:t>La Commission fédérale des étrangers (</w:t>
      </w:r>
      <w:proofErr w:type="spellStart"/>
      <w:r>
        <w:rPr>
          <w:bCs/>
          <w:szCs w:val="22"/>
        </w:rPr>
        <w:t>CFE</w:t>
      </w:r>
      <w:proofErr w:type="spellEnd"/>
      <w:r>
        <w:rPr>
          <w:bCs/>
          <w:szCs w:val="22"/>
        </w:rPr>
        <w:t>), qui s’occupe de questions d’intégration ainsi que de cohabitation entre les populations suisse et étrangère, a en 2004 mis l’accent essentiellement sur le thème «Intégration et habitat−logement, politique de l’habitat et am</w:t>
      </w:r>
      <w:r>
        <w:rPr>
          <w:bCs/>
          <w:szCs w:val="22"/>
        </w:rPr>
        <w:t>é</w:t>
      </w:r>
      <w:r>
        <w:rPr>
          <w:bCs/>
          <w:szCs w:val="22"/>
        </w:rPr>
        <w:t>nagement du territoire». À la suite de ses recherches et de ses discussions avec divers a</w:t>
      </w:r>
      <w:r>
        <w:rPr>
          <w:bCs/>
          <w:szCs w:val="22"/>
        </w:rPr>
        <w:t>c</w:t>
      </w:r>
      <w:r>
        <w:rPr>
          <w:bCs/>
          <w:szCs w:val="22"/>
        </w:rPr>
        <w:t xml:space="preserve">teurs œuvrant dans le domaine de l’habitat et de la politique de l’habitat, la </w:t>
      </w:r>
      <w:proofErr w:type="spellStart"/>
      <w:r>
        <w:rPr>
          <w:bCs/>
          <w:szCs w:val="22"/>
        </w:rPr>
        <w:t>CFE</w:t>
      </w:r>
      <w:proofErr w:type="spellEnd"/>
      <w:r>
        <w:rPr>
          <w:bCs/>
          <w:szCs w:val="22"/>
        </w:rPr>
        <w:t xml:space="preserve"> a formulé diverses recommandations. Entre autres, elle s’est prononcée en faveur de l’égalité des chances face au marché du logement, indépendamment de la nationalité et du statut de s</w:t>
      </w:r>
      <w:r>
        <w:rPr>
          <w:bCs/>
          <w:szCs w:val="22"/>
        </w:rPr>
        <w:t>é</w:t>
      </w:r>
      <w:r>
        <w:rPr>
          <w:bCs/>
          <w:szCs w:val="22"/>
        </w:rPr>
        <w:t>jour des intéressés, et invite les loueurs, les régies immobilières ainsi que les propriétaires d’immeubles à renoncer à toute attitude ou pratique discriminatoire au profit de mesures de promotion de l’intégration</w:t>
      </w:r>
      <w:r>
        <w:rPr>
          <w:rStyle w:val="FootnoteReference"/>
          <w:bCs/>
          <w:szCs w:val="22"/>
        </w:rPr>
        <w:footnoteReference w:id="124"/>
      </w:r>
      <w:r>
        <w:rPr>
          <w:bCs/>
          <w:szCs w:val="22"/>
        </w:rPr>
        <w:t>.</w:t>
      </w:r>
    </w:p>
    <w:p w:rsidR="00000000" w:rsidRDefault="00000000">
      <w:pPr>
        <w:spacing w:after="240"/>
        <w:rPr>
          <w:b/>
          <w:bCs/>
          <w:szCs w:val="22"/>
        </w:rPr>
      </w:pPr>
      <w:r>
        <w:rPr>
          <w:bCs/>
          <w:szCs w:val="22"/>
        </w:rPr>
        <w:t>183.</w:t>
      </w:r>
      <w:r>
        <w:rPr>
          <w:bCs/>
          <w:szCs w:val="22"/>
        </w:rPr>
        <w:tab/>
        <w:t xml:space="preserve">Comme nous l’avions déjà relevé dans le rapport initial, la conclusion de contrats de bail à loyer relève de l’autonomie contractuelle, ce qui signifie que chacun est libre d’y consentir ou non (voir </w:t>
      </w:r>
      <w:r>
        <w:rPr>
          <w:bCs/>
          <w:i/>
          <w:iCs/>
          <w:szCs w:val="22"/>
        </w:rPr>
        <w:t>infra</w:t>
      </w:r>
      <w:r>
        <w:rPr>
          <w:bCs/>
          <w:szCs w:val="22"/>
        </w:rPr>
        <w:t>,</w:t>
      </w:r>
      <w:r>
        <w:rPr>
          <w:bCs/>
          <w:i/>
          <w:iCs/>
          <w:szCs w:val="22"/>
        </w:rPr>
        <w:t xml:space="preserve"> </w:t>
      </w:r>
      <w:r>
        <w:rPr>
          <w:bCs/>
          <w:szCs w:val="22"/>
        </w:rPr>
        <w:t xml:space="preserve">par. 326 à 329, et </w:t>
      </w:r>
      <w:proofErr w:type="spellStart"/>
      <w:r>
        <w:rPr>
          <w:bCs/>
          <w:szCs w:val="22"/>
        </w:rPr>
        <w:t>CERD</w:t>
      </w:r>
      <w:proofErr w:type="spellEnd"/>
      <w:r>
        <w:rPr>
          <w:bCs/>
          <w:szCs w:val="22"/>
        </w:rPr>
        <w:t>/C/270/</w:t>
      </w:r>
      <w:proofErr w:type="spellStart"/>
      <w:r>
        <w:rPr>
          <w:bCs/>
          <w:szCs w:val="22"/>
        </w:rPr>
        <w:t>Add.1</w:t>
      </w:r>
      <w:proofErr w:type="spellEnd"/>
      <w:r>
        <w:rPr>
          <w:bCs/>
          <w:szCs w:val="22"/>
        </w:rPr>
        <w:t>, par. 162 et suiv.).</w:t>
      </w:r>
    </w:p>
    <w:p w:rsidR="00000000" w:rsidRDefault="00000000">
      <w:pPr>
        <w:keepNext/>
        <w:spacing w:after="240"/>
        <w:rPr>
          <w:b/>
          <w:bCs/>
          <w:i/>
          <w:iCs/>
        </w:rPr>
      </w:pPr>
      <w:bookmarkStart w:id="106" w:name="_Toc163552247"/>
      <w:r>
        <w:rPr>
          <w:b/>
          <w:bCs/>
          <w:i/>
          <w:iCs/>
        </w:rPr>
        <w:t>d)</w:t>
      </w:r>
      <w:r>
        <w:rPr>
          <w:b/>
          <w:bCs/>
          <w:i/>
          <w:iCs/>
        </w:rPr>
        <w:tab/>
        <w:t>Droit aux soins médicaux publics et à la sécurité sociale</w:t>
      </w:r>
      <w:r>
        <w:rPr>
          <w:b/>
          <w:bCs/>
        </w:rPr>
        <w:t xml:space="preserve"> (art. 5, al. </w:t>
      </w:r>
      <w:r>
        <w:rPr>
          <w:b/>
          <w:bCs/>
          <w:i/>
          <w:iCs/>
        </w:rPr>
        <w:t>e</w:t>
      </w:r>
      <w:r>
        <w:rPr>
          <w:b/>
          <w:bCs/>
        </w:rPr>
        <w:t xml:space="preserve">, </w:t>
      </w:r>
      <w:proofErr w:type="spellStart"/>
      <w:r>
        <w:rPr>
          <w:b/>
          <w:bCs/>
        </w:rPr>
        <w:t>iv</w:t>
      </w:r>
      <w:proofErr w:type="spellEnd"/>
      <w:r>
        <w:rPr>
          <w:b/>
          <w:bCs/>
        </w:rPr>
        <w:t>)</w:t>
      </w:r>
      <w:bookmarkEnd w:id="106"/>
      <w:r>
        <w:rPr>
          <w:b/>
          <w:bCs/>
        </w:rPr>
        <w:t>)</w:t>
      </w:r>
    </w:p>
    <w:p w:rsidR="00000000" w:rsidRDefault="00000000">
      <w:pPr>
        <w:keepNext/>
        <w:spacing w:after="240"/>
        <w:ind w:firstLine="567"/>
      </w:pPr>
      <w:r>
        <w:rPr>
          <w:b/>
          <w:bCs/>
          <w:i/>
          <w:iCs/>
        </w:rPr>
        <w:t>i)</w:t>
      </w:r>
      <w:r>
        <w:rPr>
          <w:b/>
          <w:bCs/>
          <w:i/>
          <w:iCs/>
        </w:rPr>
        <w:tab/>
      </w:r>
      <w:r>
        <w:rPr>
          <w:b/>
          <w:bCs/>
          <w:i/>
          <w:iCs/>
          <w:szCs w:val="24"/>
        </w:rPr>
        <w:t>Droit aux soins médicaux publics et au suivi médical</w:t>
      </w:r>
    </w:p>
    <w:p w:rsidR="00000000" w:rsidRDefault="00000000">
      <w:pPr>
        <w:spacing w:after="240"/>
        <w:rPr>
          <w:bCs/>
          <w:szCs w:val="22"/>
        </w:rPr>
      </w:pPr>
      <w:r>
        <w:rPr>
          <w:bCs/>
          <w:szCs w:val="22"/>
        </w:rPr>
        <w:t>184.</w:t>
      </w:r>
      <w:r>
        <w:rPr>
          <w:bCs/>
          <w:szCs w:val="22"/>
        </w:rPr>
        <w:tab/>
        <w:t xml:space="preserve">Dans les buts sociaux énoncés dans la Constitution fédérale, il est précisé à l’article 41, paragraphe 1, alinéa </w:t>
      </w:r>
      <w:r>
        <w:rPr>
          <w:bCs/>
          <w:i/>
          <w:iCs/>
          <w:szCs w:val="22"/>
        </w:rPr>
        <w:t>b</w:t>
      </w:r>
      <w:r>
        <w:rPr>
          <w:bCs/>
          <w:szCs w:val="22"/>
        </w:rPr>
        <w:t>, que la Confédération et les cantons s’engagent à ce que toute personne bénéficie des soins néce</w:t>
      </w:r>
      <w:r>
        <w:rPr>
          <w:bCs/>
          <w:szCs w:val="22"/>
        </w:rPr>
        <w:t>s</w:t>
      </w:r>
      <w:r>
        <w:rPr>
          <w:bCs/>
          <w:szCs w:val="22"/>
        </w:rPr>
        <w:t>saires à sa santé. Le droit d’obtenir de l’aide dans des situations de d</w:t>
      </w:r>
      <w:r>
        <w:rPr>
          <w:bCs/>
          <w:szCs w:val="22"/>
        </w:rPr>
        <w:t>é</w:t>
      </w:r>
      <w:r>
        <w:rPr>
          <w:bCs/>
          <w:szCs w:val="22"/>
        </w:rPr>
        <w:t xml:space="preserve">tresse (art. 12, </w:t>
      </w:r>
      <w:proofErr w:type="spellStart"/>
      <w:r>
        <w:rPr>
          <w:bCs/>
          <w:szCs w:val="22"/>
        </w:rPr>
        <w:t>Cst</w:t>
      </w:r>
      <w:proofErr w:type="spellEnd"/>
      <w:r>
        <w:rPr>
          <w:bCs/>
          <w:szCs w:val="22"/>
        </w:rPr>
        <w:t>. féd.) implique, entre autres, un droit d’accès aux soins médicaux de base qui soit le même pour tous, sans discrimination aucune</w:t>
      </w:r>
      <w:r>
        <w:rPr>
          <w:rStyle w:val="FootnoteReference"/>
          <w:bCs/>
          <w:szCs w:val="22"/>
        </w:rPr>
        <w:footnoteReference w:id="125"/>
      </w:r>
      <w:r>
        <w:rPr>
          <w:bCs/>
          <w:szCs w:val="22"/>
        </w:rPr>
        <w:t xml:space="preserve"> .</w:t>
      </w:r>
    </w:p>
    <w:p w:rsidR="00000000" w:rsidRDefault="00000000">
      <w:pPr>
        <w:spacing w:after="240"/>
        <w:rPr>
          <w:bCs/>
          <w:szCs w:val="22"/>
        </w:rPr>
      </w:pPr>
      <w:r>
        <w:rPr>
          <w:bCs/>
          <w:szCs w:val="22"/>
        </w:rPr>
        <w:t>185.</w:t>
      </w:r>
      <w:r>
        <w:rPr>
          <w:bCs/>
          <w:szCs w:val="22"/>
        </w:rPr>
        <w:tab/>
        <w:t>Selon la loi fédérale sur l’assurance maladie (</w:t>
      </w:r>
      <w:proofErr w:type="spellStart"/>
      <w:r>
        <w:rPr>
          <w:bCs/>
          <w:szCs w:val="22"/>
        </w:rPr>
        <w:t>LAMal</w:t>
      </w:r>
      <w:proofErr w:type="spellEnd"/>
      <w:r>
        <w:rPr>
          <w:bCs/>
          <w:szCs w:val="22"/>
        </w:rPr>
        <w:t>), l’assurance de base est oblig</w:t>
      </w:r>
      <w:r>
        <w:rPr>
          <w:bCs/>
          <w:szCs w:val="22"/>
        </w:rPr>
        <w:t>a</w:t>
      </w:r>
      <w:r>
        <w:rPr>
          <w:bCs/>
          <w:szCs w:val="22"/>
        </w:rPr>
        <w:t>toire pour toutes les personnes domiciliées en Suisse et a pour but de garantir des soins à tous ceux qui en ont besoin. Tombent aussi sous le coup de ce régime obligatoire les requ</w:t>
      </w:r>
      <w:r>
        <w:rPr>
          <w:bCs/>
          <w:szCs w:val="22"/>
        </w:rPr>
        <w:t>é</w:t>
      </w:r>
      <w:r>
        <w:rPr>
          <w:bCs/>
          <w:szCs w:val="22"/>
        </w:rPr>
        <w:t>rants d’asile, les personnes admises à titre provisoire ou pour des raisons humanitaires, de même que les personnes à protéger qui n’ont pas d’autorisation de séjour</w:t>
      </w:r>
      <w:r>
        <w:rPr>
          <w:rStyle w:val="FootnoteReference"/>
          <w:bCs/>
          <w:szCs w:val="22"/>
        </w:rPr>
        <w:footnoteReference w:id="126"/>
      </w:r>
      <w:r>
        <w:rPr>
          <w:bCs/>
          <w:szCs w:val="22"/>
        </w:rPr>
        <w:t>. Une caisse maladie n’a pas le droit de refuser l’assurance de base à quelqu’un ou de résilier l’assurance de base de l’un de ses membres. Il est précisé dans la circulaire de l’</w:t>
      </w:r>
      <w:proofErr w:type="spellStart"/>
      <w:r>
        <w:rPr>
          <w:bCs/>
          <w:szCs w:val="22"/>
        </w:rPr>
        <w:t>Office</w:t>
      </w:r>
      <w:proofErr w:type="spellEnd"/>
      <w:r>
        <w:rPr>
          <w:bCs/>
          <w:szCs w:val="22"/>
        </w:rPr>
        <w:t xml:space="preserve"> fédéral des ass</w:t>
      </w:r>
      <w:r>
        <w:rPr>
          <w:bCs/>
          <w:szCs w:val="22"/>
        </w:rPr>
        <w:t>u</w:t>
      </w:r>
      <w:r>
        <w:rPr>
          <w:bCs/>
          <w:szCs w:val="22"/>
        </w:rPr>
        <w:t xml:space="preserve">rances sociales que les assurances maladie ont aussi l’obligation d’assurer tant les </w:t>
      </w:r>
      <w:proofErr w:type="spellStart"/>
      <w:r>
        <w:rPr>
          <w:bCs/>
          <w:szCs w:val="22"/>
        </w:rPr>
        <w:t>sans</w:t>
      </w:r>
      <w:r>
        <w:rPr>
          <w:bCs/>
          <w:szCs w:val="22"/>
        </w:rPr>
        <w:noBreakHyphen/>
        <w:t>papiers</w:t>
      </w:r>
      <w:proofErr w:type="spellEnd"/>
      <w:r>
        <w:rPr>
          <w:bCs/>
          <w:szCs w:val="22"/>
        </w:rPr>
        <w:t xml:space="preserve"> que les personnes ayant fait l’objet d’une décision de </w:t>
      </w:r>
      <w:proofErr w:type="spellStart"/>
      <w:r>
        <w:rPr>
          <w:bCs/>
          <w:szCs w:val="22"/>
        </w:rPr>
        <w:t>non</w:t>
      </w:r>
      <w:r>
        <w:rPr>
          <w:bCs/>
          <w:szCs w:val="22"/>
        </w:rPr>
        <w:noBreakHyphen/>
        <w:t>entrée</w:t>
      </w:r>
      <w:proofErr w:type="spellEnd"/>
      <w:r>
        <w:rPr>
          <w:bCs/>
          <w:szCs w:val="22"/>
        </w:rPr>
        <w:t xml:space="preserve"> en matière</w:t>
      </w:r>
      <w:r>
        <w:rPr>
          <w:rStyle w:val="FootnoteReference"/>
          <w:bCs/>
          <w:szCs w:val="22"/>
        </w:rPr>
        <w:footnoteReference w:id="127"/>
      </w:r>
      <w:r>
        <w:rPr>
          <w:bCs/>
          <w:szCs w:val="22"/>
        </w:rPr>
        <w:t>.</w:t>
      </w:r>
    </w:p>
    <w:p w:rsidR="00000000" w:rsidRDefault="00000000">
      <w:pPr>
        <w:spacing w:after="240"/>
        <w:rPr>
          <w:bCs/>
          <w:szCs w:val="22"/>
        </w:rPr>
      </w:pPr>
      <w:r>
        <w:rPr>
          <w:bCs/>
          <w:szCs w:val="22"/>
        </w:rPr>
        <w:t>186.</w:t>
      </w:r>
      <w:r>
        <w:rPr>
          <w:bCs/>
          <w:szCs w:val="22"/>
        </w:rPr>
        <w:tab/>
        <w:t>Aux fins d’enrayer les coûts de la santé dans le domaine de l’asile, le projet de rév</w:t>
      </w:r>
      <w:r>
        <w:rPr>
          <w:bCs/>
          <w:szCs w:val="22"/>
        </w:rPr>
        <w:t>i</w:t>
      </w:r>
      <w:r>
        <w:rPr>
          <w:bCs/>
          <w:szCs w:val="22"/>
        </w:rPr>
        <w:t xml:space="preserve">sion de la loi sur l’asile prévoit d’exclure les requérants d’asile de l’effectif déterminant pour la compensation des risques. Cela présuppose une modification de la </w:t>
      </w:r>
      <w:proofErr w:type="spellStart"/>
      <w:r>
        <w:rPr>
          <w:bCs/>
          <w:szCs w:val="22"/>
        </w:rPr>
        <w:t>LAMal</w:t>
      </w:r>
      <w:proofErr w:type="spellEnd"/>
      <w:r>
        <w:rPr>
          <w:bCs/>
          <w:szCs w:val="22"/>
        </w:rPr>
        <w:t>. Il est en outre prévu de modifier la loi sur l’asile de sorte que les requérants d’asile bénéficiant de l’aide s</w:t>
      </w:r>
      <w:r>
        <w:rPr>
          <w:bCs/>
          <w:szCs w:val="22"/>
        </w:rPr>
        <w:t>o</w:t>
      </w:r>
      <w:r>
        <w:rPr>
          <w:bCs/>
          <w:szCs w:val="22"/>
        </w:rPr>
        <w:t>ciale puissent être restreints dans le choix de leur assureur et de leur fournisseur de prest</w:t>
      </w:r>
      <w:r>
        <w:rPr>
          <w:bCs/>
          <w:szCs w:val="22"/>
        </w:rPr>
        <w:t>a</w:t>
      </w:r>
      <w:r>
        <w:rPr>
          <w:bCs/>
          <w:szCs w:val="22"/>
        </w:rPr>
        <w:t>tions.</w:t>
      </w:r>
    </w:p>
    <w:p w:rsidR="00000000" w:rsidRDefault="00000000">
      <w:pPr>
        <w:keepNext/>
        <w:spacing w:after="240"/>
        <w:ind w:firstLine="567"/>
        <w:rPr>
          <w:b/>
          <w:bCs/>
          <w:szCs w:val="24"/>
        </w:rPr>
      </w:pPr>
      <w:proofErr w:type="spellStart"/>
      <w:r>
        <w:rPr>
          <w:b/>
          <w:bCs/>
          <w:i/>
          <w:iCs/>
          <w:szCs w:val="24"/>
        </w:rPr>
        <w:t>ii</w:t>
      </w:r>
      <w:proofErr w:type="spellEnd"/>
      <w:r>
        <w:rPr>
          <w:b/>
          <w:bCs/>
          <w:i/>
          <w:iCs/>
          <w:szCs w:val="24"/>
        </w:rPr>
        <w:t>)</w:t>
      </w:r>
      <w:r>
        <w:rPr>
          <w:b/>
          <w:bCs/>
          <w:i/>
          <w:iCs/>
          <w:szCs w:val="24"/>
        </w:rPr>
        <w:tab/>
        <w:t>Droit à la sécurité sociale et aux services sociaux</w:t>
      </w:r>
    </w:p>
    <w:p w:rsidR="00000000" w:rsidRDefault="00000000">
      <w:pPr>
        <w:spacing w:after="240"/>
        <w:rPr>
          <w:bCs/>
          <w:szCs w:val="22"/>
        </w:rPr>
      </w:pPr>
      <w:r>
        <w:rPr>
          <w:bCs/>
          <w:szCs w:val="22"/>
        </w:rPr>
        <w:t>187.</w:t>
      </w:r>
      <w:r>
        <w:rPr>
          <w:bCs/>
          <w:szCs w:val="22"/>
        </w:rPr>
        <w:tab/>
        <w:t>Pour ce qui est de l’</w:t>
      </w:r>
      <w:proofErr w:type="spellStart"/>
      <w:r>
        <w:rPr>
          <w:bCs/>
          <w:szCs w:val="22"/>
        </w:rPr>
        <w:t>AVS</w:t>
      </w:r>
      <w:proofErr w:type="spellEnd"/>
      <w:r>
        <w:rPr>
          <w:bCs/>
          <w:szCs w:val="22"/>
        </w:rPr>
        <w:t>/AI, nous renvoyons au développement − toujours valable − qui se trouve dans les deuxième et troisième rapports périodiques (</w:t>
      </w:r>
      <w:proofErr w:type="spellStart"/>
      <w:r>
        <w:rPr>
          <w:bCs/>
          <w:szCs w:val="22"/>
        </w:rPr>
        <w:t>CERD</w:t>
      </w:r>
      <w:proofErr w:type="spellEnd"/>
      <w:r>
        <w:rPr>
          <w:bCs/>
          <w:szCs w:val="22"/>
        </w:rPr>
        <w:t>/C/351/</w:t>
      </w:r>
      <w:proofErr w:type="spellStart"/>
      <w:r>
        <w:rPr>
          <w:bCs/>
          <w:szCs w:val="22"/>
        </w:rPr>
        <w:t>Add.2</w:t>
      </w:r>
      <w:proofErr w:type="spellEnd"/>
      <w:r>
        <w:rPr>
          <w:bCs/>
          <w:szCs w:val="22"/>
        </w:rPr>
        <w:t>, par. 209 à 212).</w:t>
      </w:r>
    </w:p>
    <w:p w:rsidR="00000000" w:rsidRDefault="00000000">
      <w:pPr>
        <w:spacing w:after="240"/>
        <w:rPr>
          <w:bCs/>
          <w:szCs w:val="22"/>
        </w:rPr>
      </w:pPr>
      <w:r>
        <w:rPr>
          <w:bCs/>
          <w:szCs w:val="22"/>
        </w:rPr>
        <w:t>188.</w:t>
      </w:r>
      <w:r>
        <w:rPr>
          <w:bCs/>
          <w:szCs w:val="22"/>
        </w:rPr>
        <w:tab/>
        <w:t>Selon le droit en vigueur, les requérants d’asile qui n’exercent pas d’activité lucr</w:t>
      </w:r>
      <w:r>
        <w:rPr>
          <w:bCs/>
          <w:szCs w:val="22"/>
        </w:rPr>
        <w:t>a</w:t>
      </w:r>
      <w:r>
        <w:rPr>
          <w:bCs/>
          <w:szCs w:val="22"/>
        </w:rPr>
        <w:t>tive sont obligatoirement assurés à l’</w:t>
      </w:r>
      <w:proofErr w:type="spellStart"/>
      <w:r>
        <w:rPr>
          <w:bCs/>
          <w:szCs w:val="22"/>
        </w:rPr>
        <w:t>AVS</w:t>
      </w:r>
      <w:proofErr w:type="spellEnd"/>
      <w:r>
        <w:rPr>
          <w:bCs/>
          <w:szCs w:val="22"/>
        </w:rPr>
        <w:t>/AI/</w:t>
      </w:r>
      <w:proofErr w:type="spellStart"/>
      <w:r>
        <w:rPr>
          <w:bCs/>
          <w:szCs w:val="22"/>
        </w:rPr>
        <w:t>APG</w:t>
      </w:r>
      <w:proofErr w:type="spellEnd"/>
      <w:r>
        <w:rPr>
          <w:bCs/>
          <w:szCs w:val="22"/>
        </w:rPr>
        <w:t xml:space="preserve"> une fois écoulé un délai de six mois à compter du dépôt de leur demande d’asile. Comme la plupart des requérants d’asile ne s</w:t>
      </w:r>
      <w:r>
        <w:rPr>
          <w:bCs/>
          <w:szCs w:val="22"/>
        </w:rPr>
        <w:t>é</w:t>
      </w:r>
      <w:r>
        <w:rPr>
          <w:bCs/>
          <w:szCs w:val="22"/>
        </w:rPr>
        <w:t>journent en Suisse que temporairement, la charge administrative entraînée par cette régl</w:t>
      </w:r>
      <w:r>
        <w:rPr>
          <w:bCs/>
          <w:szCs w:val="22"/>
        </w:rPr>
        <w:t>e</w:t>
      </w:r>
      <w:r>
        <w:rPr>
          <w:bCs/>
          <w:szCs w:val="22"/>
        </w:rPr>
        <w:t xml:space="preserve">mentation est considérable. À la faveur de la modification de la </w:t>
      </w:r>
      <w:proofErr w:type="spellStart"/>
      <w:r>
        <w:rPr>
          <w:bCs/>
          <w:szCs w:val="22"/>
        </w:rPr>
        <w:t>LAVS</w:t>
      </w:r>
      <w:proofErr w:type="spellEnd"/>
      <w:r>
        <w:rPr>
          <w:bCs/>
          <w:szCs w:val="22"/>
        </w:rPr>
        <w:t xml:space="preserve"> prévue dans le contexte de la révision de la loi sur l’asile, on envisage de suspendre la perception des cotisations. En cas de surv</w:t>
      </w:r>
      <w:r>
        <w:rPr>
          <w:bCs/>
          <w:szCs w:val="22"/>
        </w:rPr>
        <w:t>e</w:t>
      </w:r>
      <w:r>
        <w:rPr>
          <w:bCs/>
          <w:szCs w:val="22"/>
        </w:rPr>
        <w:t>nance de l’événement assuré ou si le séjour en Suisse de l’intéressé est régularisé, il est pr</w:t>
      </w:r>
      <w:r>
        <w:rPr>
          <w:bCs/>
          <w:szCs w:val="22"/>
        </w:rPr>
        <w:t>é</w:t>
      </w:r>
      <w:r>
        <w:rPr>
          <w:bCs/>
          <w:szCs w:val="22"/>
        </w:rPr>
        <w:t>vu que la suspension soit levée et que les cotisations soient perçues rétroact</w:t>
      </w:r>
      <w:r>
        <w:rPr>
          <w:bCs/>
          <w:szCs w:val="22"/>
        </w:rPr>
        <w:t>i</w:t>
      </w:r>
      <w:r>
        <w:rPr>
          <w:bCs/>
          <w:szCs w:val="22"/>
        </w:rPr>
        <w:t>vement, dans les limites du délai de prescription</w:t>
      </w:r>
      <w:r>
        <w:rPr>
          <w:rStyle w:val="FootnoteReference"/>
          <w:bCs/>
          <w:szCs w:val="22"/>
        </w:rPr>
        <w:footnoteReference w:id="128"/>
      </w:r>
      <w:r>
        <w:rPr>
          <w:bCs/>
          <w:szCs w:val="22"/>
        </w:rPr>
        <w:t>.</w:t>
      </w:r>
    </w:p>
    <w:p w:rsidR="00000000" w:rsidRDefault="00000000">
      <w:pPr>
        <w:spacing w:after="240"/>
        <w:rPr>
          <w:bCs/>
          <w:szCs w:val="22"/>
        </w:rPr>
      </w:pPr>
      <w:r>
        <w:rPr>
          <w:bCs/>
          <w:szCs w:val="22"/>
        </w:rPr>
        <w:t>189.</w:t>
      </w:r>
      <w:r>
        <w:rPr>
          <w:bCs/>
          <w:szCs w:val="22"/>
        </w:rPr>
        <w:tab/>
        <w:t xml:space="preserve">Pour ce qui est du droit à l’aide d’urgence, voir les paragraphes 162 et 163 </w:t>
      </w:r>
      <w:proofErr w:type="spellStart"/>
      <w:r>
        <w:rPr>
          <w:bCs/>
          <w:szCs w:val="22"/>
        </w:rPr>
        <w:t>ci</w:t>
      </w:r>
      <w:r>
        <w:rPr>
          <w:bCs/>
          <w:szCs w:val="22"/>
        </w:rPr>
        <w:noBreakHyphen/>
        <w:t>dessus</w:t>
      </w:r>
      <w:proofErr w:type="spellEnd"/>
      <w:r>
        <w:rPr>
          <w:bCs/>
          <w:szCs w:val="22"/>
        </w:rPr>
        <w:t>.</w:t>
      </w:r>
    </w:p>
    <w:p w:rsidR="00000000" w:rsidRDefault="00000000">
      <w:pPr>
        <w:keepNext/>
        <w:spacing w:after="240"/>
        <w:rPr>
          <w:b/>
          <w:bCs/>
        </w:rPr>
      </w:pPr>
      <w:bookmarkStart w:id="107" w:name="_Toc163552248"/>
      <w:r>
        <w:rPr>
          <w:b/>
          <w:bCs/>
          <w:i/>
          <w:iCs/>
        </w:rPr>
        <w:t>e)</w:t>
      </w:r>
      <w:r>
        <w:rPr>
          <w:b/>
          <w:bCs/>
          <w:i/>
          <w:iCs/>
        </w:rPr>
        <w:tab/>
        <w:t xml:space="preserve">Droit à l’éducation et à la formation </w:t>
      </w:r>
      <w:r>
        <w:rPr>
          <w:b/>
          <w:bCs/>
        </w:rPr>
        <w:t xml:space="preserve">(art. 5, al. </w:t>
      </w:r>
      <w:r>
        <w:rPr>
          <w:b/>
          <w:bCs/>
          <w:i/>
          <w:iCs/>
        </w:rPr>
        <w:t>e</w:t>
      </w:r>
      <w:r>
        <w:rPr>
          <w:b/>
          <w:bCs/>
        </w:rPr>
        <w:t>, v)</w:t>
      </w:r>
      <w:bookmarkEnd w:id="107"/>
      <w:r>
        <w:rPr>
          <w:b/>
          <w:bCs/>
        </w:rPr>
        <w:t>)</w:t>
      </w:r>
    </w:p>
    <w:p w:rsidR="00000000" w:rsidRDefault="00000000">
      <w:pPr>
        <w:spacing w:after="240"/>
        <w:rPr>
          <w:bCs/>
          <w:szCs w:val="22"/>
        </w:rPr>
      </w:pPr>
      <w:r>
        <w:rPr>
          <w:bCs/>
          <w:szCs w:val="22"/>
        </w:rPr>
        <w:t>190.</w:t>
      </w:r>
      <w:r>
        <w:rPr>
          <w:bCs/>
          <w:szCs w:val="22"/>
        </w:rPr>
        <w:tab/>
        <w:t>Tous les enfants vivant en Suisse ont un droit à l’enseignement de base (gratuit) qui est garanti par la Constitution fédérale (art. 19), par la Convention relative aux droits de l’enfant (art. 28) ratifiée par la Suisse, ainsi que par le Pacte international relatif aux droits économiques, sociaux et culturels (art. 13). En vertu du paragraphe 2 de l’article 62 de la Constitution fédérale, les cantons sont tenus de pourvoir à un enseignement de base suffisant, ouvert à tous les enfants. En 1991 déjà, dans ses «Recommandations conce</w:t>
      </w:r>
      <w:r>
        <w:rPr>
          <w:bCs/>
          <w:szCs w:val="22"/>
        </w:rPr>
        <w:t>r</w:t>
      </w:r>
      <w:r>
        <w:rPr>
          <w:bCs/>
          <w:szCs w:val="22"/>
        </w:rPr>
        <w:t>nant la scolarisation des enfants de langue étrangère», la Conférence suisse des directeurs cantonaux de l’instruction publique (</w:t>
      </w:r>
      <w:proofErr w:type="spellStart"/>
      <w:r>
        <w:rPr>
          <w:bCs/>
          <w:szCs w:val="22"/>
        </w:rPr>
        <w:t>CDIP</w:t>
      </w:r>
      <w:proofErr w:type="spellEnd"/>
      <w:r>
        <w:rPr>
          <w:bCs/>
          <w:szCs w:val="22"/>
        </w:rPr>
        <w:t>) avait posé le principe selon lequel tous les enfants de langue étrangère v</w:t>
      </w:r>
      <w:r>
        <w:rPr>
          <w:bCs/>
          <w:szCs w:val="22"/>
        </w:rPr>
        <w:t>i</w:t>
      </w:r>
      <w:r>
        <w:rPr>
          <w:bCs/>
          <w:szCs w:val="22"/>
        </w:rPr>
        <w:t>vant en Suisse devaient être intégrés dans l’école publique. Le 7 se</w:t>
      </w:r>
      <w:r>
        <w:rPr>
          <w:bCs/>
          <w:szCs w:val="22"/>
        </w:rPr>
        <w:t>p</w:t>
      </w:r>
      <w:r>
        <w:rPr>
          <w:bCs/>
          <w:szCs w:val="22"/>
        </w:rPr>
        <w:t>tembre 2005, le Conseil général de la ville de Zurich a clairement rejeté une intervention qui demandait que les élèves de langue étrangère soient contraints au passage d’un examen d’admission avant de pouvoir intégrer une classe ordinaire, que le statut régissant leur séjour en Suisse soit enregistré à leur scolarisation et que ces données soient publiées.</w:t>
      </w:r>
    </w:p>
    <w:p w:rsidR="00000000" w:rsidRDefault="00000000">
      <w:pPr>
        <w:keepNext/>
        <w:spacing w:after="240"/>
        <w:rPr>
          <w:b/>
          <w:bCs/>
        </w:rPr>
      </w:pPr>
      <w:bookmarkStart w:id="108" w:name="_Toc163552249"/>
      <w:r>
        <w:rPr>
          <w:b/>
          <w:bCs/>
          <w:i/>
          <w:iCs/>
        </w:rPr>
        <w:t>f)</w:t>
      </w:r>
      <w:r>
        <w:rPr>
          <w:b/>
          <w:bCs/>
          <w:i/>
          <w:iCs/>
        </w:rPr>
        <w:tab/>
        <w:t>Droit d’accès à tous les lieux et services destinés à l’usage du public</w:t>
      </w:r>
      <w:r>
        <w:rPr>
          <w:b/>
          <w:bCs/>
        </w:rPr>
        <w:t xml:space="preserve"> (art. 5, al. </w:t>
      </w:r>
      <w:r>
        <w:rPr>
          <w:b/>
          <w:bCs/>
          <w:i/>
          <w:iCs/>
        </w:rPr>
        <w:t>f</w:t>
      </w:r>
      <w:r>
        <w:rPr>
          <w:b/>
          <w:bCs/>
        </w:rPr>
        <w:t>)</w:t>
      </w:r>
      <w:bookmarkEnd w:id="108"/>
    </w:p>
    <w:p w:rsidR="00000000" w:rsidRDefault="00000000">
      <w:pPr>
        <w:spacing w:after="240"/>
        <w:rPr>
          <w:bCs/>
          <w:szCs w:val="22"/>
        </w:rPr>
      </w:pPr>
      <w:r>
        <w:rPr>
          <w:bCs/>
          <w:szCs w:val="22"/>
        </w:rPr>
        <w:t>191.</w:t>
      </w:r>
      <w:r>
        <w:rPr>
          <w:bCs/>
          <w:szCs w:val="22"/>
        </w:rPr>
        <w:tab/>
        <w:t>Nous renvoyons ici aux deuxième et troisième rapports périodiques (</w:t>
      </w:r>
      <w:proofErr w:type="spellStart"/>
      <w:r>
        <w:rPr>
          <w:bCs/>
          <w:szCs w:val="22"/>
        </w:rPr>
        <w:t>CERD</w:t>
      </w:r>
      <w:proofErr w:type="spellEnd"/>
      <w:r>
        <w:rPr>
          <w:bCs/>
          <w:szCs w:val="22"/>
        </w:rPr>
        <w:t>/C/351/</w:t>
      </w:r>
      <w:proofErr w:type="spellStart"/>
      <w:r>
        <w:rPr>
          <w:bCs/>
          <w:szCs w:val="22"/>
        </w:rPr>
        <w:t>Add.2</w:t>
      </w:r>
      <w:proofErr w:type="spellEnd"/>
      <w:r>
        <w:rPr>
          <w:bCs/>
          <w:szCs w:val="22"/>
        </w:rPr>
        <w:t>, par. 213 et 214).</w:t>
      </w:r>
    </w:p>
    <w:p w:rsidR="00000000" w:rsidRDefault="00000000">
      <w:pPr>
        <w:keepNext/>
        <w:spacing w:after="240"/>
        <w:jc w:val="center"/>
        <w:rPr>
          <w:b/>
          <w:bCs/>
          <w:szCs w:val="24"/>
        </w:rPr>
      </w:pPr>
      <w:bookmarkStart w:id="109" w:name="_Toc150668815"/>
      <w:bookmarkStart w:id="110" w:name="_Toc163552250"/>
      <w:r>
        <w:rPr>
          <w:b/>
          <w:bCs/>
          <w:szCs w:val="24"/>
        </w:rPr>
        <w:t>E.  Garantie de voies de recours effectives</w:t>
      </w:r>
      <w:bookmarkEnd w:id="109"/>
      <w:r>
        <w:rPr>
          <w:b/>
          <w:bCs/>
          <w:szCs w:val="24"/>
        </w:rPr>
        <w:t xml:space="preserve"> </w:t>
      </w:r>
      <w:r>
        <w:rPr>
          <w:b/>
          <w:bCs/>
          <w:szCs w:val="24"/>
        </w:rPr>
        <w:br/>
        <w:t>(art. 6)</w:t>
      </w:r>
      <w:bookmarkEnd w:id="110"/>
    </w:p>
    <w:p w:rsidR="00000000" w:rsidRDefault="00000000">
      <w:pPr>
        <w:spacing w:after="240"/>
        <w:rPr>
          <w:sz w:val="28"/>
          <w:szCs w:val="28"/>
        </w:rPr>
      </w:pPr>
      <w:r>
        <w:t>192.</w:t>
      </w:r>
      <w:r>
        <w:tab/>
        <w:t>Le recours de droit public est ouvert en cas de violation de l’interdiction générale de toute discrimination, formulée à l’article 8 de la Constitution fédérale. Pour qu’une personne ait qualité pour exe</w:t>
      </w:r>
      <w:r>
        <w:t>r</w:t>
      </w:r>
      <w:r>
        <w:t>cer le recours, il suffit qu’elle fasse valoir une discrimination motivée par son appart</w:t>
      </w:r>
      <w:r>
        <w:t>e</w:t>
      </w:r>
      <w:r>
        <w:t>nance à un groupe protégé selon le paragraphe 2 de l’article 8. Appelé à se prononcer à ce sujet (</w:t>
      </w:r>
      <w:proofErr w:type="spellStart"/>
      <w:r>
        <w:t>ATF</w:t>
      </w:r>
      <w:proofErr w:type="spellEnd"/>
      <w:r>
        <w:t>, 129 I 217), le Tribunal fédéral a considéré que le fait de déduire la reconnaissance d’un intérêt pr</w:t>
      </w:r>
      <w:r>
        <w:t>o</w:t>
      </w:r>
      <w:r>
        <w:t>tégé par le droit directement de l’interdiction de toute discrimination permettait de garantir l’ouverture du recours de droit public au Tribunal fédéral contre les actes discrimin</w:t>
      </w:r>
      <w:r>
        <w:t>a</w:t>
      </w:r>
      <w:r>
        <w:t>toires commis par des autorités cantonales ou communales. La Suisse remplit ainsi son engag</w:t>
      </w:r>
      <w:r>
        <w:t>e</w:t>
      </w:r>
      <w:r>
        <w:t>ment au sens de l’article 6 de la Convention de garantir l’ouverture de voies de droit effic</w:t>
      </w:r>
      <w:r>
        <w:t>a</w:t>
      </w:r>
      <w:r>
        <w:t>ces devant les tribunaux nationaux compétents à toutes les victimes d’actes discriminatoires à motivation r</w:t>
      </w:r>
      <w:r>
        <w:t>a</w:t>
      </w:r>
      <w:r>
        <w:t>ciste.</w:t>
      </w:r>
    </w:p>
    <w:p w:rsidR="00000000" w:rsidRDefault="00000000">
      <w:pPr>
        <w:spacing w:after="240"/>
        <w:rPr>
          <w:bCs/>
          <w:szCs w:val="22"/>
        </w:rPr>
      </w:pPr>
      <w:r>
        <w:rPr>
          <w:bCs/>
          <w:szCs w:val="22"/>
        </w:rPr>
        <w:t>193.</w:t>
      </w:r>
      <w:r>
        <w:rPr>
          <w:bCs/>
          <w:szCs w:val="22"/>
        </w:rPr>
        <w:tab/>
        <w:t>Le Tribunal fédéral a en outre rendu un arrêt relatif à la qualité de victime en applic</w:t>
      </w:r>
      <w:r>
        <w:rPr>
          <w:bCs/>
          <w:szCs w:val="22"/>
        </w:rPr>
        <w:t>a</w:t>
      </w:r>
      <w:r>
        <w:rPr>
          <w:bCs/>
          <w:szCs w:val="22"/>
        </w:rPr>
        <w:t xml:space="preserve">tion de l’article 261 </w:t>
      </w:r>
      <w:r>
        <w:rPr>
          <w:bCs/>
          <w:i/>
          <w:iCs/>
          <w:szCs w:val="22"/>
        </w:rPr>
        <w:t>bis</w:t>
      </w:r>
      <w:r>
        <w:rPr>
          <w:bCs/>
          <w:szCs w:val="22"/>
        </w:rPr>
        <w:t xml:space="preserve"> du Code pénal. La loi fédérale sur l’aide aux victimes d’infractions (</w:t>
      </w:r>
      <w:proofErr w:type="spellStart"/>
      <w:r>
        <w:rPr>
          <w:bCs/>
          <w:szCs w:val="22"/>
        </w:rPr>
        <w:t>LAVI</w:t>
      </w:r>
      <w:proofErr w:type="spellEnd"/>
      <w:r>
        <w:rPr>
          <w:bCs/>
          <w:szCs w:val="22"/>
        </w:rPr>
        <w:t>)</w:t>
      </w:r>
      <w:r>
        <w:rPr>
          <w:rStyle w:val="FootnoteReference"/>
          <w:bCs/>
          <w:szCs w:val="22"/>
        </w:rPr>
        <w:footnoteReference w:id="129"/>
      </w:r>
      <w:r>
        <w:rPr>
          <w:bCs/>
          <w:szCs w:val="22"/>
        </w:rPr>
        <w:t xml:space="preserve">, qui vise à aider efficacement les victimes d’infractions pénales et à améliorer leur statut juridique, peut à certaines conditions être appliquée dans le contexte de l’article 261 </w:t>
      </w:r>
      <w:r>
        <w:rPr>
          <w:bCs/>
          <w:i/>
          <w:iCs/>
          <w:szCs w:val="22"/>
        </w:rPr>
        <w:t>bis</w:t>
      </w:r>
      <w:r>
        <w:rPr>
          <w:bCs/>
          <w:szCs w:val="22"/>
        </w:rPr>
        <w:t xml:space="preserve"> du Code pénal. Le Tribunal fédéral a considéré que, selon les circonstances, la qualité de victime pouvait être reconnue si l’agression raciste et discriminatoire était accompagnée de voies de fait. Si tel n’est pas le cas et si l’agression ne réunit pas les éléments constitutifs d’autres infractions telles que les lésions corporelles ou l’incendie intentionnel, la reconnaissance de la qualité de victime ne peut être envisagée que dans des cas particulièrement graves. On se trouve en présence d’un tel cas particulièrement grave lorsque le recourant a subi une atteinte sérieuse à son int</w:t>
      </w:r>
      <w:r>
        <w:rPr>
          <w:bCs/>
          <w:szCs w:val="22"/>
        </w:rPr>
        <w:t>é</w:t>
      </w:r>
      <w:r>
        <w:rPr>
          <w:bCs/>
          <w:szCs w:val="22"/>
        </w:rPr>
        <w:t xml:space="preserve">grité psychique. Cela vaut dans le contexte tant du paragraphe 4, première partie, de l’article 261 </w:t>
      </w:r>
      <w:r>
        <w:rPr>
          <w:bCs/>
          <w:i/>
          <w:iCs/>
          <w:szCs w:val="22"/>
        </w:rPr>
        <w:t>bis</w:t>
      </w:r>
      <w:r>
        <w:rPr>
          <w:bCs/>
          <w:szCs w:val="22"/>
        </w:rPr>
        <w:t xml:space="preserve"> que dans celui du paragraphe 5</w:t>
      </w:r>
      <w:r>
        <w:rPr>
          <w:rStyle w:val="FootnoteReference"/>
          <w:bCs/>
          <w:szCs w:val="22"/>
        </w:rPr>
        <w:footnoteReference w:id="130"/>
      </w:r>
      <w:r>
        <w:rPr>
          <w:bCs/>
          <w:szCs w:val="22"/>
        </w:rPr>
        <w:t>. Pour ce qui est de la négation d’un génocide ou d’autres cr</w:t>
      </w:r>
      <w:r>
        <w:rPr>
          <w:bCs/>
          <w:szCs w:val="22"/>
        </w:rPr>
        <w:t>i</w:t>
      </w:r>
      <w:r>
        <w:rPr>
          <w:bCs/>
          <w:szCs w:val="22"/>
        </w:rPr>
        <w:t>mes contre l’humanité au sens du paragraphe 4, deuxième partie, de l’article 261 </w:t>
      </w:r>
      <w:r>
        <w:rPr>
          <w:bCs/>
          <w:i/>
          <w:iCs/>
          <w:szCs w:val="22"/>
        </w:rPr>
        <w:t>bis</w:t>
      </w:r>
      <w:r>
        <w:rPr>
          <w:bCs/>
          <w:szCs w:val="22"/>
        </w:rPr>
        <w:t xml:space="preserve">, le Tribunal fédéral a estimé qu’il s’agissait d’une atteinte à la paix publique et que ces actes pouvaient donc porter atteinte à l’intégrité psychique d’un individu tout au plus de manière indirecte. L’application de la </w:t>
      </w:r>
      <w:proofErr w:type="spellStart"/>
      <w:r>
        <w:rPr>
          <w:bCs/>
          <w:szCs w:val="22"/>
        </w:rPr>
        <w:t>LAVI</w:t>
      </w:r>
      <w:proofErr w:type="spellEnd"/>
      <w:r>
        <w:rPr>
          <w:bCs/>
          <w:szCs w:val="22"/>
        </w:rPr>
        <w:t xml:space="preserve"> est donc exclue dans ce cas</w:t>
      </w:r>
      <w:r>
        <w:rPr>
          <w:rStyle w:val="FootnoteReference"/>
          <w:bCs/>
          <w:szCs w:val="22"/>
        </w:rPr>
        <w:footnoteReference w:id="131"/>
      </w:r>
      <w:r>
        <w:rPr>
          <w:bCs/>
          <w:szCs w:val="22"/>
        </w:rPr>
        <w:t>.</w:t>
      </w:r>
    </w:p>
    <w:p w:rsidR="00000000" w:rsidRDefault="00000000">
      <w:pPr>
        <w:keepNext/>
        <w:spacing w:after="240"/>
        <w:jc w:val="center"/>
        <w:rPr>
          <w:b/>
          <w:bCs/>
          <w:szCs w:val="24"/>
        </w:rPr>
      </w:pPr>
      <w:bookmarkStart w:id="111" w:name="_Toc150668816"/>
      <w:bookmarkStart w:id="112" w:name="_Toc163552251"/>
      <w:r>
        <w:rPr>
          <w:b/>
          <w:bCs/>
          <w:szCs w:val="24"/>
        </w:rPr>
        <w:t xml:space="preserve">F.  Mesures dans les domaines de l’enseignement, de l’éducation, </w:t>
      </w:r>
      <w:r>
        <w:rPr>
          <w:b/>
          <w:bCs/>
          <w:szCs w:val="24"/>
        </w:rPr>
        <w:br/>
        <w:t>de la culture et de l’information</w:t>
      </w:r>
      <w:bookmarkEnd w:id="111"/>
      <w:r>
        <w:rPr>
          <w:b/>
          <w:bCs/>
          <w:szCs w:val="24"/>
        </w:rPr>
        <w:t xml:space="preserve"> </w:t>
      </w:r>
      <w:r>
        <w:rPr>
          <w:b/>
          <w:bCs/>
          <w:szCs w:val="24"/>
        </w:rPr>
        <w:br/>
        <w:t>(art. 7)</w:t>
      </w:r>
      <w:bookmarkEnd w:id="112"/>
    </w:p>
    <w:p w:rsidR="00000000" w:rsidRDefault="00000000">
      <w:pPr>
        <w:keepNext/>
        <w:spacing w:after="240"/>
        <w:jc w:val="center"/>
        <w:rPr>
          <w:b/>
          <w:bCs/>
          <w:szCs w:val="24"/>
        </w:rPr>
      </w:pPr>
      <w:bookmarkStart w:id="113" w:name="_Toc163552252"/>
      <w:r>
        <w:rPr>
          <w:b/>
          <w:bCs/>
          <w:szCs w:val="24"/>
        </w:rPr>
        <w:t>1.  Service de lutte contre le racisme (SLR)</w:t>
      </w:r>
      <w:bookmarkEnd w:id="113"/>
    </w:p>
    <w:p w:rsidR="00000000" w:rsidRDefault="00000000">
      <w:pPr>
        <w:spacing w:after="240"/>
        <w:rPr>
          <w:szCs w:val="22"/>
        </w:rPr>
      </w:pPr>
      <w:r>
        <w:t>194.</w:t>
      </w:r>
      <w:r>
        <w:tab/>
        <w:t>Exprimant sa volonté de mettre en œuvre les résultats de la Conférence mondiale contre le racisme, la discrimination raciale, la xénophobie et l’intolérance qui y est associée (Conférence de Durban), le Gouvernement suisse a créé au sein de l’administration fédérale le Se</w:t>
      </w:r>
      <w:r>
        <w:t>r</w:t>
      </w:r>
      <w:r>
        <w:t>vice de lutte contre le racisme (SLR)</w:t>
      </w:r>
      <w:r>
        <w:rPr>
          <w:rStyle w:val="FootnoteReference"/>
        </w:rPr>
        <w:footnoteReference w:id="132"/>
      </w:r>
      <w:r>
        <w:t>. Ce nouvel organe a pour tâche de coordonner et de mettre en réseau les mesures de l’administration fédérale contre le racisme et l’extrémisme. Le SLR est l’interlocuteur privilégié de la Confédération dans ses rapports avec les cantons, les communes et des tiers pour toutes les questions touchant au racisme. Il favorise la coop</w:t>
      </w:r>
      <w:r>
        <w:t>é</w:t>
      </w:r>
      <w:r>
        <w:t>ration et l’échange avec les organisations non gouvernementales et les instituts de recherche travaillant dans ce domaine, de même qu’avec les institutions spécialisées au niveau intern</w:t>
      </w:r>
      <w:r>
        <w:t>a</w:t>
      </w:r>
      <w:r>
        <w:t>tional (Conseil de l’</w:t>
      </w:r>
      <w:proofErr w:type="spellStart"/>
      <w:r>
        <w:t>Europe</w:t>
      </w:r>
      <w:proofErr w:type="spellEnd"/>
      <w:r>
        <w:t>, ONU, UE). Il met ses connaissances spécifiques à la disposition des autorités et institutions et soutient les efforts concrets de lutte contre le racisme, la xén</w:t>
      </w:r>
      <w:r>
        <w:t>o</w:t>
      </w:r>
      <w:r>
        <w:t>ph</w:t>
      </w:r>
      <w:r>
        <w:t>o</w:t>
      </w:r>
      <w:r>
        <w:t>bie et l’extrémisme de droite par des mesures d’aide appropriées.</w:t>
      </w:r>
    </w:p>
    <w:p w:rsidR="00000000" w:rsidRDefault="00000000">
      <w:pPr>
        <w:keepNext/>
        <w:spacing w:after="240"/>
        <w:rPr>
          <w:b/>
          <w:bCs/>
          <w:i/>
          <w:iCs/>
          <w:szCs w:val="22"/>
        </w:rPr>
      </w:pPr>
      <w:bookmarkStart w:id="114" w:name="_Toc163552253"/>
      <w:r>
        <w:rPr>
          <w:b/>
          <w:bCs/>
          <w:i/>
          <w:iCs/>
        </w:rPr>
        <w:t>a)</w:t>
      </w:r>
      <w:r>
        <w:rPr>
          <w:b/>
          <w:bCs/>
          <w:i/>
          <w:iCs/>
        </w:rPr>
        <w:tab/>
        <w:t>Activités du SLR</w:t>
      </w:r>
      <w:bookmarkEnd w:id="114"/>
    </w:p>
    <w:p w:rsidR="00000000" w:rsidRDefault="00000000">
      <w:pPr>
        <w:spacing w:after="240"/>
        <w:rPr>
          <w:szCs w:val="22"/>
        </w:rPr>
      </w:pPr>
      <w:r>
        <w:t>195.</w:t>
      </w:r>
      <w:r>
        <w:tab/>
        <w:t>Le SLR organise des réunions de travail, qui se tiennent à intervalles réguliers dans les différentes régions linguistiques de Suisse. Elles permettent aux acteurs (organismes ét</w:t>
      </w:r>
      <w:r>
        <w:t>a</w:t>
      </w:r>
      <w:r>
        <w:t>tiques, œuvres d’entraide et ONG intéressés) d’approfondir les connaissances dont ils ont b</w:t>
      </w:r>
      <w:r>
        <w:t>e</w:t>
      </w:r>
      <w:r>
        <w:t>soin pour accomplir un travail de sensibilisation et de prévention efficace dans les diff</w:t>
      </w:r>
      <w:r>
        <w:t>é</w:t>
      </w:r>
      <w:r>
        <w:t xml:space="preserve">rents domaines de la vie sociale (éducation, emploi, administration, jeunesse, etc.). Lors de ces réunions, </w:t>
      </w:r>
      <w:r>
        <w:br/>
        <w:t>il s’agit d’une part de transmettre des informations et d’autre part de favoriser la discussion entre les participants. On en espère en outre une meilleure coordination des activ</w:t>
      </w:r>
      <w:r>
        <w:t>i</w:t>
      </w:r>
      <w:r>
        <w:t>tés ainsi qu’une diffusion d’informations sur le travail du SLR auprès des autres serv</w:t>
      </w:r>
      <w:r>
        <w:t>i</w:t>
      </w:r>
      <w:r>
        <w:t xml:space="preserve">ces de l’administration fédérale intéressés par le sujet (par exemple, </w:t>
      </w:r>
      <w:proofErr w:type="spellStart"/>
      <w:r>
        <w:t>CFR</w:t>
      </w:r>
      <w:proofErr w:type="spellEnd"/>
      <w:r>
        <w:t xml:space="preserve">, </w:t>
      </w:r>
      <w:proofErr w:type="spellStart"/>
      <w:r>
        <w:t>CFE</w:t>
      </w:r>
      <w:proofErr w:type="spellEnd"/>
      <w:r>
        <w:t>). Le SLR a déjà o</w:t>
      </w:r>
      <w:r>
        <w:t>r</w:t>
      </w:r>
      <w:r>
        <w:t xml:space="preserve">ganisé des séminaires de transfert de compétences sur les thèmes suivants: «Promouvoir l’intégration, lutter contre le racisme: différences et complémentarités» (Olten, </w:t>
      </w:r>
      <w:proofErr w:type="spellStart"/>
      <w:r>
        <w:t>Yverdon</w:t>
      </w:r>
      <w:proofErr w:type="spellEnd"/>
      <w:r>
        <w:t xml:space="preserve">, </w:t>
      </w:r>
      <w:proofErr w:type="spellStart"/>
      <w:r>
        <w:t>Be</w:t>
      </w:r>
      <w:r>
        <w:t>l</w:t>
      </w:r>
      <w:r>
        <w:t>linzone</w:t>
      </w:r>
      <w:proofErr w:type="spellEnd"/>
      <w:r>
        <w:t xml:space="preserve">, 2003), «L’évaluation − un outil pour développer la qualité des projets de lutte contre le racisme et en faveur des droits humains» (Olten, </w:t>
      </w:r>
      <w:proofErr w:type="spellStart"/>
      <w:r>
        <w:t>Yverdon</w:t>
      </w:r>
      <w:proofErr w:type="spellEnd"/>
      <w:r>
        <w:t>, 2003), «Sérier les problèmes: évaluer, redir</w:t>
      </w:r>
      <w:r>
        <w:t>i</w:t>
      </w:r>
      <w:r>
        <w:t>ger, aider les victimes de discrimination à motif xénophobe/raciste» (O</w:t>
      </w:r>
      <w:r>
        <w:t>l</w:t>
      </w:r>
      <w:r>
        <w:t xml:space="preserve">ten, </w:t>
      </w:r>
      <w:proofErr w:type="spellStart"/>
      <w:r>
        <w:t>Yverdon</w:t>
      </w:r>
      <w:proofErr w:type="spellEnd"/>
      <w:r>
        <w:t>, 2004),</w:t>
      </w:r>
      <w:r>
        <w:rPr>
          <w:bCs/>
          <w:szCs w:val="22"/>
        </w:rPr>
        <w:t xml:space="preserve"> </w:t>
      </w:r>
      <w:r>
        <w:t>«Comment le dire aux médias et donc au public?» (Olten, 2004), «Introduction aux m</w:t>
      </w:r>
      <w:r>
        <w:t>é</w:t>
      </w:r>
      <w:r>
        <w:t>dias» (</w:t>
      </w:r>
      <w:proofErr w:type="spellStart"/>
      <w:r>
        <w:t>Yverdon</w:t>
      </w:r>
      <w:proofErr w:type="spellEnd"/>
      <w:r>
        <w:t>, 2005), «Lutte contre le racisme chez les jeunes. Projets couronnés de su</w:t>
      </w:r>
      <w:r>
        <w:t>c</w:t>
      </w:r>
      <w:r>
        <w:t>cès» (Olten, 2004).</w:t>
      </w:r>
    </w:p>
    <w:p w:rsidR="00000000" w:rsidRDefault="00000000">
      <w:pPr>
        <w:spacing w:after="240"/>
      </w:pPr>
      <w:r>
        <w:t>196.</w:t>
      </w:r>
      <w:r>
        <w:tab/>
        <w:t>Le SLR a conçu plusieurs publications spécifiques pour informer sur différents thèmes en rapport avec son travail de lutte contre le racisme. Il a ainsi publié une étude intit</w:t>
      </w:r>
      <w:r>
        <w:t>u</w:t>
      </w:r>
      <w:r>
        <w:t>lée «Un monde du travail sans discrimination. Mesures de lutte contre la discrimination dans le d</w:t>
      </w:r>
      <w:r>
        <w:t>o</w:t>
      </w:r>
      <w:r>
        <w:t>maine de l’emploi» (2003), de même qu’une brochure donnant un aperçu des mesures concrètes pouvant être prises par les employeurs pour prévenir les conflits dans leur entr</w:t>
      </w:r>
      <w:r>
        <w:t>e</w:t>
      </w:r>
      <w:r>
        <w:t>prise et réduire les risques de discrimination au travail, lors de l’embauche et dans la form</w:t>
      </w:r>
      <w:r>
        <w:t>a</w:t>
      </w:r>
      <w:r>
        <w:t>tion professionnelle. Un colloque a aussi été organisé sur le thème «Un monde du travail sans discrimination». Il a réuni 150 représentants des secteurs les plus divers. Grâce à la collab</w:t>
      </w:r>
      <w:r>
        <w:t>o</w:t>
      </w:r>
      <w:r>
        <w:t>ration avec les associations patronales, avec les syndicats et avec les organismes de la Confédération touchés par les thèmes du travail et de la formation professionnelle, il a été possible de sensibiliser les acteurs les plus importants au problème de la discrimination. Dans un rapport paru sous le titre «Agents de la fonction publique aux prises avec la diversité culturelle: quelle formation en matière de prévention des discriminations», le SLR donne un aperçu des formations proposées aux agents de la fonction publique aux fins de prévenir les discriminations. Le SLR a organisé sur le même thème un colloque qui a réuni 130 profe</w:t>
      </w:r>
      <w:r>
        <w:t>s</w:t>
      </w:r>
      <w:r>
        <w:t>sionnels du secteur social, de l’enseignement et de l’administration. Finalement, le SLR r</w:t>
      </w:r>
      <w:r>
        <w:t>é</w:t>
      </w:r>
      <w:r>
        <w:t>sume les multiples expériences qu’il a accumulées en rapport avec la gestion du Fonds de projets contre le racisme et en faveur des droits humains dans une publication intitulée «Agir contre le racisme. Expériences et recommandations pour la gestion de projets» (y compris documentation filmée sur DVD). Cet ouvrage a pour but d’encourager le lancement de no</w:t>
      </w:r>
      <w:r>
        <w:t>u</w:t>
      </w:r>
      <w:r>
        <w:t>veaux projets.</w:t>
      </w:r>
    </w:p>
    <w:p w:rsidR="00000000" w:rsidRDefault="00000000">
      <w:pPr>
        <w:spacing w:after="240"/>
        <w:rPr>
          <w:szCs w:val="22"/>
        </w:rPr>
      </w:pPr>
      <w:r>
        <w:t>197.</w:t>
      </w:r>
      <w:r>
        <w:tab/>
        <w:t xml:space="preserve">En collaboration avec le </w:t>
      </w:r>
      <w:proofErr w:type="spellStart"/>
      <w:r>
        <w:t>DFAE</w:t>
      </w:r>
      <w:proofErr w:type="spellEnd"/>
      <w:r>
        <w:t>, le SLR s’est chargé de publier en trois langues les deuxième et tro</w:t>
      </w:r>
      <w:r>
        <w:t>i</w:t>
      </w:r>
      <w:r>
        <w:t xml:space="preserve">sième rapports périodiques présentés par la Suisse au Comité. De concert avec la </w:t>
      </w:r>
      <w:proofErr w:type="spellStart"/>
      <w:r>
        <w:t>CFR</w:t>
      </w:r>
      <w:proofErr w:type="spellEnd"/>
      <w:r>
        <w:t>, le SLR a en outre assuré la publication des documents finaux de la Conférence de Durban.</w:t>
      </w:r>
    </w:p>
    <w:p w:rsidR="00000000" w:rsidRDefault="00000000">
      <w:pPr>
        <w:spacing w:after="240"/>
        <w:rPr>
          <w:szCs w:val="22"/>
        </w:rPr>
      </w:pPr>
      <w:r>
        <w:t>198.</w:t>
      </w:r>
      <w:r>
        <w:tab/>
        <w:t xml:space="preserve">Contrairement à la </w:t>
      </w:r>
      <w:proofErr w:type="spellStart"/>
      <w:r>
        <w:t>CFR</w:t>
      </w:r>
      <w:proofErr w:type="spellEnd"/>
      <w:r>
        <w:t>, le SLR n’a aucun mandat lui permettant d’exercer une fonction de médiation en cas de conflit. On trouve cependant sur son site Internet un répertoire d’adresses d’antennes et de centres de conseil qui proposent leur aide aux victimes d’actes de discrimination raciale. Comprenant 175 adre</w:t>
      </w:r>
      <w:r>
        <w:t>s</w:t>
      </w:r>
      <w:r>
        <w:t>ses</w:t>
      </w:r>
      <w:r>
        <w:rPr>
          <w:rStyle w:val="FootnoteReference"/>
        </w:rPr>
        <w:footnoteReference w:id="133"/>
      </w:r>
      <w:r>
        <w:t>, cette liste se trouve aussi dans la brochure «Adresses de centres de conseil aux victimes de di</w:t>
      </w:r>
      <w:r>
        <w:t>s</w:t>
      </w:r>
      <w:r>
        <w:t xml:space="preserve">criminations et d’aide en cas de conflit» (disponible en trois langues). Conformément à son mandat, le SLR soutient la formation et le perfectionnement des collaborateurs de services de conseil aux victimes d’actes de discrimination raciale. En collaboration avec la </w:t>
      </w:r>
      <w:proofErr w:type="spellStart"/>
      <w:r>
        <w:t>CFE</w:t>
      </w:r>
      <w:proofErr w:type="spellEnd"/>
      <w:r>
        <w:t>, il a org</w:t>
      </w:r>
      <w:r>
        <w:t>a</w:t>
      </w:r>
      <w:r>
        <w:t xml:space="preserve">nisé une audition à laquelle ont participé des institutions de formation, les antennes existantes ainsi que les cantons et les communes en qualité de fournisseurs potentiels d’aide financière. Ensemble, on a dressé une liste de tous les besoins et de toutes les offres de formation. </w:t>
      </w:r>
      <w:proofErr w:type="spellStart"/>
      <w:r>
        <w:t>Celle</w:t>
      </w:r>
      <w:r>
        <w:noBreakHyphen/>
        <w:t>ci</w:t>
      </w:r>
      <w:proofErr w:type="spellEnd"/>
      <w:r>
        <w:t xml:space="preserve"> a ensuite été commentée et discutée. Les résultats de ce colloque ont été r</w:t>
      </w:r>
      <w:r>
        <w:t>é</w:t>
      </w:r>
      <w:r>
        <w:t>sumés dans une brochure (qui n’existe qu’en allemand). Ils peuvent aussi être consultés sur le site Internet du SLR (en allemand seulement)</w:t>
      </w:r>
      <w:r>
        <w:rPr>
          <w:rStyle w:val="FootnoteReference"/>
        </w:rPr>
        <w:footnoteReference w:id="134"/>
      </w:r>
      <w:r>
        <w:t>.</w:t>
      </w:r>
    </w:p>
    <w:p w:rsidR="00000000" w:rsidRDefault="00000000">
      <w:pPr>
        <w:keepNext/>
        <w:spacing w:after="240"/>
        <w:rPr>
          <w:i/>
          <w:iCs/>
        </w:rPr>
      </w:pPr>
      <w:bookmarkStart w:id="115" w:name="_Toc163552254"/>
      <w:r>
        <w:rPr>
          <w:b/>
          <w:bCs/>
          <w:i/>
          <w:iCs/>
        </w:rPr>
        <w:t>b)</w:t>
      </w:r>
      <w:r>
        <w:rPr>
          <w:b/>
          <w:bCs/>
          <w:i/>
          <w:iCs/>
        </w:rPr>
        <w:tab/>
        <w:t>Fonds de projets contre le racisme et en faveur des droits humains</w:t>
      </w:r>
      <w:r>
        <w:rPr>
          <w:rStyle w:val="FootnoteReference"/>
        </w:rPr>
        <w:footnoteReference w:id="135"/>
      </w:r>
      <w:bookmarkEnd w:id="115"/>
    </w:p>
    <w:p w:rsidR="00000000" w:rsidRDefault="00000000">
      <w:pPr>
        <w:spacing w:after="240"/>
      </w:pPr>
      <w:r>
        <w:t>199.</w:t>
      </w:r>
      <w:r>
        <w:tab/>
        <w:t>De 2001 à 2005, le SLR s’est occupé de la gestion du Fonds de projets contre le racisme et en faveur des droits humains, que le Gouvern</w:t>
      </w:r>
      <w:r>
        <w:t>e</w:t>
      </w:r>
      <w:r>
        <w:t>ment suisse avait créé pour soutenir des projets de formation, de sensibilisation et de prévention ai</w:t>
      </w:r>
      <w:r>
        <w:t>n</w:t>
      </w:r>
      <w:r>
        <w:t>si que des services d’aide aux victimes et de conseil en cas de conflit</w:t>
      </w:r>
      <w:r>
        <w:rPr>
          <w:rStyle w:val="FootnoteReference"/>
        </w:rPr>
        <w:footnoteReference w:id="136"/>
      </w:r>
      <w:r>
        <w:t>. Il a, à cet effet, mis à di</w:t>
      </w:r>
      <w:r>
        <w:t>s</w:t>
      </w:r>
      <w:r>
        <w:t>position un crédit d’engagement de 15 millions de francs suisses au total pour un durée de cinq ans (2001–2005). Un sixième de cette somme était destiné à des projets relevant du d</w:t>
      </w:r>
      <w:r>
        <w:t>o</w:t>
      </w:r>
      <w:r>
        <w:t xml:space="preserve">maine scolaire (voir </w:t>
      </w:r>
      <w:r>
        <w:rPr>
          <w:i/>
          <w:iCs/>
        </w:rPr>
        <w:t>infra</w:t>
      </w:r>
      <w:r>
        <w:t>, par. 218 à 221). Le but du Fonds était de contribuer à faire reconnaître la lutte contre le racisme et la xénophobie comme un élément douloureux certes, mais incontournable et g</w:t>
      </w:r>
      <w:r>
        <w:t>é</w:t>
      </w:r>
      <w:r>
        <w:t>rable, de n</w:t>
      </w:r>
      <w:r>
        <w:t>o</w:t>
      </w:r>
      <w:r>
        <w:t>tre vie sociale au quotidien, et ce sans volonté moralisatrice ni désir de trouver de nouveaux boucs émissaires. Le Fonds devait s’adresser au plus de milieux possible de la société et encourager les projets les plus divers, les plus innovants et les plus expérime</w:t>
      </w:r>
      <w:r>
        <w:t>n</w:t>
      </w:r>
      <w:r>
        <w:t>taux. L’orientation thématique des appels d’offres a permis d’aborder les problèmes concrets qui se posent dans divers domaines de la société. Les organisations et institutions actives dans chacun de ces domaines ont ainsi pu se rendre compte des besoins et des possibilités qui existent en matière de lutte contre le racisme. Le but n’était toutefois pas de limiter le choix des projets à ceux qui portaient sur le thème annuel. Les thèmes annuels ont été les su</w:t>
      </w:r>
      <w:r>
        <w:t>i</w:t>
      </w:r>
      <w:r>
        <w:t>vants:</w:t>
      </w:r>
    </w:p>
    <w:p w:rsidR="00000000" w:rsidRDefault="00000000">
      <w:pPr>
        <w:keepNext/>
        <w:numPr>
          <w:ilvl w:val="0"/>
          <w:numId w:val="89"/>
        </w:numPr>
        <w:tabs>
          <w:tab w:val="left" w:pos="1876"/>
        </w:tabs>
        <w:spacing w:after="240"/>
      </w:pPr>
      <w:r>
        <w:t>2001:</w:t>
      </w:r>
      <w:r>
        <w:tab/>
        <w:t>Éducation des adultes;</w:t>
      </w:r>
    </w:p>
    <w:p w:rsidR="00000000" w:rsidRDefault="00000000">
      <w:pPr>
        <w:numPr>
          <w:ilvl w:val="0"/>
          <w:numId w:val="89"/>
        </w:numPr>
        <w:tabs>
          <w:tab w:val="left" w:pos="1876"/>
        </w:tabs>
        <w:spacing w:after="240"/>
      </w:pPr>
      <w:r>
        <w:t>2002:</w:t>
      </w:r>
      <w:r>
        <w:tab/>
        <w:t>Jeunesse;</w:t>
      </w:r>
    </w:p>
    <w:p w:rsidR="00000000" w:rsidRDefault="00000000">
      <w:pPr>
        <w:numPr>
          <w:ilvl w:val="0"/>
          <w:numId w:val="89"/>
        </w:numPr>
        <w:tabs>
          <w:tab w:val="left" w:pos="1876"/>
        </w:tabs>
        <w:spacing w:after="240"/>
      </w:pPr>
      <w:r>
        <w:t>2003:</w:t>
      </w:r>
      <w:r>
        <w:tab/>
        <w:t>Mise en œuvre des décisions prises par la Conférence de Durban;</w:t>
      </w:r>
    </w:p>
    <w:p w:rsidR="00000000" w:rsidRDefault="00000000">
      <w:pPr>
        <w:numPr>
          <w:ilvl w:val="0"/>
          <w:numId w:val="89"/>
        </w:numPr>
        <w:tabs>
          <w:tab w:val="left" w:pos="1876"/>
        </w:tabs>
        <w:spacing w:after="240"/>
      </w:pPr>
      <w:r>
        <w:t>2004:</w:t>
      </w:r>
      <w:r>
        <w:tab/>
        <w:t>Monde du travail;</w:t>
      </w:r>
    </w:p>
    <w:p w:rsidR="00000000" w:rsidRDefault="00000000">
      <w:pPr>
        <w:numPr>
          <w:ilvl w:val="0"/>
          <w:numId w:val="89"/>
        </w:numPr>
        <w:tabs>
          <w:tab w:val="left" w:pos="1876"/>
        </w:tabs>
        <w:spacing w:after="240"/>
      </w:pPr>
      <w:r>
        <w:t>2005:</w:t>
      </w:r>
      <w:r>
        <w:tab/>
        <w:t xml:space="preserve">Agir sur le long terme − Favoriser les droits humains et la </w:t>
      </w:r>
      <w:proofErr w:type="spellStart"/>
      <w:r>
        <w:t>non</w:t>
      </w:r>
      <w:r>
        <w:noBreakHyphen/>
        <w:t>discrimination</w:t>
      </w:r>
      <w:proofErr w:type="spellEnd"/>
      <w:r>
        <w:t xml:space="preserve"> </w:t>
      </w:r>
      <w:r>
        <w:br/>
      </w:r>
      <w:r>
        <w:tab/>
        <w:t>dans la vie quotidienne.</w:t>
      </w:r>
    </w:p>
    <w:p w:rsidR="00000000" w:rsidRDefault="00000000">
      <w:pPr>
        <w:spacing w:after="240"/>
      </w:pPr>
      <w:r>
        <w:t>200.</w:t>
      </w:r>
      <w:r>
        <w:tab/>
        <w:t>Sur 994 projets déposés, 529 ont bénéficié d’un soutien.</w:t>
      </w:r>
      <w:r>
        <w:rPr>
          <w:i/>
          <w:iCs/>
        </w:rPr>
        <w:t xml:space="preserve"> </w:t>
      </w:r>
      <w:r>
        <w:t>Ils provenaient des m</w:t>
      </w:r>
      <w:r>
        <w:t>i</w:t>
      </w:r>
      <w:r>
        <w:t>lieux les plus divers: classes d’écoles et groupes de jeunes, administrations cantonales ou co</w:t>
      </w:r>
      <w:r>
        <w:t>m</w:t>
      </w:r>
      <w:r>
        <w:t>munales, employeurs et employés, œuvres d’entraide et organisations d’étrangers. Il a été intéressant de constater que, bien qu’ayant toujours été importante, la part des projets dép</w:t>
      </w:r>
      <w:r>
        <w:t>o</w:t>
      </w:r>
      <w:r>
        <w:t>sés par les pouvoirs publics n’a cessé d’augmenter.</w:t>
      </w:r>
    </w:p>
    <w:p w:rsidR="00000000" w:rsidRDefault="00000000">
      <w:pPr>
        <w:spacing w:after="240"/>
      </w:pPr>
      <w:r>
        <w:t>201.</w:t>
      </w:r>
      <w:r>
        <w:tab/>
        <w:t>Le nombre de projets dans le domaine scolaire, déjà élevé, a encore augmenté d’année en année. Jusqu’à l’année passée, les projets d’intervention contre la violence n’ont aussi cessé de se multiplier. Cette progression s’explique d’une part par la façon dont le pr</w:t>
      </w:r>
      <w:r>
        <w:t>o</w:t>
      </w:r>
      <w:r>
        <w:t>blème est perçu dans l’opinion publique, et d’autre part par les restrictions budgétaires imp</w:t>
      </w:r>
      <w:r>
        <w:t>o</w:t>
      </w:r>
      <w:r>
        <w:t>sées dans les cantons et les communes. Elle prouve toutefois aussi que le travail d’intervention, impliquant une discussion à cœur ouvert des problèmes posés par les préj</w:t>
      </w:r>
      <w:r>
        <w:t>u</w:t>
      </w:r>
      <w:r>
        <w:t>gés et la xénophobie, est un moyen de lutte contre la violence qui semble prometteur à long terme.</w:t>
      </w:r>
    </w:p>
    <w:p w:rsidR="00000000" w:rsidRDefault="00000000">
      <w:pPr>
        <w:spacing w:after="240"/>
      </w:pPr>
      <w:r>
        <w:t>202.</w:t>
      </w:r>
      <w:r>
        <w:tab/>
        <w:t>Les projets ainsi que le travail de suivi du SLR ont largement contribué à faire prendre conscience du problème que représentent le racisme et la xénophobie ainsi qu’à faire reco</w:t>
      </w:r>
      <w:r>
        <w:t>n</w:t>
      </w:r>
      <w:r>
        <w:t>naître ces phénomènes comme des éléments certes douloureux, mais incontournables et gérables, de notre société. En résumé, les principaux résultats positifs ont été les su</w:t>
      </w:r>
      <w:r>
        <w:t>i</w:t>
      </w:r>
      <w:r>
        <w:t>vants:</w:t>
      </w:r>
    </w:p>
    <w:p w:rsidR="00000000" w:rsidRDefault="00000000">
      <w:pPr>
        <w:numPr>
          <w:ilvl w:val="0"/>
          <w:numId w:val="97"/>
        </w:numPr>
        <w:spacing w:after="240"/>
      </w:pPr>
      <w:r>
        <w:t>Expérimentation et évaluation de conceptions novatrices de l’intervention, de la prévention et de la sensibilisation;</w:t>
      </w:r>
    </w:p>
    <w:p w:rsidR="00000000" w:rsidRDefault="00000000">
      <w:pPr>
        <w:numPr>
          <w:ilvl w:val="0"/>
          <w:numId w:val="97"/>
        </w:numPr>
        <w:spacing w:after="240"/>
      </w:pPr>
      <w:r>
        <w:t>Mise en place et mise en réseau d’antennes et de services de conseil aux vict</w:t>
      </w:r>
      <w:r>
        <w:t>i</w:t>
      </w:r>
      <w:r>
        <w:t>mes et aux collectivités publiques;</w:t>
      </w:r>
    </w:p>
    <w:p w:rsidR="00000000" w:rsidRDefault="00000000">
      <w:pPr>
        <w:numPr>
          <w:ilvl w:val="0"/>
          <w:numId w:val="97"/>
        </w:numPr>
        <w:spacing w:after="240"/>
      </w:pPr>
      <w:r>
        <w:t xml:space="preserve">Transfert de </w:t>
      </w:r>
      <w:proofErr w:type="spellStart"/>
      <w:r>
        <w:t>savoir</w:t>
      </w:r>
      <w:r>
        <w:noBreakHyphen/>
        <w:t>faire</w:t>
      </w:r>
      <w:proofErr w:type="spellEnd"/>
      <w:r>
        <w:t xml:space="preserve"> vers des services de consultation non spécifiques leur permettant de traiter le sujet de manière professionnelle;</w:t>
      </w:r>
    </w:p>
    <w:p w:rsidR="00000000" w:rsidRDefault="00000000">
      <w:pPr>
        <w:numPr>
          <w:ilvl w:val="0"/>
          <w:numId w:val="97"/>
        </w:numPr>
        <w:spacing w:after="240"/>
      </w:pPr>
      <w:r>
        <w:t>Professionnalisation et mise en réseau d’organismes spécialisés;</w:t>
      </w:r>
    </w:p>
    <w:p w:rsidR="00000000" w:rsidRDefault="00000000">
      <w:pPr>
        <w:numPr>
          <w:ilvl w:val="0"/>
          <w:numId w:val="97"/>
        </w:numPr>
        <w:spacing w:after="240"/>
      </w:pPr>
      <w:r>
        <w:t>Multiplication et spécification des cours de formation de base et de formation continue.</w:t>
      </w:r>
    </w:p>
    <w:p w:rsidR="00000000" w:rsidRDefault="00000000">
      <w:pPr>
        <w:keepNext/>
        <w:spacing w:after="200"/>
      </w:pPr>
      <w:r>
        <w:t>203.</w:t>
      </w:r>
      <w:r>
        <w:tab/>
        <w:t>L’analyse différenciée des activités du Fonds sous plusieurs angles est unique aussi au niveau international:</w:t>
      </w:r>
    </w:p>
    <w:p w:rsidR="00000000" w:rsidRDefault="00000000">
      <w:pPr>
        <w:numPr>
          <w:ilvl w:val="0"/>
          <w:numId w:val="91"/>
        </w:numPr>
        <w:spacing w:after="200"/>
      </w:pPr>
      <w:r>
        <w:t>L’administration et les résultats des projets soutenus par le Fonds ont été consignés dans des rapports d’évaluation annuels. Le SLR a rédigé un ra</w:t>
      </w:r>
      <w:r>
        <w:t>p</w:t>
      </w:r>
      <w:r>
        <w:t>port final donnant un aperçu des cinq années d’activité du Fonds</w:t>
      </w:r>
      <w:r>
        <w:rPr>
          <w:rStyle w:val="FootnoteReference"/>
        </w:rPr>
        <w:footnoteReference w:id="137"/>
      </w:r>
      <w:r>
        <w:t>.</w:t>
      </w:r>
    </w:p>
    <w:p w:rsidR="00000000" w:rsidRDefault="00000000">
      <w:pPr>
        <w:numPr>
          <w:ilvl w:val="0"/>
          <w:numId w:val="91"/>
        </w:numPr>
        <w:spacing w:after="200"/>
      </w:pPr>
      <w:r>
        <w:t>Chaque projet relevant du domaine scolaire est apprécié par le service régi</w:t>
      </w:r>
      <w:r>
        <w:t>o</w:t>
      </w:r>
      <w:r>
        <w:t>nal compétent de la fondation Éducation et développement. Ces appréci</w:t>
      </w:r>
      <w:r>
        <w:t>a</w:t>
      </w:r>
      <w:r>
        <w:t>tions sont ensuite encore soumises à une commission d’experts.</w:t>
      </w:r>
    </w:p>
    <w:p w:rsidR="00000000" w:rsidRDefault="00000000">
      <w:pPr>
        <w:numPr>
          <w:ilvl w:val="0"/>
          <w:numId w:val="91"/>
        </w:numPr>
        <w:spacing w:after="200"/>
      </w:pPr>
      <w:r>
        <w:t>Les ateliers d’analyse des résultats auxquels les responsables des projets ont été conviés en 2005 ont servi de base à la conception du document de sy</w:t>
      </w:r>
      <w:r>
        <w:t>n</w:t>
      </w:r>
      <w:r>
        <w:t>thèse avec son </w:t>
      </w:r>
      <w:proofErr w:type="spellStart"/>
      <w:r>
        <w:t>DVD</w:t>
      </w:r>
      <w:proofErr w:type="spellEnd"/>
      <w:r>
        <w:t>.</w:t>
      </w:r>
    </w:p>
    <w:p w:rsidR="00000000" w:rsidRDefault="00000000">
      <w:pPr>
        <w:numPr>
          <w:ilvl w:val="0"/>
          <w:numId w:val="91"/>
        </w:numPr>
        <w:spacing w:after="200"/>
      </w:pPr>
      <w:r>
        <w:t>Bon nombre de projets de recherche menés à bien dans le contexte du Pr</w:t>
      </w:r>
      <w:r>
        <w:t>o</w:t>
      </w:r>
      <w:r>
        <w:t xml:space="preserve">gramme national de recherche </w:t>
      </w:r>
      <w:proofErr w:type="spellStart"/>
      <w:r>
        <w:t>PNR</w:t>
      </w:r>
      <w:proofErr w:type="spellEnd"/>
      <w:r>
        <w:t xml:space="preserve"> 40+ «Extrémisme de droite. Causes et </w:t>
      </w:r>
      <w:proofErr w:type="spellStart"/>
      <w:r>
        <w:t>contre</w:t>
      </w:r>
      <w:r>
        <w:noBreakHyphen/>
        <w:t>mesures</w:t>
      </w:r>
      <w:proofErr w:type="spellEnd"/>
      <w:r>
        <w:t>» reposent sur des expériences récoltées grâce à des projets soutenus par le Fonds.</w:t>
      </w:r>
    </w:p>
    <w:p w:rsidR="00000000" w:rsidRDefault="00000000">
      <w:pPr>
        <w:spacing w:after="200"/>
      </w:pPr>
      <w:r>
        <w:t>204.</w:t>
      </w:r>
      <w:r>
        <w:tab/>
        <w:t>En 2005, le SLR a procédé à une étude analytique complète de tous les projets. À l’occasion d’une réunion finale, qui s’est tenue en novembre 2005 en présence de M. Pascal </w:t>
      </w:r>
      <w:proofErr w:type="spellStart"/>
      <w:r>
        <w:t>Couchepin</w:t>
      </w:r>
      <w:proofErr w:type="spellEnd"/>
      <w:r>
        <w:t>, Conseiller fédéral, de M. Doudou Diène, Rapporteur spécial de l’</w:t>
      </w:r>
      <w:proofErr w:type="spellStart"/>
      <w:r>
        <w:t>ONU</w:t>
      </w:r>
      <w:proofErr w:type="spellEnd"/>
      <w:r>
        <w:t xml:space="preserve"> sur les fo</w:t>
      </w:r>
      <w:r>
        <w:t>r</w:t>
      </w:r>
      <w:r>
        <w:t xml:space="preserve">mes modernes du racisme, et de M. Alvaro </w:t>
      </w:r>
      <w:proofErr w:type="spellStart"/>
      <w:r>
        <w:t>Gil</w:t>
      </w:r>
      <w:r>
        <w:noBreakHyphen/>
        <w:t>Robles</w:t>
      </w:r>
      <w:proofErr w:type="spellEnd"/>
      <w:r>
        <w:t>, Commissaire du Conseil de l’</w:t>
      </w:r>
      <w:proofErr w:type="spellStart"/>
      <w:r>
        <w:t>Europe</w:t>
      </w:r>
      <w:proofErr w:type="spellEnd"/>
      <w:r>
        <w:t xml:space="preserve"> aux droits humains, différents projets soutenus ont été éclairés rétroactivement et des per</w:t>
      </w:r>
      <w:r>
        <w:t>s</w:t>
      </w:r>
      <w:r>
        <w:t>pectives ont été esquissées en prévision d’activités futures.</w:t>
      </w:r>
    </w:p>
    <w:p w:rsidR="00000000" w:rsidRDefault="00000000">
      <w:pPr>
        <w:spacing w:after="200"/>
      </w:pPr>
      <w:r>
        <w:t>205.</w:t>
      </w:r>
      <w:r>
        <w:tab/>
        <w:t>Depuis 2006, la Confédération alloue chaque année 1,1 million de francs (dont 900 000 francs pour le f</w:t>
      </w:r>
      <w:r>
        <w:t>i</w:t>
      </w:r>
      <w:r>
        <w:t>nancement de projets et 200 000 francs pour des frais de matériel) au SLR pour son travail et pour le soutien de projets de tiers. Elle entend ainsi promouvoir un effort de prévention et de sensibilisation qui ait des effets dur</w:t>
      </w:r>
      <w:r>
        <w:t>a</w:t>
      </w:r>
      <w:r>
        <w:t>bles à long terme. Au moyen d’activités ciblées, le SLR continu</w:t>
      </w:r>
      <w:r>
        <w:t>e</w:t>
      </w:r>
      <w:r>
        <w:t>ra de contribuer à l’éducation, à la professionnalisation et à la mise en réseau dans le d</w:t>
      </w:r>
      <w:r>
        <w:t>o</w:t>
      </w:r>
      <w:r>
        <w:t xml:space="preserve">maine de la lutte contre le racisme. Le fait que le sujet sera désormais pris en compte dans les programmes d’autres services de la Confédération, notamment dans les domaines de l’intégration, de la santé, de la jeunesse, de l’éducation et de la recherche, apportera d’une part une </w:t>
      </w:r>
      <w:proofErr w:type="spellStart"/>
      <w:r>
        <w:t>plus</w:t>
      </w:r>
      <w:r>
        <w:noBreakHyphen/>
        <w:t>value</w:t>
      </w:r>
      <w:proofErr w:type="spellEnd"/>
      <w:r>
        <w:t xml:space="preserve"> substantielle et fera d’autre part apparaître le thème du racisme sous un jour nouveau, pluridisciplinaire.</w:t>
      </w:r>
    </w:p>
    <w:p w:rsidR="00000000" w:rsidRDefault="00000000">
      <w:pPr>
        <w:keepNext/>
        <w:spacing w:after="200"/>
        <w:jc w:val="center"/>
        <w:rPr>
          <w:b/>
          <w:bCs/>
          <w:szCs w:val="24"/>
        </w:rPr>
      </w:pPr>
      <w:bookmarkStart w:id="116" w:name="_Toc163552255"/>
      <w:r>
        <w:rPr>
          <w:b/>
          <w:bCs/>
          <w:szCs w:val="24"/>
        </w:rPr>
        <w:t>2.  Commission fédérale contre le racisme (</w:t>
      </w:r>
      <w:proofErr w:type="spellStart"/>
      <w:r>
        <w:rPr>
          <w:b/>
          <w:bCs/>
          <w:szCs w:val="24"/>
        </w:rPr>
        <w:t>CFR</w:t>
      </w:r>
      <w:proofErr w:type="spellEnd"/>
      <w:r>
        <w:rPr>
          <w:b/>
          <w:bCs/>
          <w:szCs w:val="24"/>
        </w:rPr>
        <w:t>)</w:t>
      </w:r>
      <w:bookmarkEnd w:id="116"/>
    </w:p>
    <w:p w:rsidR="00000000" w:rsidRDefault="00000000">
      <w:pPr>
        <w:spacing w:after="200"/>
      </w:pPr>
      <w:r>
        <w:t>206.</w:t>
      </w:r>
      <w:r>
        <w:tab/>
        <w:t xml:space="preserve">En septembre 2005, la </w:t>
      </w:r>
      <w:proofErr w:type="spellStart"/>
      <w:r>
        <w:t>CFR</w:t>
      </w:r>
      <w:proofErr w:type="spellEnd"/>
      <w:r>
        <w:t xml:space="preserve"> a fêté ses dix ans d’existence. Son budget d’exploitation se monte en moyenne à environ 185 000 francs par année. Comme son mandat et ses act</w:t>
      </w:r>
      <w:r>
        <w:t>i</w:t>
      </w:r>
      <w:r>
        <w:t>vités ont déjà été éclairés de manière circonstanciée dans les deuxième et troisième rapports p</w:t>
      </w:r>
      <w:r>
        <w:t>é</w:t>
      </w:r>
      <w:r>
        <w:t>riodiques, nous nous contentons ici d’y renvoyer (</w:t>
      </w:r>
      <w:proofErr w:type="spellStart"/>
      <w:r>
        <w:t>CERD</w:t>
      </w:r>
      <w:proofErr w:type="spellEnd"/>
      <w:r>
        <w:t>/C/351/</w:t>
      </w:r>
      <w:proofErr w:type="spellStart"/>
      <w:r>
        <w:t>Add.2</w:t>
      </w:r>
      <w:proofErr w:type="spellEnd"/>
      <w:r>
        <w:t xml:space="preserve">, par. 218 à 226). Cela nous permet de nous concentrer sur les principales orientations de ces dernières années et sur les projets que la </w:t>
      </w:r>
      <w:proofErr w:type="spellStart"/>
      <w:r>
        <w:t>CFR</w:t>
      </w:r>
      <w:proofErr w:type="spellEnd"/>
      <w:r>
        <w:t xml:space="preserve"> a réalis</w:t>
      </w:r>
      <w:r>
        <w:t>é</w:t>
      </w:r>
      <w:r>
        <w:t>s dans le cadre de son mandat durant cette période.</w:t>
      </w:r>
    </w:p>
    <w:p w:rsidR="00000000" w:rsidRDefault="00000000">
      <w:pPr>
        <w:spacing w:after="240"/>
      </w:pPr>
      <w:r>
        <w:t>207.</w:t>
      </w:r>
      <w:r>
        <w:tab/>
        <w:t xml:space="preserve">Après avoir consacré beaucoup d’énergie à aborder le phénomène du racisme sur les plans idéologique et symbolique ces dernières années, la </w:t>
      </w:r>
      <w:proofErr w:type="spellStart"/>
      <w:r>
        <w:t>CFR</w:t>
      </w:r>
      <w:proofErr w:type="spellEnd"/>
      <w:r>
        <w:t xml:space="preserve"> prévoit, à l’avenir, d’accorder une attention accrue à la concrétisation de l’égalité de traitement dans les faits. Dans les d</w:t>
      </w:r>
      <w:r>
        <w:t>o</w:t>
      </w:r>
      <w:r>
        <w:t>maines du travail et du logement, par exemple, elle entend œuvrer en faveur d’une interdi</w:t>
      </w:r>
      <w:r>
        <w:t>c</w:t>
      </w:r>
      <w:r>
        <w:t>tion explicite de la discrimination entre particuliers. Elle soutient les efforts v</w:t>
      </w:r>
      <w:r>
        <w:t>i</w:t>
      </w:r>
      <w:r>
        <w:t>sant à renforcer les instruments de droit pénal, notamment dans la perspective d’une interdiction des organ</w:t>
      </w:r>
      <w:r>
        <w:t>i</w:t>
      </w:r>
      <w:r>
        <w:t>sations et symboles racistes</w:t>
      </w:r>
      <w:r>
        <w:rPr>
          <w:rStyle w:val="FootnoteReference"/>
        </w:rPr>
        <w:footnoteReference w:id="138"/>
      </w:r>
      <w:r>
        <w:t>. À l’occasion de son dixième anniversaire et en prévision de ces prochaines années, la </w:t>
      </w:r>
      <w:proofErr w:type="spellStart"/>
      <w:r>
        <w:t>CFR</w:t>
      </w:r>
      <w:proofErr w:type="spellEnd"/>
      <w:r>
        <w:t xml:space="preserve"> propose une stratégie en cinq points «pour une politique commune contre le racisme»</w:t>
      </w:r>
      <w:r>
        <w:rPr>
          <w:rStyle w:val="FootnoteReference"/>
        </w:rPr>
        <w:footnoteReference w:id="139"/>
      </w:r>
      <w:r>
        <w:t>.</w:t>
      </w:r>
    </w:p>
    <w:p w:rsidR="00000000" w:rsidRDefault="00000000">
      <w:pPr>
        <w:spacing w:after="240"/>
      </w:pPr>
      <w:r>
        <w:t>208.</w:t>
      </w:r>
      <w:r>
        <w:tab/>
        <w:t>Au moyen de textes sur cartes et affiches, la campagne médiatique de sensibilis</w:t>
      </w:r>
      <w:r>
        <w:t>a</w:t>
      </w:r>
      <w:r>
        <w:t>tion lancée sous le titre «Sans exclusion» attire l’attention du grand public sur des situations de la vie quotidienne, que des personnes de religion, de couleur ou d’origine différentes peuvent re</w:t>
      </w:r>
      <w:r>
        <w:t>s</w:t>
      </w:r>
      <w:r>
        <w:t>sentir comme une atteinte à leur dignité. La campagne a été parrainée par des entrepr</w:t>
      </w:r>
      <w:r>
        <w:t>i</w:t>
      </w:r>
      <w:r>
        <w:t>ses et organisations, qui la diffusent gratuitement.</w:t>
      </w:r>
    </w:p>
    <w:p w:rsidR="00000000" w:rsidRDefault="00000000">
      <w:pPr>
        <w:spacing w:after="240"/>
      </w:pPr>
      <w:r>
        <w:t>209.</w:t>
      </w:r>
      <w:r>
        <w:tab/>
        <w:t xml:space="preserve">La </w:t>
      </w:r>
      <w:proofErr w:type="spellStart"/>
      <w:r>
        <w:t>CFR</w:t>
      </w:r>
      <w:proofErr w:type="spellEnd"/>
      <w:r>
        <w:t xml:space="preserve"> se sert de l’instrument du communiqué de presse pour se prononcer sur des événements politiques à chaque fois qu’elle perçoit ou craint des discriminations</w:t>
      </w:r>
      <w:r>
        <w:rPr>
          <w:rStyle w:val="FootnoteReference"/>
        </w:rPr>
        <w:footnoteReference w:id="140"/>
      </w:r>
      <w:r>
        <w:t xml:space="preserve">. Elle s’exprime dans le contexte de procédures de consultation portant sur des sujets qui relèvent de son mandat. La </w:t>
      </w:r>
      <w:proofErr w:type="spellStart"/>
      <w:r>
        <w:t>CFR</w:t>
      </w:r>
      <w:proofErr w:type="spellEnd"/>
      <w:r>
        <w:t xml:space="preserve"> a ainsi pris position par exemple dans le contexte des procédures de consultation relatives à la loi fédérale sur le Bureau fédéral de médiation, relative à l’ordonnance sur l’intégration des étrangers et relative à la révision totale de la loi sur l’aide aux victimes d’infractions. Outre son bulletin «</w:t>
      </w:r>
      <w:proofErr w:type="spellStart"/>
      <w:r>
        <w:t>Tangram</w:t>
      </w:r>
      <w:proofErr w:type="spellEnd"/>
      <w:r>
        <w:t xml:space="preserve">», une publication bisannuelle, la </w:t>
      </w:r>
      <w:proofErr w:type="spellStart"/>
      <w:r>
        <w:t>CFR</w:t>
      </w:r>
      <w:proofErr w:type="spellEnd"/>
      <w:r>
        <w:t xml:space="preserve"> a publié des rapports et des études portant sur des thèmes spécifiques (voir </w:t>
      </w:r>
      <w:r>
        <w:rPr>
          <w:i/>
          <w:iCs/>
        </w:rPr>
        <w:t>supra</w:t>
      </w:r>
      <w:r>
        <w:t>, par. 92). Une importance croissante revient à son site Internet ainsi qu’aux informations que l’on y trouve.</w:t>
      </w:r>
    </w:p>
    <w:p w:rsidR="00000000" w:rsidRDefault="00000000">
      <w:pPr>
        <w:spacing w:after="240"/>
      </w:pPr>
      <w:r>
        <w:t>210.</w:t>
      </w:r>
      <w:r>
        <w:tab/>
        <w:t xml:space="preserve">Exerçant une fonction de médiatrice, la </w:t>
      </w:r>
      <w:proofErr w:type="spellStart"/>
      <w:r>
        <w:t>CFR</w:t>
      </w:r>
      <w:proofErr w:type="spellEnd"/>
      <w:r>
        <w:t xml:space="preserve"> conseille les personnes qui s’estiment victimes d’actes de discrimination raciale, mais aussi des entreprises et des serv</w:t>
      </w:r>
      <w:r>
        <w:t>i</w:t>
      </w:r>
      <w:r>
        <w:t xml:space="preserve">ces de consultation confrontés à des questions de racisme. Chaque jour, un cas de conflit au moins est dénoncé à la Commission. La </w:t>
      </w:r>
      <w:proofErr w:type="spellStart"/>
      <w:r>
        <w:t>CFR</w:t>
      </w:r>
      <w:proofErr w:type="spellEnd"/>
      <w:r>
        <w:t xml:space="preserve"> est aussi l’organe auquel peuvent s’adresser toutes les personnes qui, au sens de l’article 14 de la Convention, souhaitent présenter une communic</w:t>
      </w:r>
      <w:r>
        <w:t>a</w:t>
      </w:r>
      <w:r>
        <w:t xml:space="preserve">tion au </w:t>
      </w:r>
      <w:proofErr w:type="spellStart"/>
      <w:r>
        <w:t>CERD</w:t>
      </w:r>
      <w:proofErr w:type="spellEnd"/>
      <w:r>
        <w:t xml:space="preserve"> et désirent se faire conseiller sur la procédure à suivre, l’efficacité de la déma</w:t>
      </w:r>
      <w:r>
        <w:t>r</w:t>
      </w:r>
      <w:r>
        <w:t>che et les cha</w:t>
      </w:r>
      <w:r>
        <w:t>n</w:t>
      </w:r>
      <w:r>
        <w:t>ces de succès.</w:t>
      </w:r>
    </w:p>
    <w:p w:rsidR="00000000" w:rsidRDefault="00000000">
      <w:pPr>
        <w:spacing w:after="240"/>
      </w:pPr>
      <w:r>
        <w:t>211.</w:t>
      </w:r>
      <w:r>
        <w:tab/>
        <w:t>Dans sa réponse à une motion émanant de la droite bourgeoise</w:t>
      </w:r>
      <w:r>
        <w:rPr>
          <w:rStyle w:val="FootnoteReference"/>
        </w:rPr>
        <w:footnoteReference w:id="141"/>
      </w:r>
      <w:r>
        <w:t xml:space="preserve">, qui demandait la suppression de la </w:t>
      </w:r>
      <w:proofErr w:type="spellStart"/>
      <w:r>
        <w:t>CFR</w:t>
      </w:r>
      <w:proofErr w:type="spellEnd"/>
      <w:r>
        <w:t>, le Gouvernement suisse a confirmé l’importance du travail fourni par la Commission. L’intérêt très vif que lui témoignent non seulement les autorités au niveau de la Conf</w:t>
      </w:r>
      <w:r>
        <w:t>é</w:t>
      </w:r>
      <w:r>
        <w:t>dération, des cantons et des communes, mais aussi les ONG et les particuliers, ainsi que la renommée internationale de la Commission sont autant de preuves du professionn</w:t>
      </w:r>
      <w:r>
        <w:t>a</w:t>
      </w:r>
      <w:r>
        <w:t xml:space="preserve">lisme avec lequel la </w:t>
      </w:r>
      <w:proofErr w:type="spellStart"/>
      <w:r>
        <w:t>CFR</w:t>
      </w:r>
      <w:proofErr w:type="spellEnd"/>
      <w:r>
        <w:t xml:space="preserve"> a accompli son mandat au cours des dix dernières années.</w:t>
      </w:r>
    </w:p>
    <w:p w:rsidR="00000000" w:rsidRDefault="00000000">
      <w:pPr>
        <w:keepNext/>
        <w:spacing w:after="240"/>
        <w:jc w:val="center"/>
        <w:rPr>
          <w:b/>
          <w:bCs/>
          <w:szCs w:val="24"/>
        </w:rPr>
      </w:pPr>
      <w:bookmarkStart w:id="117" w:name="_Toc163552256"/>
      <w:r>
        <w:rPr>
          <w:b/>
          <w:bCs/>
          <w:szCs w:val="24"/>
        </w:rPr>
        <w:t>3.  Commission fédérale des étrangers (</w:t>
      </w:r>
      <w:proofErr w:type="spellStart"/>
      <w:r>
        <w:rPr>
          <w:b/>
          <w:bCs/>
          <w:szCs w:val="24"/>
        </w:rPr>
        <w:t>CFE</w:t>
      </w:r>
      <w:proofErr w:type="spellEnd"/>
      <w:r>
        <w:rPr>
          <w:b/>
          <w:bCs/>
          <w:szCs w:val="24"/>
        </w:rPr>
        <w:t>)</w:t>
      </w:r>
      <w:bookmarkEnd w:id="117"/>
    </w:p>
    <w:p w:rsidR="00000000" w:rsidRDefault="00000000">
      <w:pPr>
        <w:spacing w:after="240"/>
      </w:pPr>
      <w:r>
        <w:t>212.</w:t>
      </w:r>
      <w:r>
        <w:tab/>
        <w:t>La Commission fédérale des étrangers est une commission extraparlementaire cha</w:t>
      </w:r>
      <w:r>
        <w:t>r</w:t>
      </w:r>
      <w:r>
        <w:t>gée de conseiller le Conseil fédéral. Elle se penche sur des questions sociales, économ</w:t>
      </w:r>
      <w:r>
        <w:t>i</w:t>
      </w:r>
      <w:r>
        <w:t>ques, culturelles, politiques, démographiques et juridiques se posant dans le contexte de la cohab</w:t>
      </w:r>
      <w:r>
        <w:t>i</w:t>
      </w:r>
      <w:r>
        <w:t>tation entre les populations suisse et étrangère. Elle s’efforce plus particulièrement de favor</w:t>
      </w:r>
      <w:r>
        <w:t>i</w:t>
      </w:r>
      <w:r>
        <w:t xml:space="preserve">ser l’intégration et l’égalité des chances (voir </w:t>
      </w:r>
      <w:proofErr w:type="spellStart"/>
      <w:r>
        <w:t>CERD</w:t>
      </w:r>
      <w:proofErr w:type="spellEnd"/>
      <w:r>
        <w:t>/C/270/</w:t>
      </w:r>
      <w:proofErr w:type="spellStart"/>
      <w:r>
        <w:t>Add.1</w:t>
      </w:r>
      <w:proofErr w:type="spellEnd"/>
      <w:r>
        <w:t xml:space="preserve">, par. 174, et </w:t>
      </w:r>
      <w:proofErr w:type="spellStart"/>
      <w:r>
        <w:t>CERD</w:t>
      </w:r>
      <w:proofErr w:type="spellEnd"/>
      <w:r>
        <w:t>/C/351/</w:t>
      </w:r>
      <w:proofErr w:type="spellStart"/>
      <w:r>
        <w:t>Add.2</w:t>
      </w:r>
      <w:proofErr w:type="spellEnd"/>
      <w:r>
        <w:t xml:space="preserve">, par. 227 à 229). </w:t>
      </w:r>
    </w:p>
    <w:p w:rsidR="00000000" w:rsidRDefault="00000000">
      <w:pPr>
        <w:spacing w:after="240"/>
      </w:pPr>
      <w:r>
        <w:t>213.</w:t>
      </w:r>
      <w:r>
        <w:tab/>
        <w:t xml:space="preserve">La mission dont la </w:t>
      </w:r>
      <w:proofErr w:type="spellStart"/>
      <w:r>
        <w:t>CFE</w:t>
      </w:r>
      <w:proofErr w:type="spellEnd"/>
      <w:r>
        <w:t xml:space="preserve"> est chargée est double: elle s’occupe d’abord de la gestion du crédit d’intégration, déjà mentionné au paragraphe 227 des deuxième et troisième rapports périodiques. Ce crédit sert à cofinancer des pr</w:t>
      </w:r>
      <w:r>
        <w:t>o</w:t>
      </w:r>
      <w:r>
        <w:t>jets correspondant aux points forts définis</w:t>
      </w:r>
      <w:r>
        <w:rPr>
          <w:rStyle w:val="FootnoteReference"/>
        </w:rPr>
        <w:footnoteReference w:id="142"/>
      </w:r>
      <w:r>
        <w:t>. La </w:t>
      </w:r>
      <w:proofErr w:type="spellStart"/>
      <w:r>
        <w:t>CFE</w:t>
      </w:r>
      <w:proofErr w:type="spellEnd"/>
      <w:r>
        <w:t xml:space="preserve"> examine les demandes reçues, se pr</w:t>
      </w:r>
      <w:r>
        <w:t>o</w:t>
      </w:r>
      <w:r>
        <w:t>nonce à leur sujet et soumet sa proposition pour approbation à l’</w:t>
      </w:r>
      <w:proofErr w:type="spellStart"/>
      <w:r>
        <w:t>Office</w:t>
      </w:r>
      <w:proofErr w:type="spellEnd"/>
      <w:r>
        <w:t xml:space="preserve"> fédéral des migrations. La mise en œuvre du Programme de points forts 2001–2003 a été l’objet d’une évaluation et a été jugée positive dans l’ensemble</w:t>
      </w:r>
      <w:r>
        <w:rPr>
          <w:rStyle w:val="FootnoteReference"/>
        </w:rPr>
        <w:footnoteReference w:id="143"/>
      </w:r>
      <w:r>
        <w:t>. Le Programme pour la promotion de l’intégration 2004 à 2007 a été conçu sur la base des expériences faites dans le cadre du premier pr</w:t>
      </w:r>
      <w:r>
        <w:t>o</w:t>
      </w:r>
      <w:r>
        <w:t>gramme et compte tenu des évolutions importantes relevées en matière d’intégration. Pour les années 2004 et 2005, un crédit annuel de 13,7 millions de francs a été mis à disposition pour le soutien de projets. Ces moyens financiers ont permis d’encourager financi</w:t>
      </w:r>
      <w:r>
        <w:t>è</w:t>
      </w:r>
      <w:r>
        <w:t>rement plus de 600 projets par année</w:t>
      </w:r>
      <w:r>
        <w:rPr>
          <w:rStyle w:val="FootnoteReference"/>
        </w:rPr>
        <w:footnoteReference w:id="144"/>
      </w:r>
      <w:r>
        <w:t>.</w:t>
      </w:r>
    </w:p>
    <w:p w:rsidR="00000000" w:rsidRDefault="00000000">
      <w:pPr>
        <w:spacing w:after="240"/>
      </w:pPr>
      <w:r>
        <w:t>214.</w:t>
      </w:r>
      <w:r>
        <w:tab/>
        <w:t xml:space="preserve">Ensuite, la </w:t>
      </w:r>
      <w:proofErr w:type="spellStart"/>
      <w:r>
        <w:t>CFE</w:t>
      </w:r>
      <w:proofErr w:type="spellEnd"/>
      <w:r>
        <w:t xml:space="preserve"> fournit aussi un important travail politique. Elle approfondit des sujets en rapport avec l’intégration</w:t>
      </w:r>
      <w:r>
        <w:rPr>
          <w:rStyle w:val="FootnoteReference"/>
        </w:rPr>
        <w:footnoteReference w:id="145"/>
      </w:r>
      <w:r>
        <w:t>, émet des recommandations, donne son avis sur des que</w:t>
      </w:r>
      <w:r>
        <w:t>s</w:t>
      </w:r>
      <w:r>
        <w:t>tions relatives aux migrations ou à l’intégration dans le contexte de procédures de consult</w:t>
      </w:r>
      <w:r>
        <w:t>a</w:t>
      </w:r>
      <w:r>
        <w:t>tion et s’efforce de soutenir et de mettre en réseau les acteurs de l’</w:t>
      </w:r>
      <w:proofErr w:type="spellStart"/>
      <w:r>
        <w:t>État</w:t>
      </w:r>
      <w:proofErr w:type="spellEnd"/>
      <w:r>
        <w:t xml:space="preserve"> et de la s</w:t>
      </w:r>
      <w:r>
        <w:t>o</w:t>
      </w:r>
      <w:r>
        <w:t xml:space="preserve">ciété civile qui travaillent dans le domaine de l’intégration. La </w:t>
      </w:r>
      <w:proofErr w:type="spellStart"/>
      <w:r>
        <w:t>CFE</w:t>
      </w:r>
      <w:proofErr w:type="spellEnd"/>
      <w:r>
        <w:t xml:space="preserve"> publie en outre le mag</w:t>
      </w:r>
      <w:r>
        <w:t>a</w:t>
      </w:r>
      <w:r>
        <w:t xml:space="preserve">zine bisannuel </w:t>
      </w:r>
      <w:r>
        <w:rPr>
          <w:i/>
          <w:iCs/>
        </w:rPr>
        <w:t xml:space="preserve">Terra </w:t>
      </w:r>
      <w:proofErr w:type="spellStart"/>
      <w:r>
        <w:rPr>
          <w:i/>
          <w:iCs/>
        </w:rPr>
        <w:t>cognita</w:t>
      </w:r>
      <w:proofErr w:type="spellEnd"/>
      <w:r>
        <w:t xml:space="preserve">, qui traite de thèmes divers en rapport avec l’intégration et les migrations. En créant le prix suisse d’intégration, décerné pour la première fois en 2005, la </w:t>
      </w:r>
      <w:proofErr w:type="spellStart"/>
      <w:r>
        <w:t>CFE</w:t>
      </w:r>
      <w:proofErr w:type="spellEnd"/>
      <w:r>
        <w:t xml:space="preserve"> s’est donné les moyens de primer les meilleures initiatives et les meilleurs projets dans le domaine de l’intégration.</w:t>
      </w:r>
    </w:p>
    <w:p w:rsidR="00000000" w:rsidRDefault="00000000">
      <w:pPr>
        <w:spacing w:after="240"/>
      </w:pPr>
      <w:r>
        <w:t>215.</w:t>
      </w:r>
      <w:r>
        <w:tab/>
        <w:t xml:space="preserve">La </w:t>
      </w:r>
      <w:proofErr w:type="spellStart"/>
      <w:r>
        <w:t>CFE</w:t>
      </w:r>
      <w:proofErr w:type="spellEnd"/>
      <w:r>
        <w:t xml:space="preserve"> choisit chaque année des thèmes qu’elle se propose d’approfondir dans le contexte de son activité politique. En 2005, la Commission s’est penchée sur la question de l’ouverture des institutions, le but étant d’inciter les administrations publiques et les organi</w:t>
      </w:r>
      <w:r>
        <w:t>s</w:t>
      </w:r>
      <w:r>
        <w:t>mes de la société civile à reconsidérer leur conception et leurs activités à la lumière de la pl</w:t>
      </w:r>
      <w:r>
        <w:t>u</w:t>
      </w:r>
      <w:r>
        <w:t xml:space="preserve">ralité de la société suisse. Dans le cadre du Programme de promotion de l’intégration, la </w:t>
      </w:r>
      <w:proofErr w:type="spellStart"/>
      <w:r>
        <w:t>CFE</w:t>
      </w:r>
      <w:proofErr w:type="spellEnd"/>
      <w:r>
        <w:t xml:space="preserve"> soutient donc financièrement les institutions de la société civile qui souhaitent s’engager dans un processus d’ouverture. Outre différents autres projets et activités en rapport avec ce thème, la </w:t>
      </w:r>
      <w:proofErr w:type="spellStart"/>
      <w:r>
        <w:t>CFE</w:t>
      </w:r>
      <w:proofErr w:type="spellEnd"/>
      <w:r>
        <w:t xml:space="preserve"> a émis des recommandations en vue de «l’ouverture des institutions dans les administrations et dans la société civile», commandé plusieurs études à ce sujet, produit un DVD qui a pour but d’encourager les institutions à s’engager dans des processus d’ouverture, et organisé une journée nationale sur le sujet. Le thème de l’année 2004 était «Intégration et habitat–logement, politique de l’habitat et aménagement du territoire». Di</w:t>
      </w:r>
      <w:r>
        <w:t>f</w:t>
      </w:r>
      <w:r>
        <w:t>férentes études et plusieurs textes ont été publiés à ce sujet et une journée nationale a été organisée sur ce thème. Des projets portant sur l’intégration et l’habitat ont en outre été e</w:t>
      </w:r>
      <w:r>
        <w:t>n</w:t>
      </w:r>
      <w:r>
        <w:t>couragés. Le point fort thématique de l’année 2003 était l’intégration des migrants sur le m</w:t>
      </w:r>
      <w:r>
        <w:t>a</w:t>
      </w:r>
      <w:r>
        <w:t>rché du travail et dans le monde du travail.</w:t>
      </w:r>
    </w:p>
    <w:p w:rsidR="00000000" w:rsidRDefault="00000000">
      <w:pPr>
        <w:keepNext/>
        <w:spacing w:after="240"/>
        <w:jc w:val="center"/>
        <w:rPr>
          <w:b/>
          <w:bCs/>
          <w:szCs w:val="24"/>
        </w:rPr>
      </w:pPr>
      <w:bookmarkStart w:id="118" w:name="_Toc163552257"/>
      <w:r>
        <w:rPr>
          <w:b/>
          <w:bCs/>
          <w:szCs w:val="24"/>
        </w:rPr>
        <w:t>4.  Mesures concernant l’enseignement et l’éducation</w:t>
      </w:r>
      <w:bookmarkEnd w:id="118"/>
    </w:p>
    <w:p w:rsidR="00000000" w:rsidRDefault="00000000">
      <w:pPr>
        <w:spacing w:after="240"/>
      </w:pPr>
      <w:r>
        <w:t>216.</w:t>
      </w:r>
      <w:r>
        <w:tab/>
        <w:t>En 2003, la Conférence des directeurs cantonaux de l’instruction publique (</w:t>
      </w:r>
      <w:proofErr w:type="spellStart"/>
      <w:r>
        <w:t>CDIP</w:t>
      </w:r>
      <w:proofErr w:type="spellEnd"/>
      <w:r>
        <w:t>) a déc</w:t>
      </w:r>
      <w:r>
        <w:t>i</w:t>
      </w:r>
      <w:r>
        <w:t>dé d’instituer dès 2004 une Journée de la Mémoire de l’</w:t>
      </w:r>
      <w:proofErr w:type="spellStart"/>
      <w:r>
        <w:t>Holocauste</w:t>
      </w:r>
      <w:proofErr w:type="spellEnd"/>
      <w:r>
        <w:t>, commémorée dans to</w:t>
      </w:r>
      <w:r>
        <w:t>u</w:t>
      </w:r>
      <w:r>
        <w:t>tes les écoles de Suisse le 27 janvier</w:t>
      </w:r>
      <w:r>
        <w:rPr>
          <w:rStyle w:val="FootnoteReference"/>
          <w:bCs/>
        </w:rPr>
        <w:footnoteReference w:id="146"/>
      </w:r>
      <w:r>
        <w:t>. Elle a ainsi repris une initiative du Conseil de l’</w:t>
      </w:r>
      <w:proofErr w:type="spellStart"/>
      <w:r>
        <w:t>Europe</w:t>
      </w:r>
      <w:proofErr w:type="spellEnd"/>
      <w:r>
        <w:t>, de même qu’une résolution des Ministres de l’éducation du Conseil de l’</w:t>
      </w:r>
      <w:proofErr w:type="spellStart"/>
      <w:r>
        <w:t>Europe</w:t>
      </w:r>
      <w:proofErr w:type="spellEnd"/>
      <w:r>
        <w:t xml:space="preserve"> d</w:t>
      </w:r>
      <w:r>
        <w:t>a</w:t>
      </w:r>
      <w:r>
        <w:t xml:space="preserve">tant d’octobre 2002. Sur le serveur suisse de l’éducation </w:t>
      </w:r>
      <w:hyperlink r:id="rId9" w:tgtFrame="_blank" w:tooltip="educa" w:history="1">
        <w:proofErr w:type="spellStart"/>
        <w:r>
          <w:rPr>
            <w:i/>
          </w:rPr>
          <w:t>e</w:t>
        </w:r>
        <w:r>
          <w:rPr>
            <w:i/>
          </w:rPr>
          <w:t>d</w:t>
        </w:r>
        <w:r>
          <w:rPr>
            <w:i/>
          </w:rPr>
          <w:t>uca</w:t>
        </w:r>
        <w:proofErr w:type="spellEnd"/>
      </w:hyperlink>
      <w:r>
        <w:t xml:space="preserve">, la </w:t>
      </w:r>
      <w:proofErr w:type="spellStart"/>
      <w:r>
        <w:t>CDIP</w:t>
      </w:r>
      <w:proofErr w:type="spellEnd"/>
      <w:r>
        <w:t xml:space="preserve"> propose un dossier qui a pour but d’aider les enseignants à aborder ce thème</w:t>
      </w:r>
      <w:r>
        <w:rPr>
          <w:rStyle w:val="FootnoteReference"/>
        </w:rPr>
        <w:footnoteReference w:id="147"/>
      </w:r>
      <w:r>
        <w:t xml:space="preserve">. Depuis 2001, le crédit «Projets contre le racisme» est venu compléter de manière décisive les efforts de la </w:t>
      </w:r>
      <w:proofErr w:type="spellStart"/>
      <w:r>
        <w:t>CDIP</w:t>
      </w:r>
      <w:proofErr w:type="spellEnd"/>
      <w:r>
        <w:t xml:space="preserve"> dans le domaine de la politique de l’éducation. Ce crédit est géré par la fondation Éducation et développ</w:t>
      </w:r>
      <w:r>
        <w:t>e</w:t>
      </w:r>
      <w:r>
        <w:t xml:space="preserve">ment (FED), qui apprécie </w:t>
      </w:r>
      <w:proofErr w:type="spellStart"/>
      <w:r>
        <w:t>elle</w:t>
      </w:r>
      <w:r>
        <w:noBreakHyphen/>
        <w:t>même</w:t>
      </w:r>
      <w:proofErr w:type="spellEnd"/>
      <w:r>
        <w:t xml:space="preserve"> les demandes de soutien et qui fixe pour le d</w:t>
      </w:r>
      <w:r>
        <w:t>é</w:t>
      </w:r>
      <w:r>
        <w:t xml:space="preserve">pôt de </w:t>
      </w:r>
      <w:proofErr w:type="spellStart"/>
      <w:r>
        <w:t>celles</w:t>
      </w:r>
      <w:r>
        <w:noBreakHyphen/>
        <w:t>ci</w:t>
      </w:r>
      <w:proofErr w:type="spellEnd"/>
      <w:r>
        <w:t xml:space="preserve"> deux délais d’envoi par année</w:t>
      </w:r>
      <w:r>
        <w:rPr>
          <w:rStyle w:val="FootnoteReference"/>
        </w:rPr>
        <w:footnoteReference w:id="148"/>
      </w:r>
      <w:r>
        <w:t xml:space="preserve">. </w:t>
      </w:r>
    </w:p>
    <w:p w:rsidR="00000000" w:rsidRDefault="00000000">
      <w:pPr>
        <w:spacing w:after="240"/>
      </w:pPr>
      <w:r>
        <w:t>217.</w:t>
      </w:r>
      <w:r>
        <w:tab/>
        <w:t>Depuis le lancement du Programme contre le racisme et en faveur des droits h</w:t>
      </w:r>
      <w:r>
        <w:t>u</w:t>
      </w:r>
      <w:r>
        <w:t>mains en 2001, les projets relevant du domaine scolaire sont devenus l’un des piliers de la préve</w:t>
      </w:r>
      <w:r>
        <w:t>n</w:t>
      </w:r>
      <w:r>
        <w:t xml:space="preserve">tion. Grâce à la collaboration avec la </w:t>
      </w:r>
      <w:proofErr w:type="spellStart"/>
      <w:r>
        <w:t>CDIP</w:t>
      </w:r>
      <w:proofErr w:type="spellEnd"/>
      <w:r>
        <w:t xml:space="preserve"> et la fondation Éducation et dévelo</w:t>
      </w:r>
      <w:r>
        <w:t>p</w:t>
      </w:r>
      <w:r>
        <w:t>pement, qui évalue et suit les projets scolaires, le SLR est devenu pour les différents acteurs du se</w:t>
      </w:r>
      <w:r>
        <w:t>c</w:t>
      </w:r>
      <w:r>
        <w:t>teur scolaire une </w:t>
      </w:r>
      <w:proofErr w:type="spellStart"/>
      <w:r>
        <w:t>plate</w:t>
      </w:r>
      <w:r>
        <w:noBreakHyphen/>
        <w:t>forme</w:t>
      </w:r>
      <w:proofErr w:type="spellEnd"/>
      <w:r>
        <w:t xml:space="preserve"> d’action et d’information.</w:t>
      </w:r>
    </w:p>
    <w:p w:rsidR="00000000" w:rsidRDefault="00000000">
      <w:pPr>
        <w:spacing w:after="240"/>
      </w:pPr>
      <w:r>
        <w:t>218.</w:t>
      </w:r>
      <w:r>
        <w:tab/>
        <w:t>Sur les 440 projets scolaires déposés au total, 184 ont été soutenus. Tous les niveaux scolaires, de l’école enfantine au gymnase ou à l’école professionnelle, et toutes les régions linguistiques de Suisse sont représentés parmi ces projets encouragés, qui vont de l’atelier de classe de courte durée à des projets menés sur plusieurs années dans des établiss</w:t>
      </w:r>
      <w:r>
        <w:t>e</w:t>
      </w:r>
      <w:r>
        <w:t>ments scolaires entiers. On trouve parmi eux aussi bien des ateliers de théâtre ou de musique que des expositions itinérantes, aussi bien des actions limitées aux places de r</w:t>
      </w:r>
      <w:r>
        <w:t>é</w:t>
      </w:r>
      <w:r>
        <w:t>création que des projets d’échanges interculturels. Dans la plupart des cas, c’est un conflit latent ou un incident concret ayant opposé des jeunes d’origines culturelles différentes qui incite les e</w:t>
      </w:r>
      <w:r>
        <w:t>n</w:t>
      </w:r>
      <w:r>
        <w:t xml:space="preserve">seignants à mettre sur pied un tel projet de prévention du racisme. Selon la </w:t>
      </w:r>
      <w:proofErr w:type="spellStart"/>
      <w:r>
        <w:t>CDIP</w:t>
      </w:r>
      <w:proofErr w:type="spellEnd"/>
      <w:r>
        <w:t>, ces projets ont génér</w:t>
      </w:r>
      <w:r>
        <w:t>a</w:t>
      </w:r>
      <w:r>
        <w:t>lement un effet tangible et durable.</w:t>
      </w:r>
    </w:p>
    <w:p w:rsidR="00000000" w:rsidRDefault="00000000">
      <w:pPr>
        <w:spacing w:after="240"/>
      </w:pPr>
      <w:r>
        <w:t>219.</w:t>
      </w:r>
      <w:r>
        <w:tab/>
        <w:t>Pour partager les expériences recueillies avec un large public et pour encourager à la présentation de projets, la fondation Éducation et développement (FED) a créé un site Inte</w:t>
      </w:r>
      <w:r>
        <w:t>r</w:t>
      </w:r>
      <w:r>
        <w:t>net sur lequel ont trouve une description de 33 des 184 projets soutenus</w:t>
      </w:r>
      <w:r>
        <w:rPr>
          <w:rStyle w:val="FootnoteReference"/>
        </w:rPr>
        <w:footnoteReference w:id="149"/>
      </w:r>
      <w:r>
        <w:t>. Ce site, qui s’adresse avant tout aux enseignants et aux responsables dans le domaine de la formation, contient des conseils concrets et des idées pour la mise sur pied de projets, des adresses utiles et des liens ainsi que des propositions de matériel pédagogique sélectionnées parmi la gamme de produits didactiques proposés par la fondation Éducation et développement.</w:t>
      </w:r>
    </w:p>
    <w:p w:rsidR="00000000" w:rsidRDefault="00000000">
      <w:pPr>
        <w:spacing w:after="240"/>
        <w:rPr>
          <w:szCs w:val="22"/>
        </w:rPr>
      </w:pPr>
      <w:r>
        <w:t>220.</w:t>
      </w:r>
      <w:r>
        <w:tab/>
        <w:t xml:space="preserve">Il est prévu que la fondation Éducation et développement (FED), financée par la Confédération et par la </w:t>
      </w:r>
      <w:proofErr w:type="spellStart"/>
      <w:r>
        <w:t>CDIP</w:t>
      </w:r>
      <w:proofErr w:type="spellEnd"/>
      <w:r>
        <w:t>,</w:t>
      </w:r>
      <w:r>
        <w:rPr>
          <w:i/>
          <w:iCs/>
        </w:rPr>
        <w:t xml:space="preserve"> </w:t>
      </w:r>
      <w:r>
        <w:t>continue de fonctionner comme centre de compétence qui se préoccupe activement des questions de racisme et qui apprécie, suive et évalue les pr</w:t>
      </w:r>
      <w:r>
        <w:t>o</w:t>
      </w:r>
      <w:r>
        <w:t>jets du domaine scolaire</w:t>
      </w:r>
      <w:r>
        <w:rPr>
          <w:rStyle w:val="FootnoteReference"/>
          <w:szCs w:val="22"/>
        </w:rPr>
        <w:footnoteReference w:id="150"/>
      </w:r>
      <w:r>
        <w:t>. Dès 2006, 300 000 francs sont mis à disposition chaque année pour l’encouragement de ce type de projets.</w:t>
      </w:r>
    </w:p>
    <w:p w:rsidR="00000000" w:rsidRDefault="00000000">
      <w:pPr>
        <w:spacing w:after="240"/>
      </w:pPr>
      <w:r>
        <w:t>221.</w:t>
      </w:r>
      <w:r>
        <w:tab/>
        <w:t>Voici un autre exemple d’activités contre le racisme relevant du domaine sc</w:t>
      </w:r>
      <w:r>
        <w:t>o</w:t>
      </w:r>
      <w:r>
        <w:t>laire et de l’éducation en général: «</w:t>
      </w:r>
      <w:proofErr w:type="spellStart"/>
      <w:r>
        <w:t>Klartext</w:t>
      </w:r>
      <w:proofErr w:type="spellEnd"/>
      <w:r>
        <w:t>» est un projet national de culture des jeunes pour la tol</w:t>
      </w:r>
      <w:r>
        <w:t>é</w:t>
      </w:r>
      <w:r>
        <w:t>rance, contre le racisme et la violence. «</w:t>
      </w:r>
      <w:proofErr w:type="spellStart"/>
      <w:r>
        <w:t>Klartext</w:t>
      </w:r>
      <w:proofErr w:type="spellEnd"/>
      <w:r>
        <w:t>» est un projet d’INF</w:t>
      </w:r>
      <w:r>
        <w:t>O</w:t>
      </w:r>
      <w:r>
        <w:t xml:space="preserve">KLICK.CH et de </w:t>
      </w:r>
      <w:proofErr w:type="spellStart"/>
      <w:r>
        <w:t>Caritas</w:t>
      </w:r>
      <w:proofErr w:type="spellEnd"/>
      <w:r>
        <w:t xml:space="preserve"> Suisse qui est placé sous l’égide de la </w:t>
      </w:r>
      <w:proofErr w:type="spellStart"/>
      <w:r>
        <w:t>CFR</w:t>
      </w:r>
      <w:proofErr w:type="spellEnd"/>
      <w:r>
        <w:t xml:space="preserve"> et qui est soutenu par le Fonds de projets contre le racisme et en faveur des droits humains. Il propose aux enfants et aux jeunes des pla</w:t>
      </w:r>
      <w:r>
        <w:t>t</w:t>
      </w:r>
      <w:r>
        <w:t>es-formes de rencontre interculturelle faisant appel à leur engagement et à leur créativité, à leur participation et à leur collaboration, pour le traitement des thèmes du racisme, de la vi</w:t>
      </w:r>
      <w:r>
        <w:t>o</w:t>
      </w:r>
      <w:r>
        <w:t>lence et de l’intégration. Il encourage leurs activités culturelles en général</w:t>
      </w:r>
      <w:r>
        <w:rPr>
          <w:rStyle w:val="FootnoteReference"/>
        </w:rPr>
        <w:footnoteReference w:id="151"/>
      </w:r>
      <w:r>
        <w:t>.</w:t>
      </w:r>
    </w:p>
    <w:p w:rsidR="00000000" w:rsidRDefault="00000000">
      <w:pPr>
        <w:keepNext/>
        <w:spacing w:after="240"/>
        <w:jc w:val="center"/>
        <w:rPr>
          <w:b/>
          <w:bCs/>
          <w:szCs w:val="24"/>
        </w:rPr>
      </w:pPr>
      <w:bookmarkStart w:id="119" w:name="_Toc163552258"/>
      <w:r>
        <w:rPr>
          <w:b/>
          <w:bCs/>
          <w:szCs w:val="24"/>
        </w:rPr>
        <w:t>5.  Médias</w:t>
      </w:r>
      <w:bookmarkEnd w:id="119"/>
    </w:p>
    <w:p w:rsidR="00000000" w:rsidRDefault="00000000">
      <w:pPr>
        <w:spacing w:after="240"/>
      </w:pPr>
      <w:r>
        <w:t>222.</w:t>
      </w:r>
      <w:r>
        <w:tab/>
        <w:t>Dans le secteur des médias, différentes institutions ont établi des codes de conduite aux fins de garantir le respect de la dignité humaine et de l’interdiction de toute di</w:t>
      </w:r>
      <w:r>
        <w:t>s</w:t>
      </w:r>
      <w:r>
        <w:t>crimination dans le cadre de l’activité journalistique critique et indépendante. Voici une de</w:t>
      </w:r>
      <w:r>
        <w:t>s</w:t>
      </w:r>
      <w:r>
        <w:t>cription des mesures prises par les trois principales:</w:t>
      </w:r>
    </w:p>
    <w:p w:rsidR="00000000" w:rsidRDefault="00000000">
      <w:pPr>
        <w:keepNext/>
        <w:spacing w:after="200"/>
        <w:rPr>
          <w:b/>
          <w:bCs/>
          <w:i/>
          <w:iCs/>
        </w:rPr>
      </w:pPr>
      <w:bookmarkStart w:id="120" w:name="_Toc163552259"/>
      <w:r>
        <w:rPr>
          <w:b/>
          <w:bCs/>
          <w:i/>
          <w:iCs/>
        </w:rPr>
        <w:t>a)</w:t>
      </w:r>
      <w:r>
        <w:rPr>
          <w:b/>
          <w:bCs/>
          <w:i/>
          <w:iCs/>
        </w:rPr>
        <w:tab/>
        <w:t>Conseil suisse de la presse</w:t>
      </w:r>
      <w:bookmarkEnd w:id="120"/>
    </w:p>
    <w:p w:rsidR="00000000" w:rsidRDefault="00000000">
      <w:pPr>
        <w:spacing w:after="200"/>
        <w:rPr>
          <w:bCs/>
          <w:szCs w:val="22"/>
        </w:rPr>
      </w:pPr>
      <w:r>
        <w:rPr>
          <w:bCs/>
          <w:szCs w:val="22"/>
        </w:rPr>
        <w:t>223.</w:t>
      </w:r>
      <w:r>
        <w:rPr>
          <w:bCs/>
          <w:szCs w:val="22"/>
        </w:rPr>
        <w:tab/>
        <w:t>Le Conseil suisse de la presse, qui est à la disposition du public et des journ</w:t>
      </w:r>
      <w:r>
        <w:rPr>
          <w:bCs/>
          <w:szCs w:val="22"/>
        </w:rPr>
        <w:t>a</w:t>
      </w:r>
      <w:r>
        <w:rPr>
          <w:bCs/>
          <w:szCs w:val="22"/>
        </w:rPr>
        <w:t xml:space="preserve">listes </w:t>
      </w:r>
      <w:r>
        <w:rPr>
          <w:bCs/>
          <w:szCs w:val="22"/>
        </w:rPr>
        <w:br/>
        <w:t>en tant qu’instance de plainte pour des questions relevant de l’éthique des médias, a émis une Déclaration</w:t>
      </w:r>
      <w:r>
        <w:rPr>
          <w:rStyle w:val="FootnoteReference"/>
          <w:bCs/>
          <w:szCs w:val="22"/>
        </w:rPr>
        <w:footnoteReference w:id="152"/>
      </w:r>
      <w:r>
        <w:rPr>
          <w:bCs/>
          <w:szCs w:val="22"/>
        </w:rPr>
        <w:t xml:space="preserve"> et des directives</w:t>
      </w:r>
      <w:r>
        <w:rPr>
          <w:rStyle w:val="FootnoteReference"/>
          <w:bCs/>
          <w:szCs w:val="22"/>
        </w:rPr>
        <w:footnoteReference w:id="153"/>
      </w:r>
      <w:r>
        <w:rPr>
          <w:bCs/>
          <w:szCs w:val="22"/>
        </w:rPr>
        <w:t xml:space="preserve"> à l’intention des journalistes. Relevons qu’il s’agit là de re</w:t>
      </w:r>
      <w:r>
        <w:rPr>
          <w:bCs/>
          <w:szCs w:val="22"/>
        </w:rPr>
        <w:t>s</w:t>
      </w:r>
      <w:r>
        <w:rPr>
          <w:bCs/>
          <w:szCs w:val="22"/>
        </w:rPr>
        <w:t>trictions contraignantes que les journalistes se sont imposées de leur plein gré. Au paragraphe 8 de la Déclaration, l’interdiction de toute discrimination est décrite de la façon su</w:t>
      </w:r>
      <w:r>
        <w:rPr>
          <w:bCs/>
          <w:szCs w:val="22"/>
        </w:rPr>
        <w:t>i</w:t>
      </w:r>
      <w:r>
        <w:rPr>
          <w:bCs/>
          <w:szCs w:val="22"/>
        </w:rPr>
        <w:t>vante:</w:t>
      </w:r>
    </w:p>
    <w:p w:rsidR="00000000" w:rsidRDefault="00000000">
      <w:pPr>
        <w:spacing w:after="200"/>
        <w:ind w:left="567"/>
      </w:pPr>
      <w:r>
        <w:t>«Le/la journaliste respecte la dignité humaine; il/elle doit éviter toute allusion, par le texte, l’image et le son, à l’appartenance ethnique ou nationale d’une personne, à sa religion, à son sexe ou à l’orientation de ses mœurs sexuelles, ainsi qu’à toute mal</w:t>
      </w:r>
      <w:r>
        <w:t>a</w:t>
      </w:r>
      <w:r>
        <w:t>die ou handicap d’ordre physique ou mental, qui aurait un caractère discriminatoire.»</w:t>
      </w:r>
    </w:p>
    <w:p w:rsidR="00000000" w:rsidRDefault="00000000">
      <w:pPr>
        <w:spacing w:after="200"/>
        <w:rPr>
          <w:bCs/>
          <w:szCs w:val="22"/>
        </w:rPr>
      </w:pPr>
      <w:r>
        <w:rPr>
          <w:bCs/>
          <w:szCs w:val="22"/>
        </w:rPr>
        <w:t>224.</w:t>
      </w:r>
      <w:r>
        <w:rPr>
          <w:bCs/>
          <w:szCs w:val="22"/>
        </w:rPr>
        <w:tab/>
        <w:t>Dans une prise de position, le Conseil de la presse constate que le racisme ouvert a pratiquement disparu dans les médias suisses d’actualité</w:t>
      </w:r>
      <w:bookmarkStart w:id="121" w:name="_Ref82590165"/>
      <w:r>
        <w:rPr>
          <w:rStyle w:val="FootnoteReference"/>
          <w:bCs/>
          <w:szCs w:val="22"/>
        </w:rPr>
        <w:footnoteReference w:id="154"/>
      </w:r>
      <w:bookmarkEnd w:id="121"/>
      <w:r>
        <w:rPr>
          <w:bCs/>
          <w:szCs w:val="22"/>
        </w:rPr>
        <w:t>. Il reste cependant, s</w:t>
      </w:r>
      <w:r>
        <w:rPr>
          <w:bCs/>
          <w:szCs w:val="22"/>
        </w:rPr>
        <w:t>e</w:t>
      </w:r>
      <w:r>
        <w:rPr>
          <w:bCs/>
          <w:szCs w:val="22"/>
        </w:rPr>
        <w:t>lon lui, deux domaines dans lesquels on continue de retrouver régulièrement des formulations di</w:t>
      </w:r>
      <w:r>
        <w:rPr>
          <w:bCs/>
          <w:szCs w:val="22"/>
        </w:rPr>
        <w:t>s</w:t>
      </w:r>
      <w:r>
        <w:rPr>
          <w:bCs/>
          <w:szCs w:val="22"/>
        </w:rPr>
        <w:t>criminatoires: les lettres de lecteurs et les comptes rendus d’actes criminels. La question des lettres de lecteurs racistes avait déjà été traitée de manière détaillée dans une prise de pos</w:t>
      </w:r>
      <w:r>
        <w:rPr>
          <w:bCs/>
          <w:szCs w:val="22"/>
        </w:rPr>
        <w:t>i</w:t>
      </w:r>
      <w:r>
        <w:rPr>
          <w:bCs/>
          <w:szCs w:val="22"/>
        </w:rPr>
        <w:t>tion antérieure du Conseil de la presse</w:t>
      </w:r>
      <w:r>
        <w:rPr>
          <w:rStyle w:val="FootnoteReference"/>
          <w:bCs/>
          <w:szCs w:val="22"/>
        </w:rPr>
        <w:footnoteReference w:id="155"/>
      </w:r>
      <w:r>
        <w:rPr>
          <w:bCs/>
          <w:szCs w:val="22"/>
        </w:rPr>
        <w:t>. Pour ce qui est des informations portant sur des crimes ou délits, le Conseil de la presse a précisé l’interdiction de toute discrimination dans une prise de position</w:t>
      </w:r>
      <w:r>
        <w:rPr>
          <w:rStyle w:val="FootnoteReference"/>
          <w:bCs/>
          <w:szCs w:val="22"/>
        </w:rPr>
        <w:footnoteReference w:id="156"/>
      </w:r>
      <w:r>
        <w:rPr>
          <w:bCs/>
          <w:szCs w:val="22"/>
        </w:rPr>
        <w:t xml:space="preserve"> ainsi que dans un nouvel alinéa qui a été ajouté aux directives et qui ne cesse de susciter des discussions chez les journalistes. Il n’est apparemment pas facile, même pour le Conseil de la presse, de trouver une voie médiane entre une </w:t>
      </w:r>
      <w:proofErr w:type="spellStart"/>
      <w:r>
        <w:rPr>
          <w:bCs/>
          <w:szCs w:val="22"/>
        </w:rPr>
        <w:t>non</w:t>
      </w:r>
      <w:r>
        <w:rPr>
          <w:bCs/>
          <w:szCs w:val="22"/>
        </w:rPr>
        <w:noBreakHyphen/>
        <w:t>discrimination</w:t>
      </w:r>
      <w:proofErr w:type="spellEnd"/>
      <w:r>
        <w:rPr>
          <w:bCs/>
          <w:szCs w:val="22"/>
        </w:rPr>
        <w:t xml:space="preserve"> raisonnable et le politiquement correct timoré</w:t>
      </w:r>
      <w:r>
        <w:rPr>
          <w:rStyle w:val="FootnoteReference"/>
          <w:bCs/>
          <w:szCs w:val="22"/>
        </w:rPr>
        <w:footnoteReference w:id="157"/>
      </w:r>
      <w:r>
        <w:rPr>
          <w:bCs/>
          <w:szCs w:val="22"/>
        </w:rPr>
        <w:t xml:space="preserve">. Le libellé du paragraphe </w:t>
      </w:r>
      <w:proofErr w:type="spellStart"/>
      <w:r>
        <w:rPr>
          <w:bCs/>
          <w:szCs w:val="22"/>
        </w:rPr>
        <w:t>8.2</w:t>
      </w:r>
      <w:proofErr w:type="spellEnd"/>
      <w:r>
        <w:rPr>
          <w:bCs/>
          <w:szCs w:val="22"/>
        </w:rPr>
        <w:t xml:space="preserve"> de la directive est le suivant:</w:t>
      </w:r>
    </w:p>
    <w:p w:rsidR="00000000" w:rsidRDefault="00000000">
      <w:pPr>
        <w:spacing w:after="200"/>
        <w:ind w:left="567"/>
      </w:pPr>
      <w:r>
        <w:t>«Lorsqu’une information porte sur un délit, des indications touchant l’appartenance et</w:t>
      </w:r>
      <w:r>
        <w:t>h</w:t>
      </w:r>
      <w:r>
        <w:t>nique, la religion ou l’orientation des mœurs sexuelles, ainsi qu’une maladie ou un ha</w:t>
      </w:r>
      <w:r>
        <w:t>n</w:t>
      </w:r>
      <w:r>
        <w:t>dicap d’ordre physique ou mental, peuvent être admises pour autant qu’elles soient n</w:t>
      </w:r>
      <w:r>
        <w:t>é</w:t>
      </w:r>
      <w:r>
        <w:t>cessaires à la compréhension du récit. La mention de la nationalité ne devrait faire l’objet d’aucune forme de discrimination: lorsqu’elle n’est pas systématique (et donc a</w:t>
      </w:r>
      <w:r>
        <w:t>p</w:t>
      </w:r>
      <w:r>
        <w:t>pliquée aussi aux ressortissants nationaux), elle doit répondre aux mêmes conditions restrictives que les autres indications. Une attention particulière sera accordée au fait que ces indications peuvent renforcer les préjugés contre des minorités.»</w:t>
      </w:r>
    </w:p>
    <w:p w:rsidR="00000000" w:rsidRDefault="00000000">
      <w:pPr>
        <w:keepNext/>
        <w:spacing w:after="240"/>
        <w:rPr>
          <w:b/>
          <w:bCs/>
          <w:i/>
          <w:iCs/>
        </w:rPr>
      </w:pPr>
      <w:bookmarkStart w:id="122" w:name="_Toc163552260"/>
      <w:r>
        <w:rPr>
          <w:b/>
          <w:bCs/>
          <w:i/>
          <w:iCs/>
        </w:rPr>
        <w:t>b)</w:t>
      </w:r>
      <w:r>
        <w:rPr>
          <w:b/>
          <w:bCs/>
          <w:i/>
          <w:iCs/>
        </w:rPr>
        <w:tab/>
        <w:t>Autorité indépendante d’examen des plaintes en matière de radiotélévision (</w:t>
      </w:r>
      <w:proofErr w:type="spellStart"/>
      <w:r>
        <w:rPr>
          <w:b/>
          <w:bCs/>
          <w:i/>
          <w:iCs/>
        </w:rPr>
        <w:t>AIEP</w:t>
      </w:r>
      <w:proofErr w:type="spellEnd"/>
      <w:r>
        <w:rPr>
          <w:b/>
          <w:bCs/>
          <w:i/>
          <w:iCs/>
        </w:rPr>
        <w:t>)</w:t>
      </w:r>
      <w:bookmarkEnd w:id="122"/>
    </w:p>
    <w:p w:rsidR="00000000" w:rsidRDefault="00000000">
      <w:pPr>
        <w:spacing w:after="240"/>
        <w:rPr>
          <w:bCs/>
          <w:szCs w:val="22"/>
        </w:rPr>
      </w:pPr>
      <w:r>
        <w:rPr>
          <w:bCs/>
          <w:szCs w:val="22"/>
        </w:rPr>
        <w:t>225.</w:t>
      </w:r>
      <w:r>
        <w:rPr>
          <w:bCs/>
          <w:szCs w:val="22"/>
        </w:rPr>
        <w:tab/>
        <w:t>En sa qualité d’instance quasi judiciaire, l’</w:t>
      </w:r>
      <w:proofErr w:type="spellStart"/>
      <w:r>
        <w:rPr>
          <w:bCs/>
          <w:szCs w:val="22"/>
        </w:rPr>
        <w:t>AIEP</w:t>
      </w:r>
      <w:proofErr w:type="spellEnd"/>
      <w:r>
        <w:rPr>
          <w:rStyle w:val="FootnoteReference"/>
          <w:bCs/>
          <w:szCs w:val="22"/>
        </w:rPr>
        <w:footnoteReference w:id="158"/>
      </w:r>
      <w:r>
        <w:rPr>
          <w:bCs/>
          <w:szCs w:val="22"/>
        </w:rPr>
        <w:t xml:space="preserve"> statue sur les plaintes relat</w:t>
      </w:r>
      <w:r>
        <w:rPr>
          <w:bCs/>
          <w:szCs w:val="22"/>
        </w:rPr>
        <w:t>i</w:t>
      </w:r>
      <w:r>
        <w:rPr>
          <w:bCs/>
          <w:szCs w:val="22"/>
        </w:rPr>
        <w:t>ves à des émissions de radio et de télévision diffusées par des diffuseurs suisses. Dans l’exercice de son mandat, l’</w:t>
      </w:r>
      <w:proofErr w:type="spellStart"/>
      <w:r>
        <w:rPr>
          <w:bCs/>
          <w:szCs w:val="22"/>
        </w:rPr>
        <w:t>AIEP</w:t>
      </w:r>
      <w:proofErr w:type="spellEnd"/>
      <w:r>
        <w:rPr>
          <w:bCs/>
          <w:szCs w:val="22"/>
        </w:rPr>
        <w:t xml:space="preserve"> n’est liée par aucune instruction émanant du Parlement, du Gouve</w:t>
      </w:r>
      <w:r>
        <w:rPr>
          <w:bCs/>
          <w:szCs w:val="22"/>
        </w:rPr>
        <w:t>r</w:t>
      </w:r>
      <w:r>
        <w:rPr>
          <w:bCs/>
          <w:szCs w:val="22"/>
        </w:rPr>
        <w:t>nement ou de l’administration fédérale.</w:t>
      </w:r>
    </w:p>
    <w:p w:rsidR="00000000" w:rsidRDefault="00000000">
      <w:pPr>
        <w:spacing w:after="240"/>
        <w:rPr>
          <w:bCs/>
          <w:szCs w:val="22"/>
        </w:rPr>
      </w:pPr>
      <w:r>
        <w:rPr>
          <w:bCs/>
          <w:szCs w:val="22"/>
        </w:rPr>
        <w:t>226.</w:t>
      </w:r>
      <w:r>
        <w:rPr>
          <w:bCs/>
          <w:szCs w:val="22"/>
        </w:rPr>
        <w:tab/>
        <w:t>L’</w:t>
      </w:r>
      <w:proofErr w:type="spellStart"/>
      <w:r>
        <w:rPr>
          <w:bCs/>
          <w:szCs w:val="22"/>
        </w:rPr>
        <w:t>AIEP</w:t>
      </w:r>
      <w:proofErr w:type="spellEnd"/>
      <w:r>
        <w:rPr>
          <w:bCs/>
          <w:szCs w:val="22"/>
        </w:rPr>
        <w:t xml:space="preserve"> a résumé ses principes jurisprudentiels relatifs aux dispositions les plus impo</w:t>
      </w:r>
      <w:r>
        <w:rPr>
          <w:bCs/>
          <w:szCs w:val="22"/>
        </w:rPr>
        <w:t>r</w:t>
      </w:r>
      <w:r>
        <w:rPr>
          <w:bCs/>
          <w:szCs w:val="22"/>
        </w:rPr>
        <w:t>tantes du droit des programmes dans des directives</w:t>
      </w:r>
      <w:r>
        <w:rPr>
          <w:rStyle w:val="FootnoteReference"/>
          <w:bCs/>
          <w:szCs w:val="22"/>
        </w:rPr>
        <w:footnoteReference w:id="159"/>
      </w:r>
      <w:r>
        <w:rPr>
          <w:bCs/>
          <w:szCs w:val="22"/>
        </w:rPr>
        <w:t>. Il y est inscrit que les diffuseurs sui</w:t>
      </w:r>
      <w:r>
        <w:rPr>
          <w:bCs/>
          <w:szCs w:val="22"/>
        </w:rPr>
        <w:t>s</w:t>
      </w:r>
      <w:r>
        <w:rPr>
          <w:bCs/>
          <w:szCs w:val="22"/>
        </w:rPr>
        <w:t>ses de radio et de télévision doivent dans leur ensemble accomplir un mandat culturel. Une émission qui va diamétralement à l’encontre de ce mandat, en affichant par exemple un c</w:t>
      </w:r>
      <w:r>
        <w:rPr>
          <w:bCs/>
          <w:szCs w:val="22"/>
        </w:rPr>
        <w:t>a</w:t>
      </w:r>
      <w:r>
        <w:rPr>
          <w:bCs/>
          <w:szCs w:val="22"/>
        </w:rPr>
        <w:t>ractère essentiellement destructeur, est inadmissible. Afin d’assurer la réalisation du ma</w:t>
      </w:r>
      <w:r>
        <w:rPr>
          <w:bCs/>
          <w:szCs w:val="22"/>
        </w:rPr>
        <w:t>n</w:t>
      </w:r>
      <w:r>
        <w:rPr>
          <w:bCs/>
          <w:szCs w:val="22"/>
        </w:rPr>
        <w:t>dat culturel, un certain nombre de domaines sensibles, comme la dignité humaine ou le racisme, imposent par ailleurs des exigences accrues dans le cadre d’une émission partic</w:t>
      </w:r>
      <w:r>
        <w:rPr>
          <w:bCs/>
          <w:szCs w:val="22"/>
        </w:rPr>
        <w:t>u</w:t>
      </w:r>
      <w:r>
        <w:rPr>
          <w:bCs/>
          <w:szCs w:val="22"/>
        </w:rPr>
        <w:t>lière.</w:t>
      </w:r>
    </w:p>
    <w:p w:rsidR="00000000" w:rsidRDefault="00000000">
      <w:pPr>
        <w:spacing w:after="240"/>
        <w:rPr>
          <w:bCs/>
          <w:szCs w:val="22"/>
        </w:rPr>
      </w:pPr>
      <w:r>
        <w:rPr>
          <w:bCs/>
          <w:szCs w:val="22"/>
        </w:rPr>
        <w:t>227.</w:t>
      </w:r>
      <w:r>
        <w:rPr>
          <w:bCs/>
          <w:szCs w:val="22"/>
        </w:rPr>
        <w:tab/>
        <w:t>Selon ces mêmes directives, sont considérées comme violant la dignité h</w:t>
      </w:r>
      <w:r>
        <w:rPr>
          <w:bCs/>
          <w:szCs w:val="22"/>
        </w:rPr>
        <w:t>u</w:t>
      </w:r>
      <w:r>
        <w:rPr>
          <w:bCs/>
          <w:szCs w:val="22"/>
        </w:rPr>
        <w:t>maine les émissions qui ridiculisent ou rabaissent des individus en les réduisant au statut d’objets. La protection ne se limite pas aux personnes mentionnées dans une émission, mais elle s’étend à la dignité humaine dans son principe, dans le sens d’une protection des valeurs culture</w:t>
      </w:r>
      <w:r>
        <w:rPr>
          <w:bCs/>
          <w:szCs w:val="22"/>
        </w:rPr>
        <w:t>l</w:t>
      </w:r>
      <w:r>
        <w:rPr>
          <w:bCs/>
          <w:szCs w:val="22"/>
        </w:rPr>
        <w:t>les et sociales fondamentales.</w:t>
      </w:r>
    </w:p>
    <w:p w:rsidR="00000000" w:rsidRDefault="00000000">
      <w:pPr>
        <w:keepNext/>
        <w:spacing w:after="240"/>
        <w:rPr>
          <w:b/>
          <w:bCs/>
          <w:i/>
          <w:iCs/>
        </w:rPr>
      </w:pPr>
      <w:bookmarkStart w:id="123" w:name="_Toc163552261"/>
      <w:r>
        <w:rPr>
          <w:b/>
          <w:bCs/>
          <w:i/>
          <w:iCs/>
        </w:rPr>
        <w:t>c)</w:t>
      </w:r>
      <w:r>
        <w:rPr>
          <w:b/>
          <w:bCs/>
          <w:i/>
          <w:iCs/>
        </w:rPr>
        <w:tab/>
        <w:t>Télévision suisse (</w:t>
      </w:r>
      <w:proofErr w:type="spellStart"/>
      <w:r>
        <w:rPr>
          <w:b/>
          <w:bCs/>
          <w:i/>
          <w:iCs/>
        </w:rPr>
        <w:t>SRG</w:t>
      </w:r>
      <w:proofErr w:type="spellEnd"/>
      <w:r>
        <w:rPr>
          <w:b/>
          <w:bCs/>
          <w:i/>
          <w:iCs/>
        </w:rPr>
        <w:t xml:space="preserve"> </w:t>
      </w:r>
      <w:proofErr w:type="spellStart"/>
      <w:r>
        <w:rPr>
          <w:b/>
          <w:bCs/>
          <w:i/>
          <w:iCs/>
        </w:rPr>
        <w:t>SSR</w:t>
      </w:r>
      <w:proofErr w:type="spellEnd"/>
      <w:r>
        <w:rPr>
          <w:b/>
          <w:bCs/>
          <w:i/>
          <w:iCs/>
        </w:rPr>
        <w:t>)</w:t>
      </w:r>
      <w:bookmarkEnd w:id="123"/>
    </w:p>
    <w:p w:rsidR="00000000" w:rsidRDefault="00000000">
      <w:pPr>
        <w:spacing w:after="240"/>
        <w:rPr>
          <w:bCs/>
          <w:szCs w:val="22"/>
        </w:rPr>
      </w:pPr>
      <w:r>
        <w:rPr>
          <w:bCs/>
          <w:szCs w:val="22"/>
        </w:rPr>
        <w:t>228.</w:t>
      </w:r>
      <w:r>
        <w:rPr>
          <w:bCs/>
          <w:szCs w:val="22"/>
        </w:rPr>
        <w:tab/>
        <w:t>La Télévision suisse alémanique (</w:t>
      </w:r>
      <w:proofErr w:type="spellStart"/>
      <w:r>
        <w:rPr>
          <w:bCs/>
          <w:szCs w:val="22"/>
        </w:rPr>
        <w:t>SF</w:t>
      </w:r>
      <w:proofErr w:type="spellEnd"/>
      <w:r>
        <w:rPr>
          <w:bCs/>
          <w:szCs w:val="22"/>
        </w:rPr>
        <w:t>) s’est donné des directives, valables pour toutes ses rédactions, qui sont encore plus détaillées que la Charte d’éthique établie par la Télév</w:t>
      </w:r>
      <w:r>
        <w:rPr>
          <w:bCs/>
          <w:szCs w:val="22"/>
        </w:rPr>
        <w:t>i</w:t>
      </w:r>
      <w:r>
        <w:rPr>
          <w:bCs/>
          <w:szCs w:val="22"/>
        </w:rPr>
        <w:t>sion suisse romande</w:t>
      </w:r>
      <w:r>
        <w:rPr>
          <w:rStyle w:val="FootnoteReference"/>
          <w:bCs/>
          <w:szCs w:val="22"/>
        </w:rPr>
        <w:footnoteReference w:id="160"/>
      </w:r>
      <w:r>
        <w:rPr>
          <w:bCs/>
          <w:szCs w:val="22"/>
        </w:rPr>
        <w:t>. S’agissant de commentaires racistes et de la norme pénale antiracisme, l’article 39 de ces directives précise ceci:</w:t>
      </w:r>
    </w:p>
    <w:p w:rsidR="00000000" w:rsidRDefault="00000000">
      <w:pPr>
        <w:spacing w:after="240"/>
        <w:ind w:left="567"/>
      </w:pPr>
      <w:r>
        <w:t>«</w:t>
      </w:r>
      <w:proofErr w:type="spellStart"/>
      <w:r>
        <w:t>SF</w:t>
      </w:r>
      <w:proofErr w:type="spellEnd"/>
      <w:r>
        <w:t xml:space="preserve"> ne s’interdit pas les reportages sur des politiques ou des </w:t>
      </w:r>
      <w:r>
        <w:rPr>
          <w:i/>
          <w:iCs/>
        </w:rPr>
        <w:t xml:space="preserve">skinheads </w:t>
      </w:r>
      <w:r>
        <w:t xml:space="preserve">scandant des slogans racistes. Ces personnes peuvent aussi être citées au moyen de la </w:t>
      </w:r>
      <w:proofErr w:type="spellStart"/>
      <w:r>
        <w:t>bande</w:t>
      </w:r>
      <w:r>
        <w:noBreakHyphen/>
        <w:t>son</w:t>
      </w:r>
      <w:proofErr w:type="spellEnd"/>
      <w:r>
        <w:t xml:space="preserve"> originale, même si leurs assertions racistes et </w:t>
      </w:r>
      <w:proofErr w:type="spellStart"/>
      <w:r>
        <w:t>peut</w:t>
      </w:r>
      <w:r>
        <w:noBreakHyphen/>
        <w:t>être</w:t>
      </w:r>
      <w:proofErr w:type="spellEnd"/>
      <w:r>
        <w:t xml:space="preserve"> même pénalement répréhens</w:t>
      </w:r>
      <w:r>
        <w:t>i</w:t>
      </w:r>
      <w:r>
        <w:t>bles obtiennent ainsi une diffusion supplémentaire. Au moyen du commentaire et de la façon dont ces paroles discriminatoires sont intégrées dans le reportage, les respons</w:t>
      </w:r>
      <w:r>
        <w:t>a</w:t>
      </w:r>
      <w:r>
        <w:t>bles de ce dernier veillent à priver les propos racistes de tout effet de propagande. Les réactions d’adversaires politiques, de personnes lésées ou d’enquêteurs permettent de r</w:t>
      </w:r>
      <w:r>
        <w:t>é</w:t>
      </w:r>
      <w:r>
        <w:t>tablir l’équilibre.</w:t>
      </w:r>
    </w:p>
    <w:p w:rsidR="00000000" w:rsidRDefault="00000000">
      <w:pPr>
        <w:spacing w:after="240"/>
        <w:ind w:left="567"/>
      </w:pPr>
      <w:r>
        <w:t>Dans le cadre de reportages sur des actes criminels, toute précision sur l’appartenance ethnique ou nationale de l’auteur ou du suspect est délicate. Lorsque des nationalités sont citées pour leur contenu informatif, l’information doit être complète (égalité de tra</w:t>
      </w:r>
      <w:r>
        <w:t>i</w:t>
      </w:r>
      <w:r>
        <w:t>tement entre ressortissants suisses et étrangers). Les stéréotypes racistes comme «de type balkanique» ou «d’allure maghrébine» doivent être évités.</w:t>
      </w:r>
    </w:p>
    <w:p w:rsidR="00000000" w:rsidRDefault="00000000">
      <w:pPr>
        <w:spacing w:after="240"/>
        <w:ind w:left="567"/>
      </w:pPr>
      <w:r>
        <w:t>Dans le contexte de discussions télévisées, le racisme latent fait surface dès le m</w:t>
      </w:r>
      <w:r>
        <w:t>o</w:t>
      </w:r>
      <w:r>
        <w:t>ment où certaines caractéristiques négatives sont attribuées globalement à un groupe ethn</w:t>
      </w:r>
      <w:r>
        <w:t>i</w:t>
      </w:r>
      <w:r>
        <w:t>que ou racial. Si cela arrive, le présentateur doit réagir immédiatement en réfutant la n</w:t>
      </w:r>
      <w:r>
        <w:t>o</w:t>
      </w:r>
      <w:r>
        <w:t>tion biologique de race ou, si l’émission est diffusée en direct, en provoquant l’expression d’un avis contraire.»</w:t>
      </w:r>
    </w:p>
    <w:p w:rsidR="00000000" w:rsidRDefault="00000000">
      <w:pPr>
        <w:keepNext/>
        <w:spacing w:after="240"/>
        <w:ind w:left="567" w:hanging="567"/>
        <w:rPr>
          <w:b/>
          <w:bCs/>
          <w:i/>
          <w:iCs/>
        </w:rPr>
      </w:pPr>
      <w:bookmarkStart w:id="124" w:name="_Toc163552262"/>
      <w:r>
        <w:rPr>
          <w:b/>
          <w:bCs/>
          <w:i/>
          <w:iCs/>
        </w:rPr>
        <w:t>d)</w:t>
      </w:r>
      <w:r>
        <w:rPr>
          <w:b/>
          <w:bCs/>
          <w:i/>
          <w:iCs/>
        </w:rPr>
        <w:tab/>
        <w:t>Service national de coordination de la lutte contre la criminalité sur Inte</w:t>
      </w:r>
      <w:r>
        <w:rPr>
          <w:b/>
          <w:bCs/>
          <w:i/>
          <w:iCs/>
        </w:rPr>
        <w:t>r</w:t>
      </w:r>
      <w:r>
        <w:rPr>
          <w:b/>
          <w:bCs/>
          <w:i/>
          <w:iCs/>
        </w:rPr>
        <w:t>net (</w:t>
      </w:r>
      <w:proofErr w:type="spellStart"/>
      <w:r>
        <w:rPr>
          <w:b/>
          <w:bCs/>
          <w:i/>
          <w:iCs/>
        </w:rPr>
        <w:t>SCOCI</w:t>
      </w:r>
      <w:proofErr w:type="spellEnd"/>
      <w:r>
        <w:rPr>
          <w:b/>
          <w:bCs/>
          <w:i/>
          <w:iCs/>
        </w:rPr>
        <w:t>)</w:t>
      </w:r>
      <w:bookmarkEnd w:id="124"/>
    </w:p>
    <w:p w:rsidR="00000000" w:rsidRDefault="00000000">
      <w:pPr>
        <w:spacing w:after="240"/>
      </w:pPr>
      <w:r>
        <w:t>229.</w:t>
      </w:r>
      <w:r>
        <w:tab/>
        <w:t>Rattaché à l’</w:t>
      </w:r>
      <w:proofErr w:type="spellStart"/>
      <w:r>
        <w:t>Office</w:t>
      </w:r>
      <w:proofErr w:type="spellEnd"/>
      <w:r>
        <w:t xml:space="preserve"> fédéral de la police, le Service de coordination de la lutte contre la criminalité sur Internet (</w:t>
      </w:r>
      <w:proofErr w:type="spellStart"/>
      <w:r>
        <w:t>SCOCI</w:t>
      </w:r>
      <w:proofErr w:type="spellEnd"/>
      <w:r>
        <w:t>) a vu le jour en 2003, grâce à un arrangement adm</w:t>
      </w:r>
      <w:r>
        <w:t>i</w:t>
      </w:r>
      <w:r>
        <w:t>nistratif conclu entre la Confédération et les cantons. La situation en matière de lutte contre la crim</w:t>
      </w:r>
      <w:r>
        <w:t>i</w:t>
      </w:r>
      <w:r>
        <w:t>nalité sur Internet n’était pas satisfaisante, surtout en ce qui concernait la coordination de l’action de la police. Le service créé permet désormais à la Confédération et aux cantons de coordonner les mesures qu’ils prennent pour lutter contre la criminalité sur Internet. Il const</w:t>
      </w:r>
      <w:r>
        <w:t>i</w:t>
      </w:r>
      <w:r>
        <w:t>tue le point de contact central pour les personnes souhaitant signaler l’existence de sites I</w:t>
      </w:r>
      <w:r>
        <w:t>n</w:t>
      </w:r>
      <w:r>
        <w:t xml:space="preserve">ternet suspects et entreprend </w:t>
      </w:r>
      <w:proofErr w:type="spellStart"/>
      <w:r>
        <w:t>lui</w:t>
      </w:r>
      <w:r>
        <w:noBreakHyphen/>
        <w:t>même</w:t>
      </w:r>
      <w:proofErr w:type="spellEnd"/>
      <w:r>
        <w:t xml:space="preserve"> des recherches sur Internet pour traquer les abus pénalement répr</w:t>
      </w:r>
      <w:r>
        <w:t>é</w:t>
      </w:r>
      <w:r>
        <w:t>hensibles.</w:t>
      </w:r>
    </w:p>
    <w:p w:rsidR="00000000" w:rsidRDefault="00000000">
      <w:pPr>
        <w:keepNext/>
        <w:spacing w:after="240"/>
        <w:rPr>
          <w:b/>
          <w:bCs/>
          <w:i/>
          <w:iCs/>
        </w:rPr>
      </w:pPr>
      <w:bookmarkStart w:id="125" w:name="_Toc163552263"/>
      <w:r>
        <w:rPr>
          <w:b/>
          <w:bCs/>
          <w:i/>
          <w:iCs/>
        </w:rPr>
        <w:t>e)</w:t>
      </w:r>
      <w:r>
        <w:rPr>
          <w:b/>
          <w:bCs/>
          <w:i/>
          <w:iCs/>
        </w:rPr>
        <w:tab/>
        <w:t>Étude sur le stéréotypage d’acteurs juifs dans les médias</w:t>
      </w:r>
      <w:bookmarkEnd w:id="125"/>
    </w:p>
    <w:p w:rsidR="00000000" w:rsidRDefault="00000000">
      <w:pPr>
        <w:spacing w:after="240"/>
        <w:rPr>
          <w:bCs/>
          <w:szCs w:val="22"/>
        </w:rPr>
      </w:pPr>
      <w:r>
        <w:rPr>
          <w:bCs/>
          <w:szCs w:val="22"/>
        </w:rPr>
        <w:t>230.</w:t>
      </w:r>
      <w:r>
        <w:rPr>
          <w:bCs/>
          <w:szCs w:val="22"/>
        </w:rPr>
        <w:tab/>
        <w:t>Une étude publiée récemment</w:t>
      </w:r>
      <w:r>
        <w:rPr>
          <w:rStyle w:val="FootnoteReference"/>
          <w:bCs/>
        </w:rPr>
        <w:footnoteReference w:id="161"/>
      </w:r>
      <w:r>
        <w:rPr>
          <w:bCs/>
          <w:szCs w:val="22"/>
        </w:rPr>
        <w:t xml:space="preserve"> avait pour but d’analyser le travail des m</w:t>
      </w:r>
      <w:r>
        <w:rPr>
          <w:bCs/>
          <w:szCs w:val="22"/>
        </w:rPr>
        <w:t>é</w:t>
      </w:r>
      <w:r>
        <w:rPr>
          <w:bCs/>
          <w:szCs w:val="22"/>
        </w:rPr>
        <w:t>dias en Suisse alémanique pour y traquer les propos généralisateurs (stéréotypant) concernant des a</w:t>
      </w:r>
      <w:r>
        <w:rPr>
          <w:bCs/>
          <w:szCs w:val="22"/>
        </w:rPr>
        <w:t>c</w:t>
      </w:r>
      <w:r>
        <w:rPr>
          <w:bCs/>
          <w:szCs w:val="22"/>
        </w:rPr>
        <w:t xml:space="preserve">teurs juifs ou le judaïsme en général et pour les comparer avec les généralisations portant sur des acteurs musulmans ou sur l’islam. </w:t>
      </w:r>
    </w:p>
    <w:p w:rsidR="00000000" w:rsidRDefault="00000000">
      <w:pPr>
        <w:spacing w:after="240"/>
        <w:rPr>
          <w:bCs/>
          <w:szCs w:val="22"/>
        </w:rPr>
      </w:pPr>
      <w:r>
        <w:rPr>
          <w:bCs/>
          <w:szCs w:val="22"/>
        </w:rPr>
        <w:t>231.</w:t>
      </w:r>
      <w:r>
        <w:rPr>
          <w:bCs/>
          <w:szCs w:val="22"/>
        </w:rPr>
        <w:tab/>
        <w:t>Les auteurs de l’étude ont constaté des différences dans la représentation des acteurs juifs et des acteurs musulmans dans les médias: l’image donnée des acteurs juifs était so</w:t>
      </w:r>
      <w:r>
        <w:rPr>
          <w:bCs/>
          <w:szCs w:val="22"/>
        </w:rPr>
        <w:t>u</w:t>
      </w:r>
      <w:r>
        <w:rPr>
          <w:bCs/>
          <w:szCs w:val="22"/>
        </w:rPr>
        <w:t>vent positive et suscitait l’empathie; les juifs sont souvent considérés comme des vict</w:t>
      </w:r>
      <w:r>
        <w:rPr>
          <w:bCs/>
          <w:szCs w:val="22"/>
        </w:rPr>
        <w:t>i</w:t>
      </w:r>
      <w:r>
        <w:rPr>
          <w:bCs/>
          <w:szCs w:val="22"/>
        </w:rPr>
        <w:t>mes, soit en leur qualité de minorité menacée et persécutée tout au long de l’histoire, soit dans le contexte actuel, en raison des dangers qu’ils courent de nos jours, notamment par le fait d’attentats terroristes. La menace latente ou ouverte de l’antisémitisme a par ailleurs été g</w:t>
      </w:r>
      <w:r>
        <w:rPr>
          <w:bCs/>
          <w:szCs w:val="22"/>
        </w:rPr>
        <w:t>é</w:t>
      </w:r>
      <w:r>
        <w:rPr>
          <w:bCs/>
          <w:szCs w:val="22"/>
        </w:rPr>
        <w:t>néralement confirmée et n’est que rarement remise en question. Les conclusions en ce qui concerne les acteurs musulmans ont été bien différentes: ils sont très souvent représe</w:t>
      </w:r>
      <w:r>
        <w:rPr>
          <w:bCs/>
          <w:szCs w:val="22"/>
        </w:rPr>
        <w:t>n</w:t>
      </w:r>
      <w:r>
        <w:rPr>
          <w:bCs/>
          <w:szCs w:val="22"/>
        </w:rPr>
        <w:t>tés comme étant les auteurs d’actes d’agression et comme attisant les conflits. Si ce stéréotypage de l’«auteur» est relativisé dans la mesure où elle s’applique généralement aux islamistes ou aux fondamentalistes musulmans et non à la collectivité musulmane dans son ensemble, force est d’admettre que cette image d’«auteurs» reste très problématique en ce qu’elle vient biaiser la vision que l’on a de l’islam et des musulmans, car la notion d’islamiste est mise en rapport direct avec l’islam en tant que religion et a pratiquement toujours une conn</w:t>
      </w:r>
      <w:r>
        <w:rPr>
          <w:bCs/>
          <w:szCs w:val="22"/>
        </w:rPr>
        <w:t>o</w:t>
      </w:r>
      <w:r>
        <w:rPr>
          <w:bCs/>
          <w:szCs w:val="22"/>
        </w:rPr>
        <w:t>tation négative dans les produits médiatiques.</w:t>
      </w:r>
    </w:p>
    <w:p w:rsidR="00000000" w:rsidRDefault="00000000">
      <w:pPr>
        <w:keepNext/>
        <w:spacing w:after="240"/>
        <w:rPr>
          <w:b/>
          <w:bCs/>
          <w:i/>
          <w:iCs/>
        </w:rPr>
      </w:pPr>
      <w:bookmarkStart w:id="126" w:name="_Toc163552264"/>
      <w:r>
        <w:rPr>
          <w:b/>
          <w:bCs/>
          <w:i/>
          <w:iCs/>
        </w:rPr>
        <w:t>f)</w:t>
      </w:r>
      <w:r>
        <w:rPr>
          <w:b/>
          <w:bCs/>
          <w:i/>
          <w:iCs/>
        </w:rPr>
        <w:tab/>
        <w:t>Conférences</w:t>
      </w:r>
      <w:bookmarkEnd w:id="126"/>
    </w:p>
    <w:p w:rsidR="00000000" w:rsidRDefault="00000000">
      <w:pPr>
        <w:spacing w:after="240"/>
      </w:pPr>
      <w:r>
        <w:t>232.</w:t>
      </w:r>
      <w:r>
        <w:tab/>
        <w:t>Le SLR s’est penché sur le travail des médias dans une publication parue sous le titre «Comment capter l’attention des médias? Conseils pour le tr</w:t>
      </w:r>
      <w:r>
        <w:t>a</w:t>
      </w:r>
      <w:r>
        <w:t>vail d’information en matière de lutte contre le racisme et de promotion de l’intégration», ainsi que dans des ateliers organisés dans ce contexte. Le but tant de la publication que des at</w:t>
      </w:r>
      <w:r>
        <w:t>e</w:t>
      </w:r>
      <w:r>
        <w:t>liers était de familiariser les organisations œuvrant dans le domaine de la lutte contre la di</w:t>
      </w:r>
      <w:r>
        <w:t>s</w:t>
      </w:r>
      <w:r>
        <w:t>crimination et de la promotion de l’intégration au travail des médias. L’idée à la base de cette démarche était d’intéresser les médias locaux et la presse spécialisée aux projets de lutte contre le racisme et la discrimination aux fins d’attirer l’attention du public sur cette problém</w:t>
      </w:r>
      <w:r>
        <w:t>a</w:t>
      </w:r>
      <w:r>
        <w:t>tique et d’obtenir un ancrage à long terme de cette thématique dans différents secteurs clefs de la société.</w:t>
      </w:r>
    </w:p>
    <w:p w:rsidR="00000000" w:rsidRDefault="00000000">
      <w:pPr>
        <w:spacing w:after="240"/>
      </w:pPr>
      <w:r>
        <w:t>233.</w:t>
      </w:r>
      <w:r>
        <w:tab/>
        <w:t xml:space="preserve">En 2003, la </w:t>
      </w:r>
      <w:proofErr w:type="spellStart"/>
      <w:r>
        <w:t>CFR</w:t>
      </w:r>
      <w:proofErr w:type="spellEnd"/>
      <w:r>
        <w:t xml:space="preserve"> a organisé une conférence nationale sur le thème de la représent</w:t>
      </w:r>
      <w:r>
        <w:t>a</w:t>
      </w:r>
      <w:r>
        <w:t>tion des minorités dans les médias. Sous le titre «Parler non pas de, mais avec, les min</w:t>
      </w:r>
      <w:r>
        <w:t>o</w:t>
      </w:r>
      <w:r>
        <w:t>rités − racisme et minorités dans les médias», la discussion a essentiellement porté sur les que</w:t>
      </w:r>
      <w:r>
        <w:t>s</w:t>
      </w:r>
      <w:r>
        <w:t>tions suivantes: comment concilier devoir d’information et interdiction de toute discr</w:t>
      </w:r>
      <w:r>
        <w:t>i</w:t>
      </w:r>
      <w:r>
        <w:t xml:space="preserve">mination dans l’agitation du quotidien journalistique et comment les journalistes </w:t>
      </w:r>
      <w:proofErr w:type="spellStart"/>
      <w:r>
        <w:t>peuvent</w:t>
      </w:r>
      <w:r>
        <w:noBreakHyphen/>
        <w:t>ils</w:t>
      </w:r>
      <w:proofErr w:type="spellEnd"/>
      <w:r>
        <w:t xml:space="preserve"> répondre à l’attente des minorités, qui ne se satisfont plus du rôle d’objet et souhaitent pre</w:t>
      </w:r>
      <w:r>
        <w:t>n</w:t>
      </w:r>
      <w:r>
        <w:t>dre une part active dans le processus de couverture médiatique? La Conférence a réuni des représe</w:t>
      </w:r>
      <w:r>
        <w:t>n</w:t>
      </w:r>
      <w:r>
        <w:t>tants non seulement de différents médias, mais aussi de différentes minorités, qui ont tous eu l’occasion d’animer la discussion de leurs différents points de vue.</w:t>
      </w:r>
    </w:p>
    <w:p w:rsidR="00000000" w:rsidRDefault="00000000">
      <w:pPr>
        <w:spacing w:after="240"/>
        <w:jc w:val="center"/>
        <w:rPr>
          <w:b/>
          <w:bCs/>
        </w:rPr>
      </w:pPr>
      <w:bookmarkStart w:id="127" w:name="_Toc150668817"/>
      <w:bookmarkStart w:id="128" w:name="_Toc163552265"/>
      <w:r>
        <w:rPr>
          <w:szCs w:val="24"/>
        </w:rPr>
        <w:br w:type="page"/>
      </w:r>
      <w:proofErr w:type="spellStart"/>
      <w:r>
        <w:rPr>
          <w:b/>
          <w:bCs/>
          <w:szCs w:val="24"/>
        </w:rPr>
        <w:t>III</w:t>
      </w:r>
      <w:bookmarkEnd w:id="127"/>
      <w:proofErr w:type="spellEnd"/>
      <w:r>
        <w:rPr>
          <w:b/>
          <w:bCs/>
          <w:szCs w:val="24"/>
        </w:rPr>
        <w:t>.</w:t>
      </w:r>
      <w:bookmarkStart w:id="129" w:name="_Toc477524889"/>
      <w:bookmarkStart w:id="130" w:name="_Toc477525267"/>
      <w:bookmarkStart w:id="131" w:name="_Toc135034876"/>
      <w:bookmarkStart w:id="132" w:name="_Toc135034991"/>
      <w:bookmarkStart w:id="133" w:name="_Toc150668818"/>
      <w:r>
        <w:rPr>
          <w:b/>
          <w:bCs/>
          <w:szCs w:val="24"/>
        </w:rPr>
        <w:t xml:space="preserve">  PRISE DE POSITION RELATIVE AUX CONCLUSIONS DU COMITÉ </w:t>
      </w:r>
      <w:r>
        <w:rPr>
          <w:b/>
          <w:bCs/>
          <w:szCs w:val="24"/>
        </w:rPr>
        <w:br/>
        <w:t>POUR L’</w:t>
      </w:r>
      <w:proofErr w:type="spellStart"/>
      <w:r>
        <w:rPr>
          <w:b/>
          <w:bCs/>
          <w:szCs w:val="24"/>
        </w:rPr>
        <w:t>ÉLIMINATION</w:t>
      </w:r>
      <w:proofErr w:type="spellEnd"/>
      <w:r>
        <w:rPr>
          <w:b/>
          <w:bCs/>
          <w:szCs w:val="24"/>
        </w:rPr>
        <w:t xml:space="preserve"> DE LA DISCRIMINATION RACIALE </w:t>
      </w:r>
      <w:r>
        <w:rPr>
          <w:b/>
          <w:bCs/>
          <w:szCs w:val="24"/>
        </w:rPr>
        <w:br/>
        <w:t>DU</w:t>
      </w:r>
      <w:bookmarkStart w:id="134" w:name="_Toc150668819"/>
      <w:bookmarkEnd w:id="133"/>
      <w:r>
        <w:rPr>
          <w:b/>
          <w:bCs/>
          <w:szCs w:val="24"/>
        </w:rPr>
        <w:t xml:space="preserve"> 21 MA</w:t>
      </w:r>
      <w:bookmarkEnd w:id="129"/>
      <w:bookmarkEnd w:id="130"/>
      <w:r>
        <w:rPr>
          <w:b/>
          <w:bCs/>
          <w:szCs w:val="24"/>
        </w:rPr>
        <w:t>RS 2002</w:t>
      </w:r>
      <w:bookmarkEnd w:id="128"/>
      <w:bookmarkEnd w:id="131"/>
      <w:bookmarkEnd w:id="132"/>
      <w:bookmarkEnd w:id="134"/>
    </w:p>
    <w:p w:rsidR="00000000" w:rsidRDefault="00000000">
      <w:pPr>
        <w:spacing w:after="240"/>
        <w:jc w:val="center"/>
        <w:rPr>
          <w:b/>
          <w:bCs/>
          <w:szCs w:val="24"/>
        </w:rPr>
      </w:pPr>
      <w:bookmarkStart w:id="135" w:name="_Toc477524890"/>
      <w:bookmarkStart w:id="136" w:name="_Toc477525268"/>
      <w:bookmarkStart w:id="137" w:name="_Toc135034877"/>
      <w:bookmarkStart w:id="138" w:name="_Toc135034992"/>
      <w:bookmarkStart w:id="139" w:name="_Toc150668820"/>
      <w:bookmarkStart w:id="140" w:name="_Toc163552266"/>
      <w:r>
        <w:rPr>
          <w:b/>
          <w:bCs/>
          <w:szCs w:val="24"/>
        </w:rPr>
        <w:t>A.  Généralités</w:t>
      </w:r>
      <w:bookmarkEnd w:id="135"/>
      <w:bookmarkEnd w:id="136"/>
      <w:bookmarkEnd w:id="137"/>
      <w:bookmarkEnd w:id="138"/>
      <w:bookmarkEnd w:id="139"/>
      <w:bookmarkEnd w:id="140"/>
    </w:p>
    <w:p w:rsidR="00000000" w:rsidRDefault="00000000">
      <w:pPr>
        <w:spacing w:after="240"/>
      </w:pPr>
      <w:bookmarkStart w:id="141" w:name="_Ref78012772"/>
      <w:r>
        <w:t>234.</w:t>
      </w:r>
      <w:r>
        <w:tab/>
        <w:t>Le Comité a examiné les deuxième et troisième rapports périodiques de la Suisse (</w:t>
      </w:r>
      <w:proofErr w:type="spellStart"/>
      <w:r>
        <w:t>CERD</w:t>
      </w:r>
      <w:proofErr w:type="spellEnd"/>
      <w:r>
        <w:t>/C/351/</w:t>
      </w:r>
      <w:proofErr w:type="spellStart"/>
      <w:r>
        <w:t>Add.2</w:t>
      </w:r>
      <w:proofErr w:type="spellEnd"/>
      <w:r>
        <w:t>) du 29 décembre 1997 et du 29 décembre 1999 ainsi qu’un ra</w:t>
      </w:r>
      <w:r>
        <w:t>p</w:t>
      </w:r>
      <w:r>
        <w:t xml:space="preserve">port complémentaire à ses </w:t>
      </w:r>
      <w:proofErr w:type="spellStart"/>
      <w:r>
        <w:t>1495</w:t>
      </w:r>
      <w:r>
        <w:rPr>
          <w:vertAlign w:val="superscript"/>
        </w:rPr>
        <w:t>e</w:t>
      </w:r>
      <w:proofErr w:type="spellEnd"/>
      <w:r>
        <w:t xml:space="preserve"> et </w:t>
      </w:r>
      <w:proofErr w:type="spellStart"/>
      <w:r>
        <w:t>1496</w:t>
      </w:r>
      <w:r>
        <w:rPr>
          <w:vertAlign w:val="superscript"/>
        </w:rPr>
        <w:t>e</w:t>
      </w:r>
      <w:proofErr w:type="spellEnd"/>
      <w:r>
        <w:t xml:space="preserve"> séances des 4 et 5 mars 2002. Lors de sa </w:t>
      </w:r>
      <w:proofErr w:type="spellStart"/>
      <w:r>
        <w:t>1520</w:t>
      </w:r>
      <w:r>
        <w:rPr>
          <w:vertAlign w:val="superscript"/>
        </w:rPr>
        <w:t>e</w:t>
      </w:r>
      <w:proofErr w:type="spellEnd"/>
      <w:r>
        <w:t xml:space="preserve"> séance du 21 mars 2002, il a adopté les conclusions </w:t>
      </w:r>
      <w:r>
        <w:rPr>
          <w:b/>
          <w:bCs/>
        </w:rPr>
        <w:t>(</w:t>
      </w:r>
      <w:proofErr w:type="spellStart"/>
      <w:r>
        <w:rPr>
          <w:b/>
          <w:bCs/>
          <w:szCs w:val="24"/>
        </w:rPr>
        <w:t>CERD</w:t>
      </w:r>
      <w:proofErr w:type="spellEnd"/>
      <w:r>
        <w:rPr>
          <w:b/>
          <w:bCs/>
          <w:szCs w:val="24"/>
        </w:rPr>
        <w:t>/C/60/CO/14</w:t>
      </w:r>
      <w:r>
        <w:rPr>
          <w:b/>
          <w:bCs/>
        </w:rPr>
        <w:t>)</w:t>
      </w:r>
      <w:r>
        <w:t xml:space="preserve"> commentées </w:t>
      </w:r>
      <w:proofErr w:type="spellStart"/>
      <w:r>
        <w:t>ci</w:t>
      </w:r>
      <w:r>
        <w:noBreakHyphen/>
        <w:t>après</w:t>
      </w:r>
      <w:proofErr w:type="spellEnd"/>
      <w:r>
        <w:t>.</w:t>
      </w:r>
      <w:bookmarkEnd w:id="141"/>
    </w:p>
    <w:p w:rsidR="00000000" w:rsidRDefault="00000000">
      <w:pPr>
        <w:keepNext/>
        <w:spacing w:after="240"/>
        <w:jc w:val="center"/>
        <w:rPr>
          <w:b/>
          <w:bCs/>
          <w:szCs w:val="24"/>
        </w:rPr>
      </w:pPr>
      <w:bookmarkStart w:id="142" w:name="_Toc477524891"/>
      <w:bookmarkStart w:id="143" w:name="_Toc477525269"/>
      <w:bookmarkStart w:id="144" w:name="_Toc135034878"/>
      <w:bookmarkStart w:id="145" w:name="_Toc135034993"/>
      <w:bookmarkStart w:id="146" w:name="_Toc150668821"/>
      <w:bookmarkStart w:id="147" w:name="_Toc163552267"/>
      <w:r>
        <w:rPr>
          <w:b/>
          <w:bCs/>
          <w:szCs w:val="24"/>
        </w:rPr>
        <w:t xml:space="preserve">B.  Fédéralisme </w:t>
      </w:r>
      <w:r>
        <w:rPr>
          <w:iCs/>
          <w:szCs w:val="24"/>
        </w:rPr>
        <w:br/>
      </w:r>
      <w:r>
        <w:rPr>
          <w:b/>
          <w:bCs/>
          <w:iCs/>
          <w:szCs w:val="24"/>
        </w:rPr>
        <w:t>(</w:t>
      </w:r>
      <w:proofErr w:type="spellStart"/>
      <w:r>
        <w:rPr>
          <w:b/>
          <w:bCs/>
          <w:szCs w:val="24"/>
        </w:rPr>
        <w:t>CERD</w:t>
      </w:r>
      <w:proofErr w:type="spellEnd"/>
      <w:r>
        <w:rPr>
          <w:b/>
          <w:bCs/>
          <w:szCs w:val="24"/>
        </w:rPr>
        <w:t>/C/60/CO/14, par. 8)</w:t>
      </w:r>
      <w:bookmarkEnd w:id="142"/>
      <w:bookmarkEnd w:id="143"/>
      <w:bookmarkEnd w:id="144"/>
      <w:bookmarkEnd w:id="145"/>
      <w:bookmarkEnd w:id="146"/>
      <w:bookmarkEnd w:id="147"/>
    </w:p>
    <w:p w:rsidR="00000000" w:rsidRDefault="00000000">
      <w:pPr>
        <w:spacing w:after="240"/>
      </w:pPr>
      <w:r>
        <w:t>235.</w:t>
      </w:r>
      <w:r>
        <w:tab/>
        <w:t>D’une manière tout à fait générale, le fédéralisme tel qu’il fonctionne en Suisse est à lui seul un moyen efficace de protection des minorités. À travers les institutions de la Conf</w:t>
      </w:r>
      <w:r>
        <w:t>é</w:t>
      </w:r>
      <w:r>
        <w:t>dération, il garantit une représentation aux groupes de la population qui appartiennent à une minorité nationale tout en étant majoritaire à l’intérieur d’une région géographique déterm</w:t>
      </w:r>
      <w:r>
        <w:t>i</w:t>
      </w:r>
      <w:r>
        <w:t>née. Grâce au fédéralisme, les communes et les cantons dans lesquels vivent ces minor</w:t>
      </w:r>
      <w:r>
        <w:t>i</w:t>
      </w:r>
      <w:r>
        <w:t>tés jouissent aussi d’une certaine autonomie dans leur organisation.</w:t>
      </w:r>
    </w:p>
    <w:p w:rsidR="00000000" w:rsidRDefault="00000000">
      <w:pPr>
        <w:spacing w:after="240"/>
      </w:pPr>
      <w:r>
        <w:t>236.</w:t>
      </w:r>
      <w:r>
        <w:tab/>
        <w:t>Le fédéralisme et la démocratie sont donc deux des piliers de l’</w:t>
      </w:r>
      <w:proofErr w:type="spellStart"/>
      <w:r>
        <w:t>État</w:t>
      </w:r>
      <w:proofErr w:type="spellEnd"/>
      <w:r>
        <w:t xml:space="preserve"> suisse. Adapté à la pluralité culturelle du pays ainsi qu’aux besoins d’autonomie des États fédérés, le fédér</w:t>
      </w:r>
      <w:r>
        <w:t>a</w:t>
      </w:r>
      <w:r>
        <w:t>lisme assure l’unité nationale dans le respect de la diversité des parties qui le comp</w:t>
      </w:r>
      <w:r>
        <w:t>o</w:t>
      </w:r>
      <w:r>
        <w:t>sent. La simple structure de l’</w:t>
      </w:r>
      <w:proofErr w:type="spellStart"/>
      <w:r>
        <w:t>État</w:t>
      </w:r>
      <w:proofErr w:type="spellEnd"/>
      <w:r>
        <w:t xml:space="preserve"> fédéré suffit à assurer la protection des minorités nationales et leur soutien.</w:t>
      </w:r>
    </w:p>
    <w:p w:rsidR="00000000" w:rsidRDefault="00000000">
      <w:pPr>
        <w:spacing w:after="240"/>
      </w:pPr>
      <w:r>
        <w:t>237.</w:t>
      </w:r>
      <w:r>
        <w:tab/>
        <w:t>«Selon la conception suisse du droit, le droit international public et la législation nati</w:t>
      </w:r>
      <w:r>
        <w:t>o</w:t>
      </w:r>
      <w:r>
        <w:t>nale forment un ordre juridique unique.»</w:t>
      </w:r>
      <w:r>
        <w:rPr>
          <w:rStyle w:val="FootnoteReference"/>
          <w:bCs/>
        </w:rPr>
        <w:footnoteReference w:id="162"/>
      </w:r>
      <w:r>
        <w:t>. Selon le paragraphe 4 de l’article</w:t>
      </w:r>
      <w:r>
        <w:rPr>
          <w:i/>
          <w:iCs/>
        </w:rPr>
        <w:t xml:space="preserve"> </w:t>
      </w:r>
      <w:r>
        <w:t>5 de la Constitution fédérale, les normes de droit international sont donc automatiquement assimilées au droit national dès leur entrée en v</w:t>
      </w:r>
      <w:r>
        <w:t>i</w:t>
      </w:r>
      <w:r>
        <w:t>gueur. La Suisse reste ainsi fidèle à la conception moniste du droit qu’elle applique déjà d</w:t>
      </w:r>
      <w:r>
        <w:t>e</w:t>
      </w:r>
      <w:r>
        <w:t>puis de très nombreuses années. Entre conventions internationales et législations canton</w:t>
      </w:r>
      <w:r>
        <w:t>a</w:t>
      </w:r>
      <w:r>
        <w:t>les ou comm</w:t>
      </w:r>
      <w:r>
        <w:t>u</w:t>
      </w:r>
      <w:r>
        <w:t xml:space="preserve">nales, la hiérarchie des normes est donc claire puisque les traités ratifiés par la Confédération sont considérés comme droit fédéral et puisque </w:t>
      </w:r>
      <w:proofErr w:type="spellStart"/>
      <w:r>
        <w:t>celui</w:t>
      </w:r>
      <w:r>
        <w:noBreakHyphen/>
        <w:t>ci</w:t>
      </w:r>
      <w:proofErr w:type="spellEnd"/>
      <w:r>
        <w:t> prime toutes les no</w:t>
      </w:r>
      <w:r>
        <w:t>r</w:t>
      </w:r>
      <w:r>
        <w:t>mes cantonales ou communales</w:t>
      </w:r>
      <w:r>
        <w:rPr>
          <w:rStyle w:val="FootnoteReference"/>
          <w:bCs/>
        </w:rPr>
        <w:footnoteReference w:id="163"/>
      </w:r>
      <w:r>
        <w:t>. En vertu de l’article 191 de la Constitution fédérale, le Tribunal fédéral et les a</w:t>
      </w:r>
      <w:r>
        <w:t>u</w:t>
      </w:r>
      <w:r>
        <w:t>tres autorités sont en outre tenus d’appliquer non seulement les lois fédérales, mais aussi le droit international.</w:t>
      </w:r>
    </w:p>
    <w:p w:rsidR="00000000" w:rsidRDefault="00000000">
      <w:pPr>
        <w:spacing w:after="240"/>
      </w:pPr>
      <w:r>
        <w:t>238.</w:t>
      </w:r>
      <w:r>
        <w:tab/>
        <w:t>Le paragraphe 1 de l’article 54 de la Constitution fédérale confère par ailleurs à la Confédération une compétence gl</w:t>
      </w:r>
      <w:r>
        <w:t>o</w:t>
      </w:r>
      <w:r>
        <w:t>bale en matière de conclusion de traités internationaux. Lorsque la mise en œuvre de traités intern</w:t>
      </w:r>
      <w:r>
        <w:t>a</w:t>
      </w:r>
      <w:r>
        <w:t>tionaux requiert des dispositions d’exécution dans le droit interne, ce sont en principe les cantons qui s’en chargent dans les domaines relevant de leur compétence. Les cantons sont en effet tenus d’appliquer et d’exécuter les traités ratifiés par la Confédération au même titre que toutes les autres normes de la législation fédérale. Dans le cadre de la surveillance fédérale, la Confédération peut, si nécessaire, enjoindre aux cantons d’appliquer des traités internati</w:t>
      </w:r>
      <w:r>
        <w:t>o</w:t>
      </w:r>
      <w:r>
        <w:t>naux de manière correcte et en temps utile</w:t>
      </w:r>
      <w:r>
        <w:rPr>
          <w:rStyle w:val="FootnoteReference"/>
          <w:bCs/>
        </w:rPr>
        <w:footnoteReference w:id="164"/>
      </w:r>
      <w:r>
        <w:t>.</w:t>
      </w:r>
    </w:p>
    <w:p w:rsidR="00000000" w:rsidRDefault="00000000">
      <w:pPr>
        <w:spacing w:after="240"/>
      </w:pPr>
      <w:bookmarkStart w:id="148" w:name="_Ref82852379"/>
      <w:r>
        <w:t>239.</w:t>
      </w:r>
      <w:r>
        <w:tab/>
        <w:t xml:space="preserve">Aux fins de mieux coordonner leurs mesures de prévention du racisme, de l’antisémitisme, de la xénophobie et de l’extrémisme de droite, la Confédération a créé le SLR (voir </w:t>
      </w:r>
      <w:r>
        <w:rPr>
          <w:i/>
          <w:iCs/>
        </w:rPr>
        <w:t>supra</w:t>
      </w:r>
      <w:r>
        <w:t>, par. 194 à 198). Il est l’interlocuteur privilégié de la Confédération pour ce type de questions et collabore étroitement avec les cantons, les communes ainsi que des tiers (org</w:t>
      </w:r>
      <w:r>
        <w:t>a</w:t>
      </w:r>
      <w:r>
        <w:t>nis</w:t>
      </w:r>
      <w:r>
        <w:t>a</w:t>
      </w:r>
      <w:r>
        <w:t>tions privées, instituts de recherche et organisations non gouvernementales). Le SLR revêt en outre un rôle important en ce qui concerne la concrétis</w:t>
      </w:r>
      <w:r>
        <w:t>a</w:t>
      </w:r>
      <w:r>
        <w:t>tion d’engagements internationaux comme la Convention ou les reco</w:t>
      </w:r>
      <w:r>
        <w:t>m</w:t>
      </w:r>
      <w:r>
        <w:t>mand</w:t>
      </w:r>
      <w:r>
        <w:t>a</w:t>
      </w:r>
      <w:r>
        <w:t xml:space="preserve">tions de la Conférence de Durban. La </w:t>
      </w:r>
      <w:proofErr w:type="spellStart"/>
      <w:r>
        <w:t>CFR</w:t>
      </w:r>
      <w:proofErr w:type="spellEnd"/>
      <w:r>
        <w:t xml:space="preserve">, en revanche, est une commission extraparlementaire, qui concentre son action au niveau politique et s’efforce avant tout de sensibiliser le public (voir </w:t>
      </w:r>
      <w:r>
        <w:rPr>
          <w:i/>
          <w:iCs/>
        </w:rPr>
        <w:t>supra</w:t>
      </w:r>
      <w:r>
        <w:t>, par. 206 à 211). Chaque a</w:t>
      </w:r>
      <w:r>
        <w:t>n</w:t>
      </w:r>
      <w:r>
        <w:t>née, elle organise une conférence à laquelle sont conviées toutes les personnes respons</w:t>
      </w:r>
      <w:r>
        <w:t>a</w:t>
      </w:r>
      <w:r>
        <w:t>bles de la lutte contre le racisme au niveau des cantons afin de discuter avec elles de que</w:t>
      </w:r>
      <w:r>
        <w:t>s</w:t>
      </w:r>
      <w:r>
        <w:t>tions concrètes de lutte contre le racisme dans les cantons</w:t>
      </w:r>
      <w:bookmarkEnd w:id="148"/>
      <w:r>
        <w:t>.</w:t>
      </w:r>
    </w:p>
    <w:p w:rsidR="00000000" w:rsidRDefault="00000000">
      <w:pPr>
        <w:spacing w:after="240"/>
      </w:pPr>
      <w:r>
        <w:t>240.</w:t>
      </w:r>
      <w:r>
        <w:tab/>
        <w:t xml:space="preserve">L’organisation faîtière des délégués cantonaux et communaux à l’intégration est la </w:t>
      </w:r>
      <w:proofErr w:type="spellStart"/>
      <w:r>
        <w:t>CDI</w:t>
      </w:r>
      <w:proofErr w:type="spellEnd"/>
      <w:r>
        <w:t xml:space="preserve">. En matière de discrimination et de racisme, les délégués sont les antennes du </w:t>
      </w:r>
      <w:proofErr w:type="spellStart"/>
      <w:r>
        <w:t>SLR</w:t>
      </w:r>
      <w:proofErr w:type="spellEnd"/>
      <w:r>
        <w:t xml:space="preserve">. D’entente avec </w:t>
      </w:r>
      <w:proofErr w:type="spellStart"/>
      <w:r>
        <w:t>celui</w:t>
      </w:r>
      <w:r>
        <w:noBreakHyphen/>
        <w:t>ci</w:t>
      </w:r>
      <w:proofErr w:type="spellEnd"/>
      <w:r>
        <w:t>, les délégués à l’intégration ont adapté les statuts de leur organisation faîtière pour y déclarer expressément que la lutte contre la di</w:t>
      </w:r>
      <w:r>
        <w:t>s</w:t>
      </w:r>
      <w:r>
        <w:t>crimination faisait partie de leur travail d’intégration. Des représentants du SLR participent régulièrement aux séances des délégués à l’intégration.</w:t>
      </w:r>
    </w:p>
    <w:p w:rsidR="00000000" w:rsidRDefault="00000000">
      <w:pPr>
        <w:keepNext/>
        <w:spacing w:after="240"/>
        <w:jc w:val="center"/>
        <w:rPr>
          <w:b/>
          <w:bCs/>
          <w:szCs w:val="24"/>
        </w:rPr>
      </w:pPr>
      <w:bookmarkStart w:id="149" w:name="_Toc135034879"/>
      <w:bookmarkStart w:id="150" w:name="_Toc135034994"/>
      <w:bookmarkStart w:id="151" w:name="_Toc150668822"/>
      <w:bookmarkStart w:id="152" w:name="_Toc163552268"/>
      <w:r>
        <w:rPr>
          <w:b/>
          <w:bCs/>
          <w:szCs w:val="24"/>
        </w:rPr>
        <w:t xml:space="preserve">C.  Persistance d’attitudes hostiles envers les Noirs, </w:t>
      </w:r>
      <w:r>
        <w:rPr>
          <w:b/>
          <w:bCs/>
          <w:szCs w:val="24"/>
        </w:rPr>
        <w:br/>
        <w:t>les musu</w:t>
      </w:r>
      <w:r>
        <w:rPr>
          <w:b/>
          <w:bCs/>
          <w:szCs w:val="24"/>
        </w:rPr>
        <w:t>l</w:t>
      </w:r>
      <w:r>
        <w:rPr>
          <w:b/>
          <w:bCs/>
          <w:szCs w:val="24"/>
        </w:rPr>
        <w:t xml:space="preserve">mans et les demandeurs d’asile </w:t>
      </w:r>
      <w:r>
        <w:rPr>
          <w:b/>
          <w:bCs/>
          <w:szCs w:val="24"/>
        </w:rPr>
        <w:br/>
        <w:t>(</w:t>
      </w:r>
      <w:proofErr w:type="spellStart"/>
      <w:r>
        <w:rPr>
          <w:b/>
          <w:bCs/>
          <w:szCs w:val="24"/>
        </w:rPr>
        <w:t>CERD</w:t>
      </w:r>
      <w:proofErr w:type="spellEnd"/>
      <w:r>
        <w:rPr>
          <w:b/>
          <w:bCs/>
          <w:szCs w:val="24"/>
        </w:rPr>
        <w:t>/C/60/CO/14, par. 9)</w:t>
      </w:r>
      <w:bookmarkEnd w:id="149"/>
      <w:bookmarkEnd w:id="150"/>
      <w:bookmarkEnd w:id="151"/>
      <w:bookmarkEnd w:id="152"/>
    </w:p>
    <w:p w:rsidR="00000000" w:rsidRDefault="00000000">
      <w:pPr>
        <w:spacing w:after="240"/>
      </w:pPr>
      <w:r>
        <w:t>241.</w:t>
      </w:r>
      <w:r>
        <w:tab/>
        <w:t>Dans une société multiculturelle, il ne suffit pas de lois pour combattre les te</w:t>
      </w:r>
      <w:r>
        <w:t>n</w:t>
      </w:r>
      <w:r>
        <w:t>dances racistes. Il est tout aussi important d’œuvrer au rapprochement entre les cultures et les rel</w:t>
      </w:r>
      <w:r>
        <w:t>i</w:t>
      </w:r>
      <w:r>
        <w:t>gions en cherchant à éliminer les préjugés existant à l’égard de personnes de couleur ou de religion différente ou suscités par leur statut de séjour en Suisse. L’intégration de ces minor</w:t>
      </w:r>
      <w:r>
        <w:t>i</w:t>
      </w:r>
      <w:r>
        <w:t>tés dans notre société est un pas important en direction de l’ouverture et de la tol</w:t>
      </w:r>
      <w:r>
        <w:t>é</w:t>
      </w:r>
      <w:r>
        <w:t xml:space="preserve">rance. La politique suisse d’intégration − nous renvoyons à ce propos aux paragraphes 72 à 78 </w:t>
      </w:r>
      <w:proofErr w:type="spellStart"/>
      <w:r>
        <w:t>ci</w:t>
      </w:r>
      <w:r>
        <w:noBreakHyphen/>
        <w:t>dessus</w:t>
      </w:r>
      <w:proofErr w:type="spellEnd"/>
      <w:r>
        <w:t xml:space="preserve"> et n</w:t>
      </w:r>
      <w:r>
        <w:t>o</w:t>
      </w:r>
      <w:r>
        <w:t xml:space="preserve">tamment aux précisions données sur le crédit d’intégration géré par la </w:t>
      </w:r>
      <w:proofErr w:type="spellStart"/>
      <w:r>
        <w:t>CFE</w:t>
      </w:r>
      <w:proofErr w:type="spellEnd"/>
      <w:r>
        <w:t xml:space="preserve"> − contribue à faire avancer ce processus. Dans ce contexte, il est tout aussi important de fournir à la population suisse des informations fiables et objectives sur la situation particulière des étrangers, une mission qui, dans la loi sur les étrangers, est désormais confiée à la Confédération, aux cantons et aux communes</w:t>
      </w:r>
      <w:r>
        <w:rPr>
          <w:rStyle w:val="FootnoteReference"/>
        </w:rPr>
        <w:footnoteReference w:id="165"/>
      </w:r>
      <w:r>
        <w:t>. Ainsi, les autorités contr</w:t>
      </w:r>
      <w:r>
        <w:t>i</w:t>
      </w:r>
      <w:r>
        <w:t>buent à instaurer un climat de tolérance mutuelle, sans pour autant apparaître sous les traits de «faiseurs d’opinion». Voir également à ce s</w:t>
      </w:r>
      <w:r>
        <w:t>u</w:t>
      </w:r>
      <w:r>
        <w:t>jet le paragraphe 76.</w:t>
      </w:r>
    </w:p>
    <w:p w:rsidR="00000000" w:rsidRDefault="00000000">
      <w:pPr>
        <w:spacing w:after="240"/>
      </w:pPr>
      <w:r>
        <w:t>242.</w:t>
      </w:r>
      <w:r>
        <w:tab/>
        <w:t>La politique suisse contre le racisme, qui consiste en une lutte contre toutes les fo</w:t>
      </w:r>
      <w:r>
        <w:t>r</w:t>
      </w:r>
      <w:r>
        <w:t>mes de racisme, d’antisémitisme et de xénophobie en général ne se limite en principe pas à la protection de minorités spécifiques. La Suisse a néanmoins conscience de l’attitude hostile, me</w:t>
      </w:r>
      <w:r>
        <w:t>n</w:t>
      </w:r>
      <w:r>
        <w:t>tionnée par le Comité, à laquelle sont confrontés les groupes en que</w:t>
      </w:r>
      <w:r>
        <w:t>s</w:t>
      </w:r>
      <w:r>
        <w:t>tion et a donc pris des mesures spéciales. D’une manière générale, on constate lors de séances d’information et de séminaires une sensibilisation croissante du public au problème de la discrimination de gro</w:t>
      </w:r>
      <w:r>
        <w:t>u</w:t>
      </w:r>
      <w:r>
        <w:t xml:space="preserve">pes spécifiques (Noirs, musulmans, etc.). </w:t>
      </w:r>
    </w:p>
    <w:p w:rsidR="00000000" w:rsidRDefault="00000000">
      <w:pPr>
        <w:spacing w:after="240"/>
      </w:pPr>
      <w:r>
        <w:t>243.</w:t>
      </w:r>
      <w:r>
        <w:tab/>
        <w:t>Grâce aux crédits de soutien du Fonds de projets contre le racisme et en faveur des droits humains, des montants substantiels ont pu être alloués à des projets de soutien de groupes minoritaires et de victimes potentielles du racisme (gens du voyage, juifs, Noirs). Ces projets contribuent à promouvoir l’</w:t>
      </w:r>
      <w:proofErr w:type="spellStart"/>
      <w:r>
        <w:t>auto</w:t>
      </w:r>
      <w:r>
        <w:noBreakHyphen/>
        <w:t>assistance</w:t>
      </w:r>
      <w:proofErr w:type="spellEnd"/>
      <w:r>
        <w:t xml:space="preserve"> (</w:t>
      </w:r>
      <w:proofErr w:type="spellStart"/>
      <w:r>
        <w:rPr>
          <w:i/>
          <w:iCs/>
        </w:rPr>
        <w:t>empowerment</w:t>
      </w:r>
      <w:proofErr w:type="spellEnd"/>
      <w:r>
        <w:t>) ainsi qu’à lutter contre les discr</w:t>
      </w:r>
      <w:r>
        <w:t>i</w:t>
      </w:r>
      <w:r>
        <w:t>minations spécifiques dont ces groupes font l’objet. Le Fonds a également permis de soutenir des pr</w:t>
      </w:r>
      <w:r>
        <w:t>o</w:t>
      </w:r>
      <w:r>
        <w:t>jets consacrés à la discrimination multiple de femmes, d’immigrantes et de requéra</w:t>
      </w:r>
      <w:r>
        <w:t>n</w:t>
      </w:r>
      <w:r>
        <w:t>tes d’asile en part</w:t>
      </w:r>
      <w:r>
        <w:t>i</w:t>
      </w:r>
      <w:r>
        <w:t>culier.</w:t>
      </w:r>
    </w:p>
    <w:p w:rsidR="00000000" w:rsidRDefault="00000000">
      <w:pPr>
        <w:spacing w:after="240"/>
      </w:pPr>
      <w:r>
        <w:t>244.</w:t>
      </w:r>
      <w:r>
        <w:tab/>
        <w:t>Les projets lancés ont aussi permis aux groupes victimes d’actes racistes de repre</w:t>
      </w:r>
      <w:r>
        <w:t>n</w:t>
      </w:r>
      <w:r>
        <w:t xml:space="preserve">dre de l’assurance et de prendre </w:t>
      </w:r>
      <w:proofErr w:type="spellStart"/>
      <w:r>
        <w:t>eux</w:t>
      </w:r>
      <w:r>
        <w:noBreakHyphen/>
        <w:t>mêmes</w:t>
      </w:r>
      <w:proofErr w:type="spellEnd"/>
      <w:r>
        <w:t xml:space="preserve"> l’initiative d’intervenir activement pour organiser leur défense. Un soutien financier est accordé à différents services d’aide aux personnes vi</w:t>
      </w:r>
      <w:r>
        <w:t>c</w:t>
      </w:r>
      <w:r>
        <w:t>times d’actes de discrimination raciale</w:t>
      </w:r>
      <w:r>
        <w:rPr>
          <w:rStyle w:val="FootnoteReference"/>
        </w:rPr>
        <w:footnoteReference w:id="166"/>
      </w:r>
      <w:r>
        <w:t>.</w:t>
      </w:r>
    </w:p>
    <w:p w:rsidR="00000000" w:rsidRDefault="00000000">
      <w:pPr>
        <w:spacing w:after="240"/>
      </w:pPr>
      <w:r>
        <w:t>245.</w:t>
      </w:r>
      <w:r>
        <w:tab/>
        <w:t xml:space="preserve">Dans le contexte de la mise en œuvre du plan d’action de la Conférence de Durban, la </w:t>
      </w:r>
      <w:proofErr w:type="spellStart"/>
      <w:r>
        <w:t>CFR</w:t>
      </w:r>
      <w:proofErr w:type="spellEnd"/>
      <w:r>
        <w:t xml:space="preserve"> a accordé une attention accrue, ces dernières années, au problème du racisme et de l’exclusion de personnes venues d’</w:t>
      </w:r>
      <w:proofErr w:type="spellStart"/>
      <w:r>
        <w:t>Afrique</w:t>
      </w:r>
      <w:proofErr w:type="spellEnd"/>
      <w:r>
        <w:t xml:space="preserve"> ou d’origine africaine. En 2002, elle a ainsi organ</w:t>
      </w:r>
      <w:r>
        <w:t>i</w:t>
      </w:r>
      <w:r>
        <w:t xml:space="preserve">sé une Conférence nationale sous le titre «Les ombres du passé et le poids des images − le racisme </w:t>
      </w:r>
      <w:proofErr w:type="spellStart"/>
      <w:r>
        <w:t>anti</w:t>
      </w:r>
      <w:r>
        <w:noBreakHyphen/>
        <w:t>Noir</w:t>
      </w:r>
      <w:proofErr w:type="spellEnd"/>
      <w:r>
        <w:t xml:space="preserve"> en Suisse». Différentes discussions et tables rondes ont incité à la r</w:t>
      </w:r>
      <w:r>
        <w:t>é</w:t>
      </w:r>
      <w:r>
        <w:t xml:space="preserve">flexion en retraçant les origines historiques du racisme </w:t>
      </w:r>
      <w:proofErr w:type="spellStart"/>
      <w:r>
        <w:t>anti</w:t>
      </w:r>
      <w:r>
        <w:noBreakHyphen/>
        <w:t>Noir</w:t>
      </w:r>
      <w:proofErr w:type="spellEnd"/>
      <w:r>
        <w:t xml:space="preserve"> (colonialisme, esclavage) et en an</w:t>
      </w:r>
      <w:r>
        <w:t>a</w:t>
      </w:r>
      <w:r>
        <w:t>lysant les formes qu’il prend en Suisse au quotidien. Elle a également consacré à ce thème un numéro de son bull</w:t>
      </w:r>
      <w:r>
        <w:t>e</w:t>
      </w:r>
      <w:r>
        <w:t xml:space="preserve">tin bisannuel </w:t>
      </w:r>
      <w:proofErr w:type="spellStart"/>
      <w:r>
        <w:rPr>
          <w:i/>
          <w:iCs/>
        </w:rPr>
        <w:t>Tangram</w:t>
      </w:r>
      <w:proofErr w:type="spellEnd"/>
      <w:r>
        <w:rPr>
          <w:rStyle w:val="FootnoteReference"/>
        </w:rPr>
        <w:footnoteReference w:id="167"/>
      </w:r>
      <w:r>
        <w:t>.</w:t>
      </w:r>
    </w:p>
    <w:p w:rsidR="00000000" w:rsidRDefault="00000000">
      <w:pPr>
        <w:spacing w:after="200"/>
      </w:pPr>
      <w:r>
        <w:t>246.</w:t>
      </w:r>
      <w:r>
        <w:tab/>
        <w:t xml:space="preserve">Par la suite, la </w:t>
      </w:r>
      <w:proofErr w:type="spellStart"/>
      <w:r>
        <w:t>CFR</w:t>
      </w:r>
      <w:proofErr w:type="spellEnd"/>
      <w:r>
        <w:t xml:space="preserve"> a commandé l’étude «Les Noirs en Suisse. Une vie entre intégr</w:t>
      </w:r>
      <w:r>
        <w:t>a</w:t>
      </w:r>
      <w:r>
        <w:t>tion et discrimination»</w:t>
      </w:r>
      <w:r>
        <w:rPr>
          <w:rStyle w:val="FootnoteReference"/>
        </w:rPr>
        <w:footnoteReference w:id="168"/>
      </w:r>
      <w:r>
        <w:t>, qui décrit comment les personnes à peau foncée se sentent en Suisse et quelles sont les difficultés auxquelles elles se heurtent au quotidien. Les deux che</w:t>
      </w:r>
      <w:r>
        <w:t>r</w:t>
      </w:r>
      <w:r>
        <w:t xml:space="preserve">cheuses, qui appartiennent </w:t>
      </w:r>
      <w:proofErr w:type="spellStart"/>
      <w:r>
        <w:t>elles</w:t>
      </w:r>
      <w:r>
        <w:noBreakHyphen/>
        <w:t>mêmes</w:t>
      </w:r>
      <w:proofErr w:type="spellEnd"/>
      <w:r>
        <w:t xml:space="preserve"> au groupe cible, décrivent le vécu de la popul</w:t>
      </w:r>
      <w:r>
        <w:t>a</w:t>
      </w:r>
      <w:r>
        <w:t>tion noire au moyen d’entretiens dits «qualitatifs» et analysent dans une optique psychos</w:t>
      </w:r>
      <w:r>
        <w:t>o</w:t>
      </w:r>
      <w:r>
        <w:t>ciale ce que ressentent les Noirs en décrivant leurs réactions aux blessures subies. L’étude se termine par des recommandations, données du point de vue tant des personnes interr</w:t>
      </w:r>
      <w:r>
        <w:t>o</w:t>
      </w:r>
      <w:r>
        <w:t xml:space="preserve">gées que des auteurs </w:t>
      </w:r>
      <w:proofErr w:type="spellStart"/>
      <w:r>
        <w:t>elles</w:t>
      </w:r>
      <w:r>
        <w:noBreakHyphen/>
        <w:t>mêmes</w:t>
      </w:r>
      <w:proofErr w:type="spellEnd"/>
      <w:r>
        <w:t>, indiquant comment promouvoir l’intégration et l’acceptation. Les résultats spécifiques de l’étude concernant le racisme et la discrimination ont révélé que la plupart des événements entraient dans la catégorie du racisme sournois (ou latent): r</w:t>
      </w:r>
      <w:r>
        <w:t>e</w:t>
      </w:r>
      <w:r>
        <w:t>gards méprisants, insultes, le fait d’être ignoré ou de «ne pas être vu». Il s’agit de formes de racisme face auxquelles les personnes touchées se sentent particulièrement d</w:t>
      </w:r>
      <w:r>
        <w:t>é</w:t>
      </w:r>
      <w:r>
        <w:t>sarmées parce qu’elles sont difficiles à prouver et parce qu’elles sont souvent minimisées. Le racisme ouvert se manifeste sous la forme d’agressions verbales ou physiques dans des lieux publics, qui peuvent aller jusqu’aux voies de fait. Une personne interrogée sur deux a été i</w:t>
      </w:r>
      <w:r>
        <w:t>n</w:t>
      </w:r>
      <w:r>
        <w:t>sultée plus d’une fois à cause de la couleur de sa peau</w:t>
      </w:r>
      <w:r>
        <w:rPr>
          <w:rStyle w:val="FootnoteReference"/>
        </w:rPr>
        <w:footnoteReference w:id="169"/>
      </w:r>
      <w:r>
        <w:t>.</w:t>
      </w:r>
    </w:p>
    <w:p w:rsidR="00000000" w:rsidRDefault="00000000">
      <w:pPr>
        <w:spacing w:after="200"/>
      </w:pPr>
      <w:r>
        <w:t>247.</w:t>
      </w:r>
      <w:r>
        <w:tab/>
        <w:t>Dans le sillage des événements du 11 septembre 2001 et des autres attentats terrori</w:t>
      </w:r>
      <w:r>
        <w:t>s</w:t>
      </w:r>
      <w:r>
        <w:t>tes revendiqués par des groupements islamistes radicaux, les personnes de confession m</w:t>
      </w:r>
      <w:r>
        <w:t>u</w:t>
      </w:r>
      <w:r>
        <w:t>sulmane sont, depuis un certain temps, au centre du débat public, parfois mené sur ton de polémique. En tant que minorité religieuse, elles sont souvent la cible de généralisations ab</w:t>
      </w:r>
      <w:r>
        <w:t>u</w:t>
      </w:r>
      <w:r>
        <w:t xml:space="preserve">sives et d’attitudes discriminatoires. La </w:t>
      </w:r>
      <w:proofErr w:type="spellStart"/>
      <w:r>
        <w:t>CFR</w:t>
      </w:r>
      <w:proofErr w:type="spellEnd"/>
      <w:r>
        <w:t xml:space="preserve"> attire l’attention sur ce problème dans un co</w:t>
      </w:r>
      <w:r>
        <w:t>m</w:t>
      </w:r>
      <w:r>
        <w:t>muniqué de presse et demande l’instauration d’un débat public qui soit factuel et dont la communauté musulmane ne soit pas exclue</w:t>
      </w:r>
      <w:r>
        <w:rPr>
          <w:rStyle w:val="FootnoteReference"/>
        </w:rPr>
        <w:footnoteReference w:id="170"/>
      </w:r>
      <w:r>
        <w:t>.</w:t>
      </w:r>
    </w:p>
    <w:p w:rsidR="00000000" w:rsidRDefault="00000000">
      <w:pPr>
        <w:spacing w:after="200"/>
      </w:pPr>
      <w:r>
        <w:t>248.</w:t>
      </w:r>
      <w:r>
        <w:tab/>
        <w:t xml:space="preserve">Mandatée par la </w:t>
      </w:r>
      <w:proofErr w:type="spellStart"/>
      <w:r>
        <w:t>CFE</w:t>
      </w:r>
      <w:proofErr w:type="spellEnd"/>
      <w:r>
        <w:t>, une équipe de chercheurs s’est entretenue avec des musu</w:t>
      </w:r>
      <w:r>
        <w:t>l</w:t>
      </w:r>
      <w:r>
        <w:t>mans dans le cadre d’une étude intitulée «Musulmans en Suisse − profils, attentes et v</w:t>
      </w:r>
      <w:r>
        <w:t>i</w:t>
      </w:r>
      <w:r>
        <w:t>sions». Les interviews ont porté sur différents aspects de leur religion, de leur identité et de leur rôle en Suisse. En résumé, l’étude a révélé que le profil des musulmans et musulm</w:t>
      </w:r>
      <w:r>
        <w:t>a</w:t>
      </w:r>
      <w:r>
        <w:t xml:space="preserve">nes vivant dans notre pays était très hétérogène et que les stéréotypes ainsi que les visions de l’islam largement répandus dans l’opinion publique ne correspondaient pas à la réalité. Les auteurs de l’étude se sont aussi interrogés sur les moyens de parvenir à un rapprochement entre les communautés musulmanes et la société majoritaire. Ils plaident d’une part pour une meilleure reconnaissance des communautés religieuses musulmanes, tout en estimant d’autre part que </w:t>
      </w:r>
      <w:proofErr w:type="spellStart"/>
      <w:r>
        <w:t>celles</w:t>
      </w:r>
      <w:r>
        <w:noBreakHyphen/>
        <w:t>ci</w:t>
      </w:r>
      <w:proofErr w:type="spellEnd"/>
      <w:r>
        <w:t xml:space="preserve"> doivent être mieux intégrées dans les processus politiques les concerna</w:t>
      </w:r>
      <w:r>
        <w:t>n</w:t>
      </w:r>
      <w:r>
        <w:t>t afin qu’elles participent aux décisions au lieu de se les voir simplement imposer. Ils relèvent tout</w:t>
      </w:r>
      <w:r>
        <w:t>e</w:t>
      </w:r>
      <w:r>
        <w:t>fois que des efforts de rapprochement doivent aussi être faits à l’intérieur de la comm</w:t>
      </w:r>
      <w:r>
        <w:t>u</w:t>
      </w:r>
      <w:r>
        <w:t>nauté musulmane, pour donner à l’</w:t>
      </w:r>
      <w:proofErr w:type="spellStart"/>
      <w:r>
        <w:t>État</w:t>
      </w:r>
      <w:proofErr w:type="spellEnd"/>
      <w:r>
        <w:t xml:space="preserve"> un interlocuteur auquel il puisse s’adresser.</w:t>
      </w:r>
    </w:p>
    <w:p w:rsidR="00000000" w:rsidRDefault="00000000">
      <w:pPr>
        <w:spacing w:after="200"/>
      </w:pPr>
      <w:r>
        <w:t>249.</w:t>
      </w:r>
      <w:r>
        <w:tab/>
        <w:t>Pour plus de détails concernant les attitudes hostiles aux musulmans, nous re</w:t>
      </w:r>
      <w:r>
        <w:t>n</w:t>
      </w:r>
      <w:r>
        <w:t xml:space="preserve">voyons aux paragraphes 57 à 63 </w:t>
      </w:r>
      <w:proofErr w:type="spellStart"/>
      <w:r>
        <w:t>ci</w:t>
      </w:r>
      <w:r>
        <w:noBreakHyphen/>
        <w:t>dessus</w:t>
      </w:r>
      <w:proofErr w:type="spellEnd"/>
      <w:r>
        <w:t>.</w:t>
      </w:r>
    </w:p>
    <w:p w:rsidR="00000000" w:rsidRDefault="00000000">
      <w:pPr>
        <w:keepNext/>
        <w:spacing w:after="200"/>
        <w:jc w:val="center"/>
        <w:rPr>
          <w:b/>
          <w:bCs/>
          <w:szCs w:val="24"/>
        </w:rPr>
      </w:pPr>
      <w:bookmarkStart w:id="153" w:name="_Toc135034880"/>
      <w:bookmarkStart w:id="154" w:name="_Toc135034995"/>
      <w:bookmarkStart w:id="155" w:name="_Toc150668823"/>
      <w:bookmarkStart w:id="156" w:name="_Toc163552269"/>
      <w:r>
        <w:rPr>
          <w:b/>
          <w:bCs/>
          <w:szCs w:val="24"/>
        </w:rPr>
        <w:t xml:space="preserve">D.  Procédures de naturalisation </w:t>
      </w:r>
      <w:r>
        <w:rPr>
          <w:b/>
          <w:bCs/>
          <w:szCs w:val="24"/>
        </w:rPr>
        <w:br/>
        <w:t>(</w:t>
      </w:r>
      <w:proofErr w:type="spellStart"/>
      <w:r>
        <w:rPr>
          <w:b/>
          <w:bCs/>
          <w:szCs w:val="24"/>
        </w:rPr>
        <w:t>CERD</w:t>
      </w:r>
      <w:proofErr w:type="spellEnd"/>
      <w:r>
        <w:rPr>
          <w:b/>
          <w:bCs/>
          <w:szCs w:val="24"/>
        </w:rPr>
        <w:t>/C/60/CO/14, par. 10)</w:t>
      </w:r>
      <w:bookmarkEnd w:id="153"/>
      <w:bookmarkEnd w:id="154"/>
      <w:bookmarkEnd w:id="155"/>
      <w:bookmarkEnd w:id="156"/>
    </w:p>
    <w:p w:rsidR="00000000" w:rsidRDefault="00000000">
      <w:pPr>
        <w:keepNext/>
        <w:spacing w:after="200"/>
        <w:jc w:val="center"/>
        <w:rPr>
          <w:b/>
          <w:bCs/>
          <w:szCs w:val="24"/>
        </w:rPr>
      </w:pPr>
      <w:bookmarkStart w:id="157" w:name="_Toc135034996"/>
      <w:bookmarkStart w:id="158" w:name="_Toc163552270"/>
      <w:r>
        <w:rPr>
          <w:b/>
          <w:bCs/>
          <w:szCs w:val="24"/>
        </w:rPr>
        <w:t>1.  Jugements du Tribunal fédér</w:t>
      </w:r>
      <w:bookmarkEnd w:id="157"/>
      <w:r>
        <w:rPr>
          <w:b/>
          <w:bCs/>
          <w:szCs w:val="24"/>
        </w:rPr>
        <w:t>al</w:t>
      </w:r>
      <w:bookmarkEnd w:id="158"/>
    </w:p>
    <w:p w:rsidR="00000000" w:rsidRDefault="00000000">
      <w:pPr>
        <w:spacing w:after="200"/>
      </w:pPr>
      <w:bookmarkStart w:id="159" w:name="bgereinbürgerung"/>
      <w:bookmarkStart w:id="160" w:name="_Ref77990283"/>
      <w:bookmarkStart w:id="161" w:name="_Ref78012544"/>
      <w:bookmarkEnd w:id="159"/>
      <w:r>
        <w:t>250.</w:t>
      </w:r>
      <w:r>
        <w:tab/>
        <w:t>La procédure de naturalisation telle qu’elle est pratiquée dans certains cantons n’est effectivement pas satisfaisante et a donné lieu à des discussions de principe sur les cond</w:t>
      </w:r>
      <w:r>
        <w:t>i</w:t>
      </w:r>
      <w:r>
        <w:t>tions qu’elle doit remplir pour satisfaire pleinement aux principes de l’état de droit. Le Trib</w:t>
      </w:r>
      <w:r>
        <w:t>u</w:t>
      </w:r>
      <w:r>
        <w:t>nal fédéral a contribué à cette discussion par deux arrêts fondamentaux</w:t>
      </w:r>
      <w:bookmarkStart w:id="162" w:name="_Ref77997981"/>
      <w:r>
        <w:rPr>
          <w:rStyle w:val="FootnoteReference"/>
          <w:bCs/>
        </w:rPr>
        <w:footnoteReference w:id="171"/>
      </w:r>
      <w:bookmarkEnd w:id="162"/>
      <w:r>
        <w:t>. Il a estimé que si la compétence de déterminer l’organe responsable des naturalisations aux niveaux cantonal et communal devait continuer de relever des cantons, le respect des principes de l’état de droit tels que l’interdiction de toute discrimination ou l’obligation de motiver</w:t>
      </w:r>
      <w:r>
        <w:rPr>
          <w:rStyle w:val="FootnoteReference"/>
          <w:bCs/>
        </w:rPr>
        <w:footnoteReference w:id="172"/>
      </w:r>
      <w:r>
        <w:t xml:space="preserve"> devait être garanti. Plusieurs cantons se sont déjà conformés à ces arrêts en adaptant leurs procédures de nat</w:t>
      </w:r>
      <w:r>
        <w:t>u</w:t>
      </w:r>
      <w:r>
        <w:t>ralisation. D’autres révisions au niveau fédéral sont à l’étude.</w:t>
      </w:r>
    </w:p>
    <w:p w:rsidR="00000000" w:rsidRDefault="00000000">
      <w:pPr>
        <w:spacing w:after="240"/>
      </w:pPr>
      <w:r>
        <w:t>251.</w:t>
      </w:r>
      <w:r>
        <w:tab/>
        <w:t>Il ressort de l’arrêt du Tribunal fédéral 129 I 232 que le respect des principes de l’état de droit n’est pas garanti dans les votes populaires aux urnes. Les décisions de naturalisation doivent obligato</w:t>
      </w:r>
      <w:r>
        <w:t>i</w:t>
      </w:r>
      <w:r>
        <w:t xml:space="preserve">rement être motivées, ce qui, par définition, n’est pas possible dans le contexte d’un scrutin populaire par les urnes. </w:t>
      </w:r>
      <w:bookmarkEnd w:id="160"/>
      <w:r>
        <w:t>La motivation ultérieure de la décision par une autorité co</w:t>
      </w:r>
      <w:r>
        <w:t>m</w:t>
      </w:r>
      <w:r>
        <w:t>munale ne saurait venir combler cette lacune. Le Tribunal fédéral ne voit aucune possibilité de pallier l’absence de motivation dans les cas où des décisions en matière de naturalisation sont pr</w:t>
      </w:r>
      <w:r>
        <w:t>i</w:t>
      </w:r>
      <w:r>
        <w:t>ses aux urnes et a donc jugé qu’il était anticonstitutionnel de décider des demandes de nat</w:t>
      </w:r>
      <w:r>
        <w:t>u</w:t>
      </w:r>
      <w:r>
        <w:t>ralisation par voie de scrutin aux urnes.</w:t>
      </w:r>
    </w:p>
    <w:p w:rsidR="00000000" w:rsidRDefault="00000000">
      <w:pPr>
        <w:spacing w:after="240"/>
      </w:pPr>
      <w:r>
        <w:t>252.</w:t>
      </w:r>
      <w:r>
        <w:tab/>
        <w:t>Dans un deuxième arrêt</w:t>
      </w:r>
      <w:r>
        <w:rPr>
          <w:rStyle w:val="FootnoteReference"/>
          <w:bCs/>
        </w:rPr>
        <w:footnoteReference w:id="173"/>
      </w:r>
      <w:r>
        <w:t>, le Tribunal fédéral a jugé que «le recours de droit public pour violation de l’interdiction de toute discrimination est recevable aussi dans des cas tels que le refus d’une naturalisation, où il n’existe pas de droit à l’acte demandé». En reconnai</w:t>
      </w:r>
      <w:r>
        <w:t>s</w:t>
      </w:r>
      <w:r>
        <w:t>sant qu’un</w:t>
      </w:r>
      <w:bookmarkEnd w:id="161"/>
      <w:r>
        <w:t xml:space="preserve"> intérêt protégé par le droit pouvait résulter directement de l’interdiction de toute discrimination, on garantit que tout acte discriminatoire d’une autorité cantonale ou comm</w:t>
      </w:r>
      <w:r>
        <w:t>u</w:t>
      </w:r>
      <w:r>
        <w:t>nale ouvre le recours de droit public au Tribunal fédéral.</w:t>
      </w:r>
    </w:p>
    <w:p w:rsidR="00000000" w:rsidRDefault="00000000">
      <w:pPr>
        <w:keepNext/>
        <w:spacing w:after="240"/>
        <w:jc w:val="center"/>
        <w:rPr>
          <w:b/>
          <w:bCs/>
          <w:szCs w:val="24"/>
        </w:rPr>
      </w:pPr>
      <w:bookmarkStart w:id="163" w:name="_Toc135034997"/>
      <w:bookmarkStart w:id="164" w:name="_Toc163552271"/>
      <w:r>
        <w:rPr>
          <w:b/>
          <w:bCs/>
          <w:szCs w:val="24"/>
        </w:rPr>
        <w:t>2.  Modifications législatives liées aux naturalisations</w:t>
      </w:r>
      <w:bookmarkEnd w:id="163"/>
      <w:bookmarkEnd w:id="164"/>
    </w:p>
    <w:p w:rsidR="00000000" w:rsidRDefault="00000000">
      <w:pPr>
        <w:spacing w:after="240"/>
      </w:pPr>
      <w:r>
        <w:t>253.</w:t>
      </w:r>
      <w:r>
        <w:tab/>
        <w:t>À la suite de cette jurisprudence du Tribunal fédéral, le Conseil des États a, lors de la session d’hiver 2003, donné suite à une initiative parlementaire</w:t>
      </w:r>
      <w:r>
        <w:rPr>
          <w:rStyle w:val="FootnoteReference"/>
        </w:rPr>
        <w:footnoteReference w:id="174"/>
      </w:r>
      <w:r>
        <w:t xml:space="preserve"> demandant que les ca</w:t>
      </w:r>
      <w:r>
        <w:t>n</w:t>
      </w:r>
      <w:r>
        <w:t>tons et les communes soient libres de concevoir la procédure de naturalisation comme ils l’entendent et que le recours au Tribunal fédéral soit ouvert uniquement en cas de violation d’une garantie constitutionnelle de procédure. La Commission des institutions politiques du Conseil des États s’est fixé pour but de mettre en œuvre les deux arrêts du Tribunal fédéral dans la législation et de s’atteler à cet effet à la tâche délicate consistant à refermer le cl</w:t>
      </w:r>
      <w:r>
        <w:t>i</w:t>
      </w:r>
      <w:r>
        <w:t>vage existant entre la procédure démocratique appliquée par certains cantons en</w:t>
      </w:r>
      <w:r>
        <w:rPr>
          <w:i/>
          <w:iCs/>
        </w:rPr>
        <w:t xml:space="preserve"> </w:t>
      </w:r>
      <w:r>
        <w:t>matière de nat</w:t>
      </w:r>
      <w:r>
        <w:t>u</w:t>
      </w:r>
      <w:r>
        <w:t>ralisations d’une part et les exigences de l’état de droit d’autre part.</w:t>
      </w:r>
    </w:p>
    <w:p w:rsidR="00000000" w:rsidRDefault="00000000">
      <w:pPr>
        <w:spacing w:after="240"/>
      </w:pPr>
      <w:r>
        <w:t>254.</w:t>
      </w:r>
      <w:r>
        <w:tab/>
        <w:t>Selon la solution proposée par la Commission des institutions politiques du Conseil des États en ce qui concerne les naturalisations au niveau communal, la procédure doit être définie par les cantons et les décisions négatives doivent être motivées. L’organe habilité à décider des demandes de naturalisation n’est cependant pas précisé. Le projet de loi prévoit en outre l’institution d’un droit de recours au niveau cantonal contre les décisions de natural</w:t>
      </w:r>
      <w:r>
        <w:t>i</w:t>
      </w:r>
      <w:r>
        <w:t>sation prises selon la procédure ordinaire. Aux fins d’améliorer la protection de la personnal</w:t>
      </w:r>
      <w:r>
        <w:t>i</w:t>
      </w:r>
      <w:r>
        <w:t>té des candidats, les cantons doivent veiller au respect de la sphère privée de ces derniers en ne rendant publiques que les données personnelles nécessaires à la prise de la décision de naturalisation. Le Conseil fédéral a adopté le projet le 2 décembre 2005, le Conseil des États le 14 décembre 2005.</w:t>
      </w:r>
    </w:p>
    <w:p w:rsidR="00000000" w:rsidRDefault="00000000">
      <w:pPr>
        <w:spacing w:after="240"/>
      </w:pPr>
      <w:bookmarkStart w:id="165" w:name="_Ref78012647"/>
      <w:r>
        <w:t>255.</w:t>
      </w:r>
      <w:r>
        <w:tab/>
        <w:t>Dans le sillage des deux arrêts du Tribunal fédéral susmentionnés, deux initiatives parl</w:t>
      </w:r>
      <w:r>
        <w:t>e</w:t>
      </w:r>
      <w:r>
        <w:t>mentaires ont aussi été déposées au Conseil national</w:t>
      </w:r>
      <w:r>
        <w:rPr>
          <w:rStyle w:val="FootnoteReference"/>
        </w:rPr>
        <w:footnoteReference w:id="175"/>
      </w:r>
      <w:r>
        <w:t>. Sous la forme de trois initiat</w:t>
      </w:r>
      <w:r>
        <w:t>i</w:t>
      </w:r>
      <w:r>
        <w:t>ves cantonales, les cantons de Schwyz, de Lucerne et d’</w:t>
      </w:r>
      <w:proofErr w:type="spellStart"/>
      <w:r>
        <w:t>Argovie</w:t>
      </w:r>
      <w:proofErr w:type="spellEnd"/>
      <w:r>
        <w:t xml:space="preserve"> ont formulé, en substance, les mêmes préoccup</w:t>
      </w:r>
      <w:r>
        <w:t>a</w:t>
      </w:r>
      <w:bookmarkEnd w:id="165"/>
      <w:r>
        <w:t>tions.</w:t>
      </w:r>
    </w:p>
    <w:p w:rsidR="00000000" w:rsidRDefault="00000000">
      <w:pPr>
        <w:spacing w:after="240"/>
      </w:pPr>
      <w:r>
        <w:t>256.</w:t>
      </w:r>
      <w:r>
        <w:tab/>
        <w:t>L’initiative populaire «Pour des naturalisations démocratiques», déposée par l’</w:t>
      </w:r>
      <w:proofErr w:type="spellStart"/>
      <w:r>
        <w:t>Union</w:t>
      </w:r>
      <w:proofErr w:type="spellEnd"/>
      <w:r>
        <w:t> démocratique du centre (</w:t>
      </w:r>
      <w:proofErr w:type="spellStart"/>
      <w:r>
        <w:t>UDC</w:t>
      </w:r>
      <w:proofErr w:type="spellEnd"/>
      <w:r>
        <w:t>), a par ailleurs abouti. Elle demande que l’on laisse aux co</w:t>
      </w:r>
      <w:r>
        <w:t>m</w:t>
      </w:r>
      <w:r>
        <w:t>munes la liberté de décider de l’organe compétent pour l’octroi du droit de cité communal. Selon l’initiative, la décision de cet organe serait définitive. Le Conseil fédéral est en train de prép</w:t>
      </w:r>
      <w:r>
        <w:t>a</w:t>
      </w:r>
      <w:r>
        <w:t xml:space="preserve">rer le message y relatif. La Commission des institutions politiques du Conseil des États a décidé de traiter l’initiative parlementaire </w:t>
      </w:r>
      <w:proofErr w:type="spellStart"/>
      <w:r>
        <w:t>Pfisterer</w:t>
      </w:r>
      <w:proofErr w:type="spellEnd"/>
      <w:r>
        <w:t xml:space="preserve"> en même temps que l’initiative populaire de l’</w:t>
      </w:r>
      <w:proofErr w:type="spellStart"/>
      <w:r>
        <w:t>UDC</w:t>
      </w:r>
      <w:proofErr w:type="spellEnd"/>
      <w:r>
        <w:t xml:space="preserve"> «Pour des naturalisations démocratiques». Les Chambres fédérales débattront de ces deux objets vraisemblablement au printemps 2007.</w:t>
      </w:r>
    </w:p>
    <w:p w:rsidR="00000000" w:rsidRDefault="00000000">
      <w:pPr>
        <w:spacing w:after="240"/>
      </w:pPr>
      <w:r>
        <w:t>257.</w:t>
      </w:r>
      <w:r>
        <w:tab/>
        <w:t>En réaction aux interventions politiques et à l’initiative populaire fédérale me</w:t>
      </w:r>
      <w:r>
        <w:t>n</w:t>
      </w:r>
      <w:r>
        <w:t>tionnées, le Conseil fédéral a chargé le Département fédéral de justice et police de rédiger un rapport sur les questions en suspens en matière de naturalisations. Ce rapport a été prése</w:t>
      </w:r>
      <w:r>
        <w:t>n</w:t>
      </w:r>
      <w:r>
        <w:t>té au printemps 2006.</w:t>
      </w:r>
    </w:p>
    <w:p w:rsidR="00000000" w:rsidRDefault="00000000">
      <w:pPr>
        <w:spacing w:after="240"/>
      </w:pPr>
      <w:r>
        <w:t>258.</w:t>
      </w:r>
      <w:r>
        <w:tab/>
        <w:t>Le 26 septembre 2004, le peuple suisse a rejeté les deux objets relatifs à la natural</w:t>
      </w:r>
      <w:r>
        <w:t>i</w:t>
      </w:r>
      <w:r>
        <w:t>sation sur lesquels il était appelé à se prononcer: d’une part la naturalisation facilitée des je</w:t>
      </w:r>
      <w:r>
        <w:t>u</w:t>
      </w:r>
      <w:r>
        <w:t>nes de la deuxième génération, et d’autre part l’octroi de la nationalité suisse à la nai</w:t>
      </w:r>
      <w:r>
        <w:t>s</w:t>
      </w:r>
      <w:r>
        <w:t>sance pour les étrangers de la troisième génération.</w:t>
      </w:r>
    </w:p>
    <w:p w:rsidR="00000000" w:rsidRDefault="00000000">
      <w:pPr>
        <w:spacing w:after="240"/>
      </w:pPr>
      <w:r>
        <w:t>259.</w:t>
      </w:r>
      <w:r>
        <w:tab/>
        <w:t xml:space="preserve">D’autres modifications législatives, commentées </w:t>
      </w:r>
      <w:proofErr w:type="spellStart"/>
      <w:r>
        <w:t>ci</w:t>
      </w:r>
      <w:r>
        <w:noBreakHyphen/>
        <w:t>après</w:t>
      </w:r>
      <w:proofErr w:type="spellEnd"/>
      <w:r>
        <w:t>, sont en revanche entrées en vigueur le 1</w:t>
      </w:r>
      <w:r>
        <w:rPr>
          <w:vertAlign w:val="superscript"/>
        </w:rPr>
        <w:t>er</w:t>
      </w:r>
      <w:r>
        <w:t xml:space="preserve"> janvier 2006, car elles n’ont pas été l’objet d’une demande de réf</w:t>
      </w:r>
      <w:r>
        <w:t>é</w:t>
      </w:r>
      <w:r>
        <w:t>rendum</w:t>
      </w:r>
      <w:r>
        <w:rPr>
          <w:rStyle w:val="FootnoteReference"/>
          <w:bCs/>
        </w:rPr>
        <w:footnoteReference w:id="176"/>
      </w:r>
      <w:r>
        <w:t>.</w:t>
      </w:r>
      <w:r>
        <w:rPr>
          <w:rStyle w:val="FootnoteReference"/>
          <w:bCs/>
        </w:rPr>
        <w:t xml:space="preserve"> </w:t>
      </w:r>
      <w:r>
        <w:rPr>
          <w:bCs/>
        </w:rPr>
        <w:t>Selon la première, les autorités cantonales et communales ne pourront plus pe</w:t>
      </w:r>
      <w:r>
        <w:rPr>
          <w:bCs/>
        </w:rPr>
        <w:t>r</w:t>
      </w:r>
      <w:r>
        <w:rPr>
          <w:bCs/>
        </w:rPr>
        <w:t>cevoir que des émoluments couvrant les frais de naturalisation. Elles ne seront donc plus aut</w:t>
      </w:r>
      <w:r>
        <w:rPr>
          <w:bCs/>
        </w:rPr>
        <w:t>o</w:t>
      </w:r>
      <w:r>
        <w:rPr>
          <w:bCs/>
        </w:rPr>
        <w:t>risées à demander plusieurs milliers de francs pour l’octroi d’un droit de cité.</w:t>
      </w:r>
    </w:p>
    <w:p w:rsidR="00000000" w:rsidRDefault="00000000">
      <w:pPr>
        <w:spacing w:after="240"/>
      </w:pPr>
      <w:r>
        <w:t>260.</w:t>
      </w:r>
      <w:r>
        <w:tab/>
        <w:t>Une autre avait pour but d’améliorer la position des enfants apatrides: aux te</w:t>
      </w:r>
      <w:r>
        <w:t>r</w:t>
      </w:r>
      <w:r>
        <w:t xml:space="preserve">mes du nouvel article 30 </w:t>
      </w:r>
      <w:proofErr w:type="spellStart"/>
      <w:r>
        <w:t>LN</w:t>
      </w:r>
      <w:proofErr w:type="spellEnd"/>
      <w:r>
        <w:t>, un enfant apatride mineur peut former une demande de naturalisation fac</w:t>
      </w:r>
      <w:r>
        <w:t>i</w:t>
      </w:r>
      <w:r>
        <w:t>litée s’il a résidé au total cinq ans en Suisse, dont l’année pr</w:t>
      </w:r>
      <w:r>
        <w:t>é</w:t>
      </w:r>
      <w:r>
        <w:t>cédant le dépôt de la demande. La disposition s’applique également aux enfants que l’on a fait venir en Suisse en vue d’une adoption et qui finalement ne sont pas adoptés, s’ils ont perdu leur n</w:t>
      </w:r>
      <w:r>
        <w:t>a</w:t>
      </w:r>
      <w:r>
        <w:t>tionalité en vertu du droit en vigueur dans leur pays d’origine.</w:t>
      </w:r>
    </w:p>
    <w:p w:rsidR="00000000" w:rsidRDefault="00000000">
      <w:pPr>
        <w:spacing w:after="240"/>
      </w:pPr>
      <w:r>
        <w:t>261.</w:t>
      </w:r>
      <w:r>
        <w:tab/>
        <w:t xml:space="preserve">La plupart des autres modifications apportées à la </w:t>
      </w:r>
      <w:proofErr w:type="spellStart"/>
      <w:r>
        <w:t>LN</w:t>
      </w:r>
      <w:proofErr w:type="spellEnd"/>
      <w:r>
        <w:t xml:space="preserve"> portent sur les natur</w:t>
      </w:r>
      <w:r>
        <w:t>a</w:t>
      </w:r>
      <w:r>
        <w:t>lisations facilitées et les réintégrations. Il s’agit, en premier lieu, de mesures en faveur de personnes d’origine suisse.</w:t>
      </w:r>
    </w:p>
    <w:p w:rsidR="00000000" w:rsidRDefault="00000000">
      <w:pPr>
        <w:keepNext/>
        <w:spacing w:after="240"/>
        <w:jc w:val="center"/>
        <w:rPr>
          <w:b/>
          <w:bCs/>
          <w:szCs w:val="22"/>
        </w:rPr>
      </w:pPr>
      <w:bookmarkStart w:id="166" w:name="_Toc135034998"/>
      <w:bookmarkStart w:id="167" w:name="_Toc163552272"/>
      <w:r>
        <w:rPr>
          <w:b/>
          <w:bCs/>
          <w:szCs w:val="22"/>
        </w:rPr>
        <w:t xml:space="preserve">3.  Épreuves de </w:t>
      </w:r>
      <w:bookmarkEnd w:id="166"/>
      <w:r>
        <w:rPr>
          <w:b/>
          <w:bCs/>
          <w:szCs w:val="22"/>
        </w:rPr>
        <w:t>langue</w:t>
      </w:r>
      <w:bookmarkEnd w:id="167"/>
    </w:p>
    <w:p w:rsidR="00000000" w:rsidRDefault="00000000">
      <w:pPr>
        <w:spacing w:after="240"/>
      </w:pPr>
      <w:r>
        <w:t>262.</w:t>
      </w:r>
      <w:r>
        <w:tab/>
        <w:t>L’idée d’introduire une épreuve de langue écrite dans la procédure de natural</w:t>
      </w:r>
      <w:r>
        <w:t>i</w:t>
      </w:r>
      <w:r>
        <w:t>sation</w:t>
      </w:r>
      <w:r>
        <w:rPr>
          <w:i/>
          <w:iCs/>
        </w:rPr>
        <w:t xml:space="preserve"> </w:t>
      </w:r>
      <w:r>
        <w:t>a suscité de vives discussions sur l’utilité de ce genre de tests comme critère d’intégration des candidats à la naturalisation. On est généralement d’accord sur le fait que l’apprentissage d’une langue nationale est indispensable à l’intégration et que la langue doit donc être cons</w:t>
      </w:r>
      <w:r>
        <w:t>i</w:t>
      </w:r>
      <w:r>
        <w:t>dérée comme un critère d’aptitude dans la procédure de naturalisation</w:t>
      </w:r>
      <w:r>
        <w:rPr>
          <w:rStyle w:val="FootnoteReference"/>
        </w:rPr>
        <w:footnoteReference w:id="177"/>
      </w:r>
      <w:r>
        <w:t>. Une grande major</w:t>
      </w:r>
      <w:r>
        <w:t>i</w:t>
      </w:r>
      <w:r>
        <w:t>té des cantons posent d’ailleurs déjà des exigences en matière de connaissances linguist</w:t>
      </w:r>
      <w:r>
        <w:t>i</w:t>
      </w:r>
      <w:r>
        <w:t>ques, que ce soit au niveau de la loi, au niveau réglementaire ou sous la forme de reco</w:t>
      </w:r>
      <w:r>
        <w:t>m</w:t>
      </w:r>
      <w:r>
        <w:t>mandations. Le désaccord porte sur la façon dont il convient de prendre en compte ce genre de critères. Les discussions virulentes qui ont eu lieu à ce sujet en Suisse alémanique avant tout et le fait que différentes communes ont commencé à mettre au point leurs propres tests ont incité la Commission fédérale des étrangers à requérir la coll</w:t>
      </w:r>
      <w:r>
        <w:t>a</w:t>
      </w:r>
      <w:r>
        <w:t>boration du Centre d’enseignement et de recherche en langues étrangères de l’</w:t>
      </w:r>
      <w:proofErr w:type="spellStart"/>
      <w:r>
        <w:t>Université</w:t>
      </w:r>
      <w:proofErr w:type="spellEnd"/>
      <w:r>
        <w:t xml:space="preserve"> de Fribourg pour élaborer des </w:t>
      </w:r>
      <w:proofErr w:type="spellStart"/>
      <w:r>
        <w:t>règles</w:t>
      </w:r>
      <w:r>
        <w:noBreakHyphen/>
        <w:t>cadres</w:t>
      </w:r>
      <w:proofErr w:type="spellEnd"/>
      <w:r>
        <w:t xml:space="preserve"> en vue de l’authentification des connaissances linguistiques dans le contexte des procédures de naturalisation. Se fondant sur les résultats de cette collabor</w:t>
      </w:r>
      <w:r>
        <w:t>a</w:t>
      </w:r>
      <w:r>
        <w:t>tion, la CFA a formulé des recommandations à l’intention des autorités souhaitant tester les compéte</w:t>
      </w:r>
      <w:r>
        <w:t>n</w:t>
      </w:r>
      <w:r>
        <w:t>ces communicatives des candidats à la naturalisation dans la langue locale en tant que critère d’intégration. Ces recommandations ont pour but d’aider les autorités à concevoir les tests de manière transparente et équitable</w:t>
      </w:r>
      <w:r>
        <w:rPr>
          <w:rStyle w:val="FootnoteReference"/>
        </w:rPr>
        <w:footnoteReference w:id="178"/>
      </w:r>
      <w:r>
        <w:t>.</w:t>
      </w:r>
    </w:p>
    <w:p w:rsidR="00000000" w:rsidRDefault="00000000">
      <w:pPr>
        <w:spacing w:after="240"/>
      </w:pPr>
      <w:r>
        <w:t>263.</w:t>
      </w:r>
      <w:r>
        <w:tab/>
        <w:t>Le Tribunal fédéral s’est lui aussi prononcé une fois déjà sur la prise en compte des connaissances linguistiques dans le cadre de la procédure de naturalisation en donnant ra</w:t>
      </w:r>
      <w:r>
        <w:t>i</w:t>
      </w:r>
      <w:r>
        <w:t>son à une commune qui avait rejeté la demande de naturalisation d’une candidate à cause des lacunes constatées dans sa capacité de communiquer dans la langue du pays. Statuant sur le recours interjeté contre cette décision, le gouvernement cantonal l’a infirmée. Appelé à se prononcer à son tour, le Tribunal fédéral a estimé que le canton avait enfreint l’autonomie communale et qu’il n’avait pas le droit de naturaliser la candidate contre la volo</w:t>
      </w:r>
      <w:r>
        <w:t>n</w:t>
      </w:r>
      <w:r>
        <w:t>té de la commune. Il a jugé que, dans la mesure où le droit cantonal leur conférait l’autonomie en matière de naturalisations, les communes étaient libres d’appliquer en ce qui concerne les connaissances linguistiques des critères plus stricts que le canton. Ces exigences ne do</w:t>
      </w:r>
      <w:r>
        <w:t>i</w:t>
      </w:r>
      <w:r>
        <w:t>vent cependant, toujours selon le Tribunal fédéral, pas être excessives au point de représe</w:t>
      </w:r>
      <w:r>
        <w:t>n</w:t>
      </w:r>
      <w:r>
        <w:t>ter un véritable obstacle à la naturalisation</w:t>
      </w:r>
      <w:r>
        <w:rPr>
          <w:rStyle w:val="FootnoteReference"/>
          <w:bCs/>
        </w:rPr>
        <w:footnoteReference w:id="179"/>
      </w:r>
      <w:r>
        <w:t>.</w:t>
      </w:r>
    </w:p>
    <w:p w:rsidR="00000000" w:rsidRDefault="00000000">
      <w:pPr>
        <w:keepNext/>
        <w:spacing w:after="240"/>
        <w:jc w:val="center"/>
        <w:rPr>
          <w:b/>
          <w:bCs/>
          <w:szCs w:val="24"/>
        </w:rPr>
      </w:pPr>
      <w:bookmarkStart w:id="168" w:name="_Toc135034881"/>
      <w:bookmarkStart w:id="169" w:name="_Toc135034999"/>
      <w:bookmarkStart w:id="170" w:name="_Toc150668824"/>
      <w:bookmarkStart w:id="171" w:name="_Toc163552273"/>
      <w:r>
        <w:rPr>
          <w:b/>
          <w:bCs/>
          <w:szCs w:val="24"/>
        </w:rPr>
        <w:t>E.  Création de classes séparées pour les élèves étrangers</w:t>
      </w:r>
      <w:r>
        <w:rPr>
          <w:b/>
          <w:bCs/>
          <w:szCs w:val="24"/>
        </w:rPr>
        <w:br/>
        <w:t>(</w:t>
      </w:r>
      <w:proofErr w:type="spellStart"/>
      <w:r>
        <w:rPr>
          <w:b/>
          <w:bCs/>
          <w:szCs w:val="24"/>
        </w:rPr>
        <w:t>CERD</w:t>
      </w:r>
      <w:proofErr w:type="spellEnd"/>
      <w:r>
        <w:rPr>
          <w:b/>
          <w:bCs/>
          <w:szCs w:val="24"/>
        </w:rPr>
        <w:t>/C/60/CO/14, par. 11)</w:t>
      </w:r>
      <w:bookmarkEnd w:id="168"/>
      <w:bookmarkEnd w:id="169"/>
      <w:bookmarkEnd w:id="170"/>
      <w:bookmarkEnd w:id="171"/>
    </w:p>
    <w:p w:rsidR="00000000" w:rsidRDefault="00000000">
      <w:pPr>
        <w:spacing w:after="240"/>
      </w:pPr>
      <w:bookmarkStart w:id="172" w:name="_Ref79399194"/>
      <w:r>
        <w:t>264.</w:t>
      </w:r>
      <w:r>
        <w:tab/>
        <w:t>Il y a quelques années, deux villes suisses avaient tenté l’expérience de former des classes de primaire en séparant enfants suisses et enfants étrangers. À cette époque, de nombreuses voix s’étaient élevées dans les parlements cantonaux et communaux de Suisse alémanique pour demander des classes séparées pour les germanophones dans les écoles dans lesquelles les enfants suisses étaient en minorité. Les défenseurs de cette idée estimaient en effet que des mesures étaient nécessaires pour préserver les chances des él</w:t>
      </w:r>
      <w:r>
        <w:t>è</w:t>
      </w:r>
      <w:r>
        <w:t xml:space="preserve">ves germanophones dans ces établissements scolaires. Ces requêtes avaient été vivement discutées tant dans les médias que dans les parlements qui étaient appelés à en décider (voir </w:t>
      </w:r>
      <w:proofErr w:type="spellStart"/>
      <w:r>
        <w:t>CERD</w:t>
      </w:r>
      <w:proofErr w:type="spellEnd"/>
      <w:r>
        <w:t>/C/351/</w:t>
      </w:r>
      <w:proofErr w:type="spellStart"/>
      <w:r>
        <w:t>Add.2</w:t>
      </w:r>
      <w:proofErr w:type="spellEnd"/>
      <w:r>
        <w:t>, par. 323). La plupart de ces interventions ont été rejetées et l’expérience a été tentée uniquement dans quelques classes des villes de Rorschach et de Lucerne. L’objectif de ces essais mis en pr</w:t>
      </w:r>
      <w:r>
        <w:t>a</w:t>
      </w:r>
      <w:r>
        <w:t xml:space="preserve">tique était d’optimiser l’apprentissage tant des enfants suisses que des enfants étrangers. À Rorschach, le nombre important d’enfants de réfugiés </w:t>
      </w:r>
      <w:proofErr w:type="spellStart"/>
      <w:r>
        <w:t>albanophones</w:t>
      </w:r>
      <w:proofErr w:type="spellEnd"/>
      <w:r>
        <w:t xml:space="preserve"> avait incité les autorités à former deux classes spéciales de niveaux préscolaire et primaire. L’enseignement y avait lieu tantôt en albanais, tantôt en allemand. Cet essai a été stoppé après deux ans et les e</w:t>
      </w:r>
      <w:r>
        <w:t>n</w:t>
      </w:r>
      <w:r>
        <w:t>fants de ces classes ont réintégré les structures scolaires ordinaires. À Lucerne, il s’est agi d’une mesure exceptionnelle dans le cadre de laquelle une première classe primaire avait été constituée exclusivement d’enfants étrangers. Depuis lors, il n’y a plus eu en Suisse de cla</w:t>
      </w:r>
      <w:r>
        <w:t>s</w:t>
      </w:r>
      <w:r>
        <w:t>ses séparées pour enfants étrangers, d’une part en raison des résistances politiques très fortes suscitées par ces expériences, et d’autre part grâce aux résultats très encourageants qu’ont permis d’obtenir des projets novateurs fondés sur l’intégration des enfants étrangers dans des classes ordinaires. L’idée de la séparation a donc fini par être abandonnée.</w:t>
      </w:r>
    </w:p>
    <w:p w:rsidR="00000000" w:rsidRDefault="00000000">
      <w:pPr>
        <w:spacing w:after="240"/>
      </w:pPr>
      <w:r>
        <w:t>265.</w:t>
      </w:r>
      <w:r>
        <w:tab/>
        <w:t>Dans ses recommandations du 24 octobre 1991 concernant la scolarisation des e</w:t>
      </w:r>
      <w:r>
        <w:t>n</w:t>
      </w:r>
      <w:r>
        <w:t>fants de langue étrangère, la Conférence suisse des directeurs cantonaux de l’instruction publique (</w:t>
      </w:r>
      <w:proofErr w:type="spellStart"/>
      <w:r>
        <w:t>CDIP</w:t>
      </w:r>
      <w:proofErr w:type="spellEnd"/>
      <w:r>
        <w:t>) s’était clairement prononcée en faveur de l’intégration des enfants alloph</w:t>
      </w:r>
      <w:r>
        <w:t>o</w:t>
      </w:r>
      <w:r>
        <w:t>nes dans les écoles publiques et avait recommandé aux cantons de scolariser le plus dire</w:t>
      </w:r>
      <w:r>
        <w:t>c</w:t>
      </w:r>
      <w:r>
        <w:t xml:space="preserve">tement possible les enfants arrivés en Suisse dans des types d’écoles et dans des classes correspondant à leur âge et à leur bagage scolaire. Pour se donner les moyens d’enrayer les évolutions évoquées plus haut, la </w:t>
      </w:r>
      <w:proofErr w:type="spellStart"/>
      <w:r>
        <w:t>CDIP</w:t>
      </w:r>
      <w:proofErr w:type="spellEnd"/>
      <w:r>
        <w:t xml:space="preserve"> a, dans son Règlement de 1999 concernant la reco</w:t>
      </w:r>
      <w:r>
        <w:t>n</w:t>
      </w:r>
      <w:r>
        <w:t>naissance des diplômes de hautes écoles pour les enseignantes et e</w:t>
      </w:r>
      <w:r>
        <w:t>n</w:t>
      </w:r>
      <w:r>
        <w:t>seignants des degrés préscolaire et primaire ainsi que du degré secondaire I, inclus la péd</w:t>
      </w:r>
      <w:r>
        <w:t>a</w:t>
      </w:r>
      <w:r>
        <w:t xml:space="preserve">gogie spécialisée et la pédagogie interculturelle dans les contenus de formation obligatoires. La </w:t>
      </w:r>
      <w:proofErr w:type="spellStart"/>
      <w:r>
        <w:t>CDIP</w:t>
      </w:r>
      <w:proofErr w:type="spellEnd"/>
      <w:r>
        <w:t xml:space="preserve"> a en outre institué un groupe de travail permanent chargé de la conseiller dans les questions de migr</w:t>
      </w:r>
      <w:r>
        <w:t>a</w:t>
      </w:r>
      <w:r>
        <w:t>tion et d’intégration à l’école.</w:t>
      </w:r>
    </w:p>
    <w:p w:rsidR="00000000" w:rsidRDefault="00000000">
      <w:pPr>
        <w:spacing w:after="240"/>
      </w:pPr>
      <w:r>
        <w:t>266.</w:t>
      </w:r>
      <w:r>
        <w:tab/>
        <w:t>Les enfants migrants vivant en Suisse ont en outre la possibilité, s’ils le souha</w:t>
      </w:r>
      <w:r>
        <w:t>i</w:t>
      </w:r>
      <w:r>
        <w:t xml:space="preserve">tent, d’assister à des «cours de langue et de culture d’origine». La </w:t>
      </w:r>
      <w:proofErr w:type="spellStart"/>
      <w:r>
        <w:t>CDIP</w:t>
      </w:r>
      <w:proofErr w:type="spellEnd"/>
      <w:r>
        <w:t xml:space="preserve"> recommande aux cantons d’intégrer ces cours d’au moins deux heures hebdomadaires dans les horaires sc</w:t>
      </w:r>
      <w:r>
        <w:t>o</w:t>
      </w:r>
      <w:r>
        <w:t>laires, de les soutenir de manière appropriée, et d’attester la fréquentation de ces cours ainsi que le cas échéant l’appréciation donnée dans le bulletin scolaire. Selon les résultats d’une e</w:t>
      </w:r>
      <w:r>
        <w:t>n</w:t>
      </w:r>
      <w:r>
        <w:t>quête que la </w:t>
      </w:r>
      <w:proofErr w:type="spellStart"/>
      <w:r>
        <w:t>CDIP</w:t>
      </w:r>
      <w:proofErr w:type="spellEnd"/>
      <w:r>
        <w:t xml:space="preserve"> a effectuée auprès des cantons en 2002, plus d’un tiers d’entre eux avaient intégré les cours de langue et de culture d’origine dans les horaires scolaires.</w:t>
      </w:r>
    </w:p>
    <w:p w:rsidR="00000000" w:rsidRDefault="00000000">
      <w:pPr>
        <w:spacing w:after="240"/>
      </w:pPr>
      <w:r>
        <w:t>267.</w:t>
      </w:r>
      <w:r>
        <w:tab/>
        <w:t>Dans le contexte scolaire, l’égalité des chances des enfants étrangers reste toutefois difficile à garantir. Selon le rapport PISA 2000, les jeunes issus de familles imm</w:t>
      </w:r>
      <w:r>
        <w:t>i</w:t>
      </w:r>
      <w:r>
        <w:t>grées sont généralement désavantagés à maints égards</w:t>
      </w:r>
      <w:r>
        <w:rPr>
          <w:rStyle w:val="FootnoteReference"/>
          <w:bCs/>
        </w:rPr>
        <w:footnoteReference w:id="180"/>
      </w:r>
      <w:r>
        <w:t>. Premièrement, ils ne sont pas suffisamment soutenus et encouragés par leur famille. Ensuite, leurs parents ne connaissent souvent pas le système éducatif local. Finalement, leurs difficultés linguistiques les obligent à fournir des e</w:t>
      </w:r>
      <w:r>
        <w:t>f</w:t>
      </w:r>
      <w:r>
        <w:t>forts particuliers pour pouvoir suivre les cours. Ce handicap les gêne aussi bien en lecture qu’en mathé</w:t>
      </w:r>
      <w:bookmarkEnd w:id="172"/>
      <w:r>
        <w:t>matiques ou en sciences. On constate aussi que les familles d’immigrés vivent en majorité dans des conditions économiques peu favorables, que les parents n’ont bien so</w:t>
      </w:r>
      <w:r>
        <w:t>u</w:t>
      </w:r>
      <w:r>
        <w:t>vent pas de formation supérieure et que, dans bien des cas, l’environnement familial manque de ressources culturelles. Pour toutes ces raisons, les r</w:t>
      </w:r>
      <w:r>
        <w:t>e</w:t>
      </w:r>
      <w:r>
        <w:t>tards des jeunes issus de familles immigrées se révèlent en fait plus importants que l’on pouvait s’y attendre au vu de leur social</w:t>
      </w:r>
      <w:r>
        <w:t>i</w:t>
      </w:r>
      <w:r>
        <w:t>sation dans un environnement plurilingue. Relevons toutefois que les retards accusés sont d’autant moins grands que les jeunes séjournent longtemps dans la région linguistique cons</w:t>
      </w:r>
      <w:r>
        <w:t>i</w:t>
      </w:r>
      <w:r>
        <w:t>dérée. Le rapport PISA 2000 montre que la diversité culturelle accroît les défis qui sont posés au système éducatif, mais aussi que les jeunes issus de fami</w:t>
      </w:r>
      <w:r>
        <w:t>l</w:t>
      </w:r>
      <w:r>
        <w:t>les d’immigrés sont capables d’obtenir des résultats excellents.</w:t>
      </w:r>
    </w:p>
    <w:p w:rsidR="00000000" w:rsidRDefault="00000000">
      <w:pPr>
        <w:spacing w:after="240"/>
      </w:pPr>
      <w:r>
        <w:t>268.</w:t>
      </w:r>
      <w:r>
        <w:tab/>
        <w:t>Les systèmes scolaires cantonaux connaissent une multitude de mesures d’appui et d’encouragement intégratives ou séparatives destinées aux élèves ayant des besoins partic</w:t>
      </w:r>
      <w:r>
        <w:t>u</w:t>
      </w:r>
      <w:r>
        <w:t>liers. Une partie d’entre elles s’adressent tout spécialement aux enfants et ad</w:t>
      </w:r>
      <w:r>
        <w:t>o</w:t>
      </w:r>
      <w:r>
        <w:t>lescents issus de familles d’immigrés et mettent l’accent sur l’acquisition d’une deuxième la</w:t>
      </w:r>
      <w:r>
        <w:t>n</w:t>
      </w:r>
      <w:r>
        <w:t>gue dans la langue d’enseignement locale. Parmi ces mesures, citons les classes d’allophones, dans le</w:t>
      </w:r>
      <w:r>
        <w:t>s</w:t>
      </w:r>
      <w:r>
        <w:t>quelles sont admis passagèrement des enfants et adolescents dont les connaissa</w:t>
      </w:r>
      <w:r>
        <w:t>n</w:t>
      </w:r>
      <w:r>
        <w:t>ces de la langue d’enseignement ne permettent pas une intégration directe dans une classe rég</w:t>
      </w:r>
      <w:r>
        <w:t>u</w:t>
      </w:r>
      <w:r>
        <w:t>lière. La scolarisation dans une classe d’allophones peut être prolongée par un appui lingui</w:t>
      </w:r>
      <w:r>
        <w:t>s</w:t>
      </w:r>
      <w:r>
        <w:t>tique individuel, intégré dans une structure d’enseignement régulière.</w:t>
      </w:r>
    </w:p>
    <w:p w:rsidR="00000000" w:rsidRDefault="00000000">
      <w:pPr>
        <w:spacing w:after="240"/>
      </w:pPr>
      <w:r>
        <w:t>269.</w:t>
      </w:r>
      <w:r>
        <w:tab/>
        <w:t>La politique des cantons relative à l’encadrement scolaire des enfants migrants est loin d’être uniforme, mais il est fréquent que les classes spéciales donnent matière à discu</w:t>
      </w:r>
      <w:r>
        <w:t>s</w:t>
      </w:r>
      <w:r>
        <w:t>sion</w:t>
      </w:r>
      <w:bookmarkStart w:id="173" w:name="fnconvegno"/>
      <w:r>
        <w:rPr>
          <w:rStyle w:val="FootnoteReference"/>
          <w:bCs/>
        </w:rPr>
        <w:footnoteReference w:id="181"/>
      </w:r>
      <w:bookmarkEnd w:id="173"/>
      <w:r>
        <w:t>. Il ressort</w:t>
      </w:r>
      <w:bookmarkStart w:id="174" w:name="_Ref79200147"/>
      <w:r>
        <w:t xml:space="preserve"> d’une publication de la </w:t>
      </w:r>
      <w:proofErr w:type="spellStart"/>
      <w:r>
        <w:t>CDIP</w:t>
      </w:r>
      <w:proofErr w:type="spellEnd"/>
      <w:r>
        <w:rPr>
          <w:rStyle w:val="FootnoteReference"/>
          <w:bCs/>
        </w:rPr>
        <w:footnoteReference w:id="182"/>
      </w:r>
      <w:bookmarkEnd w:id="174"/>
      <w:r>
        <w:t xml:space="preserve"> que </w:t>
      </w:r>
      <w:r>
        <w:rPr>
          <w:iCs/>
        </w:rPr>
        <w:t>«les enfants allophones sont ass</w:t>
      </w:r>
      <w:r>
        <w:rPr>
          <w:iCs/>
        </w:rPr>
        <w:t>i</w:t>
      </w:r>
      <w:r>
        <w:rPr>
          <w:iCs/>
        </w:rPr>
        <w:t>gnés plus facilement que les enfants suisses à des classes spéciales, mais ce phénomène varie fortement de canton à canton et entre les communes scolaires d’un même canton au</w:t>
      </w:r>
      <w:r>
        <w:rPr>
          <w:iCs/>
        </w:rPr>
        <w:t>s</w:t>
      </w:r>
      <w:r>
        <w:rPr>
          <w:iCs/>
        </w:rPr>
        <w:t>si»</w:t>
      </w:r>
      <w:r>
        <w:rPr>
          <w:rStyle w:val="FootnoteReference"/>
          <w:bCs/>
          <w:iCs/>
        </w:rPr>
        <w:footnoteReference w:id="183"/>
      </w:r>
      <w:r>
        <w:rPr>
          <w:iCs/>
        </w:rPr>
        <w:t>.</w:t>
      </w:r>
      <w:r>
        <w:t xml:space="preserve"> On peut également lire dans cette publication qu’en 2001 la proportion des élèves fréque</w:t>
      </w:r>
      <w:r>
        <w:t>n</w:t>
      </w:r>
      <w:r>
        <w:t>tant une classe spéciale a doublé par rapport à 1980. Cette augmentation, toujours s</w:t>
      </w:r>
      <w:r>
        <w:t>e</w:t>
      </w:r>
      <w:r>
        <w:t>lon le rapport, est due uniquement à une affectation croissante des élèves étrangers dans les cla</w:t>
      </w:r>
      <w:r>
        <w:t>s</w:t>
      </w:r>
      <w:r>
        <w:t>ses spéciales, où leur proportion est passée de 28 % en 1980 à 53 % en l’an 2000. En 2001, disent les chercheurs, 1 enfant étranger sur 10 fréquentait une école spéciale. C</w:t>
      </w:r>
      <w:r>
        <w:t>e</w:t>
      </w:r>
      <w:r>
        <w:t>pendant, la forte proportion d’étrangers ne peut guère être imputée aux programmes de développ</w:t>
      </w:r>
      <w:r>
        <w:t>e</w:t>
      </w:r>
      <w:r>
        <w:t>ment pédagogique qui ont été introduits explicitement à l’intention des enfants et ad</w:t>
      </w:r>
      <w:r>
        <w:t>o</w:t>
      </w:r>
      <w:r>
        <w:t>lescents étrangers (par exemple: classes d’accueil pour enfants allophones)</w:t>
      </w:r>
      <w:r>
        <w:rPr>
          <w:rStyle w:val="FootnoteReference"/>
          <w:bCs/>
        </w:rPr>
        <w:footnoteReference w:id="184"/>
      </w:r>
      <w:r>
        <w:t>. Cette tendance à une au</w:t>
      </w:r>
      <w:r>
        <w:t>g</w:t>
      </w:r>
      <w:r>
        <w:t>mentation supérieure à la moyenne de la proportion d’enfants allophones dans les cla</w:t>
      </w:r>
      <w:r>
        <w:t>s</w:t>
      </w:r>
      <w:r>
        <w:t>ses spéciales n’a pas pu être inversée en dépit des efforts d’intégration déployés au niveau de l’école obligatoire.</w:t>
      </w:r>
    </w:p>
    <w:p w:rsidR="00000000" w:rsidRDefault="00000000">
      <w:pPr>
        <w:keepNext/>
        <w:spacing w:after="240"/>
        <w:jc w:val="center"/>
        <w:rPr>
          <w:b/>
          <w:bCs/>
          <w:szCs w:val="24"/>
        </w:rPr>
      </w:pPr>
      <w:bookmarkStart w:id="175" w:name="_Toc135034882"/>
      <w:bookmarkStart w:id="176" w:name="_Toc135035000"/>
      <w:bookmarkStart w:id="177" w:name="_Toc150668825"/>
      <w:bookmarkStart w:id="178" w:name="_Toc163552274"/>
      <w:r>
        <w:rPr>
          <w:b/>
          <w:bCs/>
          <w:szCs w:val="24"/>
        </w:rPr>
        <w:t xml:space="preserve">F.  Police </w:t>
      </w:r>
      <w:r>
        <w:rPr>
          <w:b/>
          <w:bCs/>
          <w:szCs w:val="24"/>
        </w:rPr>
        <w:br/>
        <w:t>(</w:t>
      </w:r>
      <w:proofErr w:type="spellStart"/>
      <w:r>
        <w:rPr>
          <w:b/>
          <w:bCs/>
          <w:szCs w:val="24"/>
        </w:rPr>
        <w:t>CERD</w:t>
      </w:r>
      <w:proofErr w:type="spellEnd"/>
      <w:r>
        <w:rPr>
          <w:b/>
          <w:bCs/>
          <w:szCs w:val="24"/>
        </w:rPr>
        <w:t>/C/60/CO/14, par. 12)</w:t>
      </w:r>
      <w:bookmarkEnd w:id="175"/>
      <w:bookmarkEnd w:id="176"/>
      <w:bookmarkEnd w:id="177"/>
      <w:bookmarkEnd w:id="178"/>
    </w:p>
    <w:p w:rsidR="00000000" w:rsidRDefault="00000000">
      <w:pPr>
        <w:keepNext/>
        <w:spacing w:after="240"/>
        <w:jc w:val="center"/>
        <w:rPr>
          <w:b/>
          <w:bCs/>
          <w:szCs w:val="24"/>
        </w:rPr>
      </w:pPr>
      <w:bookmarkStart w:id="179" w:name="_Toc135035001"/>
      <w:bookmarkStart w:id="180" w:name="_Toc163552275"/>
      <w:r>
        <w:rPr>
          <w:b/>
          <w:bCs/>
          <w:szCs w:val="24"/>
        </w:rPr>
        <w:t>1.  Violence poli</w:t>
      </w:r>
      <w:bookmarkEnd w:id="179"/>
      <w:r>
        <w:rPr>
          <w:b/>
          <w:bCs/>
          <w:szCs w:val="24"/>
        </w:rPr>
        <w:t>cière</w:t>
      </w:r>
      <w:bookmarkEnd w:id="180"/>
    </w:p>
    <w:p w:rsidR="00000000" w:rsidRDefault="00000000">
      <w:pPr>
        <w:spacing w:after="240"/>
      </w:pPr>
      <w:r>
        <w:t>270.</w:t>
      </w:r>
      <w:r>
        <w:tab/>
        <w:t>Dans son troisième rapport sur la Suisse du 27 juin 2003</w:t>
      </w:r>
      <w:r>
        <w:rPr>
          <w:rStyle w:val="FootnoteReference"/>
          <w:bCs/>
        </w:rPr>
        <w:footnoteReference w:id="185"/>
      </w:r>
      <w:r>
        <w:t>, la Commission eur</w:t>
      </w:r>
      <w:r>
        <w:t>o</w:t>
      </w:r>
      <w:r>
        <w:t>péenne contre le racisme et l’intolérance (</w:t>
      </w:r>
      <w:proofErr w:type="spellStart"/>
      <w:r>
        <w:t>ECRI</w:t>
      </w:r>
      <w:proofErr w:type="spellEnd"/>
      <w:r>
        <w:t>) écrit que le comportement de la police à l’égard des membres des groupes minoritaires demeure problématique. Le Gouvernement suisse y a réagi par le commentaire suivant: «La police est bien consciente que, parmi le</w:t>
      </w:r>
      <w:r>
        <w:t>s</w:t>
      </w:r>
      <w:r>
        <w:t xml:space="preserve"> nombreuses opérations policières effectuées tous les jours 24 heures sur 24, il peut y avoir des bavures. Mais les thèmes comme la xénophobie ou la violence policière sont systémat</w:t>
      </w:r>
      <w:r>
        <w:t>i</w:t>
      </w:r>
      <w:r>
        <w:t>quement pris en compte dans la formation de base et la formation continue des forces de p</w:t>
      </w:r>
      <w:r>
        <w:t>o</w:t>
      </w:r>
      <w:r>
        <w:t>lice»</w:t>
      </w:r>
      <w:r>
        <w:rPr>
          <w:rStyle w:val="FootnoteReference"/>
          <w:bCs/>
        </w:rPr>
        <w:footnoteReference w:id="186"/>
      </w:r>
      <w:r>
        <w:t>. Tous les soupçons de bavures policières font l’objet d’une enquête et, lorsque cela se révèle nécessaire, des mesures sont prises pour améliorer le travail de la police.</w:t>
      </w:r>
    </w:p>
    <w:p w:rsidR="00000000" w:rsidRDefault="00000000">
      <w:pPr>
        <w:spacing w:after="240"/>
      </w:pPr>
      <w:r>
        <w:t>271.</w:t>
      </w:r>
      <w:r>
        <w:tab/>
        <w:t xml:space="preserve">La </w:t>
      </w:r>
      <w:proofErr w:type="spellStart"/>
      <w:r>
        <w:t>CFE</w:t>
      </w:r>
      <w:proofErr w:type="spellEnd"/>
      <w:r>
        <w:t xml:space="preserve"> est en contact avec la Conférence des commandants des polices ca</w:t>
      </w:r>
      <w:r>
        <w:t>n</w:t>
      </w:r>
      <w:r>
        <w:t>tonales de Suisse et avec la Conférence des directrices et directeurs des départements ca</w:t>
      </w:r>
      <w:r>
        <w:t>n</w:t>
      </w:r>
      <w:r>
        <w:t>tonaux de justice et police (</w:t>
      </w:r>
      <w:proofErr w:type="spellStart"/>
      <w:r>
        <w:t>CCDJP</w:t>
      </w:r>
      <w:proofErr w:type="spellEnd"/>
      <w:r>
        <w:t>) aux fins d’encourager la prise de mesures contre le r</w:t>
      </w:r>
      <w:r>
        <w:t>a</w:t>
      </w:r>
      <w:r>
        <w:t>cisme à l’intérieur des corps de police.</w:t>
      </w:r>
    </w:p>
    <w:p w:rsidR="00000000" w:rsidRDefault="00000000">
      <w:pPr>
        <w:spacing w:after="240"/>
      </w:pPr>
      <w:r>
        <w:t>272.</w:t>
      </w:r>
      <w:r>
        <w:tab/>
        <w:t>Une délégation du Comité européen pour la prévention de la torture et des peines ou traitements inhumains ou dégradants (</w:t>
      </w:r>
      <w:proofErr w:type="spellStart"/>
      <w:r>
        <w:t>CPT</w:t>
      </w:r>
      <w:proofErr w:type="spellEnd"/>
      <w:r>
        <w:t xml:space="preserve">) a séjourné en Suisse en octobre 2003. Elle a visité la section de la prison de l’aéroport de </w:t>
      </w:r>
      <w:proofErr w:type="spellStart"/>
      <w:r>
        <w:t>Zurich</w:t>
      </w:r>
      <w:r>
        <w:noBreakHyphen/>
        <w:t>Kloten</w:t>
      </w:r>
      <w:proofErr w:type="spellEnd"/>
      <w:r>
        <w:t xml:space="preserve"> qui héberge les personnes en a</w:t>
      </w:r>
      <w:r>
        <w:t>t</w:t>
      </w:r>
      <w:r>
        <w:t>tente d’éloignement. Elle s’est également penchée sur la procédure suivie en matière d’expulsions et en a profité pour examiner la manière dont la Suisse met en œuvre les no</w:t>
      </w:r>
      <w:r>
        <w:t>r</w:t>
      </w:r>
      <w:r>
        <w:t>mes édictées par le Comité pour l’éloignement d’étrangers par la voie aérienne. Elle n’a con</w:t>
      </w:r>
      <w:r>
        <w:t>s</w:t>
      </w:r>
      <w:r>
        <w:t>taté aucun indice permettant de conclure à l’application de la torture ou de mauvais trait</w:t>
      </w:r>
      <w:r>
        <w:t>e</w:t>
      </w:r>
      <w:r>
        <w:t>ments graves. La délégation a confirmé que des progrès importants avaient été faits depuis sa dernière visite</w:t>
      </w:r>
      <w:r>
        <w:rPr>
          <w:rStyle w:val="FootnoteReference"/>
          <w:bCs/>
        </w:rPr>
        <w:footnoteReference w:id="187"/>
      </w:r>
      <w:r>
        <w:t>, en particulier dans le cadre des opérations d’éloignement d’étrangers par la voie aérienne</w:t>
      </w:r>
      <w:r>
        <w:rPr>
          <w:rStyle w:val="FootnoteReference"/>
          <w:bCs/>
        </w:rPr>
        <w:footnoteReference w:id="188"/>
      </w:r>
      <w:r>
        <w:t xml:space="preserve">. La délégation a également inspecté le service </w:t>
      </w:r>
      <w:proofErr w:type="spellStart"/>
      <w:r>
        <w:t>swissREPAT</w:t>
      </w:r>
      <w:proofErr w:type="spellEnd"/>
      <w:r>
        <w:t xml:space="preserve"> que l’</w:t>
      </w:r>
      <w:proofErr w:type="spellStart"/>
      <w:r>
        <w:t>ODR</w:t>
      </w:r>
      <w:proofErr w:type="spellEnd"/>
      <w:r>
        <w:t>/</w:t>
      </w:r>
      <w:proofErr w:type="spellStart"/>
      <w:r>
        <w:t>ODM</w:t>
      </w:r>
      <w:proofErr w:type="spellEnd"/>
      <w:r>
        <w:t xml:space="preserve"> entretient à l’aéroport. Cette institution ainsi que les directives de la </w:t>
      </w:r>
      <w:proofErr w:type="spellStart"/>
      <w:r>
        <w:t>CCDJP</w:t>
      </w:r>
      <w:proofErr w:type="spellEnd"/>
      <w:r>
        <w:t xml:space="preserve"> d’avril 2002 déjà mentionnées ont permis de rendre transparent l’usage de la contrainte par la p</w:t>
      </w:r>
      <w:r>
        <w:t>o</w:t>
      </w:r>
      <w:r>
        <w:t>lice lors d’opérations de renvoi par avion. Depuis que ces changements ont eu lieu, il n’y a plus eu de cas de recours par la police à des moyens de contrainte disproportionnés dans le contexte de l’exécution de décisions de renvoi.</w:t>
      </w:r>
    </w:p>
    <w:p w:rsidR="00000000" w:rsidRDefault="00000000">
      <w:pPr>
        <w:keepNext/>
        <w:spacing w:after="240"/>
        <w:jc w:val="center"/>
        <w:rPr>
          <w:b/>
          <w:bCs/>
          <w:szCs w:val="24"/>
        </w:rPr>
      </w:pPr>
      <w:bookmarkStart w:id="181" w:name="_Toc135035002"/>
      <w:bookmarkStart w:id="182" w:name="_Toc163552276"/>
      <w:r>
        <w:rPr>
          <w:b/>
          <w:bCs/>
          <w:szCs w:val="24"/>
        </w:rPr>
        <w:t>2.  Médiateur</w:t>
      </w:r>
      <w:bookmarkEnd w:id="181"/>
      <w:bookmarkEnd w:id="182"/>
    </w:p>
    <w:p w:rsidR="00000000" w:rsidRDefault="00000000">
      <w:pPr>
        <w:spacing w:after="240"/>
      </w:pPr>
      <w:r>
        <w:t>273.</w:t>
      </w:r>
      <w:r>
        <w:tab/>
        <w:t>La protection des citoyens contre les abus de pouvoir de la police a été améli</w:t>
      </w:r>
      <w:r>
        <w:t>o</w:t>
      </w:r>
      <w:r>
        <w:t>rée. Depuis 2003, le canton de Zoug possède un service de médiation cantonal, institué sous le titre de «</w:t>
      </w:r>
      <w:proofErr w:type="spellStart"/>
      <w:r>
        <w:t>Vermittler</w:t>
      </w:r>
      <w:proofErr w:type="spellEnd"/>
      <w:r>
        <w:t xml:space="preserve"> in </w:t>
      </w:r>
      <w:proofErr w:type="spellStart"/>
      <w:r>
        <w:t>Konfliktsituationen</w:t>
      </w:r>
      <w:proofErr w:type="spellEnd"/>
      <w:r>
        <w:t>»</w:t>
      </w:r>
      <w:r>
        <w:rPr>
          <w:rStyle w:val="FootnoteReference"/>
          <w:bCs/>
        </w:rPr>
        <w:footnoteReference w:id="189"/>
      </w:r>
      <w:r>
        <w:t>. Des services de médiation aux compétences g</w:t>
      </w:r>
      <w:r>
        <w:t>é</w:t>
      </w:r>
      <w:r>
        <w:t xml:space="preserve">nérales existent en outre dans les cantons de Zurich, de </w:t>
      </w:r>
      <w:proofErr w:type="spellStart"/>
      <w:r>
        <w:t>Bâle</w:t>
      </w:r>
      <w:r>
        <w:noBreakHyphen/>
        <w:t>ville</w:t>
      </w:r>
      <w:proofErr w:type="spellEnd"/>
      <w:r>
        <w:t xml:space="preserve"> et de </w:t>
      </w:r>
      <w:proofErr w:type="spellStart"/>
      <w:r>
        <w:t>Bâle</w:t>
      </w:r>
      <w:r>
        <w:noBreakHyphen/>
        <w:t>campagne</w:t>
      </w:r>
      <w:proofErr w:type="spellEnd"/>
      <w:r>
        <w:t xml:space="preserve"> ai</w:t>
      </w:r>
      <w:r>
        <w:t>n</w:t>
      </w:r>
      <w:r>
        <w:t xml:space="preserve">si que dans les villes de Winterthur, Berne et </w:t>
      </w:r>
      <w:proofErr w:type="spellStart"/>
      <w:r>
        <w:t>Saint</w:t>
      </w:r>
      <w:r>
        <w:noBreakHyphen/>
        <w:t>Gall</w:t>
      </w:r>
      <w:proofErr w:type="spellEnd"/>
      <w:r>
        <w:t>. Après la découverte d’une série de comportements abusifs reprochés à la police municipale, la ville de Zurich</w:t>
      </w:r>
      <w:r>
        <w:rPr>
          <w:rStyle w:val="FootnoteReference"/>
          <w:bCs/>
        </w:rPr>
        <w:footnoteReference w:id="190"/>
      </w:r>
      <w:r>
        <w:t xml:space="preserve"> avait institué un service de contact et de recours indépendant en matière de police. Comme </w:t>
      </w:r>
      <w:proofErr w:type="spellStart"/>
      <w:r>
        <w:t>celui</w:t>
      </w:r>
      <w:r>
        <w:noBreakHyphen/>
        <w:t>ci</w:t>
      </w:r>
      <w:proofErr w:type="spellEnd"/>
      <w:r>
        <w:t xml:space="preserve"> n’a pas constaté d’abus systématiques sous la forme d’agressions par la police municipale et après que le chef du service eut proposé une série de mesures destinées à limiter au min</w:t>
      </w:r>
      <w:r>
        <w:t>i</w:t>
      </w:r>
      <w:r>
        <w:t>mum le recours à la violence, le service a été fusionné avec l’</w:t>
      </w:r>
      <w:proofErr w:type="spellStart"/>
      <w:r>
        <w:t>Office</w:t>
      </w:r>
      <w:proofErr w:type="spellEnd"/>
      <w:r>
        <w:t xml:space="preserve"> du médiateur de la ville de Zurich au milieu de l’année 2003. Le délégué aux recours du Département de la police et des affa</w:t>
      </w:r>
      <w:r>
        <w:t>i</w:t>
      </w:r>
      <w:r>
        <w:t xml:space="preserve">res militaires du canton de </w:t>
      </w:r>
      <w:proofErr w:type="spellStart"/>
      <w:r>
        <w:t>Bâle</w:t>
      </w:r>
      <w:r>
        <w:noBreakHyphen/>
        <w:t>ville</w:t>
      </w:r>
      <w:proofErr w:type="spellEnd"/>
      <w:r>
        <w:rPr>
          <w:rStyle w:val="FootnoteReference"/>
        </w:rPr>
        <w:footnoteReference w:id="191"/>
      </w:r>
      <w:r>
        <w:t xml:space="preserve"> n’a, pour sa part, enregistré qu’un seul cas de vi</w:t>
      </w:r>
      <w:r>
        <w:t>o</w:t>
      </w:r>
      <w:r>
        <w:t>lence policière dirigée contre un étranger au cours de ces deux dernières années. Des san</w:t>
      </w:r>
      <w:r>
        <w:t>c</w:t>
      </w:r>
      <w:r>
        <w:t>tions ont été prises contre l’agent fautif.</w:t>
      </w:r>
    </w:p>
    <w:p w:rsidR="00000000" w:rsidRDefault="00000000">
      <w:pPr>
        <w:keepNext/>
        <w:spacing w:after="240"/>
        <w:jc w:val="center"/>
        <w:rPr>
          <w:b/>
          <w:bCs/>
          <w:szCs w:val="24"/>
        </w:rPr>
      </w:pPr>
      <w:bookmarkStart w:id="183" w:name="_Toc135035003"/>
      <w:bookmarkStart w:id="184" w:name="_Toc163552277"/>
      <w:r>
        <w:rPr>
          <w:b/>
          <w:bCs/>
          <w:szCs w:val="24"/>
        </w:rPr>
        <w:t>3.  Recrutement de membres des groupes minoritaires dan</w:t>
      </w:r>
      <w:bookmarkEnd w:id="183"/>
      <w:r>
        <w:rPr>
          <w:b/>
          <w:bCs/>
          <w:szCs w:val="24"/>
        </w:rPr>
        <w:t>s la police</w:t>
      </w:r>
      <w:bookmarkEnd w:id="184"/>
    </w:p>
    <w:p w:rsidR="00000000" w:rsidRDefault="00000000">
      <w:pPr>
        <w:spacing w:after="240"/>
      </w:pPr>
      <w:r>
        <w:t>274.</w:t>
      </w:r>
      <w:r>
        <w:tab/>
        <w:t xml:space="preserve">Dans les cantons de </w:t>
      </w:r>
      <w:proofErr w:type="spellStart"/>
      <w:r>
        <w:t>Bâle</w:t>
      </w:r>
      <w:r>
        <w:noBreakHyphen/>
        <w:t>ville</w:t>
      </w:r>
      <w:proofErr w:type="spellEnd"/>
      <w:r>
        <w:t>, de Schwyz et de Genève, la nationalité n’est plus un critère d’admission à l’école de police.</w:t>
      </w:r>
    </w:p>
    <w:p w:rsidR="00000000" w:rsidRDefault="00000000">
      <w:pPr>
        <w:keepNext/>
        <w:spacing w:after="240"/>
        <w:jc w:val="center"/>
        <w:rPr>
          <w:b/>
          <w:bCs/>
          <w:szCs w:val="24"/>
        </w:rPr>
      </w:pPr>
      <w:bookmarkStart w:id="185" w:name="_Toc135035004"/>
      <w:bookmarkStart w:id="186" w:name="_Toc163552278"/>
      <w:r>
        <w:rPr>
          <w:b/>
          <w:bCs/>
          <w:szCs w:val="24"/>
        </w:rPr>
        <w:t>4.  Formation et sensibilisation</w:t>
      </w:r>
      <w:bookmarkEnd w:id="185"/>
      <w:bookmarkEnd w:id="186"/>
    </w:p>
    <w:p w:rsidR="00000000" w:rsidRDefault="00000000">
      <w:pPr>
        <w:spacing w:after="240"/>
      </w:pPr>
      <w:r>
        <w:t>275.</w:t>
      </w:r>
      <w:r>
        <w:tab/>
        <w:t>En 2004, on a créé la dénomination professionnelle protégée de «pol</w:t>
      </w:r>
      <w:r>
        <w:t>i</w:t>
      </w:r>
      <w:r>
        <w:t>cier/policière». Les exigences posées à la formation des policiers sont unifiées dans toute la Suisse. À l’avenir, un policier devra être titulaire d’un brevet pour pouvoir exercer sa profe</w:t>
      </w:r>
      <w:r>
        <w:t>s</w:t>
      </w:r>
      <w:r>
        <w:t>sion. Le titre de «policier/policière» ne pourra plus être porté que par les personnes ayant suivi une fo</w:t>
      </w:r>
      <w:r>
        <w:t>r</w:t>
      </w:r>
      <w:r>
        <w:t>mation complète dans une école de police reconnue, et ayant réussi les examens. Parmi les matières d’examen, on trouve l’éthique policière et les droits humains. Les policiers doivent être sensibilisés au respect de la dignité humaine et des droits humains</w:t>
      </w:r>
      <w:r>
        <w:rPr>
          <w:rStyle w:val="FootnoteReference"/>
          <w:bCs/>
        </w:rPr>
        <w:footnoteReference w:id="192"/>
      </w:r>
      <w:r>
        <w:t>. Parmi les s</w:t>
      </w:r>
      <w:r>
        <w:t>u</w:t>
      </w:r>
      <w:r>
        <w:t>jets traités dans le cadre de cette matière, on trouve notamment les droits humains, les infra</w:t>
      </w:r>
      <w:r>
        <w:t>c</w:t>
      </w:r>
      <w:r>
        <w:t>tions commises par les policiers, les droits de la personne arrêtée, l’interdiction de toute discrimin</w:t>
      </w:r>
      <w:r>
        <w:t>a</w:t>
      </w:r>
      <w:r>
        <w:t>tion, les mesures de contrainte, la protection et les droits des victimes ainsi que l’interdiction de tout acte de discrimination raciale.</w:t>
      </w:r>
    </w:p>
    <w:p w:rsidR="00000000" w:rsidRDefault="00000000">
      <w:pPr>
        <w:spacing w:after="240"/>
      </w:pPr>
      <w:r>
        <w:t>276.</w:t>
      </w:r>
      <w:r>
        <w:tab/>
        <w:t>Dans les cours de base pour surveillants chefs d’ateliers d’institutions pénite</w:t>
      </w:r>
      <w:r>
        <w:t>n</w:t>
      </w:r>
      <w:r>
        <w:t>tiaires, dispensés par le Centre suisse de formation pour le personnel pénitentiaire</w:t>
      </w:r>
      <w:r>
        <w:rPr>
          <w:rStyle w:val="FootnoteReference"/>
          <w:bCs/>
        </w:rPr>
        <w:footnoteReference w:id="193"/>
      </w:r>
      <w:r>
        <w:t>, les droits h</w:t>
      </w:r>
      <w:r>
        <w:t>u</w:t>
      </w:r>
      <w:r>
        <w:t>mains et l’encadrement des détenus étrangers sont des sujets qui font partie de l’enseignement. Dans le plan d’étude de ce cours de base, les objectifs fixés dans ces d</w:t>
      </w:r>
      <w:r>
        <w:t>o</w:t>
      </w:r>
      <w:r>
        <w:t>maines sont définis de la façon suivante: les candidats doivent être conscients de la situation particulière des détenus étrangers. Ils disposent des connaissances élémentaires relatives aux normes religieuses et sociales régissant d’autres cultures. Ils doivent savoir quelles pe</w:t>
      </w:r>
      <w:r>
        <w:t>u</w:t>
      </w:r>
      <w:r>
        <w:t>vent être leurs incidences sur le comportement des différents dét</w:t>
      </w:r>
      <w:r>
        <w:t>e</w:t>
      </w:r>
      <w:r>
        <w:t>nus. Pour ce qui est des droits fondamentaux et des droits humains, les candidats doivent pouvoir énumérer les pri</w:t>
      </w:r>
      <w:r>
        <w:t>n</w:t>
      </w:r>
      <w:r>
        <w:t>cipales conventions internationales, les droits fondamentaux inscrits dans la Constitution fédérale, ainsi que les principales normes du droit pénal. Ils doivent aussi connaître l’organisation des droits fo</w:t>
      </w:r>
      <w:r>
        <w:t>n</w:t>
      </w:r>
      <w:r>
        <w:t xml:space="preserve">damentaux et savoir à quelles conditions </w:t>
      </w:r>
      <w:proofErr w:type="spellStart"/>
      <w:r>
        <w:t>ceux</w:t>
      </w:r>
      <w:r>
        <w:noBreakHyphen/>
        <w:t>ci</w:t>
      </w:r>
      <w:proofErr w:type="spellEnd"/>
      <w:r>
        <w:t xml:space="preserve"> peuvent être limités. Les candidats doivent également être au fait des étapes principales de la marche à suivre pour faire valoir les droits fondamentaux et les droits humains. On apprend en outre aux candidats à r</w:t>
      </w:r>
      <w:r>
        <w:t>e</w:t>
      </w:r>
      <w:r>
        <w:t>connaître les conflits et à y faire face de manière appropriée. Les cours de formation continue pour le pe</w:t>
      </w:r>
      <w:r>
        <w:t>r</w:t>
      </w:r>
      <w:r>
        <w:t>sonnel des établissements d’exécution des peines visent à prévenir l’émergence de tenda</w:t>
      </w:r>
      <w:r>
        <w:t>n</w:t>
      </w:r>
      <w:r>
        <w:t>ces xénophobes dans l’univers carcéral ainsi qu’à sensibiliser le personnel aux problèmes posés par la cohabitation de détenus de cultures différentes, ainsi qu’à les aider à trouver des solutions appropriées et à avoir une approche constructive.</w:t>
      </w:r>
    </w:p>
    <w:p w:rsidR="00000000" w:rsidRDefault="00000000">
      <w:pPr>
        <w:spacing w:after="240"/>
      </w:pPr>
      <w:r>
        <w:t>277.</w:t>
      </w:r>
      <w:r>
        <w:tab/>
        <w:t>Grâce au soutien du SLR, il a été possible de réaliser différents projets de formation ou de perfectionnement de collaborateurs de la police et des autorités en général traitant des problèmes pouvant se poser lors de contacts avec des pe</w:t>
      </w:r>
      <w:r>
        <w:t>r</w:t>
      </w:r>
      <w:r>
        <w:t xml:space="preserve">sonnes d’origine culturelle différente. La police cantonale de </w:t>
      </w:r>
      <w:proofErr w:type="spellStart"/>
      <w:r>
        <w:t>Bâle</w:t>
      </w:r>
      <w:r>
        <w:noBreakHyphen/>
        <w:t>ville</w:t>
      </w:r>
      <w:proofErr w:type="spellEnd"/>
      <w:r>
        <w:t xml:space="preserve"> a ainsi mis sur pied un module de formation et de perfectionnement du personnel de la police qui a pour but de pr</w:t>
      </w:r>
      <w:r>
        <w:t>é</w:t>
      </w:r>
      <w:r>
        <w:t>venir les problèmes potentiels lors de contacts entre la police et des personnes de co</w:t>
      </w:r>
      <w:r>
        <w:t>u</w:t>
      </w:r>
      <w:r>
        <w:t>leur, en particulier, et de décrisper d’une manière générale les contacts entre les deux gro</w:t>
      </w:r>
      <w:r>
        <w:t>u</w:t>
      </w:r>
      <w:r>
        <w:t>pes. Alors que, d’une part, les organisations de Noirs se plaignent d’une intensification des contrôles jugés humiliants dont sont l’objet les jeunes gens de couleur, souvent pris pour des dealers, ou les jeunes femmes Noires, soupçonnées de prostitution, le personnel de la police, d’autre part, réagit de plus en plus mal aux reproches de racisme auxquels ses membres sont de plus en plus souvent confrontés personnellement. Il s’agit avant tout de les toucher sur le plan émotionnel afin d’empêcher un durcissement des positions et de prévenir ainsi les comport</w:t>
      </w:r>
      <w:r>
        <w:t>e</w:t>
      </w:r>
      <w:r>
        <w:t>ments discriminatoires. À Lugano et à Chiasso, le SLR soutient des projets de formation de la police et des collaborateurs des autorités en général aux fins d’enrayer au maximum les att</w:t>
      </w:r>
      <w:r>
        <w:t>i</w:t>
      </w:r>
      <w:r>
        <w:t>tudes discriminatoires et les préjugés dans les contacts avec des personnes d’origine étra</w:t>
      </w:r>
      <w:r>
        <w:t>n</w:t>
      </w:r>
      <w:r>
        <w:t>gère.</w:t>
      </w:r>
    </w:p>
    <w:p w:rsidR="00000000" w:rsidRDefault="00000000">
      <w:pPr>
        <w:keepNext/>
        <w:spacing w:after="200"/>
        <w:jc w:val="center"/>
        <w:rPr>
          <w:b/>
          <w:bCs/>
          <w:szCs w:val="24"/>
        </w:rPr>
      </w:pPr>
      <w:bookmarkStart w:id="187" w:name="_Ref78012694"/>
      <w:bookmarkStart w:id="188" w:name="_Toc135034883"/>
      <w:bookmarkStart w:id="189" w:name="_Toc135035005"/>
      <w:bookmarkStart w:id="190" w:name="_Toc150668826"/>
      <w:bookmarkStart w:id="191" w:name="_Toc163552279"/>
      <w:r>
        <w:rPr>
          <w:b/>
          <w:bCs/>
          <w:szCs w:val="24"/>
        </w:rPr>
        <w:t xml:space="preserve">G.  Commission fédérale contre le racisme </w:t>
      </w:r>
      <w:r>
        <w:rPr>
          <w:b/>
          <w:bCs/>
          <w:szCs w:val="24"/>
        </w:rPr>
        <w:br/>
        <w:t>(</w:t>
      </w:r>
      <w:proofErr w:type="spellStart"/>
      <w:r>
        <w:rPr>
          <w:b/>
          <w:bCs/>
          <w:szCs w:val="24"/>
        </w:rPr>
        <w:t>CERD</w:t>
      </w:r>
      <w:proofErr w:type="spellEnd"/>
      <w:r>
        <w:rPr>
          <w:b/>
          <w:bCs/>
          <w:szCs w:val="24"/>
        </w:rPr>
        <w:t>/C/60/CO/14, par. 13)</w:t>
      </w:r>
      <w:bookmarkEnd w:id="187"/>
      <w:bookmarkEnd w:id="188"/>
      <w:bookmarkEnd w:id="189"/>
      <w:bookmarkEnd w:id="190"/>
      <w:bookmarkEnd w:id="191"/>
    </w:p>
    <w:p w:rsidR="00000000" w:rsidRDefault="00000000">
      <w:pPr>
        <w:keepNext/>
        <w:spacing w:after="200"/>
        <w:jc w:val="center"/>
        <w:rPr>
          <w:b/>
          <w:bCs/>
          <w:szCs w:val="24"/>
        </w:rPr>
      </w:pPr>
      <w:bookmarkStart w:id="192" w:name="_Toc135035006"/>
      <w:bookmarkStart w:id="193" w:name="_Toc163552280"/>
      <w:r>
        <w:rPr>
          <w:b/>
          <w:bCs/>
          <w:szCs w:val="24"/>
        </w:rPr>
        <w:t xml:space="preserve">1.  Commission fédérale contre le racisme et </w:t>
      </w:r>
      <w:r>
        <w:rPr>
          <w:b/>
          <w:bCs/>
          <w:szCs w:val="24"/>
        </w:rPr>
        <w:br/>
        <w:t>Service de lutte contre le racisme</w:t>
      </w:r>
      <w:bookmarkEnd w:id="192"/>
      <w:bookmarkEnd w:id="193"/>
    </w:p>
    <w:p w:rsidR="00000000" w:rsidRDefault="00000000">
      <w:pPr>
        <w:spacing w:after="200"/>
      </w:pPr>
      <w:bookmarkStart w:id="194" w:name="_Ref82851954"/>
      <w:r>
        <w:t>278.</w:t>
      </w:r>
      <w:r>
        <w:tab/>
        <w:t xml:space="preserve">La création du Service de lutte contre le racisme (SLR) en 2001 a permis de doubler les forces engagées contre le racisme. En premier lieu, ce renfort permet à la </w:t>
      </w:r>
      <w:proofErr w:type="spellStart"/>
      <w:r>
        <w:t>CFR</w:t>
      </w:r>
      <w:proofErr w:type="spellEnd"/>
      <w:r>
        <w:t xml:space="preserve"> de concentrer ses activités sur la sensibilisation et l’action de principe, puisque toutes les tâches internes à l’administration fédérale dans ce domaine sont désormais assumées par le </w:t>
      </w:r>
      <w:proofErr w:type="spellStart"/>
      <w:r>
        <w:t>SLR</w:t>
      </w:r>
      <w:proofErr w:type="spellEnd"/>
      <w:r>
        <w:t xml:space="preserve">. La </w:t>
      </w:r>
      <w:bookmarkEnd w:id="194"/>
      <w:proofErr w:type="spellStart"/>
      <w:r>
        <w:t>CFR</w:t>
      </w:r>
      <w:proofErr w:type="spellEnd"/>
      <w:r>
        <w:t xml:space="preserve"> n’est pas un organisme officiel de protection des droits humains au sens des Princ</w:t>
      </w:r>
      <w:r>
        <w:t>i</w:t>
      </w:r>
      <w:r>
        <w:t>pes de Paris, mais une institution nationale spécialisée dans la lutte contre le racisme. So</w:t>
      </w:r>
      <w:r>
        <w:t>u</w:t>
      </w:r>
      <w:r>
        <w:t>cieuse de se faire connaître en sa qualité d’institution nationale spécialisée, elle entr</w:t>
      </w:r>
      <w:r>
        <w:t>e</w:t>
      </w:r>
      <w:r>
        <w:t>tient des contacts avec d’autres organismes nationaux de lutte contre le racisme et de d</w:t>
      </w:r>
      <w:r>
        <w:t>é</w:t>
      </w:r>
      <w:r>
        <w:t xml:space="preserve">fense des droits humains. Cela permet d’une part un transfert de </w:t>
      </w:r>
      <w:proofErr w:type="spellStart"/>
      <w:r>
        <w:t>savoir</w:t>
      </w:r>
      <w:r>
        <w:noBreakHyphen/>
        <w:t>faire</w:t>
      </w:r>
      <w:proofErr w:type="spellEnd"/>
      <w:r>
        <w:t xml:space="preserve"> et d’autre part la comp</w:t>
      </w:r>
      <w:r>
        <w:t>a</w:t>
      </w:r>
      <w:r>
        <w:t>raison de la situation en Suisse avec la situation telle qu’elle se présente dans d’autres pays européens.</w:t>
      </w:r>
    </w:p>
    <w:p w:rsidR="00000000" w:rsidRDefault="00000000">
      <w:pPr>
        <w:keepNext/>
        <w:spacing w:after="200"/>
        <w:jc w:val="center"/>
        <w:rPr>
          <w:b/>
          <w:bCs/>
          <w:szCs w:val="24"/>
        </w:rPr>
      </w:pPr>
      <w:bookmarkStart w:id="195" w:name="_Toc135035007"/>
      <w:bookmarkStart w:id="196" w:name="_Toc163552281"/>
      <w:r>
        <w:rPr>
          <w:b/>
          <w:bCs/>
          <w:szCs w:val="24"/>
        </w:rPr>
        <w:t xml:space="preserve">2.  Organe de protection des </w:t>
      </w:r>
      <w:bookmarkEnd w:id="195"/>
      <w:r>
        <w:rPr>
          <w:b/>
          <w:bCs/>
          <w:szCs w:val="24"/>
        </w:rPr>
        <w:t>droits humains</w:t>
      </w:r>
      <w:bookmarkEnd w:id="196"/>
    </w:p>
    <w:p w:rsidR="00000000" w:rsidRDefault="00000000">
      <w:pPr>
        <w:spacing w:after="200"/>
      </w:pPr>
      <w:r>
        <w:t>279.</w:t>
      </w:r>
      <w:r>
        <w:tab/>
        <w:t>La discussion relative à l’institution d’une commission fédérale des droits h</w:t>
      </w:r>
      <w:r>
        <w:t>u</w:t>
      </w:r>
      <w:r>
        <w:t>mains a été lancée par deux initiatives parlementaires demandant la création d’un tel org</w:t>
      </w:r>
      <w:r>
        <w:t>a</w:t>
      </w:r>
      <w:r>
        <w:t>nisme</w:t>
      </w:r>
      <w:r>
        <w:rPr>
          <w:rStyle w:val="FootnoteReference"/>
          <w:bCs/>
        </w:rPr>
        <w:footnoteReference w:id="194"/>
      </w:r>
      <w:r>
        <w:t>. Par la suite, le Conseil fédéral a été chargé de rédiger un rapport à ce sujet</w:t>
      </w:r>
      <w:r>
        <w:rPr>
          <w:rStyle w:val="FootnoteReference"/>
          <w:bCs/>
        </w:rPr>
        <w:footnoteReference w:id="195"/>
      </w:r>
      <w:r>
        <w:t>. Sur la base d’une enquête menée auprès d’experts et de personnes intéressées dans l’administration, le Parl</w:t>
      </w:r>
      <w:r>
        <w:t>e</w:t>
      </w:r>
      <w:r>
        <w:t>ment, les cantons, l’économie et la science, des consultants externes à l’administration ont réalisé une étude fondamentale proposant six modèles de commission fédérale des droits humains, compte tenu, entre autres, des Principes de Paris</w:t>
      </w:r>
      <w:r>
        <w:rPr>
          <w:rStyle w:val="FootnoteReference"/>
          <w:bCs/>
        </w:rPr>
        <w:footnoteReference w:id="196"/>
      </w:r>
      <w:r>
        <w:t xml:space="preserve">. D’accord avec l’auteur de l’initiative et en se fondant sur ce rapport, le </w:t>
      </w:r>
      <w:proofErr w:type="spellStart"/>
      <w:r>
        <w:t>DFAE</w:t>
      </w:r>
      <w:proofErr w:type="spellEnd"/>
      <w:r>
        <w:t xml:space="preserve"> a étudié la possibilité d’adapter le mandat d’une commission existante œuvrant dans le domaine des droits h</w:t>
      </w:r>
      <w:r>
        <w:t>u</w:t>
      </w:r>
      <w:r>
        <w:t xml:space="preserve">mains et a pris contact à cet effet avec la </w:t>
      </w:r>
      <w:proofErr w:type="spellStart"/>
      <w:r>
        <w:t>CFR</w:t>
      </w:r>
      <w:proofErr w:type="spellEnd"/>
      <w:r>
        <w:t xml:space="preserve"> et avec le Département f</w:t>
      </w:r>
      <w:r>
        <w:t>é</w:t>
      </w:r>
      <w:r>
        <w:t>déral de l’intérieur (</w:t>
      </w:r>
      <w:proofErr w:type="spellStart"/>
      <w:r>
        <w:t>DFI</w:t>
      </w:r>
      <w:proofErr w:type="spellEnd"/>
      <w:r>
        <w:t xml:space="preserve">). Une extension du mandat de la </w:t>
      </w:r>
      <w:proofErr w:type="spellStart"/>
      <w:r>
        <w:t>CFR</w:t>
      </w:r>
      <w:proofErr w:type="spellEnd"/>
      <w:r>
        <w:t xml:space="preserve"> a été envisagée dans ce contexte. Le </w:t>
      </w:r>
      <w:proofErr w:type="spellStart"/>
      <w:r>
        <w:t>DFAE</w:t>
      </w:r>
      <w:proofErr w:type="spellEnd"/>
      <w:r>
        <w:t xml:space="preserve"> estime que les travaux entrepris jusqu’ici et les contacts noués ont montré qu’il était tout à fait possible de trouver un modèle qui repose sur une base très large et qui permette de tirer partie des effets de synergie. L’analyse doit c</w:t>
      </w:r>
      <w:r>
        <w:t>e</w:t>
      </w:r>
      <w:r>
        <w:t>pendant encore être approfondie à la lumière des possibilités existant sur les plans instit</w:t>
      </w:r>
      <w:r>
        <w:t>u</w:t>
      </w:r>
      <w:r>
        <w:t>tionnel et financier.</w:t>
      </w:r>
    </w:p>
    <w:p w:rsidR="00000000" w:rsidRDefault="00000000">
      <w:pPr>
        <w:keepNext/>
        <w:spacing w:after="200"/>
        <w:jc w:val="center"/>
        <w:rPr>
          <w:b/>
          <w:bCs/>
          <w:szCs w:val="24"/>
        </w:rPr>
      </w:pPr>
      <w:bookmarkStart w:id="197" w:name="_Toc135034884"/>
      <w:bookmarkStart w:id="198" w:name="_Toc135035008"/>
      <w:bookmarkStart w:id="199" w:name="_Toc150668827"/>
      <w:bookmarkStart w:id="200" w:name="_Toc163552282"/>
      <w:r>
        <w:rPr>
          <w:b/>
          <w:bCs/>
          <w:szCs w:val="24"/>
        </w:rPr>
        <w:t xml:space="preserve">H.  Politique d’immigration </w:t>
      </w:r>
      <w:r>
        <w:rPr>
          <w:b/>
          <w:bCs/>
          <w:szCs w:val="24"/>
        </w:rPr>
        <w:br/>
        <w:t>(</w:t>
      </w:r>
      <w:proofErr w:type="spellStart"/>
      <w:r>
        <w:rPr>
          <w:b/>
          <w:bCs/>
          <w:szCs w:val="24"/>
        </w:rPr>
        <w:t>CERD</w:t>
      </w:r>
      <w:proofErr w:type="spellEnd"/>
      <w:r>
        <w:rPr>
          <w:b/>
          <w:bCs/>
          <w:szCs w:val="24"/>
        </w:rPr>
        <w:t>/C/60/CO/14, par. 14)</w:t>
      </w:r>
      <w:bookmarkEnd w:id="197"/>
      <w:bookmarkEnd w:id="198"/>
      <w:bookmarkEnd w:id="199"/>
      <w:bookmarkEnd w:id="200"/>
    </w:p>
    <w:p w:rsidR="00000000" w:rsidRDefault="00000000">
      <w:pPr>
        <w:spacing w:after="200"/>
        <w:rPr>
          <w:rStyle w:val="FootnoteReference"/>
          <w:sz w:val="22"/>
        </w:rPr>
      </w:pPr>
      <w:r>
        <w:t>280.</w:t>
      </w:r>
      <w:r>
        <w:tab/>
        <w:t>Au moment de la ratification, la Suisse avait jugé opportun d’émettre une r</w:t>
      </w:r>
      <w:r>
        <w:t>é</w:t>
      </w:r>
      <w:r>
        <w:t>serve en ce qui concerne la législation régissant l’accès au marché du travail. Actuellement, la politique d’admission de la Suisse est fondée sur un système binaire distinguant entre ressorti</w:t>
      </w:r>
      <w:r>
        <w:t>s</w:t>
      </w:r>
      <w:r>
        <w:t>sants des États membres de l’</w:t>
      </w:r>
      <w:proofErr w:type="spellStart"/>
      <w:r>
        <w:t>UE</w:t>
      </w:r>
      <w:proofErr w:type="spellEnd"/>
      <w:r>
        <w:t xml:space="preserve"> et ressortissants d’autres États. Cette distinction n’est pas contraire à la Convention dans la mesure où elle repose sur des traités conclus avec les États en question. Comme l’accord bilatéral sur la libre circulation des personnes est conforme aux exigences de la Convention, la Suisse pourrait en effet décider le retrait de sa réserve. So</w:t>
      </w:r>
      <w:r>
        <w:t>u</w:t>
      </w:r>
      <w:r>
        <w:t>cieuse de conserver une certaine marge de manœuvre pour l’avenir, elle juge cependant pr</w:t>
      </w:r>
      <w:r>
        <w:t>é</w:t>
      </w:r>
      <w:r>
        <w:t>férable de maintenir la réserve. Un relâchement des restrictions d’admission imposées aux ressortissants d’</w:t>
      </w:r>
      <w:proofErr w:type="spellStart"/>
      <w:r>
        <w:t>États</w:t>
      </w:r>
      <w:proofErr w:type="spellEnd"/>
      <w:r>
        <w:t xml:space="preserve"> tiers ne pourra être envisagé qu’à partir du moment où les conséque</w:t>
      </w:r>
      <w:r>
        <w:t>n</w:t>
      </w:r>
      <w:r>
        <w:t>ces de l’accord sur la libre circulation des personnes seront connues et où les possibilités de recr</w:t>
      </w:r>
      <w:r>
        <w:t>u</w:t>
      </w:r>
      <w:r>
        <w:t>tement de personnes peu qualifiées à l’intérieur des frontières de l’</w:t>
      </w:r>
      <w:proofErr w:type="spellStart"/>
      <w:r>
        <w:t>UE</w:t>
      </w:r>
      <w:proofErr w:type="spellEnd"/>
      <w:r>
        <w:t xml:space="preserve"> et de l’</w:t>
      </w:r>
      <w:proofErr w:type="spellStart"/>
      <w:r>
        <w:t>AELE</w:t>
      </w:r>
      <w:proofErr w:type="spellEnd"/>
      <w:r>
        <w:t>, à des conditions de rémunération et de travail correctes, auront effectivement été épuisées</w:t>
      </w:r>
      <w:r>
        <w:rPr>
          <w:rStyle w:val="FootnoteReference"/>
          <w:bCs/>
        </w:rPr>
        <w:footnoteReference w:id="197"/>
      </w:r>
      <w:r>
        <w:t>.</w:t>
      </w:r>
    </w:p>
    <w:p w:rsidR="00000000" w:rsidRDefault="00000000">
      <w:pPr>
        <w:keepNext/>
        <w:spacing w:after="200"/>
        <w:jc w:val="center"/>
        <w:rPr>
          <w:b/>
          <w:bCs/>
          <w:szCs w:val="24"/>
        </w:rPr>
      </w:pPr>
      <w:bookmarkStart w:id="201" w:name="_Toc135034885"/>
      <w:bookmarkStart w:id="202" w:name="_Toc135035009"/>
      <w:bookmarkStart w:id="203" w:name="_Toc150668828"/>
      <w:bookmarkStart w:id="204" w:name="_Toc163552283"/>
      <w:r>
        <w:rPr>
          <w:b/>
          <w:bCs/>
          <w:szCs w:val="24"/>
        </w:rPr>
        <w:t xml:space="preserve">I.  Gens du voyage </w:t>
      </w:r>
      <w:r>
        <w:rPr>
          <w:b/>
          <w:bCs/>
          <w:szCs w:val="24"/>
        </w:rPr>
        <w:br/>
        <w:t>(</w:t>
      </w:r>
      <w:proofErr w:type="spellStart"/>
      <w:r>
        <w:rPr>
          <w:b/>
          <w:bCs/>
          <w:szCs w:val="24"/>
        </w:rPr>
        <w:t>CERD</w:t>
      </w:r>
      <w:proofErr w:type="spellEnd"/>
      <w:r>
        <w:rPr>
          <w:b/>
          <w:bCs/>
          <w:szCs w:val="24"/>
        </w:rPr>
        <w:t>/C/60/CO/14, par. 15)</w:t>
      </w:r>
      <w:bookmarkEnd w:id="201"/>
      <w:bookmarkEnd w:id="202"/>
      <w:bookmarkEnd w:id="203"/>
      <w:bookmarkEnd w:id="204"/>
    </w:p>
    <w:p w:rsidR="00000000" w:rsidRDefault="00000000">
      <w:pPr>
        <w:spacing w:after="200"/>
      </w:pPr>
      <w:r>
        <w:t>281.</w:t>
      </w:r>
      <w:r>
        <w:tab/>
        <w:t xml:space="preserve">La Suisse présente dans les paragraphes </w:t>
      </w:r>
      <w:proofErr w:type="spellStart"/>
      <w:r>
        <w:t>ci</w:t>
      </w:r>
      <w:r>
        <w:noBreakHyphen/>
        <w:t>dessous</w:t>
      </w:r>
      <w:proofErr w:type="spellEnd"/>
      <w:r>
        <w:t xml:space="preserve"> une analyse plus détaillée de la situation des gens du voyage.</w:t>
      </w:r>
    </w:p>
    <w:p w:rsidR="00000000" w:rsidRDefault="00000000">
      <w:pPr>
        <w:keepNext/>
        <w:spacing w:after="200"/>
        <w:jc w:val="center"/>
        <w:rPr>
          <w:b/>
          <w:bCs/>
          <w:szCs w:val="24"/>
        </w:rPr>
      </w:pPr>
      <w:bookmarkStart w:id="205" w:name="_Toc135035010"/>
      <w:bookmarkStart w:id="206" w:name="_Toc163552284"/>
      <w:r>
        <w:rPr>
          <w:b/>
          <w:bCs/>
          <w:szCs w:val="24"/>
        </w:rPr>
        <w:t>1.  Évolutions au niveau na</w:t>
      </w:r>
      <w:bookmarkEnd w:id="205"/>
      <w:r>
        <w:rPr>
          <w:b/>
          <w:bCs/>
          <w:szCs w:val="24"/>
        </w:rPr>
        <w:t>tional</w:t>
      </w:r>
      <w:bookmarkEnd w:id="206"/>
    </w:p>
    <w:p w:rsidR="00000000" w:rsidRDefault="00000000">
      <w:pPr>
        <w:spacing w:after="200"/>
      </w:pPr>
      <w:r>
        <w:t>282.</w:t>
      </w:r>
      <w:r>
        <w:tab/>
        <w:t xml:space="preserve">La fondation «Assurer l’avenir des gens du voyage suisses»(voir </w:t>
      </w:r>
      <w:proofErr w:type="spellStart"/>
      <w:r>
        <w:t>CERD</w:t>
      </w:r>
      <w:proofErr w:type="spellEnd"/>
      <w:r>
        <w:t>/C/351/</w:t>
      </w:r>
      <w:proofErr w:type="spellStart"/>
      <w:r>
        <w:t>Add.2</w:t>
      </w:r>
      <w:proofErr w:type="spellEnd"/>
      <w:r>
        <w:t xml:space="preserve">, par. 57) a été dotée d’un </w:t>
      </w:r>
      <w:proofErr w:type="spellStart"/>
      <w:r>
        <w:t>crédit</w:t>
      </w:r>
      <w:r>
        <w:noBreakHyphen/>
        <w:t>cadre</w:t>
      </w:r>
      <w:proofErr w:type="spellEnd"/>
      <w:r>
        <w:t xml:space="preserve"> de 750 000 francs pour les années 2002 à 2006 afin de lui permettre de poursu</w:t>
      </w:r>
      <w:r>
        <w:t>i</w:t>
      </w:r>
      <w:r>
        <w:t xml:space="preserve">vre son travail sur des bases solides et de développer de nouvelles activités. Pour la période 2007-2011, le Gouvernement suisse a demandé au Parlement un nouveau </w:t>
      </w:r>
      <w:proofErr w:type="spellStart"/>
      <w:r>
        <w:t>crédit</w:t>
      </w:r>
      <w:r>
        <w:noBreakHyphen/>
        <w:t>cadre</w:t>
      </w:r>
      <w:proofErr w:type="spellEnd"/>
      <w:r>
        <w:t xml:space="preserve"> de 150 000 francs par année en faveur de la fondation</w:t>
      </w:r>
      <w:r>
        <w:rPr>
          <w:rStyle w:val="FootnoteReference"/>
        </w:rPr>
        <w:footnoteReference w:id="198"/>
      </w:r>
      <w:r>
        <w:t xml:space="preserve"> pour permettre à cette dernière de continuer son travail.</w:t>
      </w:r>
    </w:p>
    <w:p w:rsidR="00000000" w:rsidRDefault="00000000">
      <w:pPr>
        <w:spacing w:after="200"/>
      </w:pPr>
      <w:r>
        <w:t>283.</w:t>
      </w:r>
      <w:r>
        <w:tab/>
        <w:t>La «</w:t>
      </w:r>
      <w:proofErr w:type="spellStart"/>
      <w:r>
        <w:t>Radgenossenschaft</w:t>
      </w:r>
      <w:proofErr w:type="spellEnd"/>
      <w:r>
        <w:t xml:space="preserve"> der </w:t>
      </w:r>
      <w:proofErr w:type="spellStart"/>
      <w:r>
        <w:t>Landstrasse</w:t>
      </w:r>
      <w:proofErr w:type="spellEnd"/>
      <w:r>
        <w:t>» (</w:t>
      </w:r>
      <w:proofErr w:type="spellStart"/>
      <w:r>
        <w:t>ci</w:t>
      </w:r>
      <w:r>
        <w:noBreakHyphen/>
        <w:t>après</w:t>
      </w:r>
      <w:proofErr w:type="spellEnd"/>
      <w:r>
        <w:t xml:space="preserve"> «</w:t>
      </w:r>
      <w:proofErr w:type="spellStart"/>
      <w:r>
        <w:t>Radgenossenschaft</w:t>
      </w:r>
      <w:proofErr w:type="spellEnd"/>
      <w:r>
        <w:t xml:space="preserve">»), l’organisation faîtière d’entraide des </w:t>
      </w:r>
      <w:proofErr w:type="spellStart"/>
      <w:r>
        <w:t>Yéniches</w:t>
      </w:r>
      <w:proofErr w:type="spellEnd"/>
      <w:r>
        <w:t>, a été créée en 1975. Elle est reconnue comme telle depuis 1986 par la Confédération, qui lui verse à ce titre des contributions f</w:t>
      </w:r>
      <w:r>
        <w:t>i</w:t>
      </w:r>
      <w:r>
        <w:t>nancières annuelles (250 000 francs en 2006) couvrant à peu près 85 % de ses frais d’exploitation. La «</w:t>
      </w:r>
      <w:proofErr w:type="spellStart"/>
      <w:r>
        <w:t>Radgenossenschaft</w:t>
      </w:r>
      <w:proofErr w:type="spellEnd"/>
      <w:r>
        <w:t xml:space="preserve"> sert d’intermédiaire entre les autorités et les gens du voyage pour régler les problèmes liés aux aires de séjour et de transit ou les probl</w:t>
      </w:r>
      <w:r>
        <w:t>è</w:t>
      </w:r>
      <w:r>
        <w:t>mes que les gens du voyage peuvent avoir avec leurs autorisations commerciales ou avec les autorités scolaires. En plus, elle les conseille dans les domaines du droit et de l’aide sociale. La représentation de la </w:t>
      </w:r>
      <w:proofErr w:type="spellStart"/>
      <w:r>
        <w:t>Radgenossenschaft</w:t>
      </w:r>
      <w:proofErr w:type="spellEnd"/>
      <w:r>
        <w:t xml:space="preserve"> dans la fondation «Assurer l’avenir des gens du voyage suisses» est très importante dans la mesure où elle permet d’assurer que les propositions, recommandations et actions de la fondation reflètent les idées et bénéficient de l’appui de la base. La </w:t>
      </w:r>
      <w:proofErr w:type="spellStart"/>
      <w:r>
        <w:t>Radg</w:t>
      </w:r>
      <w:r>
        <w:t>e</w:t>
      </w:r>
      <w:r>
        <w:t>nossenschaft</w:t>
      </w:r>
      <w:proofErr w:type="spellEnd"/>
      <w:r>
        <w:t xml:space="preserve"> sensibilise la population aux besoins des gens du voyage grâce à un important travail de relations publiques. C’est avec son soutien que la Confédér</w:t>
      </w:r>
      <w:r>
        <w:t>a</w:t>
      </w:r>
      <w:r>
        <w:t>tion défend les intérêts de cette minorité culturelle en Suisse, cela à travers une o</w:t>
      </w:r>
      <w:r>
        <w:t>r</w:t>
      </w:r>
      <w:r>
        <w:t xml:space="preserve">ganisation indépendante, gérée par les intéressés </w:t>
      </w:r>
      <w:proofErr w:type="spellStart"/>
      <w:r>
        <w:t>eux</w:t>
      </w:r>
      <w:r>
        <w:noBreakHyphen/>
        <w:t>mêmes</w:t>
      </w:r>
      <w:proofErr w:type="spellEnd"/>
      <w:r>
        <w:t xml:space="preserve">. En novembre 2003, on a assisté à l’inauguration à Zurich du premier centre de documentation et de rencontre des </w:t>
      </w:r>
      <w:proofErr w:type="spellStart"/>
      <w:r>
        <w:t>Yéniches</w:t>
      </w:r>
      <w:proofErr w:type="spellEnd"/>
      <w:r>
        <w:t xml:space="preserve"> en Europe. La fondation «Assurer l’avenir des gens du voyage suisses» a contribué de manière substa</w:t>
      </w:r>
      <w:r>
        <w:t>n</w:t>
      </w:r>
      <w:r>
        <w:t xml:space="preserve">tielle à en couvrir les frais. Il convient également de mentionner le soutien financier généreux accordé par la plupart des cantons et le montant considérable versé au titre du crédit du Fonds de projets contre le racisme et en faveur des droits humains». À l’intérieur du centre de documentation, les gens du voyage ont </w:t>
      </w:r>
      <w:proofErr w:type="spellStart"/>
      <w:r>
        <w:t>eux</w:t>
      </w:r>
      <w:r>
        <w:noBreakHyphen/>
        <w:t>mêmes</w:t>
      </w:r>
      <w:proofErr w:type="spellEnd"/>
      <w:r>
        <w:t xml:space="preserve"> mis sur pied une exposition consacrée à leur hi</w:t>
      </w:r>
      <w:r>
        <w:t>s</w:t>
      </w:r>
      <w:r>
        <w:t>toire et à leur culture.</w:t>
      </w:r>
    </w:p>
    <w:p w:rsidR="00000000" w:rsidRDefault="00000000">
      <w:pPr>
        <w:spacing w:after="200"/>
      </w:pPr>
      <w:r>
        <w:t>284.</w:t>
      </w:r>
      <w:r>
        <w:tab/>
        <w:t>Dans le cadre du Programme national de recherche 51 «Intégration et excl</w:t>
      </w:r>
      <w:r>
        <w:t>u</w:t>
      </w:r>
      <w:r>
        <w:t xml:space="preserve">sion» (2003), trois projets de recherche sur l’histoire des </w:t>
      </w:r>
      <w:proofErr w:type="spellStart"/>
      <w:r>
        <w:t>Yéniches</w:t>
      </w:r>
      <w:proofErr w:type="spellEnd"/>
      <w:r>
        <w:t xml:space="preserve"> ont été autorisés et fina</w:t>
      </w:r>
      <w:r>
        <w:t>n</w:t>
      </w:r>
      <w:r>
        <w:t>cés à raison de 1 million de francs</w:t>
      </w:r>
      <w:r>
        <w:rPr>
          <w:rStyle w:val="FootnoteReference"/>
          <w:bCs/>
        </w:rPr>
        <w:footnoteReference w:id="199"/>
      </w:r>
      <w:r>
        <w:t>.</w:t>
      </w:r>
    </w:p>
    <w:p w:rsidR="00000000" w:rsidRDefault="00000000">
      <w:pPr>
        <w:spacing w:after="200"/>
      </w:pPr>
      <w:r>
        <w:t>285.</w:t>
      </w:r>
      <w:r>
        <w:tab/>
        <w:t xml:space="preserve">La Suisse a ratifié la </w:t>
      </w:r>
      <w:proofErr w:type="spellStart"/>
      <w:r>
        <w:t>Convention</w:t>
      </w:r>
      <w:r>
        <w:noBreakHyphen/>
        <w:t>cadre</w:t>
      </w:r>
      <w:proofErr w:type="spellEnd"/>
      <w:r>
        <w:t xml:space="preserve"> du 1</w:t>
      </w:r>
      <w:r>
        <w:rPr>
          <w:vertAlign w:val="superscript"/>
        </w:rPr>
        <w:t>er</w:t>
      </w:r>
      <w:r>
        <w:t xml:space="preserve"> février 1995 du Conseil de l’</w:t>
      </w:r>
      <w:proofErr w:type="spellStart"/>
      <w:r>
        <w:t>Europe</w:t>
      </w:r>
      <w:proofErr w:type="spellEnd"/>
      <w:r>
        <w:t xml:space="preserve"> pour la protection des minorités nationales (</w:t>
      </w:r>
      <w:proofErr w:type="spellStart"/>
      <w:r>
        <w:t>RS</w:t>
      </w:r>
      <w:proofErr w:type="spellEnd"/>
      <w:r>
        <w:t xml:space="preserve"> </w:t>
      </w:r>
      <w:proofErr w:type="spellStart"/>
      <w:r>
        <w:t>0.441.1</w:t>
      </w:r>
      <w:proofErr w:type="spellEnd"/>
      <w:r>
        <w:t>) le 21 octobre 1998. Dans son message au Parlement du 19 novembre 1997</w:t>
      </w:r>
      <w:r>
        <w:rPr>
          <w:rStyle w:val="FootnoteReference"/>
        </w:rPr>
        <w:footnoteReference w:id="200"/>
      </w:r>
      <w:r>
        <w:t xml:space="preserve">, le Gouvernement suisse a souligné expressément que les gens du voyage suisses constituaient une minorité nationale au sens de la </w:t>
      </w:r>
      <w:proofErr w:type="spellStart"/>
      <w:r>
        <w:t>Convention</w:t>
      </w:r>
      <w:r>
        <w:noBreakHyphen/>
        <w:t>cadre</w:t>
      </w:r>
      <w:proofErr w:type="spellEnd"/>
      <w:r>
        <w:t>. La Suisse s’engage ainsi à favoriser l’instauration d’un contexte qui permette aux membres de minorités nationales de cultiver et de développer leur culture.</w:t>
      </w:r>
    </w:p>
    <w:p w:rsidR="00000000" w:rsidRDefault="00000000">
      <w:pPr>
        <w:spacing w:after="200"/>
      </w:pPr>
      <w:bookmarkStart w:id="207" w:name="_Ref83091196"/>
      <w:r>
        <w:t>286.</w:t>
      </w:r>
      <w:r>
        <w:tab/>
        <w:t>Dans son jugement du 28 mars 2003</w:t>
      </w:r>
      <w:r>
        <w:rPr>
          <w:rStyle w:val="FootnoteReference"/>
          <w:bCs/>
        </w:rPr>
        <w:footnoteReference w:id="201"/>
      </w:r>
      <w:r>
        <w:t>, le Tribunal fédéral a confirmé que la volonté des gens du voyage de conserver leur mode de vie traditionnel et leur culture bénéf</w:t>
      </w:r>
      <w:r>
        <w:t>i</w:t>
      </w:r>
      <w:r>
        <w:t>ciait de la protection de la Constitution et du droit international et que les besoins des gens du voyage devaient être pris en compte dans l’aménagement du territoire. Cela ne leur confère toutefois pas le droit de vivre comme ils l’entendent, au mépris des restrictions imposées par l’aménagement du territoire. Selon le Tribunal fédéral, les restrictions prévues dans la législ</w:t>
      </w:r>
      <w:r>
        <w:t>a</w:t>
      </w:r>
      <w:r>
        <w:t xml:space="preserve">tion sur l’aménagement du territoire, dans l’intérêt d’une urbanisation contrôlée du pays, ne sont contraires ni à la liberté d’établissement garantie dans la </w:t>
      </w:r>
      <w:proofErr w:type="spellStart"/>
      <w:r>
        <w:t>Cst</w:t>
      </w:r>
      <w:proofErr w:type="spellEnd"/>
      <w:r>
        <w:t xml:space="preserve">. (art. 24), ni au droit à la famille et à la vie privée prévu dans la </w:t>
      </w:r>
      <w:proofErr w:type="spellStart"/>
      <w:r>
        <w:t>CEDH</w:t>
      </w:r>
      <w:proofErr w:type="spellEnd"/>
      <w:r>
        <w:t xml:space="preserve"> (art. 8), ni même aux gara</w:t>
      </w:r>
      <w:r>
        <w:t>n</w:t>
      </w:r>
      <w:r>
        <w:t>ties données aux minorités ethniques dans le Pacte II de l’</w:t>
      </w:r>
      <w:proofErr w:type="spellStart"/>
      <w:r>
        <w:t>ONU</w:t>
      </w:r>
      <w:proofErr w:type="spellEnd"/>
      <w:r>
        <w:t xml:space="preserve"> (art. 27).</w:t>
      </w:r>
      <w:bookmarkEnd w:id="207"/>
    </w:p>
    <w:p w:rsidR="00000000" w:rsidRDefault="00000000">
      <w:pPr>
        <w:spacing w:after="200"/>
      </w:pPr>
      <w:bookmarkStart w:id="208" w:name="_Ref79210998"/>
      <w:r>
        <w:t>287.</w:t>
      </w:r>
      <w:r>
        <w:tab/>
        <w:t>Dans un avis de droit du 27 mars 2002</w:t>
      </w:r>
      <w:r>
        <w:rPr>
          <w:rStyle w:val="FootnoteReference"/>
          <w:bCs/>
        </w:rPr>
        <w:footnoteReference w:id="202"/>
      </w:r>
      <w:r>
        <w:t xml:space="preserve"> relatif au statut juridique des gens du voyage en Suisse eu égard à leur qualité de minorité nationale reconnue, l’</w:t>
      </w:r>
      <w:proofErr w:type="spellStart"/>
      <w:r>
        <w:t>Office</w:t>
      </w:r>
      <w:proofErr w:type="spellEnd"/>
      <w:r>
        <w:t xml:space="preserve"> fédéral de la justice est parvenu à la conclusion suivante: «Les gens du voyage, en tant que groupe de population possédant la nationalité suisse en ayant un mode de vie culturel et économique non sédentaire ont le statut de minorité nationale protégée. Il est avéré que le droit en v</w:t>
      </w:r>
      <w:r>
        <w:t>i</w:t>
      </w:r>
      <w:r>
        <w:t>gueur contient un certain nombre de discriminations indirectes à l’égard de cette minorité nation</w:t>
      </w:r>
      <w:r>
        <w:t>a</w:t>
      </w:r>
      <w:r>
        <w:t>le, notamment dans le domaine de l’aménagement du territoire et de la police des constructio</w:t>
      </w:r>
      <w:r>
        <w:t>n</w:t>
      </w:r>
      <w:r>
        <w:t>s et dans celui de la police du commerce et de la scolarisation obligatoire. Il convient d’emprunter la voie législative pour supprimer ces discriminations indirectes et pour acco</w:t>
      </w:r>
      <w:r>
        <w:t>r</w:t>
      </w:r>
      <w:r>
        <w:t>der, le cas échéant, des compensations et des aides étatiques.». Selon l’</w:t>
      </w:r>
      <w:proofErr w:type="spellStart"/>
      <w:r>
        <w:t>Office</w:t>
      </w:r>
      <w:proofErr w:type="spellEnd"/>
      <w:r>
        <w:t xml:space="preserve"> fédéral de la ju</w:t>
      </w:r>
      <w:r>
        <w:t>s</w:t>
      </w:r>
      <w:r>
        <w:t>tice, les bases constitutionnelles nécessaires à cet effet existent. Dans son arrêt mentionné plus haut (voir par. 285), le Tribunal fédéral confirme cet avis. Il y relève que les plans d’affectation do</w:t>
      </w:r>
      <w:r>
        <w:t>i</w:t>
      </w:r>
      <w:r>
        <w:t>vent prévoir des zones e</w:t>
      </w:r>
      <w:bookmarkEnd w:id="208"/>
      <w:r>
        <w:t>t des aires qui conviennent au séjour des gens du voyage suisses et qui leur permettent de conserver leur mode de vie traditionnel, protégé par la Constit</w:t>
      </w:r>
      <w:r>
        <w:t>u</w:t>
      </w:r>
      <w:r>
        <w:t>tion.</w:t>
      </w:r>
    </w:p>
    <w:p w:rsidR="00000000" w:rsidRDefault="00000000">
      <w:pPr>
        <w:spacing w:after="200"/>
      </w:pPr>
      <w:r>
        <w:t>288.</w:t>
      </w:r>
      <w:r>
        <w:tab/>
        <w:t>Différents débats parlementaires sont en cours concernant la situation des gens du voyage en Suisse. Le Gouvernement suisse a rejeté la motion de la Commission de politique e</w:t>
      </w:r>
      <w:r>
        <w:t>x</w:t>
      </w:r>
      <w:r>
        <w:t>térieure du Conseil national (</w:t>
      </w:r>
      <w:proofErr w:type="spellStart"/>
      <w:r>
        <w:t>00.3604</w:t>
      </w:r>
      <w:proofErr w:type="spellEnd"/>
      <w:r>
        <w:t>) «Ratification de la Convention n</w:t>
      </w:r>
      <w:r>
        <w:rPr>
          <w:vertAlign w:val="superscript"/>
        </w:rPr>
        <w:t>o</w:t>
      </w:r>
      <w:r>
        <w:t xml:space="preserve"> 69 de l’</w:t>
      </w:r>
      <w:proofErr w:type="spellStart"/>
      <w:r>
        <w:t>OIT</w:t>
      </w:r>
      <w:proofErr w:type="spellEnd"/>
      <w:r>
        <w:t xml:space="preserve"> par la Suisse», estimant que la situation juridique en Suisse n’était pas conforme à la Convention. Parallèlement, le Secrétariat d’</w:t>
      </w:r>
      <w:proofErr w:type="spellStart"/>
      <w:r>
        <w:t>État</w:t>
      </w:r>
      <w:proofErr w:type="spellEnd"/>
      <w:r>
        <w:t xml:space="preserve"> à l’économie (</w:t>
      </w:r>
      <w:proofErr w:type="spellStart"/>
      <w:r>
        <w:t>SECO</w:t>
      </w:r>
      <w:proofErr w:type="spellEnd"/>
      <w:r>
        <w:t xml:space="preserve">) a été chargé de rédiger un rapport démontrant les adaptations législatives nécessaires pour permettre une ratification ainsi que les conséquences financières que </w:t>
      </w:r>
      <w:proofErr w:type="spellStart"/>
      <w:r>
        <w:t>celle</w:t>
      </w:r>
      <w:r>
        <w:noBreakHyphen/>
        <w:t>ci</w:t>
      </w:r>
      <w:proofErr w:type="spellEnd"/>
      <w:r>
        <w:t xml:space="preserve"> aurait pour la Suisse. En réponse à un postulat de la Commission de la sécurité sociale et de la santé du Conseil national (</w:t>
      </w:r>
      <w:proofErr w:type="spellStart"/>
      <w:r>
        <w:t>03.3426</w:t>
      </w:r>
      <w:proofErr w:type="spellEnd"/>
      <w:r>
        <w:t>) «Élim</w:t>
      </w:r>
      <w:r>
        <w:t>i</w:t>
      </w:r>
      <w:r>
        <w:t>ner les discriminations à l’égard des gens du voyage en Suisse», il présente dans une deuxième partie de ce même rapport les mesures qui pourraient être prises pour am</w:t>
      </w:r>
      <w:r>
        <w:t>é</w:t>
      </w:r>
      <w:r>
        <w:t xml:space="preserve">liorer la situation des nomades en Suisse. L’accent a été mis sur le problème principal, à savoir le manque d’aires de séjour et de transit. Les résultats de ce </w:t>
      </w:r>
      <w:proofErr w:type="spellStart"/>
      <w:r>
        <w:t>projet</w:t>
      </w:r>
      <w:r>
        <w:noBreakHyphen/>
        <w:t>rapport</w:t>
      </w:r>
      <w:proofErr w:type="spellEnd"/>
      <w:r>
        <w:t xml:space="preserve"> seront an</w:t>
      </w:r>
      <w:r>
        <w:t>a</w:t>
      </w:r>
      <w:r>
        <w:t xml:space="preserve">lysés plus en détail </w:t>
      </w:r>
      <w:proofErr w:type="spellStart"/>
      <w:r>
        <w:t>ci</w:t>
      </w:r>
      <w:r>
        <w:noBreakHyphen/>
        <w:t>après</w:t>
      </w:r>
      <w:proofErr w:type="spellEnd"/>
      <w:r>
        <w:t>, aux paragraphes 293 à 309. La procédure de consultation à laquelle a été soumis l’</w:t>
      </w:r>
      <w:proofErr w:type="spellStart"/>
      <w:r>
        <w:t>avant</w:t>
      </w:r>
      <w:r>
        <w:noBreakHyphen/>
        <w:t>projet</w:t>
      </w:r>
      <w:proofErr w:type="spellEnd"/>
      <w:r>
        <w:t xml:space="preserve"> de rapport rédigé par le Conseil fédéral sur la situation des gens du voyage en Suisse s’est terminée en novembre 2005. Il est prévu que la version d</w:t>
      </w:r>
      <w:r>
        <w:t>é</w:t>
      </w:r>
      <w:r>
        <w:t>finitive du rapport, intitulé «La situation des gens du voyage en Suisse», soit approuvée et publiée par le Gouve</w:t>
      </w:r>
      <w:r>
        <w:t>r</w:t>
      </w:r>
      <w:r>
        <w:t>nement suisse dans le co</w:t>
      </w:r>
      <w:r>
        <w:t>u</w:t>
      </w:r>
      <w:r>
        <w:t>rant de l’automne 2006.</w:t>
      </w:r>
    </w:p>
    <w:p w:rsidR="00000000" w:rsidRDefault="00000000">
      <w:pPr>
        <w:keepNext/>
        <w:spacing w:after="200"/>
        <w:jc w:val="center"/>
        <w:rPr>
          <w:b/>
          <w:bCs/>
          <w:szCs w:val="24"/>
        </w:rPr>
      </w:pPr>
      <w:bookmarkStart w:id="209" w:name="_Toc135035011"/>
      <w:bookmarkStart w:id="210" w:name="_Toc163552285"/>
      <w:r>
        <w:rPr>
          <w:b/>
          <w:bCs/>
          <w:szCs w:val="24"/>
        </w:rPr>
        <w:t>2.  Organisations internationales</w:t>
      </w:r>
      <w:bookmarkEnd w:id="209"/>
      <w:bookmarkEnd w:id="210"/>
    </w:p>
    <w:p w:rsidR="00000000" w:rsidRDefault="00000000">
      <w:pPr>
        <w:spacing w:after="200"/>
      </w:pPr>
      <w:r>
        <w:t>289.</w:t>
      </w:r>
      <w:r>
        <w:tab/>
        <w:t>Lors de sa réunion des 1</w:t>
      </w:r>
      <w:r>
        <w:rPr>
          <w:vertAlign w:val="superscript"/>
        </w:rPr>
        <w:t>er</w:t>
      </w:r>
      <w:r>
        <w:t xml:space="preserve"> et 2 décembre 2003 à Maastricht, le Conseil mini</w:t>
      </w:r>
      <w:r>
        <w:t>s</w:t>
      </w:r>
      <w:r>
        <w:t>tériel de l’</w:t>
      </w:r>
      <w:proofErr w:type="spellStart"/>
      <w:r>
        <w:t>OSCE</w:t>
      </w:r>
      <w:proofErr w:type="spellEnd"/>
      <w:r>
        <w:t xml:space="preserve"> a adopté un plan d’action visant à améliorer la situation des Roms et des </w:t>
      </w:r>
      <w:proofErr w:type="spellStart"/>
      <w:r>
        <w:t>Sintis</w:t>
      </w:r>
      <w:proofErr w:type="spellEnd"/>
      <w:r>
        <w:t xml:space="preserve"> dans l’espace de l’</w:t>
      </w:r>
      <w:proofErr w:type="spellStart"/>
      <w:r>
        <w:t>OSCE</w:t>
      </w:r>
      <w:proofErr w:type="spellEnd"/>
      <w:r>
        <w:rPr>
          <w:rStyle w:val="FootnoteReference"/>
          <w:bCs/>
        </w:rPr>
        <w:footnoteReference w:id="203"/>
      </w:r>
      <w:r>
        <w:t xml:space="preserve">. Les mesures prévues ont pour but d’éliminer toutes les formes de discrimination dans les domaines de l’établissement, de la nationalité, de l’éducation, du marché du travail, de la santé publique et de la sécurité sociale. La Suisse s’était déclarée prête à soutenir le plan d’action </w:t>
      </w:r>
      <w:proofErr w:type="spellStart"/>
      <w:r>
        <w:t>Sintis</w:t>
      </w:r>
      <w:proofErr w:type="spellEnd"/>
      <w:r>
        <w:t xml:space="preserve"> et Roms. Bien qu’il y soit question uniquement de «</w:t>
      </w:r>
      <w:proofErr w:type="spellStart"/>
      <w:r>
        <w:t>Si</w:t>
      </w:r>
      <w:r>
        <w:t>n</w:t>
      </w:r>
      <w:r>
        <w:t>tis</w:t>
      </w:r>
      <w:proofErr w:type="spellEnd"/>
      <w:r>
        <w:t xml:space="preserve"> et de Roms», ce plan s’applique à tous les gens du voyage, quelle que soit leur appart</w:t>
      </w:r>
      <w:r>
        <w:t>e</w:t>
      </w:r>
      <w:r>
        <w:t>nance et</w:t>
      </w:r>
      <w:r>
        <w:t>h</w:t>
      </w:r>
      <w:r>
        <w:t>nique.</w:t>
      </w:r>
    </w:p>
    <w:p w:rsidR="00000000" w:rsidRDefault="00000000">
      <w:pPr>
        <w:spacing w:after="200"/>
      </w:pPr>
      <w:r>
        <w:t>290.</w:t>
      </w:r>
      <w:r>
        <w:tab/>
        <w:t>Le 10 décembre 2003, le Comité des ministres du Conseil de l’</w:t>
      </w:r>
      <w:proofErr w:type="spellStart"/>
      <w:r>
        <w:t>Europe</w:t>
      </w:r>
      <w:proofErr w:type="spellEnd"/>
      <w:r>
        <w:t xml:space="preserve"> a ado</w:t>
      </w:r>
      <w:r>
        <w:t>p</w:t>
      </w:r>
      <w:r>
        <w:t xml:space="preserve">té une résolution sur la mise en œuvre de la </w:t>
      </w:r>
      <w:proofErr w:type="spellStart"/>
      <w:r>
        <w:t>Convention</w:t>
      </w:r>
      <w:r>
        <w:noBreakHyphen/>
        <w:t>cadre</w:t>
      </w:r>
      <w:proofErr w:type="spellEnd"/>
      <w:r>
        <w:t xml:space="preserve"> pour la protection des minorités n</w:t>
      </w:r>
      <w:r>
        <w:t>a</w:t>
      </w:r>
      <w:r>
        <w:t>tionales par la Suisse</w:t>
      </w:r>
      <w:r>
        <w:rPr>
          <w:rStyle w:val="FootnoteReference"/>
          <w:bCs/>
        </w:rPr>
        <w:footnoteReference w:id="204"/>
      </w:r>
      <w:r>
        <w:t>. La quatrième résolution traite de la situation des gens du voyage. Des améliorations sont demandées tant en ce qui concerne le manque d’aires de séjour et de transit qu’au niveau des mécanismes de participation des gens du voyage.</w:t>
      </w:r>
    </w:p>
    <w:p w:rsidR="00000000" w:rsidRDefault="00000000">
      <w:pPr>
        <w:spacing w:after="200"/>
      </w:pPr>
      <w:r>
        <w:t>291.</w:t>
      </w:r>
      <w:r>
        <w:tab/>
        <w:t>En janvier 2004, le Conseil de l’</w:t>
      </w:r>
      <w:proofErr w:type="spellStart"/>
      <w:r>
        <w:t>Europe</w:t>
      </w:r>
      <w:proofErr w:type="spellEnd"/>
      <w:r>
        <w:t xml:space="preserve"> a publié le troisième rapport de la Commission européenne contre le racisme et l’intolérance (</w:t>
      </w:r>
      <w:proofErr w:type="spellStart"/>
      <w:r>
        <w:t>ECRI</w:t>
      </w:r>
      <w:proofErr w:type="spellEnd"/>
      <w:r>
        <w:t>) sur la Suisse</w:t>
      </w:r>
      <w:r>
        <w:rPr>
          <w:rStyle w:val="FootnoteReference"/>
          <w:bCs/>
        </w:rPr>
        <w:footnoteReference w:id="205"/>
      </w:r>
      <w:r>
        <w:t>. La Commission y d</w:t>
      </w:r>
      <w:r>
        <w:t>e</w:t>
      </w:r>
      <w:r>
        <w:t>mande la mise à disposition d’un nombre suffisant d’aires de séjour et de transit destinées aux gens du voyage. La Suisse a pris acte tant du rapport que des remarques de la Commi</w:t>
      </w:r>
      <w:r>
        <w:t>s</w:t>
      </w:r>
      <w:r>
        <w:t>sion</w:t>
      </w:r>
      <w:r>
        <w:rPr>
          <w:rStyle w:val="FootnoteReference"/>
        </w:rPr>
        <w:footnoteReference w:id="206"/>
      </w:r>
      <w:r>
        <w:t>.</w:t>
      </w:r>
    </w:p>
    <w:p w:rsidR="00000000" w:rsidRDefault="00000000">
      <w:pPr>
        <w:spacing w:after="240"/>
      </w:pPr>
      <w:r>
        <w:t>292.</w:t>
      </w:r>
      <w:r>
        <w:tab/>
        <w:t>En relation avec l’application de la Charte européenne des langues régionales et m</w:t>
      </w:r>
      <w:r>
        <w:t>i</w:t>
      </w:r>
      <w:r>
        <w:t>noritaires, la Confédération examine actuellement des possibilités concrètes de prése</w:t>
      </w:r>
      <w:r>
        <w:t>r</w:t>
      </w:r>
      <w:r>
        <w:t xml:space="preserve">ver et de promouvoir le </w:t>
      </w:r>
      <w:proofErr w:type="spellStart"/>
      <w:r>
        <w:t>yéniche</w:t>
      </w:r>
      <w:proofErr w:type="spellEnd"/>
      <w:r>
        <w:t>, en collaboration avec des représentants des gens du voyage</w:t>
      </w:r>
      <w:r>
        <w:rPr>
          <w:rStyle w:val="FootnoteReference"/>
        </w:rPr>
        <w:footnoteReference w:id="207"/>
      </w:r>
      <w:r>
        <w:t>. La Suisse répond ainsi à une exigence du Comité des ministres du Conseil de l’</w:t>
      </w:r>
      <w:proofErr w:type="spellStart"/>
      <w:r>
        <w:t>Europe</w:t>
      </w:r>
      <w:proofErr w:type="spellEnd"/>
      <w:r>
        <w:t>, fo</w:t>
      </w:r>
      <w:r>
        <w:t>r</w:t>
      </w:r>
      <w:r>
        <w:t>mulée dans des recommandations émises le 22 septembre 2004</w:t>
      </w:r>
      <w:r>
        <w:rPr>
          <w:rStyle w:val="FootnoteReference"/>
        </w:rPr>
        <w:footnoteReference w:id="208"/>
      </w:r>
      <w:r>
        <w:t>.</w:t>
      </w:r>
    </w:p>
    <w:p w:rsidR="00000000" w:rsidRDefault="00000000">
      <w:pPr>
        <w:keepNext/>
        <w:spacing w:after="240"/>
        <w:jc w:val="center"/>
        <w:rPr>
          <w:b/>
          <w:bCs/>
          <w:szCs w:val="24"/>
        </w:rPr>
      </w:pPr>
      <w:bookmarkStart w:id="211" w:name="_Toc135035012"/>
      <w:bookmarkStart w:id="212" w:name="_Toc163552286"/>
      <w:r>
        <w:rPr>
          <w:b/>
          <w:bCs/>
          <w:szCs w:val="24"/>
        </w:rPr>
        <w:t xml:space="preserve">3. </w:t>
      </w:r>
      <w:bookmarkEnd w:id="211"/>
      <w:r>
        <w:rPr>
          <w:b/>
          <w:bCs/>
          <w:szCs w:val="24"/>
        </w:rPr>
        <w:t xml:space="preserve"> Éducation</w:t>
      </w:r>
      <w:bookmarkEnd w:id="212"/>
    </w:p>
    <w:p w:rsidR="00000000" w:rsidRDefault="00000000">
      <w:pPr>
        <w:spacing w:after="240"/>
      </w:pPr>
      <w:r>
        <w:t>293.</w:t>
      </w:r>
      <w:r>
        <w:tab/>
        <w:t>Les établissements scolaires publics sont bien entendu ouverts aux gens du voyage. Dans les faits, cependant, la scolarisation des enfants dans des écoles ordinaires n’est que difficilement conciliable avec un mode de vie nomade. Les absences prolongées des enfants durant la scolarité obligatoire ne restent pas sans effets sur leur niveau de form</w:t>
      </w:r>
      <w:r>
        <w:t>a</w:t>
      </w:r>
      <w:r>
        <w:t>tion, souvent relativement modeste</w:t>
      </w:r>
      <w:r>
        <w:rPr>
          <w:rStyle w:val="FootnoteReference"/>
          <w:bCs/>
        </w:rPr>
        <w:footnoteReference w:id="209"/>
      </w:r>
      <w:r>
        <w:t>. Les cantons cherchent à résoudre le problème de la scolarisation des enfants nomades de manière très pragmatique en les admettant dans les éc</w:t>
      </w:r>
      <w:r>
        <w:t>o</w:t>
      </w:r>
      <w:r>
        <w:t>les même durant les séjours qui ne sont que de courte durée. En hiver, lorsqu’ils ne se dépl</w:t>
      </w:r>
      <w:r>
        <w:t>a</w:t>
      </w:r>
      <w:r>
        <w:t>cent pas, les enfants vont à l’école comme tous les autres enfants de la commune dans laquelle ils sont stationnés. Ils y bénéficient de cours d’appui. Durant les mois d’été, les e</w:t>
      </w:r>
      <w:r>
        <w:t>n</w:t>
      </w:r>
      <w:r>
        <w:t xml:space="preserve">seignants leur fournissent le matériel scolaire nécessaire et leur donnent un plan d’étude et se tiennent à leur disposition en cas de questions (voir </w:t>
      </w:r>
      <w:proofErr w:type="spellStart"/>
      <w:r>
        <w:t>CRC</w:t>
      </w:r>
      <w:proofErr w:type="spellEnd"/>
      <w:r>
        <w:t>/C/78/</w:t>
      </w:r>
      <w:proofErr w:type="spellStart"/>
      <w:r>
        <w:t>Add.3</w:t>
      </w:r>
      <w:proofErr w:type="spellEnd"/>
      <w:r>
        <w:t>, par. 790 à 794)</w:t>
      </w:r>
      <w:r>
        <w:rPr>
          <w:rStyle w:val="FootnoteReference"/>
          <w:bCs/>
        </w:rPr>
        <w:footnoteReference w:id="210"/>
      </w:r>
      <w:r>
        <w:t>.</w:t>
      </w:r>
    </w:p>
    <w:p w:rsidR="00000000" w:rsidRDefault="00000000">
      <w:pPr>
        <w:spacing w:after="240"/>
      </w:pPr>
      <w:r>
        <w:t>294.</w:t>
      </w:r>
      <w:r>
        <w:tab/>
        <w:t>La «</w:t>
      </w:r>
      <w:proofErr w:type="spellStart"/>
      <w:r>
        <w:t>Radgenossenschaft</w:t>
      </w:r>
      <w:proofErr w:type="spellEnd"/>
      <w:r>
        <w:t>» a publié des directives relatives à la scolarité obl</w:t>
      </w:r>
      <w:r>
        <w:t>i</w:t>
      </w:r>
      <w:r>
        <w:t>gatoire des enfants nomades: durant le semestre d’hiver, lorsqu’ils ne voyagent pas, ils sont tenus de suivre l’enseignement scolaire dans la commune dans laquelle ils sont stationnés. Durant le semestre d’été, il serait souhaitable que parents et enseignants s’entendent sur l’envoi péri</w:t>
      </w:r>
      <w:r>
        <w:t>o</w:t>
      </w:r>
      <w:r>
        <w:t>dique de devoirs aux enfants et sur le renvoi de travaux scolaires aux enseignants. Les p</w:t>
      </w:r>
      <w:r>
        <w:t>a</w:t>
      </w:r>
      <w:r>
        <w:t>rents ont l’obligation de faire parvenir aux enseignants les travaux terminés par leurs e</w:t>
      </w:r>
      <w:r>
        <w:t>n</w:t>
      </w:r>
      <w:r>
        <w:t>fants. Une libération de la scolarité obligatoire est possible dès l’âge de 15 ans révolus, étant donné que l’autorisation de pratiquer le commerce itinérant est accordée dès cet âge.</w:t>
      </w:r>
    </w:p>
    <w:p w:rsidR="00000000" w:rsidRDefault="00000000">
      <w:pPr>
        <w:keepNext/>
        <w:spacing w:after="240"/>
        <w:jc w:val="center"/>
        <w:rPr>
          <w:b/>
          <w:bCs/>
          <w:szCs w:val="24"/>
        </w:rPr>
      </w:pPr>
      <w:bookmarkStart w:id="213" w:name="_Toc135035013"/>
      <w:bookmarkStart w:id="214" w:name="_Toc163552287"/>
      <w:r>
        <w:rPr>
          <w:b/>
          <w:bCs/>
          <w:szCs w:val="24"/>
        </w:rPr>
        <w:t>4.  Interdiction du tra</w:t>
      </w:r>
      <w:bookmarkEnd w:id="213"/>
      <w:r>
        <w:rPr>
          <w:b/>
          <w:bCs/>
          <w:szCs w:val="24"/>
        </w:rPr>
        <w:t>vail des enfants</w:t>
      </w:r>
      <w:bookmarkEnd w:id="214"/>
    </w:p>
    <w:p w:rsidR="00000000" w:rsidRDefault="00000000">
      <w:pPr>
        <w:spacing w:after="240"/>
      </w:pPr>
      <w:r>
        <w:t>295.</w:t>
      </w:r>
      <w:r>
        <w:tab/>
        <w:t>Dans le domaine de l’application du droit, l’application des dispositions de pr</w:t>
      </w:r>
      <w:r>
        <w:t>o</w:t>
      </w:r>
      <w:r>
        <w:t>tection prévues dans le droit du travail − notamment de celles qui interdisent le travail des e</w:t>
      </w:r>
      <w:r>
        <w:t>n</w:t>
      </w:r>
      <w:r>
        <w:t>fants − a été perçue comme posant particulièrement problème ces dernières années. Les e</w:t>
      </w:r>
      <w:r>
        <w:t>n</w:t>
      </w:r>
      <w:r>
        <w:t>fants des familles nomades participent en effet fréquemment à l’activité commerciale de leurs parents avant la fin de leur scolarité obligatoire.</w:t>
      </w:r>
    </w:p>
    <w:p w:rsidR="00000000" w:rsidRDefault="00000000">
      <w:pPr>
        <w:spacing w:after="240"/>
      </w:pPr>
      <w:r>
        <w:t>296.</w:t>
      </w:r>
      <w:r>
        <w:tab/>
        <w:t>La législation suisse</w:t>
      </w:r>
      <w:r>
        <w:rPr>
          <w:rStyle w:val="FootnoteReference"/>
          <w:bCs/>
        </w:rPr>
        <w:footnoteReference w:id="211"/>
      </w:r>
      <w:r>
        <w:t xml:space="preserve"> interdit en principe l’emploi de jeunes gens de moins de 15 ans</w:t>
      </w:r>
      <w:r>
        <w:rPr>
          <w:rStyle w:val="FootnoteReference"/>
          <w:bCs/>
        </w:rPr>
        <w:footnoteReference w:id="212"/>
      </w:r>
      <w:r>
        <w:t>. Les dispositions de la loi sur le travail relatives à l’âge minimal ne s’appliquent tout</w:t>
      </w:r>
      <w:r>
        <w:t>e</w:t>
      </w:r>
      <w:r>
        <w:t xml:space="preserve">fois pas aux entreprises familiales (art. 4, al. 1, </w:t>
      </w:r>
      <w:proofErr w:type="spellStart"/>
      <w:r>
        <w:t>LTr</w:t>
      </w:r>
      <w:proofErr w:type="spellEnd"/>
      <w:r>
        <w:t>). Ce qui ne signifie pas que les e</w:t>
      </w:r>
      <w:r>
        <w:t>n</w:t>
      </w:r>
      <w:r>
        <w:t>fants peuvent être exploités sans vergogne dans l’entreprise familiale: l’autorité tutélaire prend les mesures nécessaires pour protéger l’enfant si son développement est menacé et si les p</w:t>
      </w:r>
      <w:r>
        <w:t>a</w:t>
      </w:r>
      <w:r>
        <w:t>rents n’y remédient pas d’</w:t>
      </w:r>
      <w:proofErr w:type="spellStart"/>
      <w:r>
        <w:t>eux</w:t>
      </w:r>
      <w:r>
        <w:noBreakHyphen/>
        <w:t>mêmes</w:t>
      </w:r>
      <w:proofErr w:type="spellEnd"/>
      <w:r>
        <w:rPr>
          <w:rStyle w:val="FootnoteReference"/>
          <w:bCs/>
        </w:rPr>
        <w:footnoteReference w:id="213"/>
      </w:r>
      <w:r>
        <w:t>.</w:t>
      </w:r>
    </w:p>
    <w:p w:rsidR="00000000" w:rsidRDefault="00000000">
      <w:pPr>
        <w:spacing w:after="240"/>
      </w:pPr>
      <w:r>
        <w:t>297.</w:t>
      </w:r>
      <w:r>
        <w:tab/>
        <w:t xml:space="preserve">Tant que les enfants de familles nomades travaillent avec leurs parents et que </w:t>
      </w:r>
      <w:proofErr w:type="spellStart"/>
      <w:r>
        <w:t>ceux</w:t>
      </w:r>
      <w:r>
        <w:noBreakHyphen/>
        <w:t>ci</w:t>
      </w:r>
      <w:proofErr w:type="spellEnd"/>
      <w:r>
        <w:t xml:space="preserve"> respectent leurs besoins physiques et psychiques élémentaires (notamment le besoin d’éducation, de repos, de loisirs et de jeu ainsi que la protection contre l’exploitation), l’interdiction du travail des enfants ne vient pas déranger les habitudes des gens du voyage. Dès que les enfants de familles nomades ne travaillent plus dans une entreprise strictement familiale mais dans des unités économiques plus importantes gérées par la famille au sens très large ou par plusieurs familles en même temps, les dispositions du droit suisse du travail interdisant l’emploi de jeunes s’appliquent</w:t>
      </w:r>
      <w:r>
        <w:rPr>
          <w:rStyle w:val="FootnoteReference"/>
        </w:rPr>
        <w:footnoteReference w:id="214"/>
      </w:r>
      <w:r>
        <w:t>. Toute jurisprudence contraire viendrait saper la protection des droits de l’enfant, que la Suisse a reconnus notamment par la ratification de la Convention sur les droits de l’enfant.</w:t>
      </w:r>
    </w:p>
    <w:p w:rsidR="00000000" w:rsidRDefault="00000000">
      <w:pPr>
        <w:keepNext/>
        <w:spacing w:after="240"/>
        <w:jc w:val="center"/>
        <w:rPr>
          <w:b/>
          <w:bCs/>
          <w:szCs w:val="24"/>
        </w:rPr>
      </w:pPr>
      <w:bookmarkStart w:id="215" w:name="_Toc135035014"/>
      <w:bookmarkStart w:id="216" w:name="_Toc163552288"/>
      <w:r>
        <w:rPr>
          <w:b/>
          <w:bCs/>
          <w:szCs w:val="24"/>
        </w:rPr>
        <w:t xml:space="preserve">5.  Autorisations </w:t>
      </w:r>
      <w:bookmarkEnd w:id="215"/>
      <w:r>
        <w:rPr>
          <w:b/>
          <w:bCs/>
          <w:szCs w:val="24"/>
        </w:rPr>
        <w:t>de pratiquer le commerce itinérant</w:t>
      </w:r>
      <w:bookmarkEnd w:id="216"/>
    </w:p>
    <w:p w:rsidR="00000000" w:rsidRDefault="00000000">
      <w:pPr>
        <w:spacing w:after="240"/>
      </w:pPr>
      <w:r>
        <w:t>298.</w:t>
      </w:r>
      <w:r>
        <w:tab/>
        <w:t>En ce qui concerne les autorisations de pratiquer le commerce itinérant, les chambres fédérales ont adopté la loi fédérale sur le commerce itinérant le 23 mars 2001</w:t>
      </w:r>
      <w:r>
        <w:rPr>
          <w:rStyle w:val="FootnoteReference"/>
          <w:bCs/>
        </w:rPr>
        <w:footnoteReference w:id="215"/>
      </w:r>
      <w:r>
        <w:t>. La nouvelle loi est entrée en vigueur le 1</w:t>
      </w:r>
      <w:r>
        <w:rPr>
          <w:vertAlign w:val="superscript"/>
        </w:rPr>
        <w:t>er</w:t>
      </w:r>
      <w:r>
        <w:t xml:space="preserve"> janvier 2003. Désormais, une autorisation n’est plus valable que pour un seul canton, mais sur l’ensemble du territoire national pour une d</w:t>
      </w:r>
      <w:r>
        <w:t>u</w:t>
      </w:r>
      <w:r>
        <w:t>rée de cinq ans. Les nouvelles normes viennent remplacer la multitude de réglementations qui existaient dans ce domaine et facilitent donc l’exercice du commerce itinérant.</w:t>
      </w:r>
    </w:p>
    <w:p w:rsidR="00000000" w:rsidRDefault="00000000">
      <w:pPr>
        <w:keepNext/>
        <w:spacing w:after="240"/>
        <w:jc w:val="center"/>
        <w:rPr>
          <w:b/>
          <w:bCs/>
          <w:szCs w:val="24"/>
        </w:rPr>
      </w:pPr>
      <w:bookmarkStart w:id="217" w:name="_Toc135035015"/>
      <w:bookmarkStart w:id="218" w:name="_Toc163552289"/>
      <w:r>
        <w:rPr>
          <w:b/>
          <w:bCs/>
          <w:szCs w:val="24"/>
        </w:rPr>
        <w:t>6.  Langue</w:t>
      </w:r>
      <w:bookmarkEnd w:id="217"/>
      <w:bookmarkEnd w:id="218"/>
    </w:p>
    <w:p w:rsidR="00000000" w:rsidRDefault="00000000">
      <w:pPr>
        <w:spacing w:after="240"/>
      </w:pPr>
      <w:r>
        <w:t>299.</w:t>
      </w:r>
      <w:r>
        <w:tab/>
        <w:t xml:space="preserve">Une grande partie des gens du voyage suisses considèrent le </w:t>
      </w:r>
      <w:proofErr w:type="spellStart"/>
      <w:r>
        <w:t>yéniche</w:t>
      </w:r>
      <w:proofErr w:type="spellEnd"/>
      <w:r>
        <w:t xml:space="preserve"> comme un élément important de leur identité commune qui est transmis de génération en génération et qui, pour beaucoup, a aujourd’hui encore les caractéristiques d’un langage secret. Il y a peu, il n’existait pas encore de transcription de cette langue. Ce n’est qu’en 2001 que le tout pr</w:t>
      </w:r>
      <w:r>
        <w:t>e</w:t>
      </w:r>
      <w:r>
        <w:t xml:space="preserve">mier dictionnaire </w:t>
      </w:r>
      <w:proofErr w:type="spellStart"/>
      <w:r>
        <w:t>yéniche</w:t>
      </w:r>
      <w:proofErr w:type="spellEnd"/>
      <w:r>
        <w:t xml:space="preserve"> a été publié</w:t>
      </w:r>
      <w:r>
        <w:rPr>
          <w:rStyle w:val="FootnoteReference"/>
          <w:bCs/>
        </w:rPr>
        <w:footnoteReference w:id="216"/>
      </w:r>
      <w:r>
        <w:t>.</w:t>
      </w:r>
    </w:p>
    <w:p w:rsidR="00000000" w:rsidRDefault="00000000">
      <w:pPr>
        <w:spacing w:after="240"/>
      </w:pPr>
      <w:r>
        <w:t>300.</w:t>
      </w:r>
      <w:r>
        <w:tab/>
        <w:t xml:space="preserve">La Suisse ne reconnaît pas le </w:t>
      </w:r>
      <w:proofErr w:type="spellStart"/>
      <w:r>
        <w:t>yéniche</w:t>
      </w:r>
      <w:proofErr w:type="spellEnd"/>
      <w:r>
        <w:t xml:space="preserve"> comme une langue liée à un terr</w:t>
      </w:r>
      <w:r>
        <w:t>i</w:t>
      </w:r>
      <w:r>
        <w:t>toire</w:t>
      </w:r>
      <w:r>
        <w:rPr>
          <w:rStyle w:val="FootnoteReference"/>
        </w:rPr>
        <w:footnoteReference w:id="217"/>
      </w:r>
      <w:r>
        <w:t xml:space="preserve">. En collaboration avec des représentants des gens du voyage, la Confédération s’efforce donc de trouver des moyens concrets permettant de préserver et d’encourager le </w:t>
      </w:r>
      <w:proofErr w:type="spellStart"/>
      <w:r>
        <w:t>yéniche</w:t>
      </w:r>
      <w:proofErr w:type="spellEnd"/>
      <w:r>
        <w:t xml:space="preserve">. Comme une majorité des gens du voyage ne souhaitent pas mettre le </w:t>
      </w:r>
      <w:proofErr w:type="spellStart"/>
      <w:r>
        <w:t>yéniche</w:t>
      </w:r>
      <w:proofErr w:type="spellEnd"/>
      <w:r>
        <w:t xml:space="preserve"> à la portée de la pop</w:t>
      </w:r>
      <w:r>
        <w:t>u</w:t>
      </w:r>
      <w:r>
        <w:t>lation sédentaire, ils n’ont pas encore fini de discuter entre eux comment cet encouragement pourrait se présenter. La «</w:t>
      </w:r>
      <w:proofErr w:type="spellStart"/>
      <w:r>
        <w:t>Radgenossenschaft</w:t>
      </w:r>
      <w:proofErr w:type="spellEnd"/>
      <w:r>
        <w:t>» est présente sur les aires de séjour pour discuter de ces moyens d’encouragement avec les personnes directement intéressées.</w:t>
      </w:r>
    </w:p>
    <w:p w:rsidR="00000000" w:rsidRDefault="00000000">
      <w:pPr>
        <w:spacing w:after="240"/>
      </w:pPr>
      <w:r>
        <w:t>301.</w:t>
      </w:r>
      <w:r>
        <w:tab/>
        <w:t xml:space="preserve">À ce jour, les gens du voyage n’ont jamais demandé que le </w:t>
      </w:r>
      <w:proofErr w:type="spellStart"/>
      <w:r>
        <w:t>yéniche</w:t>
      </w:r>
      <w:proofErr w:type="spellEnd"/>
      <w:r>
        <w:t xml:space="preserve"> soit ense</w:t>
      </w:r>
      <w:r>
        <w:t>i</w:t>
      </w:r>
      <w:r>
        <w:t>gné à leurs enfants dans les écoles publiques. Dans le cadre des mesures d’encouragement de la Confédération, la priorité est accordée à l’élaboration de moyens didactiques, si possible lud</w:t>
      </w:r>
      <w:r>
        <w:t>i</w:t>
      </w:r>
      <w:r>
        <w:t xml:space="preserve">ques, visant à faciliter l’apprentissage du </w:t>
      </w:r>
      <w:proofErr w:type="spellStart"/>
      <w:r>
        <w:t>yéniche</w:t>
      </w:r>
      <w:proofErr w:type="spellEnd"/>
      <w:r>
        <w:t xml:space="preserve"> par les enfants du voyage dans le c</w:t>
      </w:r>
      <w:r>
        <w:t>a</w:t>
      </w:r>
      <w:r>
        <w:t>dre de leur famille</w:t>
      </w:r>
      <w:r>
        <w:rPr>
          <w:rStyle w:val="FootnoteReference"/>
        </w:rPr>
        <w:footnoteReference w:id="218"/>
      </w:r>
      <w:r>
        <w:t>.</w:t>
      </w:r>
    </w:p>
    <w:p w:rsidR="00000000" w:rsidRDefault="00000000">
      <w:pPr>
        <w:keepNext/>
        <w:spacing w:after="240"/>
        <w:jc w:val="center"/>
        <w:rPr>
          <w:b/>
          <w:bCs/>
          <w:szCs w:val="24"/>
        </w:rPr>
      </w:pPr>
      <w:bookmarkStart w:id="219" w:name="_Toc135035016"/>
      <w:bookmarkStart w:id="220" w:name="_Toc163552290"/>
      <w:r>
        <w:rPr>
          <w:b/>
          <w:bCs/>
          <w:szCs w:val="24"/>
        </w:rPr>
        <w:t>7.  Aires de séjour et de trans</w:t>
      </w:r>
      <w:bookmarkEnd w:id="219"/>
      <w:r>
        <w:rPr>
          <w:b/>
          <w:bCs/>
          <w:szCs w:val="24"/>
        </w:rPr>
        <w:t>it</w:t>
      </w:r>
      <w:bookmarkEnd w:id="220"/>
    </w:p>
    <w:p w:rsidR="00000000" w:rsidRDefault="00000000">
      <w:pPr>
        <w:keepNext/>
        <w:spacing w:after="240"/>
        <w:rPr>
          <w:b/>
          <w:bCs/>
          <w:i/>
          <w:iCs/>
        </w:rPr>
      </w:pPr>
      <w:bookmarkStart w:id="221" w:name="_Toc135035017"/>
      <w:bookmarkStart w:id="222" w:name="_Toc163552291"/>
      <w:r>
        <w:rPr>
          <w:b/>
          <w:bCs/>
          <w:i/>
          <w:iCs/>
        </w:rPr>
        <w:t>a)</w:t>
      </w:r>
      <w:r>
        <w:rPr>
          <w:b/>
          <w:bCs/>
          <w:i/>
          <w:iCs/>
        </w:rPr>
        <w:tab/>
        <w:t>Situation et besoins</w:t>
      </w:r>
      <w:bookmarkEnd w:id="221"/>
      <w:bookmarkEnd w:id="222"/>
    </w:p>
    <w:p w:rsidR="00000000" w:rsidRDefault="00000000">
      <w:pPr>
        <w:spacing w:after="240"/>
      </w:pPr>
      <w:r>
        <w:t>302.</w:t>
      </w:r>
      <w:r>
        <w:tab/>
        <w:t>En 2001, la fondation «Assurer l’avenir des gens du voyage suisses» a publié un ra</w:t>
      </w:r>
      <w:r>
        <w:t>p</w:t>
      </w:r>
      <w:r>
        <w:t>port d’expertise</w:t>
      </w:r>
      <w:r>
        <w:rPr>
          <w:rStyle w:val="FootnoteReference"/>
          <w:bCs/>
        </w:rPr>
        <w:footnoteReference w:id="219"/>
      </w:r>
      <w:r>
        <w:t xml:space="preserve"> conçu en étroite collaboration avec la «</w:t>
      </w:r>
      <w:proofErr w:type="spellStart"/>
      <w:r>
        <w:t>Radgenossen</w:t>
      </w:r>
      <w:r>
        <w:t>s</w:t>
      </w:r>
      <w:r>
        <w:t>chaft</w:t>
      </w:r>
      <w:proofErr w:type="spellEnd"/>
      <w:r>
        <w:t>».Ce rapport contient un relevé détaillé des aires de séjour et de transit utilisées et fait état des besoins existant encore dans ce domaine. Cette expertise a été actualisée en 2006</w:t>
      </w:r>
      <w:r>
        <w:rPr>
          <w:rStyle w:val="FootnoteReference"/>
        </w:rPr>
        <w:footnoteReference w:id="220"/>
      </w:r>
      <w:r>
        <w:t>.</w:t>
      </w:r>
    </w:p>
    <w:p w:rsidR="00000000" w:rsidRDefault="00000000">
      <w:pPr>
        <w:spacing w:after="200"/>
      </w:pPr>
      <w:r>
        <w:t>303.</w:t>
      </w:r>
      <w:r>
        <w:tab/>
        <w:t>En été 2005, la Suisse comptait 12 aires de séjour, accueillant environ 600 pe</w:t>
      </w:r>
      <w:r>
        <w:t>r</w:t>
      </w:r>
      <w:r>
        <w:t>sonnes. À une exception près, toutes les aires de séjour affichaient complet en 2005. On a estimé que 29 aires supplémentaires (à 10 places) seraient nécessaires.</w:t>
      </w:r>
    </w:p>
    <w:p w:rsidR="00000000" w:rsidRDefault="00000000">
      <w:pPr>
        <w:spacing w:after="200"/>
      </w:pPr>
      <w:r>
        <w:t>304.</w:t>
      </w:r>
      <w:r>
        <w:tab/>
        <w:t>En 2005, les experts ont compté 44 aires de transit officielles, de surfaces di</w:t>
      </w:r>
      <w:r>
        <w:t>f</w:t>
      </w:r>
      <w:r>
        <w:t>férentes. Une aire n’a pas été comptée parce qu’elle est utilisée exclusivement par des gens du voyage étrangers. On a constaté que les aires de transit existantes pouvaient accueillir env</w:t>
      </w:r>
      <w:r>
        <w:t>i</w:t>
      </w:r>
      <w:r>
        <w:t>ron 1 500 personnes en 2005. Cela signifie que les 490 places officiellement à disposition en 2005 ne pouvaient accueillir qu’à peu près 60 % de tous les gens du voyage suisses. Les experts font état d’un besoin supplémentaire de 38 aires de transit (à 10 places). Pour les gens du voyage étrangers, qui traversent souvent la Suisse en grands convois, il faudrait e</w:t>
      </w:r>
      <w:r>
        <w:t>n</w:t>
      </w:r>
      <w:r>
        <w:t>core 10 grandes aires de transit (conçues pour accueillir entre 35 et 50 caravanes).</w:t>
      </w:r>
    </w:p>
    <w:p w:rsidR="00000000" w:rsidRDefault="00000000">
      <w:pPr>
        <w:spacing w:after="200"/>
      </w:pPr>
      <w:r>
        <w:t>305.</w:t>
      </w:r>
      <w:r>
        <w:tab/>
        <w:t>Les démarches entreprises en vue de l’aménagement de nouvelles aires de</w:t>
      </w:r>
      <w:r>
        <w:t>s</w:t>
      </w:r>
      <w:r>
        <w:t>tinées aux gens du voyage sont souvent longues et difficiles. Elles appellent la mise en œ</w:t>
      </w:r>
      <w:r>
        <w:t>u</w:t>
      </w:r>
      <w:r>
        <w:t>vre d’instruments relevant de l’aménagement du territoire ainsi que la collaboration à diff</w:t>
      </w:r>
      <w:r>
        <w:t>é</w:t>
      </w:r>
      <w:r>
        <w:t>rents niveaux de compétence. Les cantons sont ainsi les principaux responsables en matière d’aménagement du territoire. Ils coordonnent les différents souhaits au moyen du plan dire</w:t>
      </w:r>
      <w:r>
        <w:t>c</w:t>
      </w:r>
      <w:r>
        <w:t>teur cantonal. Les communes sont tenues d’enregistrer ces besoins dans leurs plans d’affectation sous la forme exigée par la loi. Selon la réglementation applicable au niveau communal, les citoyens peuvent en effet revendiquer un droit de codécision et rejeter les plans présentés en votation populaire</w:t>
      </w:r>
      <w:r>
        <w:rPr>
          <w:rStyle w:val="FootnoteReference"/>
          <w:bCs/>
        </w:rPr>
        <w:footnoteReference w:id="221"/>
      </w:r>
      <w:r>
        <w:t>. Il ressort de l’arrêt du Tribunal fédéral mentionné plus haut (par. 286) qu’en vertu de la loi en vigueur, les besoins des gens du voyage doivent être pris en compte dans l’aménagement du territoire</w:t>
      </w:r>
      <w:r>
        <w:rPr>
          <w:rStyle w:val="FootnoteReference"/>
        </w:rPr>
        <w:footnoteReference w:id="222"/>
      </w:r>
      <w:r>
        <w:t>.</w:t>
      </w:r>
    </w:p>
    <w:p w:rsidR="00000000" w:rsidRDefault="00000000">
      <w:pPr>
        <w:spacing w:after="200"/>
      </w:pPr>
      <w:r>
        <w:t>306.</w:t>
      </w:r>
      <w:r>
        <w:tab/>
        <w:t>Au lieu d’utiliser les aires de transit, les gens du voyage peuvent aussi s’arrêter spo</w:t>
      </w:r>
      <w:r>
        <w:t>n</w:t>
      </w:r>
      <w:r>
        <w:t>tanément sur un terrain privé. Les paysans ou les propriétaires de terrains industriels perme</w:t>
      </w:r>
      <w:r>
        <w:t>t</w:t>
      </w:r>
      <w:r>
        <w:t>tent aux gens du voyage de stationner chez eux à titre onéreux. Très souvent, les r</w:t>
      </w:r>
      <w:r>
        <w:t>è</w:t>
      </w:r>
      <w:r>
        <w:t>glements cantonaux de police des constructions et les dispositions cantonales ou commun</w:t>
      </w:r>
      <w:r>
        <w:t>a</w:t>
      </w:r>
      <w:r>
        <w:t>les sur le camping empêchent toutefois cette pratique de l’arrêt spontané ou la rendent même illégale. À bien des endroits, le stationnement d’une caravane pendant une période prolongée néce</w:t>
      </w:r>
      <w:r>
        <w:t>s</w:t>
      </w:r>
      <w:r>
        <w:t>site un permis de construire ou n’est autorisé que dans des lieux spécialement prévus à cet effet. Ces réglementations sont autant d’obstacles à l’arrêt spontané des gens du voyage, même s’ils obtiennent l’autorisation du propriétaire foncier. Les campings refusent général</w:t>
      </w:r>
      <w:r>
        <w:t>e</w:t>
      </w:r>
      <w:r>
        <w:t>ment de les accueillir, avant tout parce que, contrairement aux touristes, les gens du voyage exercent une activité lucrative, ce qui est indésirable dans ce genre d’endroits. Pour permettre les arrêts spontanés, il serait nécessaire de modifier certaines dispositions légales dans le domaine de l’aménagement du territoire et de la construction. Dans plusieurs ca</w:t>
      </w:r>
      <w:r>
        <w:t>n</w:t>
      </w:r>
      <w:r>
        <w:t>tons, ces adaptations ont déjà eu lieu: il est explicitement précisé dans leur législation que le statio</w:t>
      </w:r>
      <w:r>
        <w:t>n</w:t>
      </w:r>
      <w:r>
        <w:t>nement de courte durée de caravanes appartenant aux gens du voyage est possible sans permis de construire.</w:t>
      </w:r>
    </w:p>
    <w:p w:rsidR="00000000" w:rsidRDefault="00000000">
      <w:pPr>
        <w:keepNext/>
        <w:spacing w:after="240"/>
        <w:rPr>
          <w:b/>
          <w:bCs/>
          <w:i/>
          <w:iCs/>
        </w:rPr>
      </w:pPr>
      <w:bookmarkStart w:id="223" w:name="_Toc135035018"/>
      <w:bookmarkStart w:id="224" w:name="_Toc163552292"/>
      <w:r>
        <w:rPr>
          <w:b/>
          <w:bCs/>
          <w:i/>
          <w:iCs/>
        </w:rPr>
        <w:t>b)</w:t>
      </w:r>
      <w:r>
        <w:rPr>
          <w:b/>
          <w:bCs/>
          <w:i/>
          <w:iCs/>
        </w:rPr>
        <w:tab/>
        <w:t>Mesures déjà prises</w:t>
      </w:r>
      <w:bookmarkEnd w:id="223"/>
      <w:bookmarkEnd w:id="224"/>
    </w:p>
    <w:p w:rsidR="00000000" w:rsidRDefault="00000000">
      <w:pPr>
        <w:spacing w:after="240"/>
      </w:pPr>
      <w:r>
        <w:t>307.</w:t>
      </w:r>
      <w:r>
        <w:tab/>
        <w:t>Les dispositions légales en matière d’aménagement du territoire ne sont pas le seul élément qui donne matière à discussion: il a aussi beaucoup été question dans certains ca</w:t>
      </w:r>
      <w:r>
        <w:t>n</w:t>
      </w:r>
      <w:r>
        <w:t xml:space="preserve">tons du manque de terrains disponibles pour l’aménagement d’aires de stationnement et de transit. Dans les constitutions des cantons de </w:t>
      </w:r>
      <w:proofErr w:type="spellStart"/>
      <w:r>
        <w:t>Bâle</w:t>
      </w:r>
      <w:r>
        <w:noBreakHyphen/>
        <w:t>campagne</w:t>
      </w:r>
      <w:proofErr w:type="spellEnd"/>
      <w:r>
        <w:rPr>
          <w:rStyle w:val="FootnoteReference"/>
          <w:bCs/>
        </w:rPr>
        <w:footnoteReference w:id="223"/>
      </w:r>
      <w:r>
        <w:t xml:space="preserve"> et d’</w:t>
      </w:r>
      <w:proofErr w:type="spellStart"/>
      <w:r>
        <w:t>Argovie</w:t>
      </w:r>
      <w:proofErr w:type="spellEnd"/>
      <w:r>
        <w:rPr>
          <w:rStyle w:val="FootnoteReference"/>
          <w:bCs/>
        </w:rPr>
        <w:footnoteReference w:id="224"/>
      </w:r>
      <w:r>
        <w:t>, les aut</w:t>
      </w:r>
      <w:r>
        <w:t>o</w:t>
      </w:r>
      <w:r>
        <w:t>rités sont chargées de rechercher des terrains convenant à l’aménagement d’aires de tra</w:t>
      </w:r>
      <w:r>
        <w:t>n</w:t>
      </w:r>
      <w:r>
        <w:t>sit et de stationnement. Plusieurs cantons et communes ont mis à disposition des terrains à cet effet, soit pour les transformer directement en aires destinées aux gens du voyage, soit pour les échanger contre des terrains plus appropriés.</w:t>
      </w:r>
    </w:p>
    <w:p w:rsidR="00000000" w:rsidRDefault="00000000">
      <w:pPr>
        <w:spacing w:after="240"/>
      </w:pPr>
      <w:r>
        <w:t>308.</w:t>
      </w:r>
      <w:r>
        <w:tab/>
        <w:t>La Confédération n’est pas non plus restée inactive: à chaque fois qu’il en a eu la possibilité ces dernières années, le Département fédéral de la défense, de la protection de la population et des sports (</w:t>
      </w:r>
      <w:proofErr w:type="spellStart"/>
      <w:r>
        <w:t>DDPS</w:t>
      </w:r>
      <w:proofErr w:type="spellEnd"/>
      <w:r>
        <w:t>) a mis des terrains temporairement inutilisés à la dispos</w:t>
      </w:r>
      <w:r>
        <w:t>i</w:t>
      </w:r>
      <w:r>
        <w:t>tion des gens du voyage pour leur permettre des arrêts spontanés. Au cours des prochaines a</w:t>
      </w:r>
      <w:r>
        <w:t>n</w:t>
      </w:r>
      <w:r>
        <w:t>nées, il est en outre prévu d’étudier si certains terrains militaires désaffectés ne pourraient pas être transformés en aires de transit ou de stationnement. Dans le sillage de la réforme Armée XXI, le </w:t>
      </w:r>
      <w:proofErr w:type="spellStart"/>
      <w:r>
        <w:t>DDPS</w:t>
      </w:r>
      <w:proofErr w:type="spellEnd"/>
      <w:r>
        <w:t xml:space="preserve"> prévoit, d’ici 2010, de se séparer de quelque 10 000 biens fonds, qui seront mis en vente en accord avec les cantons. Comme la Confédération est elle aussi t</w:t>
      </w:r>
      <w:r>
        <w:t>e</w:t>
      </w:r>
      <w:r>
        <w:t xml:space="preserve">nue de contribuer à la mise en œuvre de l’arrêt du Tribunal fédéral du 28 mars 2003, le </w:t>
      </w:r>
      <w:proofErr w:type="spellStart"/>
      <w:r>
        <w:t>DDPS</w:t>
      </w:r>
      <w:proofErr w:type="spellEnd"/>
      <w:r>
        <w:t xml:space="preserve"> attirera l’attention des cantons sur les terrains dont il entend se séparer qui se prêt</w:t>
      </w:r>
      <w:r>
        <w:t>e</w:t>
      </w:r>
      <w:r>
        <w:t>raient à servir d’aires de transit ou de stationnement pour les gens du voyage et, si possible, les vendra aux cantons et aux communes en imposant ce type d’affectation.</w:t>
      </w:r>
    </w:p>
    <w:p w:rsidR="00000000" w:rsidRDefault="00000000">
      <w:pPr>
        <w:spacing w:after="240"/>
      </w:pPr>
      <w:r>
        <w:t>309.</w:t>
      </w:r>
      <w:r>
        <w:tab/>
        <w:t>Ces dernières années, la fondation «Assurer l’avenir des gens du voyage suisses» s’est consacrée essentiellement au problème posé par la pénurie d’aires de transit et de statio</w:t>
      </w:r>
      <w:r>
        <w:t>n</w:t>
      </w:r>
      <w:r>
        <w:t>nement. Le secrétariat de la fondation fonctionne comme point de contact tant pour les n</w:t>
      </w:r>
      <w:r>
        <w:t>o</w:t>
      </w:r>
      <w:r>
        <w:t xml:space="preserve">mades </w:t>
      </w:r>
      <w:proofErr w:type="spellStart"/>
      <w:r>
        <w:t>eux</w:t>
      </w:r>
      <w:r>
        <w:noBreakHyphen/>
        <w:t>mêmes</w:t>
      </w:r>
      <w:proofErr w:type="spellEnd"/>
      <w:r>
        <w:t xml:space="preserve"> que pour les communes. Il conseille et aide les parties en cas de probl</w:t>
      </w:r>
      <w:r>
        <w:t>è</w:t>
      </w:r>
      <w:r>
        <w:t>mes avec les aires de stationnement ou de transit et exerce même des fonctions de médi</w:t>
      </w:r>
      <w:r>
        <w:t>a</w:t>
      </w:r>
      <w:r>
        <w:t>tion. La «</w:t>
      </w:r>
      <w:proofErr w:type="spellStart"/>
      <w:r>
        <w:t>Radgenossenschaft</w:t>
      </w:r>
      <w:proofErr w:type="spellEnd"/>
      <w:r>
        <w:t>» collabore étroitement avec d’autres organisations de nom</w:t>
      </w:r>
      <w:r>
        <w:t>a</w:t>
      </w:r>
      <w:r>
        <w:t>des et fonctionne comme médiatrice entre les autorités et les gens du voyage lorsqu’il s’agit de l’aménagement ou de l’entretien des aires de stationnement ou de transit.</w:t>
      </w:r>
    </w:p>
    <w:p w:rsidR="00000000" w:rsidRDefault="00000000">
      <w:pPr>
        <w:keepNext/>
        <w:spacing w:after="240"/>
        <w:jc w:val="center"/>
        <w:rPr>
          <w:b/>
          <w:bCs/>
          <w:szCs w:val="24"/>
        </w:rPr>
      </w:pPr>
      <w:bookmarkStart w:id="225" w:name="_Toc135034886"/>
      <w:bookmarkStart w:id="226" w:name="_Toc135035019"/>
      <w:bookmarkStart w:id="227" w:name="_Toc150668829"/>
      <w:bookmarkStart w:id="228" w:name="_Toc163552293"/>
      <w:r>
        <w:rPr>
          <w:b/>
          <w:bCs/>
          <w:szCs w:val="24"/>
        </w:rPr>
        <w:t xml:space="preserve">J.  Discrimination raciale dans le secteur privé </w:t>
      </w:r>
      <w:r>
        <w:rPr>
          <w:b/>
          <w:bCs/>
          <w:szCs w:val="24"/>
        </w:rPr>
        <w:br/>
        <w:t>(</w:t>
      </w:r>
      <w:proofErr w:type="spellStart"/>
      <w:r>
        <w:rPr>
          <w:b/>
          <w:bCs/>
          <w:szCs w:val="24"/>
        </w:rPr>
        <w:t>CERD</w:t>
      </w:r>
      <w:proofErr w:type="spellEnd"/>
      <w:r>
        <w:rPr>
          <w:b/>
          <w:bCs/>
          <w:szCs w:val="24"/>
        </w:rPr>
        <w:t>/C/60/CO/14, par. 16)</w:t>
      </w:r>
      <w:bookmarkEnd w:id="225"/>
      <w:bookmarkEnd w:id="226"/>
      <w:bookmarkEnd w:id="227"/>
      <w:bookmarkEnd w:id="228"/>
    </w:p>
    <w:p w:rsidR="00000000" w:rsidRDefault="00000000">
      <w:pPr>
        <w:spacing w:after="240"/>
        <w:rPr>
          <w:i/>
        </w:rPr>
      </w:pPr>
      <w:r>
        <w:rPr>
          <w:iCs/>
        </w:rPr>
        <w:t>310.</w:t>
      </w:r>
      <w:r>
        <w:rPr>
          <w:iCs/>
        </w:rPr>
        <w:tab/>
        <w:t xml:space="preserve">La Suisse répond dans les paragraphes </w:t>
      </w:r>
      <w:proofErr w:type="spellStart"/>
      <w:r>
        <w:rPr>
          <w:iCs/>
        </w:rPr>
        <w:t>ci</w:t>
      </w:r>
      <w:r>
        <w:rPr>
          <w:iCs/>
        </w:rPr>
        <w:noBreakHyphen/>
        <w:t>après</w:t>
      </w:r>
      <w:proofErr w:type="spellEnd"/>
      <w:r>
        <w:rPr>
          <w:iCs/>
        </w:rPr>
        <w:t xml:space="preserve"> à la demande d’informations du Comité sur la législation en vigueur concernant l’interdiction de la discrimination raciale dans le secteur privé, dans des domaines tels que l’emploi, le logement, l’enseignement, la santé et l’accès aux lieux publics.</w:t>
      </w:r>
    </w:p>
    <w:p w:rsidR="00000000" w:rsidRDefault="00000000">
      <w:pPr>
        <w:keepNext/>
        <w:spacing w:after="240"/>
        <w:jc w:val="center"/>
        <w:rPr>
          <w:b/>
          <w:bCs/>
          <w:szCs w:val="24"/>
        </w:rPr>
      </w:pPr>
      <w:bookmarkStart w:id="229" w:name="_Toc135035020"/>
      <w:bookmarkStart w:id="230" w:name="_Toc163552294"/>
      <w:r>
        <w:rPr>
          <w:b/>
          <w:bCs/>
          <w:szCs w:val="24"/>
        </w:rPr>
        <w:t>1.  En général</w:t>
      </w:r>
      <w:bookmarkEnd w:id="229"/>
      <w:bookmarkEnd w:id="230"/>
    </w:p>
    <w:p w:rsidR="00000000" w:rsidRDefault="00000000">
      <w:pPr>
        <w:spacing w:after="240"/>
      </w:pPr>
      <w:bookmarkStart w:id="231" w:name="_Ref79997150"/>
      <w:r>
        <w:t>311.</w:t>
      </w:r>
      <w:r>
        <w:tab/>
        <w:t>Pour ce qui est de la question de l’interdiction de toute discrimination et de l’éventualité d’un effet horizontal sur le secteur privé, nous renvoyons à notre réponse dans le rapport initial (</w:t>
      </w:r>
      <w:proofErr w:type="spellStart"/>
      <w:r>
        <w:t>CERD</w:t>
      </w:r>
      <w:proofErr w:type="spellEnd"/>
      <w:r>
        <w:t>/C/270/</w:t>
      </w:r>
      <w:proofErr w:type="spellStart"/>
      <w:r>
        <w:t>Add.1</w:t>
      </w:r>
      <w:proofErr w:type="spellEnd"/>
      <w:r>
        <w:t>, par. 57) ainsi que dans les deuxième et troisième rapports périodiques (</w:t>
      </w:r>
      <w:proofErr w:type="spellStart"/>
      <w:r>
        <w:t>CERD</w:t>
      </w:r>
      <w:proofErr w:type="spellEnd"/>
      <w:r>
        <w:t>/C/351/</w:t>
      </w:r>
      <w:proofErr w:type="spellStart"/>
      <w:r>
        <w:t>Add.2</w:t>
      </w:r>
      <w:proofErr w:type="spellEnd"/>
      <w:r>
        <w:t>, par. ch. 86 à 88).</w:t>
      </w:r>
      <w:bookmarkEnd w:id="231"/>
    </w:p>
    <w:p w:rsidR="00000000" w:rsidRDefault="00000000">
      <w:pPr>
        <w:spacing w:after="240"/>
      </w:pPr>
      <w:r>
        <w:t>312.</w:t>
      </w:r>
      <w:r>
        <w:tab/>
        <w:t xml:space="preserve">En plus des dispositions garantissant les droits fondamentaux (Constitution fédérale, </w:t>
      </w:r>
      <w:proofErr w:type="spellStart"/>
      <w:r>
        <w:t>CEDH</w:t>
      </w:r>
      <w:proofErr w:type="spellEnd"/>
      <w:r>
        <w:t>, Pacte international relatif aux droits civils et politiques), le droit suisse contient des bases légales contribuant à prévenir les di</w:t>
      </w:r>
      <w:r>
        <w:t>s</w:t>
      </w:r>
      <w:r>
        <w:t>criminations dans le cadre de lois spécifiques. En vertu du paragraphe 3 de l’article 35 de la Constitution fédérale, les autor</w:t>
      </w:r>
      <w:r>
        <w:t>i</w:t>
      </w:r>
      <w:r>
        <w:t>tés veillent à ce que les droits fondamentaux, dans la mesure où ils s’y prêtent, soient aussi réalisés dans les relations qui lient les particuliers entre eux. Les tribunaux peuvent donc, en interprétant des prescriptions de droit civil en conséquence dans une situation de droit privé et en inv</w:t>
      </w:r>
      <w:r>
        <w:t>o</w:t>
      </w:r>
      <w:r>
        <w:t>quant le devoir de protection de l’</w:t>
      </w:r>
      <w:proofErr w:type="spellStart"/>
      <w:r>
        <w:t>État</w:t>
      </w:r>
      <w:proofErr w:type="spellEnd"/>
      <w:r>
        <w:t>, obtenir l’application de l’interdiction de toute discrimin</w:t>
      </w:r>
      <w:r>
        <w:t>a</w:t>
      </w:r>
      <w:r>
        <w:t>tion entre personnes privées.</w:t>
      </w:r>
    </w:p>
    <w:p w:rsidR="00000000" w:rsidRDefault="00000000">
      <w:pPr>
        <w:spacing w:after="240"/>
      </w:pPr>
      <w:r>
        <w:t>313.</w:t>
      </w:r>
      <w:r>
        <w:tab/>
        <w:t>Le droit privé suisse est fondé sur l’autonomie individuelle. Dans le droit des oblig</w:t>
      </w:r>
      <w:r>
        <w:t>a</w:t>
      </w:r>
      <w:r>
        <w:t>tions, cette autonomie individuelle est matérialisée par la liberté contractuelle, qui impl</w:t>
      </w:r>
      <w:r>
        <w:t>i</w:t>
      </w:r>
      <w:r>
        <w:t>que, entre autres, la liberté des transactions, la liberté de choisir l’autre partie au contrat, la libe</w:t>
      </w:r>
      <w:r>
        <w:t>r</w:t>
      </w:r>
      <w:r>
        <w:t>té de définir le contenu du contrat, la liberté de forme, et la liberté de résiliation. En tant que composantes de la liberté contractuelle, la liberté des transactions et la liberté de choisir l’autre partie au contrat peuvent, exceptionnellement, être restreintes par des contraintes i</w:t>
      </w:r>
      <w:r>
        <w:t>m</w:t>
      </w:r>
      <w:r>
        <w:t>posées aux parties contractantes. Ce type de contraintes repose soit sur un contrat soit sur une base légale. La Constitution autorise en principe les particuliers à faire des différe</w:t>
      </w:r>
      <w:r>
        <w:t>n</w:t>
      </w:r>
      <w:r>
        <w:t>ces là où l’</w:t>
      </w:r>
      <w:proofErr w:type="spellStart"/>
      <w:r>
        <w:t>État</w:t>
      </w:r>
      <w:proofErr w:type="spellEnd"/>
      <w:r>
        <w:t xml:space="preserve"> n’en aurait pas le droit et où pareille différenciation serait considérée comme une discrimination ou comme une inégalité de traitement contraire à la Constitution.</w:t>
      </w:r>
    </w:p>
    <w:p w:rsidR="00000000" w:rsidRDefault="00000000">
      <w:pPr>
        <w:spacing w:after="240"/>
      </w:pPr>
      <w:r>
        <w:t>314.</w:t>
      </w:r>
      <w:r>
        <w:tab/>
        <w:t>Conformément à la jurisprudence et à la doctrine dominante, et à l’exception de que</w:t>
      </w:r>
      <w:r>
        <w:t>l</w:t>
      </w:r>
      <w:r>
        <w:t>ques cas particuliers, un effet direct des interdictions de toute discrimination sur les relations entre particuliers est, par principe, exclu. Dans un jugement récent, le Tribunal féd</w:t>
      </w:r>
      <w:r>
        <w:t>é</w:t>
      </w:r>
      <w:r>
        <w:t>ral</w:t>
      </w:r>
      <w:r>
        <w:rPr>
          <w:rStyle w:val="FootnoteReference"/>
          <w:bCs/>
        </w:rPr>
        <w:footnoteReference w:id="225"/>
      </w:r>
      <w:r>
        <w:t xml:space="preserve"> a estimé qu’en l’absence de bases légales explicites, il était possible, tout à fait exceptionne</w:t>
      </w:r>
      <w:r>
        <w:t>l</w:t>
      </w:r>
      <w:r>
        <w:t>lement, de conclure à une obligation de contracter relevant du droit privé sur la base de pri</w:t>
      </w:r>
      <w:r>
        <w:t>n</w:t>
      </w:r>
      <w:r>
        <w:t>cipes généraux. Selon le Tribunal fédéral, il y a lieu d’admettre une telle obligation lorsque ces quatre conditions sont remplies cumulativement</w:t>
      </w:r>
      <w:r>
        <w:rPr>
          <w:rStyle w:val="FootnoteReference"/>
          <w:bCs/>
        </w:rPr>
        <w:footnoteReference w:id="226"/>
      </w:r>
      <w:r>
        <w:t>:</w:t>
      </w:r>
    </w:p>
    <w:p w:rsidR="00000000" w:rsidRDefault="00000000">
      <w:pPr>
        <w:numPr>
          <w:ilvl w:val="0"/>
          <w:numId w:val="98"/>
        </w:numPr>
        <w:spacing w:after="240"/>
      </w:pPr>
      <w:r>
        <w:t>La prestation en question est l’objet d’une offre générale et publique;</w:t>
      </w:r>
    </w:p>
    <w:p w:rsidR="00000000" w:rsidRDefault="00000000">
      <w:pPr>
        <w:numPr>
          <w:ilvl w:val="0"/>
          <w:numId w:val="98"/>
        </w:numPr>
        <w:spacing w:after="240"/>
      </w:pPr>
      <w:r>
        <w:t xml:space="preserve">L’offre se rapporte à des besoins courants, est à la disposition de pratiquement </w:t>
      </w:r>
      <w:r>
        <w:br/>
        <w:t>tout le monde et peut être acceptée au quotidien;</w:t>
      </w:r>
    </w:p>
    <w:p w:rsidR="00000000" w:rsidRDefault="00000000">
      <w:pPr>
        <w:numPr>
          <w:ilvl w:val="0"/>
          <w:numId w:val="98"/>
        </w:numPr>
        <w:spacing w:after="240"/>
      </w:pPr>
      <w:r>
        <w:t>En raison de la position de force de l’offreur sur le marché, les clients potentiels n’ont pas d’alternative acceptable pour couvrir leurs besoins normaux;</w:t>
      </w:r>
    </w:p>
    <w:p w:rsidR="00000000" w:rsidRDefault="00000000">
      <w:pPr>
        <w:numPr>
          <w:ilvl w:val="0"/>
          <w:numId w:val="98"/>
        </w:numPr>
        <w:spacing w:after="240"/>
      </w:pPr>
      <w:r>
        <w:t>L’offreur n’invoque pas de raisons justifiées objectivement à son refus de contra</w:t>
      </w:r>
      <w:r>
        <w:t>c</w:t>
      </w:r>
      <w:r>
        <w:t>ter.</w:t>
      </w:r>
    </w:p>
    <w:p w:rsidR="00000000" w:rsidRDefault="00000000">
      <w:pPr>
        <w:spacing w:after="240"/>
      </w:pPr>
      <w:r>
        <w:t>315.</w:t>
      </w:r>
      <w:r>
        <w:tab/>
        <w:t>On constate donc qu’à quelques exceptions près, il n’y a pas d’obligation g</w:t>
      </w:r>
      <w:r>
        <w:t>é</w:t>
      </w:r>
      <w:r>
        <w:t>nérale de contracter en droit privé suisse. Pour peu qu’elles n’enfreignent pas la législation pénale, les personnes privées peuvent par conséquent, dans leurs relations juridiques pr</w:t>
      </w:r>
      <w:r>
        <w:t>i</w:t>
      </w:r>
      <w:r>
        <w:t>vées, conclure des contrats − des contrats de travail ou de bail, par exemple − avec qui elles l’entendent, ind</w:t>
      </w:r>
      <w:r>
        <w:t>é</w:t>
      </w:r>
      <w:r>
        <w:t>pendamment de l’interdiction de toute discrimination raciale.</w:t>
      </w:r>
    </w:p>
    <w:p w:rsidR="00000000" w:rsidRDefault="00000000">
      <w:pPr>
        <w:spacing w:after="240"/>
      </w:pPr>
      <w:r>
        <w:t>316.</w:t>
      </w:r>
      <w:r>
        <w:tab/>
        <w:t>Dans le secteur privé, le droit civil suisse reconnaît le principe de la protection de la personnalité (art. 28 CC), qui s’applique non seulement à la valeur morale de l’être h</w:t>
      </w:r>
      <w:r>
        <w:t>u</w:t>
      </w:r>
      <w:r>
        <w:t>main, mais aussi sa considération professionnelle et sociale. Une diffamation à motivation raci</w:t>
      </w:r>
      <w:r>
        <w:t>s</w:t>
      </w:r>
      <w:r>
        <w:t>te pouvant être considérée comme une atteinte à la dignité humaine enfreindrait donc le pri</w:t>
      </w:r>
      <w:r>
        <w:t>n</w:t>
      </w:r>
      <w:r>
        <w:t>cipe de la protection de la personnalité reconnu en droit civil</w:t>
      </w:r>
      <w:r>
        <w:rPr>
          <w:rStyle w:val="FootnoteReference"/>
          <w:bCs/>
        </w:rPr>
        <w:footnoteReference w:id="227"/>
      </w:r>
      <w:r>
        <w:t>.</w:t>
      </w:r>
    </w:p>
    <w:p w:rsidR="00000000" w:rsidRDefault="00000000">
      <w:pPr>
        <w:keepNext/>
        <w:spacing w:after="240"/>
        <w:jc w:val="center"/>
        <w:rPr>
          <w:b/>
          <w:bCs/>
          <w:szCs w:val="24"/>
        </w:rPr>
      </w:pPr>
      <w:bookmarkStart w:id="232" w:name="_Toc135035021"/>
      <w:bookmarkStart w:id="233" w:name="_Toc163552295"/>
      <w:r>
        <w:rPr>
          <w:b/>
          <w:bCs/>
          <w:szCs w:val="24"/>
        </w:rPr>
        <w:t>2.  Emploi</w:t>
      </w:r>
      <w:bookmarkEnd w:id="232"/>
      <w:bookmarkEnd w:id="233"/>
    </w:p>
    <w:p w:rsidR="00000000" w:rsidRDefault="00000000">
      <w:pPr>
        <w:spacing w:after="240"/>
      </w:pPr>
      <w:r>
        <w:t>317.</w:t>
      </w:r>
      <w:r>
        <w:tab/>
        <w:t>En ce qui concerne les dispositions légales relatives au contrat de travail, rel</w:t>
      </w:r>
      <w:r>
        <w:t>e</w:t>
      </w:r>
      <w:r>
        <w:t>vons encore ceci</w:t>
      </w:r>
      <w:r>
        <w:rPr>
          <w:rStyle w:val="FootnoteReference"/>
          <w:bCs/>
        </w:rPr>
        <w:footnoteReference w:id="228"/>
      </w:r>
      <w:r>
        <w:t xml:space="preserve">: </w:t>
      </w:r>
    </w:p>
    <w:p w:rsidR="00000000" w:rsidRDefault="00000000">
      <w:pPr>
        <w:spacing w:after="240"/>
      </w:pPr>
      <w:r>
        <w:t>318.</w:t>
      </w:r>
      <w:r>
        <w:tab/>
        <w:t>Dans ses réponses à deux interventions parlementaires</w:t>
      </w:r>
      <w:r>
        <w:rPr>
          <w:rStyle w:val="FootnoteReference"/>
          <w:bCs/>
        </w:rPr>
        <w:footnoteReference w:id="229"/>
      </w:r>
      <w:r>
        <w:t xml:space="preserve"> relatives à la di</w:t>
      </w:r>
      <w:r>
        <w:t>s</w:t>
      </w:r>
      <w:r>
        <w:t>crimination raciale dans le monde du travail, le Conseil fédéral a estimé que la mise en œ</w:t>
      </w:r>
      <w:r>
        <w:t>u</w:t>
      </w:r>
      <w:r>
        <w:t>vre rigoureuse des dispositions existantes devait avoir la priorité sur la mise en place d’une législation spéc</w:t>
      </w:r>
      <w:r>
        <w:t>i</w:t>
      </w:r>
      <w:r>
        <w:t>fique en matière de lutte contre la discrimination dans le monde du travail. Il a considéré qu’il fallait donner aux entreprises et aux partenaires sociaux la possibilité et le temps de dévelo</w:t>
      </w:r>
      <w:r>
        <w:t>p</w:t>
      </w:r>
      <w:r>
        <w:t>per des instruments de prévention et d’intervention sur la base d’une coll</w:t>
      </w:r>
      <w:r>
        <w:t>a</w:t>
      </w:r>
      <w:r>
        <w:t>boration librement consentie avant d’envisager l’adoption de nouvelles dispositions légales. Le Conseil fédéral s’est en outre dit convaincu que la lutte contre les discriminations passait aussi par des mes</w:t>
      </w:r>
      <w:r>
        <w:t>u</w:t>
      </w:r>
      <w:r>
        <w:t>res favorisant l’intégration des étrangers à plusieurs niveaux.</w:t>
      </w:r>
    </w:p>
    <w:p w:rsidR="00000000" w:rsidRDefault="00000000">
      <w:pPr>
        <w:spacing w:after="240"/>
      </w:pPr>
      <w:r>
        <w:t>319.</w:t>
      </w:r>
      <w:r>
        <w:tab/>
        <w:t>En cas d’atteintes à l’honneur causées par des diffamations à motivation r</w:t>
      </w:r>
      <w:r>
        <w:t>a</w:t>
      </w:r>
      <w:r>
        <w:t>ciste dans le domaine du travail, l’article 28 CCS</w:t>
      </w:r>
      <w:r>
        <w:rPr>
          <w:rStyle w:val="FootnoteReference"/>
          <w:bCs/>
        </w:rPr>
        <w:footnoteReference w:id="230"/>
      </w:r>
      <w:r>
        <w:t xml:space="preserve"> s’applique.</w:t>
      </w:r>
      <w:r>
        <w:rPr>
          <w:iCs/>
        </w:rPr>
        <w:t xml:space="preserve"> </w:t>
      </w:r>
      <w:r>
        <w:t>La protection de la personnalité est aussi garantie à l’article 6 de la loi sur le travail (LTr)</w:t>
      </w:r>
      <w:r>
        <w:rPr>
          <w:rStyle w:val="FootnoteReference"/>
          <w:bCs/>
        </w:rPr>
        <w:footnoteReference w:id="231"/>
      </w:r>
      <w:r>
        <w:t>. L’employeur doit ainsi prendre toutes les m</w:t>
      </w:r>
      <w:r>
        <w:t>e</w:t>
      </w:r>
      <w:r>
        <w:t>sures nécessaires pour protéger l’intégrité personnelle des travailleurs.</w:t>
      </w:r>
    </w:p>
    <w:p w:rsidR="00000000" w:rsidRDefault="00000000">
      <w:pPr>
        <w:spacing w:after="240"/>
      </w:pPr>
      <w:r>
        <w:t>320.</w:t>
      </w:r>
      <w:r>
        <w:tab/>
        <w:t>En vertu de l’article 328 CO</w:t>
      </w:r>
      <w:r>
        <w:rPr>
          <w:rStyle w:val="FootnoteReference"/>
          <w:bCs/>
        </w:rPr>
        <w:footnoteReference w:id="232"/>
      </w:r>
      <w:r>
        <w:t>, l’employeur est tenu de protéger et de respecter la pe</w:t>
      </w:r>
      <w:r>
        <w:t>r</w:t>
      </w:r>
      <w:r>
        <w:t>sonnalité du travailleur dans les rapports de travail. Cette disposition implique la prote</w:t>
      </w:r>
      <w:r>
        <w:t>c</w:t>
      </w:r>
      <w:r>
        <w:t xml:space="preserve">tion contre le harcèlement raciste et le </w:t>
      </w:r>
      <w:r>
        <w:rPr>
          <w:i/>
          <w:iCs/>
        </w:rPr>
        <w:t>mobbing</w:t>
      </w:r>
      <w:r>
        <w:t xml:space="preserve"> ainsi que le respect du principe de l’égalité de tra</w:t>
      </w:r>
      <w:r>
        <w:t>i</w:t>
      </w:r>
      <w:r>
        <w:t>tement.</w:t>
      </w:r>
    </w:p>
    <w:p w:rsidR="00000000" w:rsidRDefault="00000000">
      <w:pPr>
        <w:spacing w:after="240"/>
      </w:pPr>
      <w:r>
        <w:t>321.</w:t>
      </w:r>
      <w:r>
        <w:tab/>
        <w:t>Selon l’article 336 CO, sont abusifs les congés donnés pour une raison inhérente à la personnalité de l’autre partie − l’appartenance ethnique, par exemple −, à moins que cette ra</w:t>
      </w:r>
      <w:r>
        <w:t>i</w:t>
      </w:r>
      <w:r>
        <w:t>son n’ait un lien avec le rapport de travail ou ne porte sur un point essentiel un préjudice grave au travail dans l’entreprise. Pour le reste, nous renvoyons au commentaire actualisé qui se trouve dans les deuxième et troisième rapports périodiques (CERD/C/351/Add.2, par. 87).</w:t>
      </w:r>
    </w:p>
    <w:p w:rsidR="00000000" w:rsidRDefault="00000000">
      <w:pPr>
        <w:spacing w:after="240"/>
      </w:pPr>
      <w:r>
        <w:t>322.</w:t>
      </w:r>
      <w:r>
        <w:tab/>
        <w:t>Se fondant sur les dispositions mentionnées, les tribunaux des prud’hommes ont, dans deux affaires différentes, condamné</w:t>
      </w:r>
      <w:r>
        <w:rPr>
          <w:bCs/>
          <w:szCs w:val="22"/>
        </w:rPr>
        <w:t xml:space="preserve"> à la réparation du tort moral des employeurs qui avaient refusé d’engager des candidates suisses d’origine étrangère en raison de cette or</w:t>
      </w:r>
      <w:r>
        <w:rPr>
          <w:bCs/>
          <w:szCs w:val="22"/>
        </w:rPr>
        <w:t>i</w:t>
      </w:r>
      <w:r>
        <w:rPr>
          <w:bCs/>
          <w:szCs w:val="22"/>
        </w:rPr>
        <w:t>gine. Le tribunal zurichois a fondé son jugement sur l’article 28 CC et qualifié l’attitude de l’employeur d’atteinte grave à la personnalité de la personne lésée</w:t>
      </w:r>
      <w:r>
        <w:rPr>
          <w:rStyle w:val="FootnoteReference"/>
          <w:bCs/>
          <w:szCs w:val="22"/>
        </w:rPr>
        <w:footnoteReference w:id="233"/>
      </w:r>
      <w:r>
        <w:rPr>
          <w:bCs/>
          <w:szCs w:val="22"/>
        </w:rPr>
        <w:t>. Le tribunal lausannois, pour sa part, a considéré qu’il y avait violation de l’obligation de protéger la personnalité de l’employeur au sens de l’article 328 CO</w:t>
      </w:r>
      <w:r>
        <w:rPr>
          <w:rStyle w:val="FootnoteReference"/>
          <w:bCs/>
          <w:szCs w:val="22"/>
        </w:rPr>
        <w:footnoteReference w:id="234"/>
      </w:r>
      <w:r>
        <w:rPr>
          <w:bCs/>
          <w:szCs w:val="22"/>
        </w:rPr>
        <w:t>.</w:t>
      </w:r>
    </w:p>
    <w:p w:rsidR="00000000" w:rsidRDefault="00000000">
      <w:pPr>
        <w:spacing w:after="240"/>
      </w:pPr>
      <w:r>
        <w:t>323.</w:t>
      </w:r>
      <w:r>
        <w:tab/>
        <w:t>Les contrats collectifs de travail prévoyant expressément la non</w:t>
      </w:r>
      <w:r>
        <w:noBreakHyphen/>
        <w:t xml:space="preserve">discrimination des travailleurs migrants sont encore peu répandus en Suisse. Des principes relatifs à la </w:t>
      </w:r>
      <w:proofErr w:type="spellStart"/>
      <w:r>
        <w:t>non</w:t>
      </w:r>
      <w:r>
        <w:noBreakHyphen/>
        <w:t>discrimination</w:t>
      </w:r>
      <w:proofErr w:type="spellEnd"/>
      <w:r>
        <w:t xml:space="preserve"> se trouvent dans les contrats collectifs de travail de la Poste, de </w:t>
      </w:r>
      <w:proofErr w:type="spellStart"/>
      <w:r>
        <w:t>Swissco</w:t>
      </w:r>
      <w:r>
        <w:t>m</w:t>
      </w:r>
      <w:proofErr w:type="spellEnd"/>
      <w:r>
        <w:t xml:space="preserve"> et des Chemins de fer fédéraux (</w:t>
      </w:r>
      <w:proofErr w:type="spellStart"/>
      <w:r>
        <w:t>CFF</w:t>
      </w:r>
      <w:proofErr w:type="spellEnd"/>
      <w:r>
        <w:t>). Outre le sexe et l’état de santé, les caractéristiques én</w:t>
      </w:r>
      <w:r>
        <w:t>u</w:t>
      </w:r>
      <w:r>
        <w:t>mérées comme motifs de discrimination inadmissibles sont l’origine, la culture, la langue, la rel</w:t>
      </w:r>
      <w:r>
        <w:t>i</w:t>
      </w:r>
      <w:r>
        <w:t>gion ou la forme de vie. La Poste désigne même les domaines auxquels l’interdiction de toute discrimination s’applique et indique aussi des mesures de mise en œuvre</w:t>
      </w:r>
      <w:r>
        <w:rPr>
          <w:rStyle w:val="FootnoteReference"/>
          <w:bCs/>
        </w:rPr>
        <w:footnoteReference w:id="235"/>
      </w:r>
      <w:r>
        <w:t>.</w:t>
      </w:r>
    </w:p>
    <w:p w:rsidR="00000000" w:rsidRDefault="00000000">
      <w:pPr>
        <w:spacing w:after="200"/>
      </w:pPr>
      <w:r>
        <w:t>324.</w:t>
      </w:r>
      <w:r>
        <w:tab/>
        <w:t>Dans le cadre du crédit «Projets contre le racisme et en faveur des droits h</w:t>
      </w:r>
      <w:r>
        <w:t>u</w:t>
      </w:r>
      <w:r>
        <w:t>mains», le Service de lutte contre le racisme (SLR) a commandé une étude intitulée «Un monde du tr</w:t>
      </w:r>
      <w:r>
        <w:t>a</w:t>
      </w:r>
      <w:r>
        <w:t>vail sans discrimination»</w:t>
      </w:r>
      <w:r>
        <w:rPr>
          <w:rStyle w:val="FootnoteReference"/>
        </w:rPr>
        <w:footnoteReference w:id="236"/>
      </w:r>
      <w:r>
        <w:t>. Les auteurs de cette étude font un état des lieux des mesures de lutte contre la discrimination dans le domaine de l’emploi et proposent des manières de procéder concrètes. Cette étude a été présentée et discutée publiquement à l’occasion d’un séminaire auquel ont assisté d’éminents représentants des associations p</w:t>
      </w:r>
      <w:r>
        <w:t>a</w:t>
      </w:r>
      <w:r>
        <w:t>tronales et des syndicats ainsi que du SECO et de l’OFFT.</w:t>
      </w:r>
    </w:p>
    <w:p w:rsidR="00000000" w:rsidRDefault="00000000">
      <w:pPr>
        <w:spacing w:after="200"/>
      </w:pPr>
      <w:r>
        <w:t>325.</w:t>
      </w:r>
      <w:r>
        <w:tab/>
        <w:t>Se fondant sur une étude réalisée sur ce thème, la Commission fédérale des étra</w:t>
      </w:r>
      <w:r>
        <w:t>n</w:t>
      </w:r>
      <w:r>
        <w:t>gers (CFE) a, en novembre 2003, émis des recommandations destinées à améliorer l’intégration des migrants sur le marché du travail. Du point de vue de la CFE, il appartient à tous les acteurs concernés de s’engager pour améliorer la situation des immigrés au bénéfice d’une autorisation sur le marché du travail suisse. Tant les institutions étatiques que les pa</w:t>
      </w:r>
      <w:r>
        <w:t>r</w:t>
      </w:r>
      <w:r>
        <w:t>tenaires sociaux et, en fin de compte, les entreprises privées sont appelées à apporter leur contribution en la matière. Selon la CFE, les principes applicables sont l’égalité de traitement entre la main</w:t>
      </w:r>
      <w:r>
        <w:noBreakHyphen/>
        <w:t>d’œuvre suisse et étrangère ainsi que l’égalité des chances et la non</w:t>
      </w:r>
      <w:r>
        <w:noBreakHyphen/>
        <w:t>discrimination dans la formation et dans la vie professionnelle. Partant de ces principes qui, d’après elle, conditionnent l’amélioration de la situation des travailleurs étrangers, la Commi</w:t>
      </w:r>
      <w:r>
        <w:t>s</w:t>
      </w:r>
      <w:r>
        <w:t>sion fédérale des étrangers a formulé concrètement les recommandations suivantes: favor</w:t>
      </w:r>
      <w:r>
        <w:t>i</w:t>
      </w:r>
      <w:r>
        <w:t>ser l’accès des jeunes au monde du travail, encourager les qualifications individuelles pour faciliter la recherche d’un emploi et encourager l’intégration dans l’entreprise</w:t>
      </w:r>
      <w:r>
        <w:rPr>
          <w:rStyle w:val="FootnoteReference"/>
          <w:bCs/>
        </w:rPr>
        <w:footnoteReference w:id="237"/>
      </w:r>
      <w:r>
        <w:t>.</w:t>
      </w:r>
    </w:p>
    <w:p w:rsidR="00000000" w:rsidRDefault="00000000">
      <w:pPr>
        <w:keepNext/>
        <w:spacing w:after="200"/>
        <w:jc w:val="center"/>
        <w:rPr>
          <w:b/>
          <w:bCs/>
          <w:szCs w:val="24"/>
        </w:rPr>
      </w:pPr>
      <w:bookmarkStart w:id="234" w:name="_Toc135035022"/>
      <w:bookmarkStart w:id="235" w:name="_Toc163552296"/>
      <w:r>
        <w:rPr>
          <w:b/>
          <w:bCs/>
          <w:szCs w:val="24"/>
        </w:rPr>
        <w:t>3.  Logement</w:t>
      </w:r>
      <w:bookmarkEnd w:id="234"/>
      <w:bookmarkEnd w:id="235"/>
    </w:p>
    <w:p w:rsidR="00000000" w:rsidRDefault="00000000">
      <w:pPr>
        <w:spacing w:after="200"/>
      </w:pPr>
      <w:r>
        <w:t>326.</w:t>
      </w:r>
      <w:r>
        <w:tab/>
        <w:t>Actuellement, la demande sur le marché du logement dépasse l’offre</w:t>
      </w:r>
      <w:r>
        <w:rPr>
          <w:rStyle w:val="FootnoteReference"/>
          <w:bCs/>
        </w:rPr>
        <w:footnoteReference w:id="238"/>
      </w:r>
      <w:r>
        <w:t>. Cette situ</w:t>
      </w:r>
      <w:r>
        <w:t>a</w:t>
      </w:r>
      <w:r>
        <w:t>tion permet aux loueurs de choisir parmi un grand nombre de bailleurs potentiels, ce qui peut jouer en défaveur des étrangers à la recherche d’un logement. Il y a par exemple eu le cas de ce propriétaire qui a expressément précisé dans son annonce que «pour des raisons démo</w:t>
      </w:r>
      <w:r>
        <w:t>s</w:t>
      </w:r>
      <w:r>
        <w:t>copiques» il souhaitait que son futur locataire ait le passeport suisse</w:t>
      </w:r>
      <w:r>
        <w:rPr>
          <w:rStyle w:val="FootnoteReference"/>
          <w:bCs/>
        </w:rPr>
        <w:footnoteReference w:id="239"/>
      </w:r>
      <w:r>
        <w:t>. Divers projets ont été lancés dans l’espoir d’obtenir une amélioration de la situation. En voici deux exe</w:t>
      </w:r>
      <w:r>
        <w:t>m</w:t>
      </w:r>
      <w:r>
        <w:t>ples:</w:t>
      </w:r>
    </w:p>
    <w:p w:rsidR="00000000" w:rsidRDefault="00000000">
      <w:pPr>
        <w:numPr>
          <w:ilvl w:val="0"/>
          <w:numId w:val="99"/>
        </w:numPr>
        <w:spacing w:after="200"/>
      </w:pPr>
      <w:r>
        <w:t>Cela fait un certain temps déjà que la ville de Berne propose aux gérants d’immeubles privés une table ronde à ce sujet et qu’elle organise des cours destinés aux concierges et aux collaborateurs des agences immobilières qui ont pour but de les aider à gérer les conflits interculturels à connotation raciste dans leurs immeubles</w:t>
      </w:r>
      <w:r>
        <w:rPr>
          <w:rStyle w:val="FootnoteReference"/>
        </w:rPr>
        <w:footnoteReference w:id="240"/>
      </w:r>
      <w:r>
        <w:t xml:space="preserve">. </w:t>
      </w:r>
    </w:p>
    <w:p w:rsidR="00000000" w:rsidRDefault="00000000">
      <w:pPr>
        <w:numPr>
          <w:ilvl w:val="0"/>
          <w:numId w:val="99"/>
        </w:numPr>
        <w:spacing w:after="200"/>
      </w:pPr>
      <w:r>
        <w:t>Dans le canton de Zurich, les collaborateurs des gérances immobilières ayant une fon</w:t>
      </w:r>
      <w:r>
        <w:t>c</w:t>
      </w:r>
      <w:r>
        <w:t>tion clef sont sensibilisés à ces problèmes. D’autres projets sont en outre prévus pour améliorer la qualité de vie et augmenter le taux de satisfaction des locataires dans les quartiers où la cohabitation pose problème</w:t>
      </w:r>
      <w:r>
        <w:rPr>
          <w:rStyle w:val="FootnoteReference"/>
        </w:rPr>
        <w:footnoteReference w:id="241"/>
      </w:r>
      <w:r>
        <w:t>.</w:t>
      </w:r>
    </w:p>
    <w:p w:rsidR="00000000" w:rsidRDefault="00000000">
      <w:pPr>
        <w:spacing w:after="200"/>
      </w:pPr>
      <w:r>
        <w:t>327.</w:t>
      </w:r>
      <w:r>
        <w:tab/>
        <w:t>D’autres projets lancés au niveau national sont mentionnés aux paragraphes 181 à 183 ci</w:t>
      </w:r>
      <w:r>
        <w:noBreakHyphen/>
        <w:t>dessus.</w:t>
      </w:r>
    </w:p>
    <w:p w:rsidR="00000000" w:rsidRDefault="00000000">
      <w:pPr>
        <w:spacing w:after="200"/>
      </w:pPr>
      <w:r>
        <w:t>328.</w:t>
      </w:r>
      <w:r>
        <w:tab/>
        <w:t>Les remarques générales relatives à la conception et aux limites de l’autonomie indiv</w:t>
      </w:r>
      <w:r>
        <w:t>i</w:t>
      </w:r>
      <w:r>
        <w:t>duelle figurant dans les paragraphes 311 à 316 ci</w:t>
      </w:r>
      <w:r>
        <w:noBreakHyphen/>
        <w:t>dessus valent aussi pour le droit de bail. Les perso</w:t>
      </w:r>
      <w:r>
        <w:t>n</w:t>
      </w:r>
      <w:r>
        <w:t>nes qui voient leur contrat de bail résilié pour des motifs racistes ont la possibilité d’invoquer une violation des dispositions de prote</w:t>
      </w:r>
      <w:r>
        <w:t>c</w:t>
      </w:r>
      <w:r>
        <w:t>tion de la personnalité (art. 28 CCS) ou du principe de la bonne foi (art. 2 CCS) pour se d</w:t>
      </w:r>
      <w:r>
        <w:t>é</w:t>
      </w:r>
      <w:r>
        <w:t>fendre.</w:t>
      </w:r>
    </w:p>
    <w:p w:rsidR="00000000" w:rsidRDefault="00000000">
      <w:pPr>
        <w:spacing w:after="200"/>
      </w:pPr>
      <w:r>
        <w:t>329.</w:t>
      </w:r>
      <w:r>
        <w:tab/>
        <w:t>La liberté contractuelle n’autorise pas les loueurs à refuser un locataire adéquat, pr</w:t>
      </w:r>
      <w:r>
        <w:t>o</w:t>
      </w:r>
      <w:r>
        <w:t>posé par leur locataire ayant résilié le contrat avant terme, en raison de craintes i</w:t>
      </w:r>
      <w:r>
        <w:t>n</w:t>
      </w:r>
      <w:r>
        <w:t>fondées, d’une antipathie ou d’une attitude fondamentalement hostile à une certaine catégorie de pe</w:t>
      </w:r>
      <w:r>
        <w:t>r</w:t>
      </w:r>
      <w:r>
        <w:t>sonnes. Le Tribunal fédéral a considéré que les requérants d’asile étaient des candidats a</w:t>
      </w:r>
      <w:r>
        <w:t>c</w:t>
      </w:r>
      <w:r>
        <w:t>ceptables pour les loueurs et que ceux</w:t>
      </w:r>
      <w:r>
        <w:noBreakHyphen/>
        <w:t>ci n’avaient pas le droit de les refuser un</w:t>
      </w:r>
      <w:r>
        <w:t>i</w:t>
      </w:r>
      <w:r>
        <w:t>quement en raison de leur statut juridique</w:t>
      </w:r>
      <w:r>
        <w:rPr>
          <w:rStyle w:val="FootnoteReference"/>
          <w:bCs/>
        </w:rPr>
        <w:footnoteReference w:id="242"/>
      </w:r>
      <w:r>
        <w:t>.</w:t>
      </w:r>
    </w:p>
    <w:p w:rsidR="00000000" w:rsidRDefault="00000000">
      <w:pPr>
        <w:keepNext/>
        <w:spacing w:after="200"/>
        <w:jc w:val="center"/>
        <w:rPr>
          <w:b/>
          <w:bCs/>
        </w:rPr>
      </w:pPr>
      <w:bookmarkStart w:id="236" w:name="_Toc135035023"/>
      <w:bookmarkStart w:id="237" w:name="_Toc163552297"/>
      <w:r>
        <w:rPr>
          <w:b/>
          <w:bCs/>
        </w:rPr>
        <w:t xml:space="preserve">4. </w:t>
      </w:r>
      <w:bookmarkEnd w:id="236"/>
      <w:r>
        <w:rPr>
          <w:b/>
          <w:bCs/>
        </w:rPr>
        <w:t xml:space="preserve"> Éducation</w:t>
      </w:r>
      <w:bookmarkEnd w:id="237"/>
    </w:p>
    <w:p w:rsidR="00000000" w:rsidRDefault="00000000">
      <w:pPr>
        <w:spacing w:after="200"/>
      </w:pPr>
      <w:r>
        <w:t>330.</w:t>
      </w:r>
      <w:r>
        <w:tab/>
        <w:t>L’éducation relève essentiellement de l’autonomie des cantons durant la p</w:t>
      </w:r>
      <w:r>
        <w:t>é</w:t>
      </w:r>
      <w:r>
        <w:t>riode de la scolarité obligatoire. L’enseignement élémentaire (niveaux primaire et secondaire I) est obl</w:t>
      </w:r>
      <w:r>
        <w:t>i</w:t>
      </w:r>
      <w:r>
        <w:t>gatoire et doit être gratuit pour tous les enfants inscrits à l’école publique. Les p</w:t>
      </w:r>
      <w:r>
        <w:t>a</w:t>
      </w:r>
      <w:r>
        <w:t>rents ont cependant la possibilité d’envoyer leur enfant dans une école privée</w:t>
      </w:r>
      <w:r>
        <w:rPr>
          <w:rStyle w:val="FootnoteReference"/>
          <w:bCs/>
        </w:rPr>
        <w:footnoteReference w:id="243"/>
      </w:r>
      <w:r>
        <w:t>. Les écoles privées définissent elles</w:t>
      </w:r>
      <w:r>
        <w:noBreakHyphen/>
        <w:t>mêmes les critères d’admission, conformément au principe de l’autonomie individuelle.</w:t>
      </w:r>
    </w:p>
    <w:p w:rsidR="00000000" w:rsidRDefault="00000000">
      <w:pPr>
        <w:spacing w:after="200"/>
      </w:pPr>
      <w:r>
        <w:t>331.</w:t>
      </w:r>
      <w:r>
        <w:tab/>
        <w:t>Au terme de leur scolarité obligatoire, 90 % des jeunes poursuivent leur form</w:t>
      </w:r>
      <w:r>
        <w:t>a</w:t>
      </w:r>
      <w:r>
        <w:t>tion. À ce niveau, qualifié de secondaire II, les jeunes ont le choix entre deux orient</w:t>
      </w:r>
      <w:r>
        <w:t>a</w:t>
      </w:r>
      <w:r>
        <w:t>tions: la filière de formation générale (gymnases et écoles de degré diplôme)</w:t>
      </w:r>
      <w:r>
        <w:rPr>
          <w:rStyle w:val="FootnoteReference"/>
          <w:bCs/>
        </w:rPr>
        <w:footnoteReference w:id="244"/>
      </w:r>
      <w:r>
        <w:t xml:space="preserve"> ou l’entrée en form</w:t>
      </w:r>
      <w:r>
        <w:t>a</w:t>
      </w:r>
      <w:r>
        <w:t>tion professionnelle. Relèvent du niveau tertiaire B les écoles supérieures spécialisées, les examens professionnels et les examens professionnels supérieurs. Ce secteur est régi par la loi sur la formation professionnelle. Le niveau tertiaire A, comprenant les universités, les éc</w:t>
      </w:r>
      <w:r>
        <w:t>o</w:t>
      </w:r>
      <w:r>
        <w:t>les polytechniques et les hautes écoles spécialisées, relève en majorité du secteur public et se trouve donc assujetti au droit public</w:t>
      </w:r>
      <w:r>
        <w:rPr>
          <w:rStyle w:val="FootnoteReference"/>
        </w:rPr>
        <w:footnoteReference w:id="245"/>
      </w:r>
      <w:r>
        <w:t>. En Suisse, la formation professionnelle r</w:t>
      </w:r>
      <w:r>
        <w:t>e</w:t>
      </w:r>
      <w:r>
        <w:t>vêt une grande importance puisque deux tiers des jeunes terminent ce type de formation. Dans le sillage des évolutions économiques et sociales observées en Suisse, le marché de la form</w:t>
      </w:r>
      <w:r>
        <w:t>a</w:t>
      </w:r>
      <w:r>
        <w:t>tion professionnelle est soumis à des tensions croissantes. Ce sont notamment les je</w:t>
      </w:r>
      <w:r>
        <w:t>u</w:t>
      </w:r>
      <w:r>
        <w:t>nes confrontés à des difficultés scolaires et ceux qui sont issus de la dernière vague de migratio</w:t>
      </w:r>
      <w:r>
        <w:t>n</w:t>
      </w:r>
      <w:r>
        <w:t xml:space="preserve"> qui ont le plus de peine à trouver une place de formation</w:t>
      </w:r>
      <w:r>
        <w:rPr>
          <w:rStyle w:val="FootnoteReference"/>
          <w:bCs/>
        </w:rPr>
        <w:footnoteReference w:id="246"/>
      </w:r>
      <w:r>
        <w:t>. Les plus touchés sont les jeunes originaires des États de l’ex</w:t>
      </w:r>
      <w:r>
        <w:noBreakHyphen/>
        <w:t>Yougoslavie. Dans les familles immigrées, la reche</w:t>
      </w:r>
      <w:r>
        <w:t>r</w:t>
      </w:r>
      <w:r>
        <w:t>che d’une place de formation est souvent d’autant plus difficile que ses membres maîtrisent mal la la</w:t>
      </w:r>
      <w:r>
        <w:t>n</w:t>
      </w:r>
      <w:r>
        <w:t>gue du pays</w:t>
      </w:r>
      <w:r>
        <w:rPr>
          <w:rStyle w:val="FootnoteReference"/>
          <w:bCs/>
        </w:rPr>
        <w:footnoteReference w:id="247"/>
      </w:r>
      <w:r>
        <w:t>.</w:t>
      </w:r>
    </w:p>
    <w:p w:rsidR="00000000" w:rsidRDefault="00000000">
      <w:pPr>
        <w:spacing w:after="200"/>
      </w:pPr>
      <w:r>
        <w:t>332.</w:t>
      </w:r>
      <w:r>
        <w:tab/>
        <w:t>S’inspirant d’une méthode d’analyse appliquée par l’</w:t>
      </w:r>
      <w:proofErr w:type="spellStart"/>
      <w:r>
        <w:t>Organisation</w:t>
      </w:r>
      <w:proofErr w:type="spellEnd"/>
      <w:r>
        <w:t xml:space="preserve"> internationale du Travail (OIT), des chercheurs suisses ont mesuré le degré de discrimination auquel sont e</w:t>
      </w:r>
      <w:r>
        <w:t>x</w:t>
      </w:r>
      <w:r>
        <w:t>posés les jeunes étrangers à la recherche de leur premier emploi</w:t>
      </w:r>
      <w:r>
        <w:rPr>
          <w:rStyle w:val="FootnoteReference"/>
          <w:bCs/>
        </w:rPr>
        <w:footnoteReference w:id="248"/>
      </w:r>
      <w:r>
        <w:t>.</w:t>
      </w:r>
      <w:r>
        <w:rPr>
          <w:iCs/>
        </w:rPr>
        <w:t xml:space="preserve"> </w:t>
      </w:r>
      <w:r>
        <w:t>À qualifications ég</w:t>
      </w:r>
      <w:r>
        <w:t>a</w:t>
      </w:r>
      <w:r>
        <w:t>les, les jeunes migrants ayant pourtant suivi leur scolarité en Suisse avaient nettement moins de chances de trouver un emploi que la moyenne si leurs parents étaient originaires d’un État non membre de l’Union européenne.</w:t>
      </w:r>
    </w:p>
    <w:p w:rsidR="00000000" w:rsidRDefault="00000000">
      <w:pPr>
        <w:spacing w:after="200"/>
      </w:pPr>
      <w:r>
        <w:t>333.</w:t>
      </w:r>
      <w:r>
        <w:tab/>
        <w:t>La Confédération est consciente de ces difficultés et a donc pris des mesures visant à augmenter les chances des jeunes à la recherche d’une place de formation.</w:t>
      </w:r>
    </w:p>
    <w:p w:rsidR="00000000" w:rsidRDefault="00000000">
      <w:pPr>
        <w:spacing w:after="200"/>
      </w:pPr>
      <w:r>
        <w:t>334.</w:t>
      </w:r>
      <w:r>
        <w:tab/>
        <w:t>Des collaborateurs spécialisés attirent l’attention des jeunes sans place d’apprentissage sur des places vacantes, les conseillent et transmettent leur dossier à des entreprises. Les migrants sont encadrés par des personnes de leur propre culture.</w:t>
      </w:r>
    </w:p>
    <w:p w:rsidR="00000000" w:rsidRDefault="00000000">
      <w:pPr>
        <w:spacing w:after="200"/>
      </w:pPr>
      <w:r>
        <w:t>335.</w:t>
      </w:r>
      <w:r>
        <w:tab/>
        <w:t>Depuis quelques années, on est de plus en plus souvent confronté à l’arrivée de je</w:t>
      </w:r>
      <w:r>
        <w:t>u</w:t>
      </w:r>
      <w:r>
        <w:t>nes migrants de plus de 16 ans, qui sont donc trop âgés pour être scolarisés dans une école relevant de la scolarité obligatoire. L’Office fédéral de la formation professionnelle et de la technologie (OFFT) recommande</w:t>
      </w:r>
      <w:r>
        <w:rPr>
          <w:rStyle w:val="FootnoteReference"/>
          <w:bCs/>
        </w:rPr>
        <w:footnoteReference w:id="249"/>
      </w:r>
      <w:r>
        <w:t xml:space="preserve"> de créer à l’intention de ces jeunes âgés de 15 à 21 ans des filières de transition destinées à les aider dans les domaines dans le</w:t>
      </w:r>
      <w:r>
        <w:t>s</w:t>
      </w:r>
      <w:r>
        <w:t>quels ils ont encore des lacunes afin de pouvoir, en fin de compte, les intégrer dans des cycles de form</w:t>
      </w:r>
      <w:r>
        <w:t>a</w:t>
      </w:r>
      <w:r>
        <w:t>tion professionnelle ordinaires. Il souhaite en outre que les entreprises formant des apprentis et les écoles professionnelles fassent preuve de plus de sensibilité et de compréhension pour la situation de ces jeunes. La Confédération soutient financièrement les efforts que les ca</w:t>
      </w:r>
      <w:r>
        <w:t>n</w:t>
      </w:r>
      <w:r>
        <w:t>tons fournissent dans ce domaine, à condition que les recommandations de l’</w:t>
      </w:r>
      <w:proofErr w:type="spellStart"/>
      <w:r>
        <w:t>OFFT</w:t>
      </w:r>
      <w:proofErr w:type="spellEnd"/>
      <w:r>
        <w:t xml:space="preserve"> soient respectées. Une enquête de la CDIP auprès des cantons a révélé que ces reco</w:t>
      </w:r>
      <w:r>
        <w:t>m</w:t>
      </w:r>
      <w:r>
        <w:t>mandations étaient suivies presque partout.</w:t>
      </w:r>
    </w:p>
    <w:p w:rsidR="00000000" w:rsidRDefault="00000000">
      <w:pPr>
        <w:spacing w:after="200"/>
      </w:pPr>
      <w:r>
        <w:t>336.</w:t>
      </w:r>
      <w:r>
        <w:tab/>
        <w:t>La deuxième ordonnance sur les places d’apprentissage</w:t>
      </w:r>
      <w:r>
        <w:rPr>
          <w:rStyle w:val="FootnoteReference"/>
          <w:bCs/>
        </w:rPr>
        <w:footnoteReference w:id="250"/>
      </w:r>
      <w:r>
        <w:t xml:space="preserve"> a été conçue sous la forme d’un programme d’action représentant un investissement dans des projets d’avenir du niveau s</w:t>
      </w:r>
      <w:r>
        <w:t>e</w:t>
      </w:r>
      <w:r>
        <w:t>condaire II lancés par des cantons, des associations professionnelles, des instit</w:t>
      </w:r>
      <w:r>
        <w:t>u</w:t>
      </w:r>
      <w:r>
        <w:t>tions ou la Confédération. Ce programme d’action a duré de 2000 à 2004 et a permis de so</w:t>
      </w:r>
      <w:r>
        <w:t>u</w:t>
      </w:r>
      <w:r>
        <w:t>tenir des projets novateurs à raison de 100 millions de francs. Son objectif déclaré était, entre autres, de pallier les problèmes structurels existant sur le marché des places d’apprentissage, d’accroître l’offre de places de formation et d’encourager l’égalité de traitement entre hommes et femmes. Le programme d’action a été remplacé par la nouvelle loi sur la formation profe</w:t>
      </w:r>
      <w:r>
        <w:t>s</w:t>
      </w:r>
      <w:r>
        <w:t>sionnelle (LFPr)</w:t>
      </w:r>
      <w:r>
        <w:rPr>
          <w:rStyle w:val="FootnoteReference"/>
          <w:bCs/>
        </w:rPr>
        <w:footnoteReference w:id="251"/>
      </w:r>
      <w:r>
        <w:t>, entrée en vigueur le 1</w:t>
      </w:r>
      <w:r>
        <w:rPr>
          <w:vertAlign w:val="superscript"/>
        </w:rPr>
        <w:t>er</w:t>
      </w:r>
      <w:r>
        <w:t xml:space="preserve"> janvier 2004. Cette nouvelle loi tient compte des changements qui sont venus bouleverser le monde de la formation professionnelle et du tr</w:t>
      </w:r>
      <w:r>
        <w:t>a</w:t>
      </w:r>
      <w:r>
        <w:t>vail et a été adaptée aux besoins d’aujourd’hui. Une des tâches fondamentales de l’éducation et de la formation est d’assurer l’intégration dans l’économie et la société des jeunes et des adultes ayant des lacunes dans leur formation. Il importe de répondre aux exigences de plus en plus élevées par une extension de l’offre destinée aux élèves doués et aux élèves ayant des difficultés d’apprentissage. Il est ainsi prévu de créer des filières d’orientation pratique dotées d’un profil de qualification propre à l’intention des élèves fa</w:t>
      </w:r>
      <w:r>
        <w:t>i</w:t>
      </w:r>
      <w:r>
        <w:t>bles.</w:t>
      </w:r>
    </w:p>
    <w:p w:rsidR="00000000" w:rsidRDefault="00000000">
      <w:pPr>
        <w:keepNext/>
        <w:spacing w:after="200"/>
        <w:jc w:val="center"/>
        <w:rPr>
          <w:b/>
          <w:bCs/>
          <w:szCs w:val="24"/>
        </w:rPr>
      </w:pPr>
      <w:bookmarkStart w:id="238" w:name="_Toc135035024"/>
      <w:bookmarkStart w:id="239" w:name="_Toc163552298"/>
      <w:r>
        <w:rPr>
          <w:b/>
          <w:bCs/>
          <w:szCs w:val="24"/>
        </w:rPr>
        <w:t>5.  Santé publique</w:t>
      </w:r>
      <w:bookmarkEnd w:id="238"/>
      <w:bookmarkEnd w:id="239"/>
    </w:p>
    <w:p w:rsidR="00000000" w:rsidRDefault="00000000">
      <w:pPr>
        <w:spacing w:after="200"/>
      </w:pPr>
      <w:r>
        <w:t>337.</w:t>
      </w:r>
      <w:r>
        <w:tab/>
        <w:t>Les immigrés appartiennent pour la plupart aux couches sociales et aux cat</w:t>
      </w:r>
      <w:r>
        <w:t>é</w:t>
      </w:r>
      <w:r>
        <w:t>gories professionnelles défavorisées, ce qui a une influence négative sur leur santé. La pr</w:t>
      </w:r>
      <w:r>
        <w:t>é</w:t>
      </w:r>
      <w:r>
        <w:t>carité de leur situation, surtout s’ils séjournent en Suisse illégalement, fait peser un risque accru sur l’état de santé de ces personnes. Sans compter que les problèmes de langue ainsi que les handicaps structurels et sociaux comme l’exclusion et la discrimination sont pour les migrants autant d’obstacles supplémentaires qu’ils doivent surmonter pour accéder aux pre</w:t>
      </w:r>
      <w:r>
        <w:t>s</w:t>
      </w:r>
      <w:r>
        <w:t>tations dans le domaine de la santé. Les recherches et l’expérience pratique de ces dernières a</w:t>
      </w:r>
      <w:r>
        <w:t>n</w:t>
      </w:r>
      <w:r>
        <w:t>nées ont prouvé que l’accès au système de santé est plus difficile pour la population étra</w:t>
      </w:r>
      <w:r>
        <w:t>n</w:t>
      </w:r>
      <w:r>
        <w:t>gère, qui représente à peu près 21 % de la population résidante, que pour la population l</w:t>
      </w:r>
      <w:r>
        <w:t>o</w:t>
      </w:r>
      <w:r>
        <w:t>cale.</w:t>
      </w:r>
    </w:p>
    <w:p w:rsidR="00000000" w:rsidRDefault="00000000">
      <w:pPr>
        <w:spacing w:after="200"/>
      </w:pPr>
      <w:r>
        <w:t>338.</w:t>
      </w:r>
      <w:r>
        <w:tab/>
        <w:t>Consciente de ce problème, la Confédération a mis au point la stratégie «M</w:t>
      </w:r>
      <w:r>
        <w:t>i</w:t>
      </w:r>
      <w:r>
        <w:t>gration et santé 2002 à 2007»</w:t>
      </w:r>
      <w:r>
        <w:rPr>
          <w:rStyle w:val="FootnoteReference"/>
          <w:bCs/>
        </w:rPr>
        <w:footnoteReference w:id="252"/>
      </w:r>
      <w:r>
        <w:t>, fondée sur les résultats d’une enquête de grande envergure menée dans le domaine de la migration. Le Conseil fédéral a adopté ces orientations strat</w:t>
      </w:r>
      <w:r>
        <w:t>é</w:t>
      </w:r>
      <w:r>
        <w:t>giques de la Confédération pour le secteur de la santé et des migrations en été 2002. Son objectif à long terme est d’instaurer un système de santé capable d’entrer en matière sur les besoins d’une société modifiée par les migrations aux fins de faciliter l’accès au domaine de la santé. Déterminé à éliminer les obstacles qui empêchent certains groupes de bénéficier des prest</w:t>
      </w:r>
      <w:r>
        <w:t>a</w:t>
      </w:r>
      <w:r>
        <w:t>tions de santé, on se propose de créer des services de coordination des offres de santé et de me</w:t>
      </w:r>
      <w:r>
        <w:t>t</w:t>
      </w:r>
      <w:r>
        <w:t xml:space="preserve">tre à la disposition des migrants des prestations spécifiques, des interprètes ainsi que des médiateurs interculturels. </w:t>
      </w:r>
    </w:p>
    <w:p w:rsidR="00000000" w:rsidRDefault="00000000">
      <w:pPr>
        <w:keepNext/>
        <w:spacing w:after="240"/>
      </w:pPr>
      <w:r>
        <w:t>339.</w:t>
      </w:r>
      <w:r>
        <w:tab/>
        <w:t>Les cinq domaines d’intervention de la stratégie «Migration et santé</w:t>
      </w:r>
      <w:r>
        <w:rPr>
          <w:iCs/>
        </w:rPr>
        <w:t xml:space="preserve"> </w:t>
      </w:r>
      <w:r>
        <w:t>2002 à 2007» sont:</w:t>
      </w:r>
    </w:p>
    <w:p w:rsidR="00000000" w:rsidRDefault="00000000">
      <w:pPr>
        <w:numPr>
          <w:ilvl w:val="0"/>
          <w:numId w:val="100"/>
        </w:numPr>
        <w:spacing w:after="240"/>
      </w:pPr>
      <w:r>
        <w:t>La formation (formation et formation continue);</w:t>
      </w:r>
    </w:p>
    <w:p w:rsidR="00000000" w:rsidRDefault="00000000">
      <w:pPr>
        <w:numPr>
          <w:ilvl w:val="0"/>
          <w:numId w:val="100"/>
        </w:numPr>
        <w:spacing w:after="240"/>
      </w:pPr>
      <w:r>
        <w:t>L’information</w:t>
      </w:r>
      <w:r>
        <w:rPr>
          <w:rStyle w:val="FootnoteReference"/>
        </w:rPr>
        <w:footnoteReference w:id="253"/>
      </w:r>
      <w:r>
        <w:t>, la prévention et la promotion de la santé;</w:t>
      </w:r>
    </w:p>
    <w:p w:rsidR="00000000" w:rsidRDefault="00000000">
      <w:pPr>
        <w:numPr>
          <w:ilvl w:val="0"/>
          <w:numId w:val="100"/>
        </w:numPr>
        <w:spacing w:after="240"/>
      </w:pPr>
      <w:r>
        <w:t>Les soins de santé;</w:t>
      </w:r>
    </w:p>
    <w:p w:rsidR="00000000" w:rsidRDefault="00000000">
      <w:pPr>
        <w:numPr>
          <w:ilvl w:val="0"/>
          <w:numId w:val="100"/>
        </w:numPr>
        <w:spacing w:after="240"/>
      </w:pPr>
      <w:r>
        <w:t>Les prestations thérapeutiques pour requérants d’asile et réfugiés traumatisés; et</w:t>
      </w:r>
    </w:p>
    <w:p w:rsidR="00000000" w:rsidRDefault="00000000">
      <w:pPr>
        <w:numPr>
          <w:ilvl w:val="0"/>
          <w:numId w:val="100"/>
        </w:numPr>
        <w:spacing w:after="240"/>
      </w:pPr>
      <w:r>
        <w:t>La recherche (bases, évaluation et monitoring).</w:t>
      </w:r>
    </w:p>
    <w:p w:rsidR="00000000" w:rsidRDefault="00000000">
      <w:pPr>
        <w:spacing w:after="240"/>
      </w:pPr>
      <w:r>
        <w:t>340.</w:t>
      </w:r>
      <w:r>
        <w:tab/>
        <w:t>Le domaine de la migration ne se limite pas à la population résidente autorisée à s</w:t>
      </w:r>
      <w:r>
        <w:t>é</w:t>
      </w:r>
      <w:r>
        <w:t>journer en Suisse de façon durable: les requérants d’asile et les étrangers en situation irrég</w:t>
      </w:r>
      <w:r>
        <w:t>u</w:t>
      </w:r>
      <w:r>
        <w:t>lière représentent un véritable défi du point de vue des secteurs préventif et curatif de la sa</w:t>
      </w:r>
      <w:r>
        <w:t>n</w:t>
      </w:r>
      <w:r>
        <w:t xml:space="preserve">té publique (voir </w:t>
      </w:r>
      <w:r>
        <w:rPr>
          <w:i/>
          <w:iCs/>
        </w:rPr>
        <w:t>infra</w:t>
      </w:r>
      <w:r>
        <w:t>, par. 184 à 186). La Confédération est chargée d’une manière générale de veiller sur la sa</w:t>
      </w:r>
      <w:r>
        <w:t>n</w:t>
      </w:r>
      <w:r>
        <w:t>té de la population vivant sur le territoire suisse, soit non seulement les ressortissants sui</w:t>
      </w:r>
      <w:r>
        <w:t>s</w:t>
      </w:r>
      <w:r>
        <w:t>ses mais aussi les personnes de nationalité étrangère. Le mandat de la Confédération en ce qui concerne la santé de la population immigrée repose sur l’objectif général d’un sy</w:t>
      </w:r>
      <w:r>
        <w:t>s</w:t>
      </w:r>
      <w:r>
        <w:t>tème de santé de conception globale. Comme la stratégie présentée ci</w:t>
      </w:r>
      <w:r>
        <w:noBreakHyphen/>
        <w:t>avant, celui</w:t>
      </w:r>
      <w:r>
        <w:noBreakHyphen/>
        <w:t>ci est fondé sur les trois piliers suivants: égalité des chances, adéquation des prestations et re</w:t>
      </w:r>
      <w:r>
        <w:t>s</w:t>
      </w:r>
      <w:r>
        <w:t>ponsabilité individuelle.</w:t>
      </w:r>
    </w:p>
    <w:p w:rsidR="00000000" w:rsidRDefault="00000000">
      <w:pPr>
        <w:spacing w:after="240"/>
      </w:pPr>
      <w:r>
        <w:t>341.</w:t>
      </w:r>
      <w:r>
        <w:tab/>
        <w:t>On peut affirmer en résumé que l’on aspire à une ouverture du système de santé suisse pour tenir compte des besoins apparus dans le sillage de l’immigration aux fins de répondre aux problèmes spécifiques à ces groupes de personnes, défavorisées sur les plans économique et social.</w:t>
      </w:r>
      <w:r>
        <w:rPr>
          <w:iCs/>
        </w:rPr>
        <w:t xml:space="preserve"> </w:t>
      </w:r>
      <w:r>
        <w:t>Ce ne sont pas essentiellement les différences culturelles qui appe</w:t>
      </w:r>
      <w:r>
        <w:t>l</w:t>
      </w:r>
      <w:r>
        <w:t>lent des mesures spéciales dans le domaine migration et santé, mais des problèmes de communication et des lacunes dues à la position sociale. L’ouverture du système de santé à laquelle on aspire et la sensibilisation visée pourront d’ailleurs aussi profiter à certains gro</w:t>
      </w:r>
      <w:r>
        <w:t>u</w:t>
      </w:r>
      <w:r>
        <w:t>pes indigènes marginalisés, qui sont souvent confrontés à des problèmes similaires à ceux des immigrés</w:t>
      </w:r>
      <w:r>
        <w:rPr>
          <w:rStyle w:val="FootnoteReference"/>
          <w:bCs/>
        </w:rPr>
        <w:footnoteReference w:id="254"/>
      </w:r>
      <w:r>
        <w:t>.</w:t>
      </w:r>
    </w:p>
    <w:p w:rsidR="00000000" w:rsidRDefault="00000000">
      <w:pPr>
        <w:keepNext/>
        <w:spacing w:after="240"/>
        <w:jc w:val="center"/>
        <w:rPr>
          <w:b/>
          <w:bCs/>
          <w:szCs w:val="24"/>
        </w:rPr>
      </w:pPr>
      <w:bookmarkStart w:id="240" w:name="_Toc135035025"/>
      <w:bookmarkStart w:id="241" w:name="_Toc163552299"/>
      <w:r>
        <w:rPr>
          <w:b/>
          <w:bCs/>
          <w:szCs w:val="24"/>
        </w:rPr>
        <w:t xml:space="preserve">6.  Accès à tous les lieux et services </w:t>
      </w:r>
      <w:bookmarkEnd w:id="240"/>
      <w:r>
        <w:rPr>
          <w:b/>
          <w:bCs/>
          <w:szCs w:val="24"/>
        </w:rPr>
        <w:t>destinés à l’usage public</w:t>
      </w:r>
      <w:bookmarkEnd w:id="241"/>
    </w:p>
    <w:p w:rsidR="00000000" w:rsidRDefault="00000000">
      <w:pPr>
        <w:spacing w:after="240"/>
      </w:pPr>
      <w:r>
        <w:t>342.</w:t>
      </w:r>
      <w:r>
        <w:tab/>
        <w:t>En ce qui concerne la question de l’accès à tous les lieux et services destinés à l’usage public, nous renvoyons au commentaire figurant dans les deuxième et troisième ra</w:t>
      </w:r>
      <w:r>
        <w:t>p</w:t>
      </w:r>
      <w:r>
        <w:t>ports périodiques (CERD/C/351/Add.2, par. 213 et 214).</w:t>
      </w:r>
    </w:p>
    <w:p w:rsidR="00000000" w:rsidRDefault="00000000">
      <w:pPr>
        <w:spacing w:after="240"/>
      </w:pPr>
      <w:r>
        <w:t>343.</w:t>
      </w:r>
      <w:r>
        <w:tab/>
        <w:t xml:space="preserve">Le refus de prestation au sens du paragraphe 5 de l’article 261 </w:t>
      </w:r>
      <w:r>
        <w:rPr>
          <w:i/>
          <w:iCs/>
        </w:rPr>
        <w:t>bis</w:t>
      </w:r>
      <w:r>
        <w:t xml:space="preserve"> du Code pénal est un cas typique de discr</w:t>
      </w:r>
      <w:r>
        <w:t>i</w:t>
      </w:r>
      <w:r>
        <w:t>mination raciale. Il s’agit du fait de «refuser à une personne ou à un groupe de perso</w:t>
      </w:r>
      <w:r>
        <w:t>n</w:t>
      </w:r>
      <w:r>
        <w:t>nes, en raison de leur appartenance raciale, ethnique ou religieuse, une prestation destinée à l’usage public». Pour qu’il puisse y avoir infraction, il faut donc que la prestation en question soit pr</w:t>
      </w:r>
      <w:r>
        <w:t>o</w:t>
      </w:r>
      <w:r>
        <w:t>posée publiquement. On se situe par conséquent dans un domaine quasi public, qui ne tombe plus sous le coup de la protection de la sphère privée. Comme il n’est pas facile d’obtenir des preuves de cette infraction − personne n’admet d’ordinaire une motivation r</w:t>
      </w:r>
      <w:r>
        <w:t>a</w:t>
      </w:r>
      <w:r>
        <w:t>ciste dans la procédure −, les condamnations fondées sur cette norme sont rares. Il ne fait aucun doute qu’il est très difficile, dans la pratique, de prouver que c’est précisément en ra</w:t>
      </w:r>
      <w:r>
        <w:t>i</w:t>
      </w:r>
      <w:r>
        <w:t>son de l’appartenance raciale, ethnique ou religieuse du plaignant que l’auteur lui a refusé la prest</w:t>
      </w:r>
      <w:r>
        <w:t>a</w:t>
      </w:r>
      <w:r>
        <w:t>tion en question.</w:t>
      </w:r>
    </w:p>
    <w:p w:rsidR="00000000" w:rsidRDefault="00000000">
      <w:pPr>
        <w:spacing w:after="240"/>
      </w:pPr>
      <w:r>
        <w:t>344.</w:t>
      </w:r>
      <w:r>
        <w:tab/>
        <w:t>Il est néanmoins certains cas dans lesquels les autorités de poursuite pénale ont eu à traiter des affaires relevant des dispositions sur le refus de prestations. Il s’agissait le plus souvent de plaintes déposées par des personnes qui se sont vu refuser l’entrée dans un club. Le refus de fournir à certains groupes une prestation destinée au public n’est pas pén</w:t>
      </w:r>
      <w:r>
        <w:t>a</w:t>
      </w:r>
      <w:r>
        <w:t>lement répréhensible s’il repose sur des motifs objectivement fondés. Quant à savoir ce qu’il faut entendre exactement par un motif objectivement fondé, la jurisprudence n’a pas encore tra</w:t>
      </w:r>
      <w:r>
        <w:t>n</w:t>
      </w:r>
      <w:r>
        <w:t>ché de manière définitive. Le refus est difficilement justifiable notamment lorsque les me</w:t>
      </w:r>
      <w:r>
        <w:t>m</w:t>
      </w:r>
      <w:r>
        <w:t>bres d’un groupe spécifique n’ont encore jamais été à l’origine de problèmes en raison d’un comportement déplacé.</w:t>
      </w:r>
    </w:p>
    <w:p w:rsidR="00000000" w:rsidRDefault="00000000">
      <w:pPr>
        <w:keepNext/>
        <w:spacing w:after="240"/>
        <w:jc w:val="center"/>
        <w:rPr>
          <w:b/>
          <w:bCs/>
          <w:szCs w:val="24"/>
        </w:rPr>
      </w:pPr>
      <w:bookmarkStart w:id="242" w:name="_Toc135034887"/>
      <w:bookmarkStart w:id="243" w:name="_Toc135035026"/>
      <w:bookmarkStart w:id="244" w:name="_Toc150668830"/>
      <w:bookmarkStart w:id="245" w:name="_Toc163552300"/>
      <w:r>
        <w:rPr>
          <w:b/>
          <w:bCs/>
          <w:szCs w:val="24"/>
        </w:rPr>
        <w:t>K.  Article 14 de la Convention</w:t>
      </w:r>
      <w:r>
        <w:rPr>
          <w:szCs w:val="24"/>
        </w:rPr>
        <w:t xml:space="preserve"> </w:t>
      </w:r>
      <w:r>
        <w:rPr>
          <w:szCs w:val="24"/>
        </w:rPr>
        <w:br/>
      </w:r>
      <w:r>
        <w:rPr>
          <w:b/>
          <w:bCs/>
          <w:szCs w:val="24"/>
        </w:rPr>
        <w:t>(</w:t>
      </w:r>
      <w:proofErr w:type="spellStart"/>
      <w:r>
        <w:rPr>
          <w:b/>
          <w:bCs/>
          <w:szCs w:val="24"/>
        </w:rPr>
        <w:t>CERD</w:t>
      </w:r>
      <w:proofErr w:type="spellEnd"/>
      <w:r>
        <w:rPr>
          <w:b/>
          <w:bCs/>
          <w:szCs w:val="24"/>
        </w:rPr>
        <w:t>/C/60/CO/14, par. 17)</w:t>
      </w:r>
      <w:bookmarkEnd w:id="242"/>
      <w:bookmarkEnd w:id="243"/>
      <w:bookmarkEnd w:id="244"/>
      <w:bookmarkEnd w:id="245"/>
    </w:p>
    <w:p w:rsidR="00000000" w:rsidRDefault="00000000">
      <w:pPr>
        <w:spacing w:after="240"/>
      </w:pPr>
      <w:r>
        <w:t>345.</w:t>
      </w:r>
      <w:r>
        <w:tab/>
        <w:t>Le 19 juin 2003, la Suisse a reconnu la procédure de communication indiv</w:t>
      </w:r>
      <w:r>
        <w:t>i</w:t>
      </w:r>
      <w:r>
        <w:t>duelle au sens de l’article 14 de la Convention. La CFR propose son aide aux intéressés, aux services de conseil et de recours ainsi qu’aux avocats qui souhaitent en savoir plus sur la procédure à suivre pour présenter une communication au Comité pour l’élimination de la discrimination raciale</w:t>
      </w:r>
      <w:r>
        <w:rPr>
          <w:rStyle w:val="FootnoteReference"/>
        </w:rPr>
        <w:footnoteReference w:id="255"/>
      </w:r>
      <w:r>
        <w:t>.</w:t>
      </w:r>
    </w:p>
    <w:p w:rsidR="00000000" w:rsidRDefault="00000000">
      <w:pPr>
        <w:keepNext/>
        <w:spacing w:after="240"/>
        <w:jc w:val="center"/>
        <w:rPr>
          <w:b/>
          <w:bCs/>
          <w:szCs w:val="24"/>
        </w:rPr>
      </w:pPr>
      <w:bookmarkStart w:id="246" w:name="_Toc135034888"/>
      <w:bookmarkStart w:id="247" w:name="_Toc135035027"/>
      <w:bookmarkStart w:id="248" w:name="_Toc150668831"/>
      <w:bookmarkStart w:id="249" w:name="_Toc163552301"/>
      <w:r>
        <w:rPr>
          <w:b/>
          <w:bCs/>
          <w:szCs w:val="24"/>
        </w:rPr>
        <w:t>L.  Mise en œuvre de la Déclaration et du Programme d’action de Durban (CERD/C/60/CO/14, par. 18)</w:t>
      </w:r>
      <w:bookmarkEnd w:id="246"/>
      <w:bookmarkEnd w:id="247"/>
      <w:bookmarkEnd w:id="248"/>
      <w:bookmarkEnd w:id="249"/>
    </w:p>
    <w:p w:rsidR="00000000" w:rsidRDefault="00000000">
      <w:pPr>
        <w:spacing w:after="240"/>
      </w:pPr>
      <w:r>
        <w:t>346.</w:t>
      </w:r>
      <w:r>
        <w:tab/>
        <w:t>La Suisse a participé activement et avec succès à la préparation et à l’organisation de la Conférence mondiale contre le racisme, la discrimination raciale, la xénophobie et l’intolérance qui y est associée. Loin de marquer le début ou la fin d’un processus, la présence de la Suisse à la Conférence de Durban n’a représenté qu’un e</w:t>
      </w:r>
      <w:r>
        <w:t>f</w:t>
      </w:r>
      <w:r>
        <w:t>fort parmi tant d’autres. La Suisse est en effet toujours en train de développer et de multiplier ses instr</w:t>
      </w:r>
      <w:r>
        <w:t>u</w:t>
      </w:r>
      <w:r>
        <w:t>ments de sensibilisation, de prévention et de lutte contre la discrimination. Il n’est donc pas nécessaire à ses yeux de concevoir un nouveau programme d’action pour mettre en œuvre les résultats de la Conférence mondiale. Ce qu’il faut, c’est reconsidérer d’un œil crit</w:t>
      </w:r>
      <w:r>
        <w:t>i</w:t>
      </w:r>
      <w:r>
        <w:t>que les instruments existants à la lumière des expériences de Durban et fixer les priorités en cons</w:t>
      </w:r>
      <w:r>
        <w:t>é</w:t>
      </w:r>
      <w:r>
        <w:t>quence.</w:t>
      </w:r>
    </w:p>
    <w:p w:rsidR="00000000" w:rsidRDefault="00000000">
      <w:pPr>
        <w:spacing w:after="240"/>
      </w:pPr>
      <w:r>
        <w:t>347.</w:t>
      </w:r>
      <w:r>
        <w:tab/>
        <w:t>La première mesure prise, avant la fin de 2002, a été de publier une ve</w:t>
      </w:r>
      <w:r>
        <w:t>r</w:t>
      </w:r>
      <w:r>
        <w:t>sion française et une version allemande de la Déclaration politique et du Programme d’action de la Conf</w:t>
      </w:r>
      <w:r>
        <w:t>é</w:t>
      </w:r>
      <w:r>
        <w:t>rence mondiale sur Internet mais aussi sous forme de brochure.</w:t>
      </w:r>
    </w:p>
    <w:p w:rsidR="00000000" w:rsidRDefault="00000000">
      <w:pPr>
        <w:spacing w:after="240"/>
      </w:pPr>
      <w:r>
        <w:t>348.</w:t>
      </w:r>
      <w:r>
        <w:tab/>
        <w:t>S’inspirant des discussions et des résultats de la Conférence de Durban, le Service de lutte contre le racisme</w:t>
      </w:r>
      <w:r>
        <w:rPr>
          <w:rStyle w:val="FootnoteReference"/>
          <w:bCs/>
        </w:rPr>
        <w:footnoteReference w:id="256"/>
      </w:r>
      <w:r>
        <w:t xml:space="preserve"> a défini quatre thèmes principaux auxquels il entend se consacrer en priorité ces prochaines années, en collaboration avec les organismes comp</w:t>
      </w:r>
      <w:r>
        <w:t>é</w:t>
      </w:r>
      <w:r>
        <w:t>tents:</w:t>
      </w:r>
    </w:p>
    <w:p w:rsidR="00000000" w:rsidRDefault="00000000">
      <w:pPr>
        <w:spacing w:after="240"/>
        <w:ind w:left="1134" w:hanging="567"/>
        <w:rPr>
          <w:szCs w:val="24"/>
        </w:rPr>
      </w:pPr>
      <w:r>
        <w:rPr>
          <w:szCs w:val="24"/>
        </w:rPr>
        <w:t>a)</w:t>
      </w:r>
      <w:r>
        <w:rPr>
          <w:szCs w:val="24"/>
        </w:rPr>
        <w:tab/>
        <w:t>Protéger et aider les victimes potentielles, professionnaliser la prévention et l’intervention en cas de conflit ainsi que constituer et professionnaliser des organisations de gro</w:t>
      </w:r>
      <w:r>
        <w:rPr>
          <w:szCs w:val="24"/>
        </w:rPr>
        <w:t>u</w:t>
      </w:r>
      <w:r>
        <w:rPr>
          <w:szCs w:val="24"/>
        </w:rPr>
        <w:t>pes cibles comme les Noirs ou les gens du voyage: le service de lutte contre le racisme a reçu le mandat d’instituer, en collaboration avec des cantons et des organismes privés, un r</w:t>
      </w:r>
      <w:r>
        <w:rPr>
          <w:szCs w:val="24"/>
        </w:rPr>
        <w:t>é</w:t>
      </w:r>
      <w:r>
        <w:rPr>
          <w:szCs w:val="24"/>
        </w:rPr>
        <w:t>seau d’antennes et de centres de conseil aux victimes de discrimination raciale et d’aide en cas de conflit. Dans le contexte du Programme national de recherche «Intégration et exclusion» (PNR 51), trois projets seront spécifiquement consacrés à l’histoire de la di</w:t>
      </w:r>
      <w:r>
        <w:rPr>
          <w:szCs w:val="24"/>
        </w:rPr>
        <w:t>s</w:t>
      </w:r>
      <w:r>
        <w:rPr>
          <w:szCs w:val="24"/>
        </w:rPr>
        <w:t>crimination des gens du voyage en Suisse.</w:t>
      </w:r>
    </w:p>
    <w:p w:rsidR="00000000" w:rsidRDefault="00000000">
      <w:pPr>
        <w:spacing w:after="240"/>
        <w:ind w:left="1134" w:hanging="567"/>
        <w:rPr>
          <w:szCs w:val="24"/>
        </w:rPr>
      </w:pPr>
      <w:r>
        <w:rPr>
          <w:szCs w:val="24"/>
        </w:rPr>
        <w:t>b)</w:t>
      </w:r>
      <w:r>
        <w:rPr>
          <w:szCs w:val="24"/>
        </w:rPr>
        <w:tab/>
        <w:t>Mettre en place un monitoring systématique des actes racistes et discriminatoires: le SLR a été chargé par le Gouvernement suisse d’examiner les possibilités d’un tel monitoring, en tenant compte de la nécessité de l’harmoniser avec les</w:t>
      </w:r>
      <w:r>
        <w:t xml:space="preserve"> </w:t>
      </w:r>
      <w:r>
        <w:rPr>
          <w:szCs w:val="24"/>
        </w:rPr>
        <w:t>efforts européens allant dans le même sens. Dans le cadre du Programme national de recherche «Extrémisme de droite, causes et contre</w:t>
      </w:r>
      <w:r>
        <w:rPr>
          <w:szCs w:val="24"/>
        </w:rPr>
        <w:noBreakHyphen/>
        <w:t>mesures» (PNR 40+), il est prévu de soutenir un projet pilote de ce t</w:t>
      </w:r>
      <w:r>
        <w:rPr>
          <w:szCs w:val="24"/>
        </w:rPr>
        <w:t>y</w:t>
      </w:r>
      <w:r>
        <w:rPr>
          <w:szCs w:val="24"/>
        </w:rPr>
        <w:t>pe.</w:t>
      </w:r>
    </w:p>
    <w:p w:rsidR="00000000" w:rsidRDefault="00000000">
      <w:pPr>
        <w:spacing w:after="240"/>
        <w:ind w:left="1134" w:hanging="567"/>
        <w:rPr>
          <w:szCs w:val="24"/>
        </w:rPr>
      </w:pPr>
      <w:r>
        <w:rPr>
          <w:szCs w:val="24"/>
        </w:rPr>
        <w:t>c)</w:t>
      </w:r>
      <w:r>
        <w:rPr>
          <w:szCs w:val="24"/>
        </w:rPr>
        <w:tab/>
        <w:t>Prévention de la discrimination et intégration des migrants: la Confédération est con</w:t>
      </w:r>
      <w:r>
        <w:rPr>
          <w:szCs w:val="24"/>
        </w:rPr>
        <w:t>s</w:t>
      </w:r>
      <w:r>
        <w:rPr>
          <w:szCs w:val="24"/>
        </w:rPr>
        <w:t>ciente de la tâche qu’il reste à accomplir dans ce domaine et accorde aux cantons un so</w:t>
      </w:r>
      <w:r>
        <w:rPr>
          <w:szCs w:val="24"/>
        </w:rPr>
        <w:t>u</w:t>
      </w:r>
      <w:r>
        <w:rPr>
          <w:szCs w:val="24"/>
        </w:rPr>
        <w:t>tien substantiel dans ce domaine. La compétence en revient à l’Office fédéral des migr</w:t>
      </w:r>
      <w:r>
        <w:rPr>
          <w:szCs w:val="24"/>
        </w:rPr>
        <w:t>a</w:t>
      </w:r>
      <w:r>
        <w:rPr>
          <w:szCs w:val="24"/>
        </w:rPr>
        <w:t>tions (OFM) et la Commission fédérale des étrangers (CFE).</w:t>
      </w:r>
    </w:p>
    <w:p w:rsidR="00000000" w:rsidRDefault="00000000">
      <w:pPr>
        <w:spacing w:after="240"/>
        <w:ind w:left="1134" w:hanging="567"/>
      </w:pPr>
      <w:r>
        <w:rPr>
          <w:szCs w:val="24"/>
        </w:rPr>
        <w:t>d)</w:t>
      </w:r>
      <w:r>
        <w:rPr>
          <w:szCs w:val="24"/>
        </w:rPr>
        <w:tab/>
        <w:t>Lutte contre les nouvelles formes de racisme: le Conseil fédéral est conscient des da</w:t>
      </w:r>
      <w:r>
        <w:rPr>
          <w:szCs w:val="24"/>
        </w:rPr>
        <w:t>n</w:t>
      </w:r>
      <w:r>
        <w:rPr>
          <w:szCs w:val="24"/>
        </w:rPr>
        <w:t>gers que recèle l’extrémisme de droite, non seulement en raison de la violence latente de certains cercles de jeunes. Un groupe de travail du DFJP a présenté des propositions concrètes pour enrayer le phénomène. De plus, le Conseil fédéral a créé un module de recherche visant à permettre la réalisation d’une série de projets dans le cadre du Pr</w:t>
      </w:r>
      <w:r>
        <w:rPr>
          <w:szCs w:val="24"/>
        </w:rPr>
        <w:t>o</w:t>
      </w:r>
      <w:r>
        <w:rPr>
          <w:szCs w:val="24"/>
        </w:rPr>
        <w:t>gramme national de recherche «Extrémisme de droite: causes et contre</w:t>
      </w:r>
      <w:r>
        <w:rPr>
          <w:szCs w:val="24"/>
        </w:rPr>
        <w:noBreakHyphen/>
        <w:t>mesures» (PNR 40+)</w:t>
      </w:r>
      <w:r>
        <w:t>.</w:t>
      </w:r>
    </w:p>
    <w:p w:rsidR="00000000" w:rsidRDefault="00000000">
      <w:pPr>
        <w:spacing w:after="240"/>
        <w:jc w:val="center"/>
        <w:rPr>
          <w:b/>
          <w:bCs/>
        </w:rPr>
      </w:pPr>
      <w:bookmarkStart w:id="250" w:name="_Toc477524903"/>
      <w:bookmarkStart w:id="251" w:name="_Toc477525288"/>
      <w:bookmarkStart w:id="252" w:name="_Toc150668832"/>
      <w:bookmarkStart w:id="253" w:name="_Toc163552302"/>
      <w:r>
        <w:br w:type="page"/>
      </w:r>
      <w:r>
        <w:rPr>
          <w:b/>
          <w:bCs/>
        </w:rPr>
        <w:t>Liste des abréviatio</w:t>
      </w:r>
      <w:bookmarkEnd w:id="250"/>
      <w:bookmarkEnd w:id="251"/>
      <w:r>
        <w:rPr>
          <w:b/>
          <w:bCs/>
        </w:rPr>
        <w:t>ns</w:t>
      </w:r>
      <w:bookmarkEnd w:id="252"/>
      <w:bookmarkEnd w:id="253"/>
    </w:p>
    <w:tbl>
      <w:tblPr>
        <w:tblW w:w="9498" w:type="dxa"/>
        <w:tblLayout w:type="fixed"/>
        <w:tblCellMar>
          <w:left w:w="68" w:type="dxa"/>
          <w:right w:w="68" w:type="dxa"/>
        </w:tblCellMar>
        <w:tblLook w:val="0000" w:firstRow="0" w:lastRow="0" w:firstColumn="0" w:lastColumn="0" w:noHBand="0" w:noVBand="0"/>
      </w:tblPr>
      <w:tblGrid>
        <w:gridCol w:w="1418"/>
        <w:gridCol w:w="8080"/>
      </w:tblGrid>
      <w:tr w:rsidR="00000000">
        <w:tblPrEx>
          <w:tblCellMar>
            <w:top w:w="0" w:type="dxa"/>
            <w:bottom w:w="0" w:type="dxa"/>
          </w:tblCellMar>
        </w:tblPrEx>
        <w:tc>
          <w:tcPr>
            <w:tcW w:w="1418" w:type="dxa"/>
          </w:tcPr>
          <w:p w:rsidR="00000000" w:rsidRDefault="00000000">
            <w:pPr>
              <w:spacing w:before="60" w:after="60" w:line="240" w:lineRule="exact"/>
            </w:pPr>
            <w:r>
              <w:t>AELE</w:t>
            </w:r>
          </w:p>
        </w:tc>
        <w:tc>
          <w:tcPr>
            <w:tcW w:w="8080" w:type="dxa"/>
          </w:tcPr>
          <w:p w:rsidR="00000000" w:rsidRDefault="00000000">
            <w:pPr>
              <w:spacing w:before="60" w:after="60" w:line="240" w:lineRule="exact"/>
            </w:pPr>
            <w:r>
              <w:t>Association européenne de libre-échange</w:t>
            </w:r>
          </w:p>
        </w:tc>
      </w:tr>
      <w:tr w:rsidR="00000000">
        <w:tblPrEx>
          <w:tblCellMar>
            <w:top w:w="0" w:type="dxa"/>
            <w:bottom w:w="0" w:type="dxa"/>
          </w:tblCellMar>
        </w:tblPrEx>
        <w:tc>
          <w:tcPr>
            <w:tcW w:w="1418" w:type="dxa"/>
          </w:tcPr>
          <w:p w:rsidR="00000000" w:rsidRDefault="00000000">
            <w:pPr>
              <w:spacing w:before="60" w:after="60" w:line="240" w:lineRule="exact"/>
            </w:pPr>
            <w:r>
              <w:t>AIEP</w:t>
            </w:r>
          </w:p>
        </w:tc>
        <w:tc>
          <w:tcPr>
            <w:tcW w:w="8080" w:type="dxa"/>
          </w:tcPr>
          <w:p w:rsidR="00000000" w:rsidRDefault="00000000">
            <w:pPr>
              <w:spacing w:before="60" w:after="60" w:line="240" w:lineRule="exact"/>
            </w:pPr>
            <w:r>
              <w:t>Autorité indépendante d’examen des plaintes en matière de radiotélévision</w:t>
            </w:r>
          </w:p>
        </w:tc>
      </w:tr>
      <w:tr w:rsidR="00000000">
        <w:tblPrEx>
          <w:tblCellMar>
            <w:top w:w="0" w:type="dxa"/>
            <w:bottom w:w="0" w:type="dxa"/>
          </w:tblCellMar>
        </w:tblPrEx>
        <w:tc>
          <w:tcPr>
            <w:tcW w:w="1418" w:type="dxa"/>
          </w:tcPr>
          <w:p w:rsidR="00000000" w:rsidRDefault="00000000">
            <w:pPr>
              <w:spacing w:before="60" w:after="60" w:line="240" w:lineRule="exact"/>
            </w:pPr>
            <w:proofErr w:type="spellStart"/>
            <w:r>
              <w:t>ALCP</w:t>
            </w:r>
            <w:proofErr w:type="spellEnd"/>
          </w:p>
        </w:tc>
        <w:tc>
          <w:tcPr>
            <w:tcW w:w="8080" w:type="dxa"/>
          </w:tcPr>
          <w:p w:rsidR="00000000" w:rsidRDefault="00000000">
            <w:pPr>
              <w:spacing w:before="60" w:after="60" w:line="240" w:lineRule="exact"/>
            </w:pPr>
            <w:r>
              <w:t>Accord sur la libre circulation des personnes</w:t>
            </w:r>
          </w:p>
        </w:tc>
      </w:tr>
      <w:tr w:rsidR="00000000">
        <w:tblPrEx>
          <w:tblCellMar>
            <w:top w:w="0" w:type="dxa"/>
            <w:bottom w:w="0" w:type="dxa"/>
          </w:tblCellMar>
        </w:tblPrEx>
        <w:tc>
          <w:tcPr>
            <w:tcW w:w="1418" w:type="dxa"/>
          </w:tcPr>
          <w:p w:rsidR="00000000" w:rsidRDefault="00000000">
            <w:pPr>
              <w:spacing w:before="60" w:after="60" w:line="240" w:lineRule="exact"/>
            </w:pPr>
            <w:r>
              <w:t>ATF</w:t>
            </w:r>
          </w:p>
        </w:tc>
        <w:tc>
          <w:tcPr>
            <w:tcW w:w="8080" w:type="dxa"/>
          </w:tcPr>
          <w:p w:rsidR="00000000" w:rsidRDefault="00000000">
            <w:pPr>
              <w:spacing w:before="60" w:after="60" w:line="240" w:lineRule="exact"/>
            </w:pPr>
            <w:r>
              <w:t>Arrêts du Tribunal fédéral suisse (recueil officiel)</w:t>
            </w:r>
          </w:p>
        </w:tc>
      </w:tr>
      <w:tr w:rsidR="00000000">
        <w:tblPrEx>
          <w:tblCellMar>
            <w:top w:w="0" w:type="dxa"/>
            <w:bottom w:w="0" w:type="dxa"/>
          </w:tblCellMar>
        </w:tblPrEx>
        <w:tc>
          <w:tcPr>
            <w:tcW w:w="1418" w:type="dxa"/>
          </w:tcPr>
          <w:p w:rsidR="00000000" w:rsidRDefault="00000000">
            <w:pPr>
              <w:spacing w:before="60" w:after="60" w:line="240" w:lineRule="exact"/>
            </w:pPr>
            <w:proofErr w:type="spellStart"/>
            <w:r>
              <w:t>AVS</w:t>
            </w:r>
            <w:proofErr w:type="spellEnd"/>
            <w:r>
              <w:t>/AI</w:t>
            </w:r>
          </w:p>
        </w:tc>
        <w:tc>
          <w:tcPr>
            <w:tcW w:w="8080" w:type="dxa"/>
          </w:tcPr>
          <w:p w:rsidR="00000000" w:rsidRDefault="00000000">
            <w:pPr>
              <w:spacing w:before="60" w:after="60" w:line="240" w:lineRule="exact"/>
            </w:pPr>
            <w:r>
              <w:t>Assurance vieillesse et survivants/assurance invalidité</w:t>
            </w:r>
          </w:p>
        </w:tc>
      </w:tr>
      <w:tr w:rsidR="00000000">
        <w:tblPrEx>
          <w:tblCellMar>
            <w:top w:w="0" w:type="dxa"/>
            <w:bottom w:w="0" w:type="dxa"/>
          </w:tblCellMar>
        </w:tblPrEx>
        <w:tc>
          <w:tcPr>
            <w:tcW w:w="1418" w:type="dxa"/>
          </w:tcPr>
          <w:p w:rsidR="00000000" w:rsidRDefault="00000000">
            <w:pPr>
              <w:spacing w:before="60" w:after="60" w:line="240" w:lineRule="exact"/>
            </w:pPr>
            <w:proofErr w:type="spellStart"/>
            <w:r>
              <w:t>CAT</w:t>
            </w:r>
            <w:proofErr w:type="spellEnd"/>
          </w:p>
        </w:tc>
        <w:tc>
          <w:tcPr>
            <w:tcW w:w="8080" w:type="dxa"/>
          </w:tcPr>
          <w:p w:rsidR="00000000" w:rsidRDefault="00000000">
            <w:pPr>
              <w:spacing w:before="60" w:after="60" w:line="240" w:lineRule="exact"/>
            </w:pPr>
            <w:r>
              <w:t>Comité de l’ONU contre la torture</w:t>
            </w:r>
          </w:p>
        </w:tc>
      </w:tr>
      <w:tr w:rsidR="00000000">
        <w:tblPrEx>
          <w:tblCellMar>
            <w:top w:w="0" w:type="dxa"/>
            <w:bottom w:w="0" w:type="dxa"/>
          </w:tblCellMar>
        </w:tblPrEx>
        <w:tc>
          <w:tcPr>
            <w:tcW w:w="1418" w:type="dxa"/>
          </w:tcPr>
          <w:p w:rsidR="00000000" w:rsidRDefault="00000000">
            <w:pPr>
              <w:spacing w:before="60" w:after="60" w:line="240" w:lineRule="exact"/>
            </w:pPr>
            <w:r>
              <w:t>CC</w:t>
            </w:r>
          </w:p>
        </w:tc>
        <w:tc>
          <w:tcPr>
            <w:tcW w:w="8080" w:type="dxa"/>
          </w:tcPr>
          <w:p w:rsidR="00000000" w:rsidRDefault="00000000">
            <w:pPr>
              <w:spacing w:before="60" w:after="60" w:line="240" w:lineRule="exact"/>
            </w:pPr>
            <w:r>
              <w:t>Code civil suisse du 10 décembre 1907 (RS 210)</w:t>
            </w:r>
          </w:p>
        </w:tc>
      </w:tr>
      <w:tr w:rsidR="00000000">
        <w:tblPrEx>
          <w:tblCellMar>
            <w:top w:w="0" w:type="dxa"/>
            <w:bottom w:w="0" w:type="dxa"/>
          </w:tblCellMar>
        </w:tblPrEx>
        <w:tc>
          <w:tcPr>
            <w:tcW w:w="1418" w:type="dxa"/>
          </w:tcPr>
          <w:p w:rsidR="00000000" w:rsidRDefault="00000000">
            <w:pPr>
              <w:spacing w:before="60" w:after="60" w:line="240" w:lineRule="exact"/>
            </w:pPr>
            <w:r>
              <w:t>CCDJP</w:t>
            </w:r>
          </w:p>
        </w:tc>
        <w:tc>
          <w:tcPr>
            <w:tcW w:w="8080" w:type="dxa"/>
          </w:tcPr>
          <w:p w:rsidR="00000000" w:rsidRDefault="00000000">
            <w:pPr>
              <w:spacing w:before="60" w:after="60" w:line="240" w:lineRule="exact"/>
            </w:pPr>
            <w:r>
              <w:t>Conférence des directrices et directeurs des départements cant</w:t>
            </w:r>
            <w:r>
              <w:t>o</w:t>
            </w:r>
            <w:r>
              <w:t>naux de justice et police</w:t>
            </w:r>
          </w:p>
        </w:tc>
      </w:tr>
      <w:tr w:rsidR="00000000">
        <w:tblPrEx>
          <w:tblCellMar>
            <w:top w:w="0" w:type="dxa"/>
            <w:bottom w:w="0" w:type="dxa"/>
          </w:tblCellMar>
        </w:tblPrEx>
        <w:tc>
          <w:tcPr>
            <w:tcW w:w="1418" w:type="dxa"/>
          </w:tcPr>
          <w:p w:rsidR="00000000" w:rsidRDefault="00000000">
            <w:pPr>
              <w:spacing w:before="60" w:after="60" w:line="240" w:lineRule="exact"/>
            </w:pPr>
            <w:r>
              <w:t>CDIP</w:t>
            </w:r>
          </w:p>
        </w:tc>
        <w:tc>
          <w:tcPr>
            <w:tcW w:w="8080" w:type="dxa"/>
          </w:tcPr>
          <w:p w:rsidR="00000000" w:rsidRDefault="00000000">
            <w:pPr>
              <w:spacing w:before="60" w:after="60" w:line="240" w:lineRule="exact"/>
            </w:pPr>
            <w:r>
              <w:t>Conférence suisse des directeurs cantonaux de l’instruction publique</w:t>
            </w:r>
          </w:p>
        </w:tc>
      </w:tr>
      <w:tr w:rsidR="00000000">
        <w:tblPrEx>
          <w:tblCellMar>
            <w:top w:w="0" w:type="dxa"/>
            <w:bottom w:w="0" w:type="dxa"/>
          </w:tblCellMar>
        </w:tblPrEx>
        <w:tc>
          <w:tcPr>
            <w:tcW w:w="1418" w:type="dxa"/>
          </w:tcPr>
          <w:p w:rsidR="00000000" w:rsidRDefault="00000000">
            <w:pPr>
              <w:spacing w:before="60" w:after="60" w:line="240" w:lineRule="exact"/>
            </w:pPr>
            <w:r>
              <w:t>CE</w:t>
            </w:r>
          </w:p>
        </w:tc>
        <w:tc>
          <w:tcPr>
            <w:tcW w:w="8080" w:type="dxa"/>
          </w:tcPr>
          <w:p w:rsidR="00000000" w:rsidRDefault="00000000">
            <w:pPr>
              <w:spacing w:before="60" w:after="60" w:line="240" w:lineRule="exact"/>
            </w:pPr>
            <w:r>
              <w:t>Communauté européenne</w:t>
            </w:r>
          </w:p>
        </w:tc>
      </w:tr>
      <w:tr w:rsidR="00000000">
        <w:tblPrEx>
          <w:tblCellMar>
            <w:top w:w="0" w:type="dxa"/>
            <w:bottom w:w="0" w:type="dxa"/>
          </w:tblCellMar>
        </w:tblPrEx>
        <w:tc>
          <w:tcPr>
            <w:tcW w:w="1418" w:type="dxa"/>
          </w:tcPr>
          <w:p w:rsidR="00000000" w:rsidRDefault="00000000">
            <w:pPr>
              <w:spacing w:before="60" w:after="60" w:line="240" w:lineRule="exact"/>
            </w:pPr>
            <w:r>
              <w:t>CEDH</w:t>
            </w:r>
          </w:p>
        </w:tc>
        <w:tc>
          <w:tcPr>
            <w:tcW w:w="8080" w:type="dxa"/>
          </w:tcPr>
          <w:p w:rsidR="00000000" w:rsidRDefault="00000000">
            <w:pPr>
              <w:spacing w:before="60" w:after="60" w:line="240" w:lineRule="exact"/>
            </w:pPr>
            <w:r>
              <w:t>Convention du 4 novembre 1950 de sauvegarde des droits humains et des libertés fondamentales (RS 0.101)</w:t>
            </w:r>
          </w:p>
        </w:tc>
      </w:tr>
      <w:tr w:rsidR="00000000">
        <w:tblPrEx>
          <w:tblCellMar>
            <w:top w:w="0" w:type="dxa"/>
            <w:bottom w:w="0" w:type="dxa"/>
          </w:tblCellMar>
        </w:tblPrEx>
        <w:tc>
          <w:tcPr>
            <w:tcW w:w="1418" w:type="dxa"/>
          </w:tcPr>
          <w:p w:rsidR="00000000" w:rsidRDefault="00000000">
            <w:pPr>
              <w:spacing w:before="60" w:after="60" w:line="240" w:lineRule="exact"/>
            </w:pPr>
            <w:r>
              <w:t>CFE</w:t>
            </w:r>
          </w:p>
        </w:tc>
        <w:tc>
          <w:tcPr>
            <w:tcW w:w="8080" w:type="dxa"/>
          </w:tcPr>
          <w:p w:rsidR="00000000" w:rsidRDefault="00000000">
            <w:pPr>
              <w:spacing w:before="60" w:after="60" w:line="240" w:lineRule="exact"/>
            </w:pPr>
            <w:r>
              <w:t>Commission fédérale des étrangers</w:t>
            </w:r>
          </w:p>
        </w:tc>
      </w:tr>
      <w:tr w:rsidR="00000000">
        <w:tblPrEx>
          <w:tblCellMar>
            <w:top w:w="0" w:type="dxa"/>
            <w:bottom w:w="0" w:type="dxa"/>
          </w:tblCellMar>
        </w:tblPrEx>
        <w:tc>
          <w:tcPr>
            <w:tcW w:w="1418" w:type="dxa"/>
          </w:tcPr>
          <w:p w:rsidR="00000000" w:rsidRDefault="00000000">
            <w:pPr>
              <w:spacing w:before="60" w:after="60" w:line="240" w:lineRule="exact"/>
            </w:pPr>
            <w:r>
              <w:t>CFR</w:t>
            </w:r>
          </w:p>
        </w:tc>
        <w:tc>
          <w:tcPr>
            <w:tcW w:w="8080" w:type="dxa"/>
          </w:tcPr>
          <w:p w:rsidR="00000000" w:rsidRDefault="00000000">
            <w:pPr>
              <w:spacing w:before="60" w:after="60" w:line="240" w:lineRule="exact"/>
            </w:pPr>
            <w:r>
              <w:t>Commission fédérale contre le racisme</w:t>
            </w:r>
          </w:p>
        </w:tc>
      </w:tr>
      <w:tr w:rsidR="00000000">
        <w:tblPrEx>
          <w:tblCellMar>
            <w:top w:w="0" w:type="dxa"/>
            <w:bottom w:w="0" w:type="dxa"/>
          </w:tblCellMar>
        </w:tblPrEx>
        <w:tc>
          <w:tcPr>
            <w:tcW w:w="1418" w:type="dxa"/>
          </w:tcPr>
          <w:p w:rsidR="00000000" w:rsidRDefault="00000000">
            <w:pPr>
              <w:spacing w:before="60" w:after="60" w:line="240" w:lineRule="exact"/>
            </w:pPr>
            <w:r>
              <w:t>chap.</w:t>
            </w:r>
          </w:p>
        </w:tc>
        <w:tc>
          <w:tcPr>
            <w:tcW w:w="8080" w:type="dxa"/>
          </w:tcPr>
          <w:p w:rsidR="00000000" w:rsidRDefault="00000000">
            <w:pPr>
              <w:spacing w:before="60" w:after="60" w:line="240" w:lineRule="exact"/>
            </w:pPr>
            <w:r>
              <w:t>chapitre</w:t>
            </w:r>
          </w:p>
        </w:tc>
      </w:tr>
      <w:tr w:rsidR="00000000">
        <w:tblPrEx>
          <w:tblCellMar>
            <w:top w:w="0" w:type="dxa"/>
            <w:bottom w:w="0" w:type="dxa"/>
          </w:tblCellMar>
        </w:tblPrEx>
        <w:tc>
          <w:tcPr>
            <w:tcW w:w="1418" w:type="dxa"/>
          </w:tcPr>
          <w:p w:rsidR="00000000" w:rsidRDefault="00000000">
            <w:pPr>
              <w:spacing w:before="60" w:after="60" w:line="240" w:lineRule="exact"/>
            </w:pPr>
            <w:r>
              <w:t>cons.</w:t>
            </w:r>
          </w:p>
        </w:tc>
        <w:tc>
          <w:tcPr>
            <w:tcW w:w="8080" w:type="dxa"/>
          </w:tcPr>
          <w:p w:rsidR="00000000" w:rsidRDefault="00000000">
            <w:pPr>
              <w:spacing w:before="60" w:after="60" w:line="240" w:lineRule="exact"/>
            </w:pPr>
            <w:r>
              <w:t>considérant (dans un ATF)</w:t>
            </w:r>
          </w:p>
        </w:tc>
      </w:tr>
      <w:tr w:rsidR="00000000">
        <w:tblPrEx>
          <w:tblCellMar>
            <w:top w:w="0" w:type="dxa"/>
            <w:bottom w:w="0" w:type="dxa"/>
          </w:tblCellMar>
        </w:tblPrEx>
        <w:tc>
          <w:tcPr>
            <w:tcW w:w="1418" w:type="dxa"/>
          </w:tcPr>
          <w:p w:rsidR="00000000" w:rsidRDefault="00000000">
            <w:pPr>
              <w:spacing w:before="60" w:after="60" w:line="240" w:lineRule="exact"/>
            </w:pPr>
            <w:r>
              <w:t>CP</w:t>
            </w:r>
          </w:p>
        </w:tc>
        <w:tc>
          <w:tcPr>
            <w:tcW w:w="8080" w:type="dxa"/>
          </w:tcPr>
          <w:p w:rsidR="00000000" w:rsidRDefault="00000000">
            <w:pPr>
              <w:spacing w:before="60" w:after="60" w:line="240" w:lineRule="exact"/>
            </w:pPr>
            <w:r>
              <w:t>Code pénal suisse du 21 décembre 1937 (RS 311.0)</w:t>
            </w:r>
          </w:p>
        </w:tc>
      </w:tr>
      <w:tr w:rsidR="00000000">
        <w:tblPrEx>
          <w:tblCellMar>
            <w:top w:w="0" w:type="dxa"/>
            <w:bottom w:w="0" w:type="dxa"/>
          </w:tblCellMar>
        </w:tblPrEx>
        <w:tc>
          <w:tcPr>
            <w:tcW w:w="1418" w:type="dxa"/>
          </w:tcPr>
          <w:p w:rsidR="00000000" w:rsidRDefault="00000000">
            <w:pPr>
              <w:spacing w:before="60" w:after="60" w:line="240" w:lineRule="exact"/>
            </w:pPr>
            <w:r>
              <w:t xml:space="preserve">CPM </w:t>
            </w:r>
          </w:p>
        </w:tc>
        <w:tc>
          <w:tcPr>
            <w:tcW w:w="8080" w:type="dxa"/>
          </w:tcPr>
          <w:p w:rsidR="00000000" w:rsidRDefault="00000000">
            <w:pPr>
              <w:spacing w:before="60" w:after="60" w:line="240" w:lineRule="exact"/>
            </w:pPr>
            <w:r>
              <w:t>Code pénal militaire du 13 juin 1927 (RS 321.0)</w:t>
            </w:r>
          </w:p>
        </w:tc>
      </w:tr>
      <w:tr w:rsidR="00000000">
        <w:tblPrEx>
          <w:tblCellMar>
            <w:top w:w="0" w:type="dxa"/>
            <w:bottom w:w="0" w:type="dxa"/>
          </w:tblCellMar>
        </w:tblPrEx>
        <w:tc>
          <w:tcPr>
            <w:tcW w:w="1418" w:type="dxa"/>
          </w:tcPr>
          <w:p w:rsidR="00000000" w:rsidRDefault="00000000">
            <w:pPr>
              <w:spacing w:before="60" w:after="60" w:line="240" w:lineRule="exact"/>
            </w:pPr>
            <w:r>
              <w:t>CPT</w:t>
            </w:r>
          </w:p>
        </w:tc>
        <w:tc>
          <w:tcPr>
            <w:tcW w:w="8080" w:type="dxa"/>
          </w:tcPr>
          <w:p w:rsidR="00000000" w:rsidRDefault="00000000">
            <w:pPr>
              <w:spacing w:before="60" w:after="60" w:line="240" w:lineRule="exact"/>
            </w:pPr>
            <w:r>
              <w:t>Comité européen pour la prévention de la torture et des peines ou traitements inhumains ou dégradants</w:t>
            </w:r>
          </w:p>
        </w:tc>
      </w:tr>
      <w:tr w:rsidR="00000000">
        <w:tblPrEx>
          <w:tblCellMar>
            <w:top w:w="0" w:type="dxa"/>
            <w:bottom w:w="0" w:type="dxa"/>
          </w:tblCellMar>
        </w:tblPrEx>
        <w:tc>
          <w:tcPr>
            <w:tcW w:w="1418" w:type="dxa"/>
          </w:tcPr>
          <w:p w:rsidR="00000000" w:rsidRDefault="00000000">
            <w:pPr>
              <w:spacing w:before="60" w:after="60" w:line="240" w:lineRule="exact"/>
            </w:pPr>
            <w:r>
              <w:t>Cst. féd.</w:t>
            </w:r>
          </w:p>
        </w:tc>
        <w:tc>
          <w:tcPr>
            <w:tcW w:w="8080" w:type="dxa"/>
          </w:tcPr>
          <w:p w:rsidR="00000000" w:rsidRDefault="00000000">
            <w:pPr>
              <w:spacing w:before="60" w:after="60" w:line="240" w:lineRule="exact"/>
            </w:pPr>
            <w:r>
              <w:t>Constitution fédérale de la Confédération suisse du 18 avril 1999 (RS 101)</w:t>
            </w:r>
          </w:p>
        </w:tc>
      </w:tr>
      <w:tr w:rsidR="00000000">
        <w:tblPrEx>
          <w:tblCellMar>
            <w:top w:w="0" w:type="dxa"/>
            <w:bottom w:w="0" w:type="dxa"/>
          </w:tblCellMar>
        </w:tblPrEx>
        <w:tc>
          <w:tcPr>
            <w:tcW w:w="1418" w:type="dxa"/>
          </w:tcPr>
          <w:p w:rsidR="00000000" w:rsidRDefault="00000000">
            <w:pPr>
              <w:spacing w:before="60" w:after="60" w:line="240" w:lineRule="exact"/>
            </w:pPr>
            <w:r>
              <w:t>DDC</w:t>
            </w:r>
          </w:p>
        </w:tc>
        <w:tc>
          <w:tcPr>
            <w:tcW w:w="8080" w:type="dxa"/>
          </w:tcPr>
          <w:p w:rsidR="00000000" w:rsidRDefault="00000000">
            <w:pPr>
              <w:spacing w:before="60" w:after="60" w:line="240" w:lineRule="exact"/>
            </w:pPr>
            <w:r>
              <w:t>Direction du développement et de la coopération</w:t>
            </w:r>
          </w:p>
        </w:tc>
      </w:tr>
      <w:tr w:rsidR="00000000">
        <w:tblPrEx>
          <w:tblCellMar>
            <w:top w:w="0" w:type="dxa"/>
            <w:bottom w:w="0" w:type="dxa"/>
          </w:tblCellMar>
        </w:tblPrEx>
        <w:tc>
          <w:tcPr>
            <w:tcW w:w="1418" w:type="dxa"/>
          </w:tcPr>
          <w:p w:rsidR="00000000" w:rsidRDefault="00000000">
            <w:pPr>
              <w:spacing w:before="60" w:after="60" w:line="240" w:lineRule="exact"/>
            </w:pPr>
            <w:r>
              <w:t>DDPS</w:t>
            </w:r>
          </w:p>
        </w:tc>
        <w:tc>
          <w:tcPr>
            <w:tcW w:w="8080" w:type="dxa"/>
          </w:tcPr>
          <w:p w:rsidR="00000000" w:rsidRDefault="00000000">
            <w:pPr>
              <w:spacing w:before="60" w:after="60" w:line="240" w:lineRule="exact"/>
            </w:pPr>
            <w:r>
              <w:t>Département fédéral de la défense, de la protection de la population et des sports</w:t>
            </w:r>
          </w:p>
        </w:tc>
      </w:tr>
      <w:tr w:rsidR="00000000">
        <w:tblPrEx>
          <w:tblCellMar>
            <w:top w:w="0" w:type="dxa"/>
            <w:bottom w:w="0" w:type="dxa"/>
          </w:tblCellMar>
        </w:tblPrEx>
        <w:tc>
          <w:tcPr>
            <w:tcW w:w="1418" w:type="dxa"/>
          </w:tcPr>
          <w:p w:rsidR="00000000" w:rsidRDefault="00000000">
            <w:pPr>
              <w:spacing w:before="60" w:after="60" w:line="240" w:lineRule="exact"/>
            </w:pPr>
            <w:r>
              <w:t>DFAE</w:t>
            </w:r>
          </w:p>
        </w:tc>
        <w:tc>
          <w:tcPr>
            <w:tcW w:w="8080" w:type="dxa"/>
          </w:tcPr>
          <w:p w:rsidR="00000000" w:rsidRDefault="00000000">
            <w:pPr>
              <w:spacing w:before="60" w:after="60" w:line="240" w:lineRule="exact"/>
            </w:pPr>
            <w:r>
              <w:t>Département fédéral des affaires étrangères</w:t>
            </w:r>
          </w:p>
        </w:tc>
      </w:tr>
      <w:tr w:rsidR="00000000">
        <w:tblPrEx>
          <w:tblCellMar>
            <w:top w:w="0" w:type="dxa"/>
            <w:bottom w:w="0" w:type="dxa"/>
          </w:tblCellMar>
        </w:tblPrEx>
        <w:tc>
          <w:tcPr>
            <w:tcW w:w="1418" w:type="dxa"/>
          </w:tcPr>
          <w:p w:rsidR="00000000" w:rsidRDefault="00000000">
            <w:pPr>
              <w:spacing w:before="60" w:after="60" w:line="240" w:lineRule="exact"/>
            </w:pPr>
            <w:r>
              <w:t>DFI</w:t>
            </w:r>
          </w:p>
        </w:tc>
        <w:tc>
          <w:tcPr>
            <w:tcW w:w="8080" w:type="dxa"/>
          </w:tcPr>
          <w:p w:rsidR="00000000" w:rsidRDefault="00000000">
            <w:pPr>
              <w:spacing w:before="60" w:after="60" w:line="240" w:lineRule="exact"/>
            </w:pPr>
            <w:r>
              <w:t>Département fédéral de l’intérieur</w:t>
            </w:r>
          </w:p>
        </w:tc>
      </w:tr>
      <w:tr w:rsidR="00000000">
        <w:tblPrEx>
          <w:tblCellMar>
            <w:top w:w="0" w:type="dxa"/>
            <w:bottom w:w="0" w:type="dxa"/>
          </w:tblCellMar>
        </w:tblPrEx>
        <w:tc>
          <w:tcPr>
            <w:tcW w:w="1418" w:type="dxa"/>
          </w:tcPr>
          <w:p w:rsidR="00000000" w:rsidRDefault="00000000">
            <w:pPr>
              <w:spacing w:before="60" w:after="60" w:line="240" w:lineRule="exact"/>
            </w:pPr>
            <w:r>
              <w:t>DFJP</w:t>
            </w:r>
          </w:p>
        </w:tc>
        <w:tc>
          <w:tcPr>
            <w:tcW w:w="8080" w:type="dxa"/>
          </w:tcPr>
          <w:p w:rsidR="00000000" w:rsidRDefault="00000000">
            <w:pPr>
              <w:spacing w:before="60" w:after="60" w:line="240" w:lineRule="exact"/>
            </w:pPr>
            <w:r>
              <w:t>Département fédéral de justice et police</w:t>
            </w:r>
          </w:p>
        </w:tc>
      </w:tr>
      <w:tr w:rsidR="00000000">
        <w:tblPrEx>
          <w:tblCellMar>
            <w:top w:w="0" w:type="dxa"/>
            <w:bottom w:w="0" w:type="dxa"/>
          </w:tblCellMar>
        </w:tblPrEx>
        <w:tc>
          <w:tcPr>
            <w:tcW w:w="1418" w:type="dxa"/>
          </w:tcPr>
          <w:p w:rsidR="00000000" w:rsidRDefault="00000000">
            <w:pPr>
              <w:spacing w:before="60" w:after="60" w:line="240" w:lineRule="exact"/>
            </w:pPr>
            <w:r>
              <w:t>doc.</w:t>
            </w:r>
          </w:p>
        </w:tc>
        <w:tc>
          <w:tcPr>
            <w:tcW w:w="8080" w:type="dxa"/>
          </w:tcPr>
          <w:p w:rsidR="00000000" w:rsidRDefault="00000000">
            <w:pPr>
              <w:spacing w:before="60" w:after="60" w:line="240" w:lineRule="exact"/>
            </w:pPr>
            <w:r>
              <w:t>documentation</w:t>
            </w:r>
          </w:p>
        </w:tc>
      </w:tr>
      <w:tr w:rsidR="00000000">
        <w:tblPrEx>
          <w:tblCellMar>
            <w:top w:w="0" w:type="dxa"/>
            <w:bottom w:w="0" w:type="dxa"/>
          </w:tblCellMar>
        </w:tblPrEx>
        <w:tc>
          <w:tcPr>
            <w:tcW w:w="1418" w:type="dxa"/>
          </w:tcPr>
          <w:p w:rsidR="00000000" w:rsidRDefault="00000000">
            <w:pPr>
              <w:spacing w:before="60" w:after="60" w:line="240" w:lineRule="exact"/>
            </w:pPr>
            <w:r>
              <w:t>ECRI</w:t>
            </w:r>
          </w:p>
        </w:tc>
        <w:tc>
          <w:tcPr>
            <w:tcW w:w="8080" w:type="dxa"/>
          </w:tcPr>
          <w:p w:rsidR="00000000" w:rsidRDefault="00000000">
            <w:pPr>
              <w:spacing w:before="60" w:after="60" w:line="240" w:lineRule="exact"/>
            </w:pPr>
            <w:r>
              <w:t>Commission européenne contre le racisme et l’intolérance</w:t>
            </w:r>
          </w:p>
        </w:tc>
      </w:tr>
      <w:tr w:rsidR="00000000">
        <w:tblPrEx>
          <w:tblCellMar>
            <w:top w:w="0" w:type="dxa"/>
            <w:bottom w:w="0" w:type="dxa"/>
          </w:tblCellMar>
        </w:tblPrEx>
        <w:tc>
          <w:tcPr>
            <w:tcW w:w="1418" w:type="dxa"/>
          </w:tcPr>
          <w:p w:rsidR="00000000" w:rsidRDefault="00000000">
            <w:pPr>
              <w:spacing w:before="60" w:after="60" w:line="240" w:lineRule="exact"/>
            </w:pPr>
            <w:r>
              <w:t>éd.</w:t>
            </w:r>
          </w:p>
        </w:tc>
        <w:tc>
          <w:tcPr>
            <w:tcW w:w="8080" w:type="dxa"/>
          </w:tcPr>
          <w:p w:rsidR="00000000" w:rsidRDefault="00000000">
            <w:pPr>
              <w:spacing w:before="60" w:after="60" w:line="240" w:lineRule="exact"/>
            </w:pPr>
            <w:r>
              <w:t>édition/éditeur</w:t>
            </w:r>
          </w:p>
        </w:tc>
      </w:tr>
      <w:tr w:rsidR="00000000">
        <w:tblPrEx>
          <w:tblCellMar>
            <w:top w:w="0" w:type="dxa"/>
            <w:bottom w:w="0" w:type="dxa"/>
          </w:tblCellMar>
        </w:tblPrEx>
        <w:tc>
          <w:tcPr>
            <w:tcW w:w="1418" w:type="dxa"/>
          </w:tcPr>
          <w:p w:rsidR="00000000" w:rsidRDefault="00000000">
            <w:pPr>
              <w:spacing w:before="60" w:after="60" w:line="240" w:lineRule="exact"/>
            </w:pPr>
            <w:r>
              <w:t>FED</w:t>
            </w:r>
          </w:p>
        </w:tc>
        <w:tc>
          <w:tcPr>
            <w:tcW w:w="8080" w:type="dxa"/>
          </w:tcPr>
          <w:p w:rsidR="00000000" w:rsidRDefault="00000000">
            <w:pPr>
              <w:spacing w:before="60" w:after="60" w:line="240" w:lineRule="exact"/>
            </w:pPr>
            <w:r>
              <w:t>Fondation éducation et développement</w:t>
            </w:r>
          </w:p>
        </w:tc>
      </w:tr>
      <w:tr w:rsidR="00000000">
        <w:tblPrEx>
          <w:tblCellMar>
            <w:top w:w="0" w:type="dxa"/>
            <w:bottom w:w="0" w:type="dxa"/>
          </w:tblCellMar>
        </w:tblPrEx>
        <w:tc>
          <w:tcPr>
            <w:tcW w:w="1418" w:type="dxa"/>
          </w:tcPr>
          <w:p w:rsidR="00000000" w:rsidRDefault="00000000">
            <w:pPr>
              <w:spacing w:before="60" w:after="60" w:line="240" w:lineRule="exact"/>
            </w:pPr>
            <w:r>
              <w:t xml:space="preserve">FF </w:t>
            </w:r>
          </w:p>
        </w:tc>
        <w:tc>
          <w:tcPr>
            <w:tcW w:w="8080" w:type="dxa"/>
          </w:tcPr>
          <w:p w:rsidR="00000000" w:rsidRDefault="00000000">
            <w:pPr>
              <w:spacing w:before="60" w:after="60" w:line="240" w:lineRule="exact"/>
            </w:pPr>
            <w:r>
              <w:t xml:space="preserve">Feuille fédérale </w:t>
            </w:r>
          </w:p>
        </w:tc>
      </w:tr>
      <w:tr w:rsidR="00000000">
        <w:tblPrEx>
          <w:tblCellMar>
            <w:top w:w="0" w:type="dxa"/>
            <w:bottom w:w="0" w:type="dxa"/>
          </w:tblCellMar>
        </w:tblPrEx>
        <w:tc>
          <w:tcPr>
            <w:tcW w:w="1418" w:type="dxa"/>
          </w:tcPr>
          <w:p w:rsidR="00000000" w:rsidRDefault="00000000">
            <w:pPr>
              <w:spacing w:before="60" w:after="60" w:line="240" w:lineRule="exact"/>
            </w:pPr>
            <w:r>
              <w:t>FRS</w:t>
            </w:r>
          </w:p>
        </w:tc>
        <w:tc>
          <w:tcPr>
            <w:tcW w:w="8080" w:type="dxa"/>
          </w:tcPr>
          <w:p w:rsidR="00000000" w:rsidRDefault="00000000">
            <w:pPr>
              <w:spacing w:before="60" w:after="60" w:line="240" w:lineRule="exact"/>
            </w:pPr>
            <w:r>
              <w:t>francs suisses</w:t>
            </w:r>
          </w:p>
        </w:tc>
      </w:tr>
      <w:tr w:rsidR="00000000">
        <w:tblPrEx>
          <w:tblCellMar>
            <w:top w:w="0" w:type="dxa"/>
            <w:bottom w:w="0" w:type="dxa"/>
          </w:tblCellMar>
        </w:tblPrEx>
        <w:tc>
          <w:tcPr>
            <w:tcW w:w="1418" w:type="dxa"/>
          </w:tcPr>
          <w:p w:rsidR="00000000" w:rsidRDefault="00000000">
            <w:pPr>
              <w:spacing w:before="60" w:after="60" w:line="240" w:lineRule="exact"/>
            </w:pPr>
            <w:r>
              <w:t>GfS</w:t>
            </w:r>
          </w:p>
        </w:tc>
        <w:tc>
          <w:tcPr>
            <w:tcW w:w="8080" w:type="dxa"/>
          </w:tcPr>
          <w:p w:rsidR="00000000" w:rsidRDefault="00000000">
            <w:pPr>
              <w:spacing w:before="60" w:after="60" w:line="240" w:lineRule="exact"/>
            </w:pPr>
            <w:r>
              <w:t>Schweizerische Gesellschaft für praktische S</w:t>
            </w:r>
            <w:r>
              <w:t>o</w:t>
            </w:r>
            <w:r>
              <w:t>zialforschung</w:t>
            </w:r>
          </w:p>
        </w:tc>
      </w:tr>
      <w:tr w:rsidR="00000000">
        <w:tblPrEx>
          <w:tblCellMar>
            <w:top w:w="0" w:type="dxa"/>
            <w:bottom w:w="0" w:type="dxa"/>
          </w:tblCellMar>
        </w:tblPrEx>
        <w:tc>
          <w:tcPr>
            <w:tcW w:w="1418" w:type="dxa"/>
          </w:tcPr>
          <w:p w:rsidR="00000000" w:rsidRDefault="00000000">
            <w:pPr>
              <w:spacing w:before="60" w:after="60" w:line="240" w:lineRule="exact"/>
            </w:pPr>
            <w:r>
              <w:t>HCNUDH</w:t>
            </w:r>
          </w:p>
        </w:tc>
        <w:tc>
          <w:tcPr>
            <w:tcW w:w="8080" w:type="dxa"/>
          </w:tcPr>
          <w:p w:rsidR="00000000" w:rsidRDefault="00000000">
            <w:pPr>
              <w:spacing w:before="60" w:after="60" w:line="240" w:lineRule="exact"/>
            </w:pPr>
            <w:proofErr w:type="spellStart"/>
            <w:r>
              <w:t>Haut</w:t>
            </w:r>
            <w:r>
              <w:noBreakHyphen/>
              <w:t>Commissariat</w:t>
            </w:r>
            <w:proofErr w:type="spellEnd"/>
            <w:r>
              <w:t xml:space="preserve"> des Nations Unies aux droits humains</w:t>
            </w:r>
          </w:p>
        </w:tc>
      </w:tr>
      <w:tr w:rsidR="00000000">
        <w:tblPrEx>
          <w:tblCellMar>
            <w:top w:w="0" w:type="dxa"/>
            <w:bottom w:w="0" w:type="dxa"/>
          </w:tblCellMar>
        </w:tblPrEx>
        <w:trPr>
          <w:cantSplit/>
        </w:trPr>
        <w:tc>
          <w:tcPr>
            <w:tcW w:w="1418" w:type="dxa"/>
          </w:tcPr>
          <w:p w:rsidR="00000000" w:rsidRDefault="00000000">
            <w:pPr>
              <w:spacing w:before="60" w:after="60" w:line="240" w:lineRule="exact"/>
            </w:pPr>
            <w:r>
              <w:t>JAAC</w:t>
            </w:r>
          </w:p>
        </w:tc>
        <w:tc>
          <w:tcPr>
            <w:tcW w:w="8080" w:type="dxa"/>
          </w:tcPr>
          <w:p w:rsidR="00000000" w:rsidRDefault="00000000">
            <w:pPr>
              <w:spacing w:before="60" w:after="60" w:line="240" w:lineRule="exact"/>
            </w:pPr>
            <w:r>
              <w:t xml:space="preserve">Jurisprudence des autorités administratives de la Confédération </w:t>
            </w:r>
            <w:r>
              <w:br/>
              <w:t>(vo</w:t>
            </w:r>
            <w:r>
              <w:t>l</w:t>
            </w:r>
            <w:r>
              <w:t>. (année) numéro)</w:t>
            </w:r>
          </w:p>
        </w:tc>
      </w:tr>
      <w:tr w:rsidR="00000000">
        <w:tblPrEx>
          <w:tblCellMar>
            <w:top w:w="0" w:type="dxa"/>
            <w:bottom w:w="0" w:type="dxa"/>
          </w:tblCellMar>
        </w:tblPrEx>
        <w:tc>
          <w:tcPr>
            <w:tcW w:w="1418" w:type="dxa"/>
          </w:tcPr>
          <w:p w:rsidR="00000000" w:rsidRDefault="00000000">
            <w:pPr>
              <w:spacing w:before="60" w:after="60" w:line="240" w:lineRule="exact"/>
            </w:pPr>
            <w:r>
              <w:t>LAMal</w:t>
            </w:r>
          </w:p>
        </w:tc>
        <w:tc>
          <w:tcPr>
            <w:tcW w:w="8080" w:type="dxa"/>
          </w:tcPr>
          <w:p w:rsidR="00000000" w:rsidRDefault="00000000">
            <w:pPr>
              <w:spacing w:before="60" w:after="60" w:line="240" w:lineRule="exact"/>
            </w:pPr>
            <w:r>
              <w:t>loi fédérale du 18 mars 1994 sur l’assurance maladie (</w:t>
            </w:r>
            <w:proofErr w:type="spellStart"/>
            <w:r>
              <w:t>RS</w:t>
            </w:r>
            <w:proofErr w:type="spellEnd"/>
            <w:r>
              <w:t xml:space="preserve"> </w:t>
            </w:r>
            <w:proofErr w:type="spellStart"/>
            <w:r>
              <w:t>832.10</w:t>
            </w:r>
            <w:proofErr w:type="spellEnd"/>
            <w:r>
              <w:t>)</w:t>
            </w:r>
          </w:p>
        </w:tc>
      </w:tr>
      <w:tr w:rsidR="00000000">
        <w:tblPrEx>
          <w:tblCellMar>
            <w:top w:w="0" w:type="dxa"/>
            <w:bottom w:w="0" w:type="dxa"/>
          </w:tblCellMar>
        </w:tblPrEx>
        <w:tc>
          <w:tcPr>
            <w:tcW w:w="1418" w:type="dxa"/>
          </w:tcPr>
          <w:p w:rsidR="00000000" w:rsidRDefault="00000000">
            <w:pPr>
              <w:spacing w:before="60" w:after="60" w:line="240" w:lineRule="exact"/>
            </w:pPr>
            <w:r>
              <w:t>LAsi</w:t>
            </w:r>
          </w:p>
        </w:tc>
        <w:tc>
          <w:tcPr>
            <w:tcW w:w="8080" w:type="dxa"/>
          </w:tcPr>
          <w:p w:rsidR="00000000" w:rsidRDefault="00000000">
            <w:pPr>
              <w:spacing w:before="60" w:after="60" w:line="240" w:lineRule="exact"/>
            </w:pPr>
            <w:r>
              <w:t>loi sur l’asile du 26 juin 1998 (RS 142.31)</w:t>
            </w:r>
          </w:p>
        </w:tc>
      </w:tr>
      <w:tr w:rsidR="00000000">
        <w:tblPrEx>
          <w:tblCellMar>
            <w:top w:w="0" w:type="dxa"/>
            <w:bottom w:w="0" w:type="dxa"/>
          </w:tblCellMar>
        </w:tblPrEx>
        <w:tc>
          <w:tcPr>
            <w:tcW w:w="1418" w:type="dxa"/>
          </w:tcPr>
          <w:p w:rsidR="00000000" w:rsidRDefault="00000000">
            <w:pPr>
              <w:spacing w:before="60" w:after="60" w:line="240" w:lineRule="exact"/>
            </w:pPr>
            <w:r>
              <w:t>LAVI</w:t>
            </w:r>
          </w:p>
        </w:tc>
        <w:tc>
          <w:tcPr>
            <w:tcW w:w="8080" w:type="dxa"/>
          </w:tcPr>
          <w:p w:rsidR="00000000" w:rsidRDefault="00000000">
            <w:pPr>
              <w:spacing w:before="60" w:after="60" w:line="240" w:lineRule="exact"/>
            </w:pPr>
            <w:r>
              <w:t>loi du 4 octobre 1991 sur l’aide aux victimes (RS 312.5)</w:t>
            </w:r>
          </w:p>
        </w:tc>
      </w:tr>
      <w:tr w:rsidR="00000000">
        <w:tblPrEx>
          <w:tblCellMar>
            <w:top w:w="0" w:type="dxa"/>
            <w:bottom w:w="0" w:type="dxa"/>
          </w:tblCellMar>
        </w:tblPrEx>
        <w:tc>
          <w:tcPr>
            <w:tcW w:w="1418" w:type="dxa"/>
          </w:tcPr>
          <w:p w:rsidR="00000000" w:rsidRDefault="00000000">
            <w:pPr>
              <w:spacing w:before="60" w:after="60" w:line="240" w:lineRule="exact"/>
            </w:pPr>
            <w:r>
              <w:t>LAVS</w:t>
            </w:r>
          </w:p>
        </w:tc>
        <w:tc>
          <w:tcPr>
            <w:tcW w:w="8080" w:type="dxa"/>
          </w:tcPr>
          <w:p w:rsidR="00000000" w:rsidRDefault="00000000">
            <w:pPr>
              <w:spacing w:before="60" w:after="60" w:line="240" w:lineRule="exact"/>
            </w:pPr>
            <w:r>
              <w:t>loi fédérale du 20 décembre 1946 sur l’assurance vieillesse et surv</w:t>
            </w:r>
            <w:r>
              <w:t>i</w:t>
            </w:r>
            <w:r>
              <w:t xml:space="preserve">vants </w:t>
            </w:r>
            <w:r>
              <w:br/>
              <w:t>(RS 831.10)</w:t>
            </w:r>
          </w:p>
        </w:tc>
      </w:tr>
      <w:tr w:rsidR="00000000">
        <w:tblPrEx>
          <w:tblCellMar>
            <w:top w:w="0" w:type="dxa"/>
            <w:bottom w:w="0" w:type="dxa"/>
          </w:tblCellMar>
        </w:tblPrEx>
        <w:tc>
          <w:tcPr>
            <w:tcW w:w="1418" w:type="dxa"/>
          </w:tcPr>
          <w:p w:rsidR="00000000" w:rsidRDefault="00000000">
            <w:pPr>
              <w:spacing w:before="60" w:after="60" w:line="240" w:lineRule="exact"/>
            </w:pPr>
            <w:r>
              <w:t>LDP</w:t>
            </w:r>
          </w:p>
        </w:tc>
        <w:tc>
          <w:tcPr>
            <w:tcW w:w="8080" w:type="dxa"/>
          </w:tcPr>
          <w:p w:rsidR="00000000" w:rsidRDefault="00000000">
            <w:pPr>
              <w:spacing w:before="60" w:after="60" w:line="240" w:lineRule="exact"/>
            </w:pPr>
            <w:r>
              <w:t>loi fédérale du 17 décembre 1976 sur les droits politiques (RS 161.1)</w:t>
            </w:r>
          </w:p>
        </w:tc>
      </w:tr>
      <w:tr w:rsidR="00000000">
        <w:tblPrEx>
          <w:tblCellMar>
            <w:top w:w="0" w:type="dxa"/>
            <w:bottom w:w="0" w:type="dxa"/>
          </w:tblCellMar>
        </w:tblPrEx>
        <w:tc>
          <w:tcPr>
            <w:tcW w:w="1418" w:type="dxa"/>
          </w:tcPr>
          <w:p w:rsidR="00000000" w:rsidRDefault="00000000">
            <w:pPr>
              <w:spacing w:before="60" w:after="60" w:line="240" w:lineRule="exact"/>
            </w:pPr>
            <w:r>
              <w:t>let.</w:t>
            </w:r>
          </w:p>
        </w:tc>
        <w:tc>
          <w:tcPr>
            <w:tcW w:w="8080" w:type="dxa"/>
          </w:tcPr>
          <w:p w:rsidR="00000000" w:rsidRDefault="00000000">
            <w:pPr>
              <w:spacing w:before="60" w:after="60" w:line="240" w:lineRule="exact"/>
            </w:pPr>
            <w:r>
              <w:t>lettre</w:t>
            </w:r>
          </w:p>
        </w:tc>
      </w:tr>
      <w:tr w:rsidR="00000000">
        <w:tblPrEx>
          <w:tblCellMar>
            <w:top w:w="0" w:type="dxa"/>
            <w:bottom w:w="0" w:type="dxa"/>
          </w:tblCellMar>
        </w:tblPrEx>
        <w:tc>
          <w:tcPr>
            <w:tcW w:w="1418" w:type="dxa"/>
          </w:tcPr>
          <w:p w:rsidR="00000000" w:rsidRDefault="00000000">
            <w:pPr>
              <w:spacing w:before="60" w:after="60" w:line="240" w:lineRule="exact"/>
            </w:pPr>
            <w:r>
              <w:t>LEtr</w:t>
            </w:r>
          </w:p>
        </w:tc>
        <w:tc>
          <w:tcPr>
            <w:tcW w:w="8080" w:type="dxa"/>
          </w:tcPr>
          <w:p w:rsidR="00000000" w:rsidRDefault="00000000">
            <w:pPr>
              <w:spacing w:before="60" w:after="60" w:line="240" w:lineRule="exact"/>
            </w:pPr>
            <w:r>
              <w:t>loi fédérale sur les étrangers (02.024)</w:t>
            </w:r>
          </w:p>
        </w:tc>
      </w:tr>
      <w:tr w:rsidR="00000000">
        <w:tblPrEx>
          <w:tblCellMar>
            <w:top w:w="0" w:type="dxa"/>
            <w:bottom w:w="0" w:type="dxa"/>
          </w:tblCellMar>
        </w:tblPrEx>
        <w:tc>
          <w:tcPr>
            <w:tcW w:w="1418" w:type="dxa"/>
          </w:tcPr>
          <w:p w:rsidR="00000000" w:rsidRDefault="00000000">
            <w:pPr>
              <w:spacing w:before="60" w:after="60" w:line="240" w:lineRule="exact"/>
            </w:pPr>
            <w:r>
              <w:t>LFIS</w:t>
            </w:r>
          </w:p>
        </w:tc>
        <w:tc>
          <w:tcPr>
            <w:tcW w:w="8080" w:type="dxa"/>
          </w:tcPr>
          <w:p w:rsidR="00000000" w:rsidRDefault="00000000">
            <w:pPr>
              <w:spacing w:before="60" w:after="60" w:line="240" w:lineRule="exact"/>
            </w:pPr>
            <w:r>
              <w:t>loi fédérale du 20 juin 2003 sur l’investigation secrète (RS 312.8)</w:t>
            </w:r>
          </w:p>
        </w:tc>
      </w:tr>
      <w:tr w:rsidR="00000000">
        <w:tblPrEx>
          <w:tblCellMar>
            <w:top w:w="0" w:type="dxa"/>
            <w:bottom w:w="0" w:type="dxa"/>
          </w:tblCellMar>
        </w:tblPrEx>
        <w:tc>
          <w:tcPr>
            <w:tcW w:w="1418" w:type="dxa"/>
          </w:tcPr>
          <w:p w:rsidR="00000000" w:rsidRDefault="00000000">
            <w:pPr>
              <w:spacing w:before="60" w:after="60" w:line="240" w:lineRule="exact"/>
            </w:pPr>
            <w:r>
              <w:t>LFPr</w:t>
            </w:r>
          </w:p>
        </w:tc>
        <w:tc>
          <w:tcPr>
            <w:tcW w:w="8080" w:type="dxa"/>
          </w:tcPr>
          <w:p w:rsidR="00000000" w:rsidRDefault="00000000">
            <w:pPr>
              <w:spacing w:before="60" w:after="60" w:line="240" w:lineRule="exact"/>
            </w:pPr>
            <w:r>
              <w:t>loi fédérale du 13 décembre 2002 sur la formation professio</w:t>
            </w:r>
            <w:r>
              <w:t>n</w:t>
            </w:r>
            <w:r>
              <w:t xml:space="preserve">nelle </w:t>
            </w:r>
            <w:r>
              <w:br/>
              <w:t>(RS 412.10)</w:t>
            </w:r>
          </w:p>
        </w:tc>
      </w:tr>
      <w:tr w:rsidR="00000000">
        <w:tblPrEx>
          <w:tblCellMar>
            <w:top w:w="0" w:type="dxa"/>
            <w:bottom w:w="0" w:type="dxa"/>
          </w:tblCellMar>
        </w:tblPrEx>
        <w:tc>
          <w:tcPr>
            <w:tcW w:w="1418" w:type="dxa"/>
          </w:tcPr>
          <w:p w:rsidR="00000000" w:rsidRDefault="00000000">
            <w:pPr>
              <w:spacing w:before="60" w:after="60" w:line="240" w:lineRule="exact"/>
            </w:pPr>
            <w:r>
              <w:t>LMSI</w:t>
            </w:r>
          </w:p>
        </w:tc>
        <w:tc>
          <w:tcPr>
            <w:tcW w:w="8080" w:type="dxa"/>
          </w:tcPr>
          <w:p w:rsidR="00000000" w:rsidRDefault="00000000">
            <w:pPr>
              <w:spacing w:before="60" w:after="60" w:line="240" w:lineRule="exact"/>
            </w:pPr>
            <w:r>
              <w:t>loi fédérale du 21 mars 1997 instituant des mesures visant au mai</w:t>
            </w:r>
            <w:r>
              <w:t>n</w:t>
            </w:r>
            <w:r>
              <w:t xml:space="preserve">tien </w:t>
            </w:r>
            <w:r>
              <w:br/>
              <w:t>de la sûreté intérieure (RS 120)</w:t>
            </w:r>
          </w:p>
        </w:tc>
      </w:tr>
      <w:tr w:rsidR="00000000">
        <w:tblPrEx>
          <w:tblCellMar>
            <w:top w:w="0" w:type="dxa"/>
            <w:bottom w:w="0" w:type="dxa"/>
          </w:tblCellMar>
        </w:tblPrEx>
        <w:tc>
          <w:tcPr>
            <w:tcW w:w="1418" w:type="dxa"/>
          </w:tcPr>
          <w:p w:rsidR="00000000" w:rsidRDefault="00000000">
            <w:pPr>
              <w:spacing w:before="60" w:after="60" w:line="240" w:lineRule="exact"/>
            </w:pPr>
            <w:r>
              <w:t>LN</w:t>
            </w:r>
          </w:p>
        </w:tc>
        <w:tc>
          <w:tcPr>
            <w:tcW w:w="8080" w:type="dxa"/>
          </w:tcPr>
          <w:p w:rsidR="00000000" w:rsidRDefault="00000000">
            <w:pPr>
              <w:spacing w:before="60" w:after="60" w:line="240" w:lineRule="exact"/>
            </w:pPr>
            <w:r>
              <w:t xml:space="preserve">loi fédérale du 29 septembre 1952 sur l’acquisition et la perte de </w:t>
            </w:r>
            <w:r>
              <w:br/>
              <w:t>la nationalité (RS 141.0)</w:t>
            </w:r>
          </w:p>
        </w:tc>
      </w:tr>
      <w:tr w:rsidR="00000000">
        <w:tblPrEx>
          <w:tblCellMar>
            <w:top w:w="0" w:type="dxa"/>
            <w:bottom w:w="0" w:type="dxa"/>
          </w:tblCellMar>
        </w:tblPrEx>
        <w:tc>
          <w:tcPr>
            <w:tcW w:w="1418" w:type="dxa"/>
          </w:tcPr>
          <w:p w:rsidR="00000000" w:rsidRDefault="00000000">
            <w:pPr>
              <w:spacing w:before="60" w:after="60" w:line="240" w:lineRule="exact"/>
            </w:pPr>
            <w:r>
              <w:t>LPers</w:t>
            </w:r>
          </w:p>
        </w:tc>
        <w:tc>
          <w:tcPr>
            <w:tcW w:w="8080" w:type="dxa"/>
          </w:tcPr>
          <w:p w:rsidR="00000000" w:rsidRDefault="00000000">
            <w:pPr>
              <w:spacing w:before="60" w:after="60" w:line="240" w:lineRule="exact"/>
            </w:pPr>
            <w:r>
              <w:t>loi du 24 mars 2000 sur le personnel de la Confédération (RS 172.220.1)</w:t>
            </w:r>
          </w:p>
        </w:tc>
      </w:tr>
      <w:tr w:rsidR="00000000">
        <w:tblPrEx>
          <w:tblCellMar>
            <w:top w:w="0" w:type="dxa"/>
            <w:bottom w:w="0" w:type="dxa"/>
          </w:tblCellMar>
        </w:tblPrEx>
        <w:tc>
          <w:tcPr>
            <w:tcW w:w="1418" w:type="dxa"/>
          </w:tcPr>
          <w:p w:rsidR="00000000" w:rsidRDefault="00000000">
            <w:pPr>
              <w:spacing w:before="60" w:after="60" w:line="240" w:lineRule="exact"/>
            </w:pPr>
            <w:r>
              <w:t>LSCPT</w:t>
            </w:r>
          </w:p>
        </w:tc>
        <w:tc>
          <w:tcPr>
            <w:tcW w:w="8080" w:type="dxa"/>
          </w:tcPr>
          <w:p w:rsidR="00000000" w:rsidRDefault="00000000">
            <w:pPr>
              <w:spacing w:before="60" w:after="60" w:line="240" w:lineRule="exact"/>
            </w:pPr>
            <w:r>
              <w:t>loi fédérale du 6 octobre 2000 sur la surveillance de la correspo</w:t>
            </w:r>
            <w:r>
              <w:t>n</w:t>
            </w:r>
            <w:r>
              <w:t xml:space="preserve">dance </w:t>
            </w:r>
            <w:r>
              <w:br/>
              <w:t>par poste et télécommunication (RS 780.1)</w:t>
            </w:r>
          </w:p>
        </w:tc>
      </w:tr>
      <w:tr w:rsidR="00000000">
        <w:tblPrEx>
          <w:tblCellMar>
            <w:top w:w="0" w:type="dxa"/>
            <w:bottom w:w="0" w:type="dxa"/>
          </w:tblCellMar>
        </w:tblPrEx>
        <w:tc>
          <w:tcPr>
            <w:tcW w:w="1418" w:type="dxa"/>
          </w:tcPr>
          <w:p w:rsidR="00000000" w:rsidRDefault="00000000">
            <w:pPr>
              <w:spacing w:before="60" w:after="60" w:line="240" w:lineRule="exact"/>
            </w:pPr>
            <w:r>
              <w:t>LSEE</w:t>
            </w:r>
          </w:p>
        </w:tc>
        <w:tc>
          <w:tcPr>
            <w:tcW w:w="8080" w:type="dxa"/>
          </w:tcPr>
          <w:p w:rsidR="00000000" w:rsidRDefault="00000000">
            <w:pPr>
              <w:spacing w:before="60" w:after="60" w:line="240" w:lineRule="exact"/>
            </w:pPr>
            <w:r>
              <w:t xml:space="preserve">loi fédérale du 26 mars 1931 sur le séjour et l’établissement des étrangers </w:t>
            </w:r>
            <w:r>
              <w:br/>
              <w:t>(RS 142.20)</w:t>
            </w:r>
          </w:p>
        </w:tc>
      </w:tr>
      <w:tr w:rsidR="00000000">
        <w:tblPrEx>
          <w:tblCellMar>
            <w:top w:w="0" w:type="dxa"/>
            <w:bottom w:w="0" w:type="dxa"/>
          </w:tblCellMar>
        </w:tblPrEx>
        <w:tc>
          <w:tcPr>
            <w:tcW w:w="1418" w:type="dxa"/>
          </w:tcPr>
          <w:p w:rsidR="00000000" w:rsidRDefault="00000000">
            <w:pPr>
              <w:spacing w:before="60" w:after="60" w:line="240" w:lineRule="exact"/>
            </w:pPr>
            <w:r>
              <w:t>LTAF</w:t>
            </w:r>
          </w:p>
        </w:tc>
        <w:tc>
          <w:tcPr>
            <w:tcW w:w="8080" w:type="dxa"/>
          </w:tcPr>
          <w:p w:rsidR="00000000" w:rsidRDefault="00000000">
            <w:pPr>
              <w:spacing w:before="60" w:after="60" w:line="240" w:lineRule="exact"/>
            </w:pPr>
            <w:r>
              <w:t>loi fédérale du 17 juin 2005 sur le Tribunal administratif fédéral (RS 173.32)</w:t>
            </w:r>
          </w:p>
        </w:tc>
      </w:tr>
      <w:tr w:rsidR="00000000">
        <w:tblPrEx>
          <w:tblCellMar>
            <w:top w:w="0" w:type="dxa"/>
            <w:bottom w:w="0" w:type="dxa"/>
          </w:tblCellMar>
        </w:tblPrEx>
        <w:tc>
          <w:tcPr>
            <w:tcW w:w="1418" w:type="dxa"/>
          </w:tcPr>
          <w:p w:rsidR="00000000" w:rsidRDefault="00000000">
            <w:pPr>
              <w:spacing w:before="60" w:after="60" w:line="240" w:lineRule="exact"/>
            </w:pPr>
            <w:r>
              <w:t>LTF</w:t>
            </w:r>
          </w:p>
        </w:tc>
        <w:tc>
          <w:tcPr>
            <w:tcW w:w="8080" w:type="dxa"/>
          </w:tcPr>
          <w:p w:rsidR="00000000" w:rsidRDefault="00000000">
            <w:pPr>
              <w:spacing w:before="60" w:after="60" w:line="240" w:lineRule="exact"/>
            </w:pPr>
            <w:r>
              <w:t>loi du 17 juin 2005 sur le Tribunal fédéral (RS 173.110)</w:t>
            </w:r>
          </w:p>
        </w:tc>
      </w:tr>
      <w:tr w:rsidR="00000000">
        <w:tblPrEx>
          <w:tblCellMar>
            <w:top w:w="0" w:type="dxa"/>
            <w:bottom w:w="0" w:type="dxa"/>
          </w:tblCellMar>
        </w:tblPrEx>
        <w:tc>
          <w:tcPr>
            <w:tcW w:w="1418" w:type="dxa"/>
          </w:tcPr>
          <w:p w:rsidR="00000000" w:rsidRDefault="00000000">
            <w:pPr>
              <w:spacing w:before="60" w:after="60" w:line="240" w:lineRule="exact"/>
            </w:pPr>
            <w:r>
              <w:t>LTr</w:t>
            </w:r>
          </w:p>
        </w:tc>
        <w:tc>
          <w:tcPr>
            <w:tcW w:w="8080" w:type="dxa"/>
          </w:tcPr>
          <w:p w:rsidR="00000000" w:rsidRDefault="00000000">
            <w:pPr>
              <w:spacing w:before="60" w:after="60" w:line="240" w:lineRule="exact"/>
            </w:pPr>
            <w:r>
              <w:t>loi fédérale du 13 mars 1964 sur le travail dans l’industrie, l’artisanat et le commerce (RS 822.11)</w:t>
            </w:r>
          </w:p>
        </w:tc>
      </w:tr>
      <w:tr w:rsidR="00000000">
        <w:tblPrEx>
          <w:tblCellMar>
            <w:top w:w="0" w:type="dxa"/>
            <w:bottom w:w="0" w:type="dxa"/>
          </w:tblCellMar>
        </w:tblPrEx>
        <w:tc>
          <w:tcPr>
            <w:tcW w:w="1418" w:type="dxa"/>
          </w:tcPr>
          <w:p w:rsidR="00000000" w:rsidRDefault="00000000">
            <w:pPr>
              <w:spacing w:before="60" w:after="60" w:line="240" w:lineRule="exact"/>
            </w:pPr>
            <w:r>
              <w:t>LUsC</w:t>
            </w:r>
          </w:p>
        </w:tc>
        <w:tc>
          <w:tcPr>
            <w:tcW w:w="8080" w:type="dxa"/>
          </w:tcPr>
          <w:p w:rsidR="00000000" w:rsidRDefault="00000000">
            <w:pPr>
              <w:spacing w:before="60" w:after="60" w:line="240" w:lineRule="exact"/>
            </w:pPr>
            <w:r>
              <w:t xml:space="preserve">loi fédérale sur l’usage de la contrainte dans le cadre du droit des étrangers </w:t>
            </w:r>
            <w:r>
              <w:br/>
              <w:t>et des transports ordonnés par une autorité fédérale</w:t>
            </w:r>
          </w:p>
        </w:tc>
      </w:tr>
      <w:tr w:rsidR="00000000">
        <w:tblPrEx>
          <w:tblCellMar>
            <w:top w:w="0" w:type="dxa"/>
            <w:bottom w:w="0" w:type="dxa"/>
          </w:tblCellMar>
        </w:tblPrEx>
        <w:tc>
          <w:tcPr>
            <w:tcW w:w="1418" w:type="dxa"/>
          </w:tcPr>
          <w:p w:rsidR="00000000" w:rsidRDefault="00000000">
            <w:pPr>
              <w:spacing w:before="60" w:after="60" w:line="240" w:lineRule="exact"/>
            </w:pPr>
            <w:r>
              <w:t>NZZ</w:t>
            </w:r>
          </w:p>
        </w:tc>
        <w:tc>
          <w:tcPr>
            <w:tcW w:w="8080" w:type="dxa"/>
          </w:tcPr>
          <w:p w:rsidR="00000000" w:rsidRDefault="00000000">
            <w:pPr>
              <w:spacing w:before="60" w:after="60" w:line="240" w:lineRule="exact"/>
            </w:pPr>
            <w:r>
              <w:t>Neue Zürcher Zeitung</w:t>
            </w:r>
          </w:p>
        </w:tc>
      </w:tr>
      <w:tr w:rsidR="00000000">
        <w:tblPrEx>
          <w:tblCellMar>
            <w:top w:w="0" w:type="dxa"/>
            <w:bottom w:w="0" w:type="dxa"/>
          </w:tblCellMar>
        </w:tblPrEx>
        <w:tc>
          <w:tcPr>
            <w:tcW w:w="1418" w:type="dxa"/>
          </w:tcPr>
          <w:p w:rsidR="00000000" w:rsidRDefault="00000000">
            <w:pPr>
              <w:spacing w:before="60" w:after="60" w:line="240" w:lineRule="exact"/>
            </w:pPr>
            <w:r>
              <w:t>OFE</w:t>
            </w:r>
          </w:p>
        </w:tc>
        <w:tc>
          <w:tcPr>
            <w:tcW w:w="8080" w:type="dxa"/>
          </w:tcPr>
          <w:p w:rsidR="00000000" w:rsidRDefault="00000000">
            <w:pPr>
              <w:spacing w:before="60" w:after="60" w:line="240" w:lineRule="exact"/>
            </w:pPr>
            <w:r>
              <w:t>Office fédéral des étrangers</w:t>
            </w:r>
          </w:p>
        </w:tc>
      </w:tr>
      <w:tr w:rsidR="00000000">
        <w:tblPrEx>
          <w:tblCellMar>
            <w:top w:w="0" w:type="dxa"/>
            <w:bottom w:w="0" w:type="dxa"/>
          </w:tblCellMar>
        </w:tblPrEx>
        <w:tc>
          <w:tcPr>
            <w:tcW w:w="1418" w:type="dxa"/>
          </w:tcPr>
          <w:p w:rsidR="00000000" w:rsidRDefault="00000000">
            <w:pPr>
              <w:spacing w:before="60" w:after="60" w:line="240" w:lineRule="exact"/>
            </w:pPr>
            <w:r>
              <w:t>OFFT</w:t>
            </w:r>
          </w:p>
        </w:tc>
        <w:tc>
          <w:tcPr>
            <w:tcW w:w="8080" w:type="dxa"/>
          </w:tcPr>
          <w:p w:rsidR="00000000" w:rsidRDefault="00000000">
            <w:pPr>
              <w:spacing w:before="60" w:after="60" w:line="240" w:lineRule="exact"/>
            </w:pPr>
            <w:r>
              <w:t>Office fédéral de la formation professionnelle et de la technologie</w:t>
            </w:r>
          </w:p>
        </w:tc>
      </w:tr>
      <w:tr w:rsidR="00000000">
        <w:tblPrEx>
          <w:tblCellMar>
            <w:top w:w="0" w:type="dxa"/>
            <w:bottom w:w="0" w:type="dxa"/>
          </w:tblCellMar>
        </w:tblPrEx>
        <w:tc>
          <w:tcPr>
            <w:tcW w:w="1418" w:type="dxa"/>
          </w:tcPr>
          <w:p w:rsidR="00000000" w:rsidRDefault="00000000">
            <w:pPr>
              <w:spacing w:before="60" w:after="60" w:line="240" w:lineRule="exact"/>
            </w:pPr>
            <w:r>
              <w:t>OFM</w:t>
            </w:r>
          </w:p>
        </w:tc>
        <w:tc>
          <w:tcPr>
            <w:tcW w:w="8080" w:type="dxa"/>
          </w:tcPr>
          <w:p w:rsidR="00000000" w:rsidRDefault="00000000">
            <w:pPr>
              <w:spacing w:before="60" w:after="60" w:line="240" w:lineRule="exact"/>
            </w:pPr>
            <w:r>
              <w:t>Office fédéral des migrations</w:t>
            </w:r>
          </w:p>
        </w:tc>
      </w:tr>
      <w:tr w:rsidR="00000000">
        <w:tblPrEx>
          <w:tblCellMar>
            <w:top w:w="0" w:type="dxa"/>
            <w:bottom w:w="0" w:type="dxa"/>
          </w:tblCellMar>
        </w:tblPrEx>
        <w:tc>
          <w:tcPr>
            <w:tcW w:w="1418" w:type="dxa"/>
          </w:tcPr>
          <w:p w:rsidR="00000000" w:rsidRDefault="00000000">
            <w:pPr>
              <w:spacing w:before="60" w:after="60" w:line="240" w:lineRule="exact"/>
            </w:pPr>
            <w:proofErr w:type="spellStart"/>
            <w:r>
              <w:t>OFS</w:t>
            </w:r>
            <w:proofErr w:type="spellEnd"/>
          </w:p>
        </w:tc>
        <w:tc>
          <w:tcPr>
            <w:tcW w:w="8080" w:type="dxa"/>
          </w:tcPr>
          <w:p w:rsidR="00000000" w:rsidRDefault="00000000">
            <w:pPr>
              <w:spacing w:before="60" w:after="60" w:line="240" w:lineRule="exact"/>
            </w:pPr>
            <w:r>
              <w:t>Office fédéral de la statistique</w:t>
            </w:r>
          </w:p>
        </w:tc>
      </w:tr>
      <w:tr w:rsidR="00000000">
        <w:tblPrEx>
          <w:tblCellMar>
            <w:top w:w="0" w:type="dxa"/>
            <w:bottom w:w="0" w:type="dxa"/>
          </w:tblCellMar>
        </w:tblPrEx>
        <w:tc>
          <w:tcPr>
            <w:tcW w:w="1418" w:type="dxa"/>
          </w:tcPr>
          <w:p w:rsidR="00000000" w:rsidRDefault="00000000">
            <w:pPr>
              <w:spacing w:before="60" w:after="60" w:line="240" w:lineRule="exact"/>
            </w:pPr>
            <w:r>
              <w:t>OIE</w:t>
            </w:r>
          </w:p>
        </w:tc>
        <w:tc>
          <w:tcPr>
            <w:tcW w:w="8080" w:type="dxa"/>
          </w:tcPr>
          <w:p w:rsidR="00000000" w:rsidRDefault="00000000">
            <w:pPr>
              <w:spacing w:before="60" w:after="60" w:line="240" w:lineRule="exact"/>
            </w:pPr>
            <w:r>
              <w:t>Ordonnance du 13 septembre 2000 sur l’intégration des étrangers (RS 142.205)</w:t>
            </w:r>
          </w:p>
        </w:tc>
      </w:tr>
      <w:tr w:rsidR="00000000">
        <w:tblPrEx>
          <w:tblCellMar>
            <w:top w:w="0" w:type="dxa"/>
            <w:bottom w:w="0" w:type="dxa"/>
          </w:tblCellMar>
        </w:tblPrEx>
        <w:tc>
          <w:tcPr>
            <w:tcW w:w="1418" w:type="dxa"/>
          </w:tcPr>
          <w:p w:rsidR="00000000" w:rsidRDefault="00000000">
            <w:pPr>
              <w:spacing w:before="60" w:after="60" w:line="240" w:lineRule="exact"/>
            </w:pPr>
            <w:r>
              <w:t>OIT</w:t>
            </w:r>
          </w:p>
        </w:tc>
        <w:tc>
          <w:tcPr>
            <w:tcW w:w="8080" w:type="dxa"/>
          </w:tcPr>
          <w:p w:rsidR="00000000" w:rsidRDefault="00000000">
            <w:pPr>
              <w:spacing w:before="60" w:after="60" w:line="240" w:lineRule="exact"/>
            </w:pPr>
            <w:r>
              <w:t>Organisation internationale du Travail</w:t>
            </w:r>
          </w:p>
        </w:tc>
      </w:tr>
      <w:tr w:rsidR="00000000">
        <w:tblPrEx>
          <w:tblCellMar>
            <w:top w:w="0" w:type="dxa"/>
            <w:bottom w:w="0" w:type="dxa"/>
          </w:tblCellMar>
        </w:tblPrEx>
        <w:tc>
          <w:tcPr>
            <w:tcW w:w="1418" w:type="dxa"/>
          </w:tcPr>
          <w:p w:rsidR="00000000" w:rsidRDefault="00000000">
            <w:pPr>
              <w:spacing w:before="60" w:after="60" w:line="240" w:lineRule="exact"/>
            </w:pPr>
            <w:r>
              <w:t>OLE</w:t>
            </w:r>
          </w:p>
        </w:tc>
        <w:tc>
          <w:tcPr>
            <w:tcW w:w="8080" w:type="dxa"/>
          </w:tcPr>
          <w:p w:rsidR="00000000" w:rsidRDefault="00000000">
            <w:pPr>
              <w:spacing w:before="60" w:after="60" w:line="240" w:lineRule="exact"/>
            </w:pPr>
            <w:r>
              <w:t>Ordonnance du 6 octobre 1986 limitant le nombre des étrangers (RS 823.21)</w:t>
            </w:r>
          </w:p>
        </w:tc>
      </w:tr>
      <w:tr w:rsidR="00000000">
        <w:tblPrEx>
          <w:tblCellMar>
            <w:top w:w="0" w:type="dxa"/>
            <w:bottom w:w="0" w:type="dxa"/>
          </w:tblCellMar>
        </w:tblPrEx>
        <w:tc>
          <w:tcPr>
            <w:tcW w:w="1418" w:type="dxa"/>
          </w:tcPr>
          <w:p w:rsidR="00000000" w:rsidRDefault="00000000">
            <w:pPr>
              <w:spacing w:before="60" w:after="60" w:line="240" w:lineRule="exact"/>
            </w:pPr>
            <w:r>
              <w:t>ONG</w:t>
            </w:r>
          </w:p>
        </w:tc>
        <w:tc>
          <w:tcPr>
            <w:tcW w:w="8080" w:type="dxa"/>
          </w:tcPr>
          <w:p w:rsidR="00000000" w:rsidRDefault="00000000">
            <w:pPr>
              <w:spacing w:before="60" w:after="60" w:line="240" w:lineRule="exact"/>
            </w:pPr>
            <w:r>
              <w:t>Organisation(s) non gouvernementale(s)</w:t>
            </w:r>
          </w:p>
        </w:tc>
      </w:tr>
      <w:tr w:rsidR="00000000">
        <w:tblPrEx>
          <w:tblCellMar>
            <w:top w:w="0" w:type="dxa"/>
            <w:bottom w:w="0" w:type="dxa"/>
          </w:tblCellMar>
        </w:tblPrEx>
        <w:tc>
          <w:tcPr>
            <w:tcW w:w="1418" w:type="dxa"/>
          </w:tcPr>
          <w:p w:rsidR="00000000" w:rsidRDefault="00000000">
            <w:pPr>
              <w:spacing w:before="60" w:after="60" w:line="240" w:lineRule="exact"/>
            </w:pPr>
            <w:r>
              <w:t>ONU</w:t>
            </w:r>
          </w:p>
        </w:tc>
        <w:tc>
          <w:tcPr>
            <w:tcW w:w="8080" w:type="dxa"/>
          </w:tcPr>
          <w:p w:rsidR="00000000" w:rsidRDefault="00000000">
            <w:pPr>
              <w:spacing w:before="60" w:after="60" w:line="240" w:lineRule="exact"/>
            </w:pPr>
            <w:r>
              <w:t>Organisation des Nations Unies</w:t>
            </w:r>
          </w:p>
        </w:tc>
      </w:tr>
      <w:tr w:rsidR="00000000">
        <w:tblPrEx>
          <w:tblCellMar>
            <w:top w:w="0" w:type="dxa"/>
            <w:bottom w:w="0" w:type="dxa"/>
          </w:tblCellMar>
        </w:tblPrEx>
        <w:tc>
          <w:tcPr>
            <w:tcW w:w="1418" w:type="dxa"/>
          </w:tcPr>
          <w:p w:rsidR="00000000" w:rsidRDefault="00000000">
            <w:pPr>
              <w:spacing w:before="60" w:after="60" w:line="240" w:lineRule="exact"/>
            </w:pPr>
            <w:r>
              <w:t>OSCE</w:t>
            </w:r>
          </w:p>
        </w:tc>
        <w:tc>
          <w:tcPr>
            <w:tcW w:w="8080" w:type="dxa"/>
          </w:tcPr>
          <w:p w:rsidR="00000000" w:rsidRDefault="00000000">
            <w:pPr>
              <w:spacing w:before="60" w:after="60" w:line="240" w:lineRule="exact"/>
            </w:pPr>
            <w:r>
              <w:t>Organisation pour la sécurité et la coopération en Europe</w:t>
            </w:r>
          </w:p>
        </w:tc>
      </w:tr>
      <w:tr w:rsidR="00000000">
        <w:tblPrEx>
          <w:tblCellMar>
            <w:top w:w="0" w:type="dxa"/>
            <w:bottom w:w="0" w:type="dxa"/>
          </w:tblCellMar>
        </w:tblPrEx>
        <w:tc>
          <w:tcPr>
            <w:tcW w:w="1418" w:type="dxa"/>
          </w:tcPr>
          <w:p w:rsidR="00000000" w:rsidRDefault="00000000">
            <w:pPr>
              <w:spacing w:before="60" w:after="60" w:line="240" w:lineRule="exact"/>
            </w:pPr>
            <w:r>
              <w:t>OSYMIC</w:t>
            </w:r>
          </w:p>
        </w:tc>
        <w:tc>
          <w:tcPr>
            <w:tcW w:w="8080" w:type="dxa"/>
          </w:tcPr>
          <w:p w:rsidR="00000000" w:rsidRDefault="00000000">
            <w:pPr>
              <w:spacing w:before="60" w:after="60" w:line="240" w:lineRule="exact"/>
            </w:pPr>
            <w:r>
              <w:t>Ordonnance sur le système d’information central sur la migration</w:t>
            </w:r>
          </w:p>
        </w:tc>
      </w:tr>
      <w:tr w:rsidR="00000000">
        <w:tblPrEx>
          <w:tblCellMar>
            <w:top w:w="0" w:type="dxa"/>
            <w:bottom w:w="0" w:type="dxa"/>
          </w:tblCellMar>
        </w:tblPrEx>
        <w:tc>
          <w:tcPr>
            <w:tcW w:w="1418" w:type="dxa"/>
          </w:tcPr>
          <w:p w:rsidR="00000000" w:rsidRDefault="00000000">
            <w:pPr>
              <w:spacing w:before="60" w:after="60" w:line="240" w:lineRule="exact"/>
            </w:pPr>
            <w:r>
              <w:t>p.</w:t>
            </w:r>
          </w:p>
        </w:tc>
        <w:tc>
          <w:tcPr>
            <w:tcW w:w="8080" w:type="dxa"/>
          </w:tcPr>
          <w:p w:rsidR="00000000" w:rsidRDefault="00000000">
            <w:pPr>
              <w:spacing w:before="60" w:after="60" w:line="240" w:lineRule="exact"/>
            </w:pPr>
            <w:r>
              <w:t>page</w:t>
            </w:r>
          </w:p>
        </w:tc>
      </w:tr>
      <w:tr w:rsidR="00000000">
        <w:tblPrEx>
          <w:tblCellMar>
            <w:top w:w="0" w:type="dxa"/>
            <w:bottom w:w="0" w:type="dxa"/>
          </w:tblCellMar>
        </w:tblPrEx>
        <w:tc>
          <w:tcPr>
            <w:tcW w:w="1418" w:type="dxa"/>
          </w:tcPr>
          <w:p w:rsidR="00000000" w:rsidRDefault="00000000">
            <w:pPr>
              <w:spacing w:before="60" w:after="60" w:line="240" w:lineRule="exact"/>
            </w:pPr>
            <w:r>
              <w:t>PNR</w:t>
            </w:r>
          </w:p>
        </w:tc>
        <w:tc>
          <w:tcPr>
            <w:tcW w:w="8080" w:type="dxa"/>
          </w:tcPr>
          <w:p w:rsidR="00000000" w:rsidRDefault="00000000">
            <w:pPr>
              <w:spacing w:before="60" w:after="60" w:line="240" w:lineRule="exact"/>
            </w:pPr>
            <w:r>
              <w:t>Programme national de recherche</w:t>
            </w:r>
          </w:p>
        </w:tc>
      </w:tr>
      <w:tr w:rsidR="00000000">
        <w:tblPrEx>
          <w:tblCellMar>
            <w:top w:w="0" w:type="dxa"/>
            <w:bottom w:w="0" w:type="dxa"/>
          </w:tblCellMar>
        </w:tblPrEx>
        <w:tc>
          <w:tcPr>
            <w:tcW w:w="1418" w:type="dxa"/>
          </w:tcPr>
          <w:p w:rsidR="00000000" w:rsidRDefault="00000000">
            <w:pPr>
              <w:spacing w:before="60" w:after="60" w:line="240" w:lineRule="exact"/>
            </w:pPr>
            <w:r>
              <w:t>RO</w:t>
            </w:r>
          </w:p>
        </w:tc>
        <w:tc>
          <w:tcPr>
            <w:tcW w:w="8080" w:type="dxa"/>
          </w:tcPr>
          <w:p w:rsidR="00000000" w:rsidRDefault="00000000">
            <w:pPr>
              <w:spacing w:before="60" w:after="60" w:line="240" w:lineRule="exact"/>
            </w:pPr>
            <w:r>
              <w:t xml:space="preserve">Recueil officiel des lois fédérales (cit. par année et par volume, p.) </w:t>
            </w:r>
          </w:p>
        </w:tc>
      </w:tr>
      <w:tr w:rsidR="00000000">
        <w:tblPrEx>
          <w:tblCellMar>
            <w:top w:w="0" w:type="dxa"/>
            <w:bottom w:w="0" w:type="dxa"/>
          </w:tblCellMar>
        </w:tblPrEx>
        <w:tc>
          <w:tcPr>
            <w:tcW w:w="1418" w:type="dxa"/>
          </w:tcPr>
          <w:p w:rsidR="00000000" w:rsidRDefault="00000000">
            <w:pPr>
              <w:spacing w:before="60" w:after="60" w:line="240" w:lineRule="exact"/>
            </w:pPr>
            <w:r>
              <w:t>RS</w:t>
            </w:r>
          </w:p>
        </w:tc>
        <w:tc>
          <w:tcPr>
            <w:tcW w:w="8080" w:type="dxa"/>
          </w:tcPr>
          <w:p w:rsidR="00000000" w:rsidRDefault="00000000">
            <w:pPr>
              <w:spacing w:before="60" w:after="60" w:line="240" w:lineRule="exact"/>
            </w:pPr>
            <w:r>
              <w:t>Recueil systématique du droit fédéral</w:t>
            </w:r>
          </w:p>
        </w:tc>
      </w:tr>
      <w:tr w:rsidR="00000000">
        <w:tblPrEx>
          <w:tblCellMar>
            <w:top w:w="0" w:type="dxa"/>
            <w:bottom w:w="0" w:type="dxa"/>
          </w:tblCellMar>
        </w:tblPrEx>
        <w:tc>
          <w:tcPr>
            <w:tcW w:w="1418" w:type="dxa"/>
          </w:tcPr>
          <w:p w:rsidR="00000000" w:rsidRDefault="00000000">
            <w:pPr>
              <w:spacing w:before="60" w:after="60" w:line="240" w:lineRule="exact"/>
            </w:pPr>
            <w:r>
              <w:t>SECO</w:t>
            </w:r>
          </w:p>
        </w:tc>
        <w:tc>
          <w:tcPr>
            <w:tcW w:w="8080" w:type="dxa"/>
          </w:tcPr>
          <w:p w:rsidR="00000000" w:rsidRDefault="00000000">
            <w:pPr>
              <w:spacing w:before="60" w:after="60" w:line="240" w:lineRule="exact"/>
            </w:pPr>
            <w:r>
              <w:t>Secrétariat d’État à l’économie</w:t>
            </w:r>
          </w:p>
        </w:tc>
      </w:tr>
      <w:tr w:rsidR="00000000">
        <w:tblPrEx>
          <w:tblCellMar>
            <w:top w:w="0" w:type="dxa"/>
            <w:bottom w:w="0" w:type="dxa"/>
          </w:tblCellMar>
        </w:tblPrEx>
        <w:tc>
          <w:tcPr>
            <w:tcW w:w="1418" w:type="dxa"/>
          </w:tcPr>
          <w:p w:rsidR="00000000" w:rsidRDefault="00000000">
            <w:pPr>
              <w:spacing w:before="60" w:after="60" w:line="240" w:lineRule="exact"/>
            </w:pPr>
            <w:r>
              <w:t>SJZ</w:t>
            </w:r>
          </w:p>
        </w:tc>
        <w:tc>
          <w:tcPr>
            <w:tcW w:w="8080" w:type="dxa"/>
          </w:tcPr>
          <w:p w:rsidR="00000000" w:rsidRDefault="00000000">
            <w:pPr>
              <w:spacing w:before="60" w:after="60" w:line="240" w:lineRule="exact"/>
            </w:pPr>
            <w:r>
              <w:t>Schweizerische Juristen</w:t>
            </w:r>
            <w:r>
              <w:noBreakHyphen/>
              <w:t>Zeitung, depuis 1904</w:t>
            </w:r>
          </w:p>
        </w:tc>
      </w:tr>
      <w:tr w:rsidR="00000000">
        <w:tblPrEx>
          <w:tblCellMar>
            <w:top w:w="0" w:type="dxa"/>
            <w:bottom w:w="0" w:type="dxa"/>
          </w:tblCellMar>
        </w:tblPrEx>
        <w:tc>
          <w:tcPr>
            <w:tcW w:w="1418" w:type="dxa"/>
          </w:tcPr>
          <w:p w:rsidR="00000000" w:rsidRDefault="00000000">
            <w:pPr>
              <w:spacing w:before="60" w:after="60" w:line="240" w:lineRule="exact"/>
            </w:pPr>
            <w:r>
              <w:t>SLR</w:t>
            </w:r>
          </w:p>
        </w:tc>
        <w:tc>
          <w:tcPr>
            <w:tcW w:w="8080" w:type="dxa"/>
          </w:tcPr>
          <w:p w:rsidR="00000000" w:rsidRDefault="00000000">
            <w:pPr>
              <w:spacing w:before="60" w:after="60" w:line="240" w:lineRule="exact"/>
            </w:pPr>
            <w:r>
              <w:t>Service de lutte contre le racisme</w:t>
            </w:r>
          </w:p>
        </w:tc>
      </w:tr>
      <w:tr w:rsidR="00000000">
        <w:tblPrEx>
          <w:tblCellMar>
            <w:top w:w="0" w:type="dxa"/>
            <w:bottom w:w="0" w:type="dxa"/>
          </w:tblCellMar>
        </w:tblPrEx>
        <w:tc>
          <w:tcPr>
            <w:tcW w:w="1418" w:type="dxa"/>
          </w:tcPr>
          <w:p w:rsidR="00000000" w:rsidRDefault="00000000">
            <w:pPr>
              <w:spacing w:before="60" w:after="60" w:line="240" w:lineRule="exact"/>
            </w:pPr>
            <w:r>
              <w:t>UDC</w:t>
            </w:r>
          </w:p>
        </w:tc>
        <w:tc>
          <w:tcPr>
            <w:tcW w:w="8080" w:type="dxa"/>
          </w:tcPr>
          <w:p w:rsidR="00000000" w:rsidRDefault="00000000">
            <w:pPr>
              <w:spacing w:before="60" w:after="60" w:line="240" w:lineRule="exact"/>
            </w:pPr>
            <w:r>
              <w:t>Union démocratique du centre</w:t>
            </w:r>
          </w:p>
        </w:tc>
      </w:tr>
      <w:tr w:rsidR="00000000">
        <w:tblPrEx>
          <w:tblCellMar>
            <w:top w:w="0" w:type="dxa"/>
            <w:bottom w:w="0" w:type="dxa"/>
          </w:tblCellMar>
        </w:tblPrEx>
        <w:tc>
          <w:tcPr>
            <w:tcW w:w="1418" w:type="dxa"/>
          </w:tcPr>
          <w:p w:rsidR="00000000" w:rsidRDefault="00000000">
            <w:pPr>
              <w:spacing w:before="60" w:after="60" w:line="240" w:lineRule="exact"/>
            </w:pPr>
            <w:r>
              <w:t>UE</w:t>
            </w:r>
          </w:p>
        </w:tc>
        <w:tc>
          <w:tcPr>
            <w:tcW w:w="8080" w:type="dxa"/>
          </w:tcPr>
          <w:p w:rsidR="00000000" w:rsidRDefault="00000000">
            <w:pPr>
              <w:spacing w:before="60" w:after="60" w:line="240" w:lineRule="exact"/>
            </w:pPr>
            <w:r>
              <w:t xml:space="preserve">Union européenne </w:t>
            </w:r>
          </w:p>
        </w:tc>
      </w:tr>
      <w:tr w:rsidR="00000000">
        <w:tblPrEx>
          <w:tblCellMar>
            <w:top w:w="0" w:type="dxa"/>
            <w:bottom w:w="0" w:type="dxa"/>
          </w:tblCellMar>
        </w:tblPrEx>
        <w:tc>
          <w:tcPr>
            <w:tcW w:w="1418" w:type="dxa"/>
          </w:tcPr>
          <w:p w:rsidR="00000000" w:rsidRDefault="00000000">
            <w:pPr>
              <w:spacing w:before="60" w:after="60" w:line="240" w:lineRule="exact"/>
            </w:pPr>
            <w:r>
              <w:t>UNHCR</w:t>
            </w:r>
          </w:p>
        </w:tc>
        <w:tc>
          <w:tcPr>
            <w:tcW w:w="8080" w:type="dxa"/>
          </w:tcPr>
          <w:p w:rsidR="00000000" w:rsidRDefault="00000000">
            <w:pPr>
              <w:spacing w:before="60" w:after="60" w:line="240" w:lineRule="exact"/>
            </w:pPr>
            <w:proofErr w:type="spellStart"/>
            <w:r>
              <w:t>Haut</w:t>
            </w:r>
            <w:r>
              <w:noBreakHyphen/>
              <w:t>Commissariat</w:t>
            </w:r>
            <w:proofErr w:type="spellEnd"/>
            <w:r>
              <w:t xml:space="preserve"> des Nations Unies pour les réfugiés</w:t>
            </w:r>
          </w:p>
        </w:tc>
      </w:tr>
    </w:tbl>
    <w:p w:rsidR="00000000" w:rsidRDefault="00000000">
      <w:pPr>
        <w:jc w:val="center"/>
      </w:pPr>
      <w:r>
        <w:br/>
        <w:t>-----</w:t>
      </w:r>
    </w:p>
    <w:sectPr w:rsidR="00000000">
      <w:headerReference w:type="even" r:id="rId10"/>
      <w:headerReference w:type="default" r:id="rId11"/>
      <w:footerReference w:type="first" r:id="rId12"/>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GE.07-41153  (F)    170407    240407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w:t>
      </w:r>
      <w:r>
        <w:rPr>
          <w:lang w:val="fr-FR"/>
        </w:rPr>
        <w:t xml:space="preserve">Le présent rapport réunit en un seul document les quatrième, cinquième et sixième rapports périodiques de la Confédération suisse qui devaient être soumis respectivement les 29 décembre 2003 et 2005. Pour les deuxième et troisième rapports périodiques de la Confédération suisse et les comptes rendus analytiques des séances que le Comité a consacrées à son examen, voir les documents CERD/C/351/Add.2 et </w:t>
      </w:r>
      <w:r>
        <w:rPr>
          <w:color w:val="000000"/>
          <w:lang w:val="fr-FR"/>
        </w:rPr>
        <w:t>CERD/C/SR.1495, 1496, 1520.</w:t>
      </w:r>
    </w:p>
  </w:footnote>
  <w:footnote w:id="2">
    <w:p w:rsidR="00000000" w:rsidRDefault="00000000">
      <w:pPr>
        <w:pStyle w:val="FootnoteText"/>
        <w:spacing w:after="240"/>
        <w:rPr>
          <w:lang w:val="en-GB"/>
        </w:rPr>
      </w:pPr>
      <w:r>
        <w:rPr>
          <w:rStyle w:val="FootnoteReference"/>
        </w:rPr>
        <w:footnoteRef/>
      </w:r>
      <w:r>
        <w:rPr>
          <w:lang w:val="en-GB"/>
        </w:rPr>
        <w:t xml:space="preserve"> RO 1995 1163 s.; FF 1992 III 265.</w:t>
      </w:r>
    </w:p>
  </w:footnote>
  <w:footnote w:id="3">
    <w:p w:rsidR="00000000" w:rsidRDefault="00000000">
      <w:pPr>
        <w:pStyle w:val="FootnoteText"/>
        <w:spacing w:after="240"/>
      </w:pPr>
      <w:r>
        <w:rPr>
          <w:rStyle w:val="FootnoteReference"/>
        </w:rPr>
        <w:footnoteRef/>
      </w:r>
      <w:r>
        <w:t xml:space="preserve"> RS 0.104.</w:t>
      </w:r>
    </w:p>
  </w:footnote>
  <w:footnote w:id="4">
    <w:p w:rsidR="00000000" w:rsidRDefault="00000000">
      <w:pPr>
        <w:pStyle w:val="FootnoteText"/>
        <w:spacing w:after="240"/>
        <w:rPr>
          <w:lang w:val="fr-FR"/>
        </w:rPr>
      </w:pPr>
      <w:r>
        <w:rPr>
          <w:rStyle w:val="FootnoteReference"/>
        </w:rPr>
        <w:footnoteRef/>
      </w:r>
      <w:r>
        <w:rPr>
          <w:lang w:val="fr-FR"/>
        </w:rPr>
        <w:t xml:space="preserve"> Les données de l’Office fédéral de la statistique ne sont pour l’instant disponibles que jusqu’à 2004.</w:t>
      </w:r>
    </w:p>
  </w:footnote>
  <w:footnote w:id="5">
    <w:p w:rsidR="00000000" w:rsidRDefault="00000000">
      <w:pPr>
        <w:pStyle w:val="FootnoteText"/>
        <w:spacing w:after="240"/>
      </w:pPr>
      <w:r>
        <w:rPr>
          <w:rStyle w:val="FootnoteReference"/>
        </w:rPr>
        <w:footnoteRef/>
      </w:r>
      <w:r>
        <w:t xml:space="preserve"> Voir les comptes rendus analytiques de la 1495</w:t>
      </w:r>
      <w:r>
        <w:rPr>
          <w:vertAlign w:val="superscript"/>
        </w:rPr>
        <w:t>e</w:t>
      </w:r>
      <w:r>
        <w:t xml:space="preserve"> séance du Comité du 4 mars 2002 (CERD/C/SR.1495) et de la 1496</w:t>
      </w:r>
      <w:r>
        <w:rPr>
          <w:vertAlign w:val="superscript"/>
        </w:rPr>
        <w:t>e</w:t>
      </w:r>
      <w:r>
        <w:t xml:space="preserve"> séance du Comité du 5 mars 2002 (CERD/C/SR.1496).</w:t>
      </w:r>
    </w:p>
  </w:footnote>
  <w:footnote w:id="6">
    <w:p w:rsidR="00000000" w:rsidRDefault="00000000">
      <w:pPr>
        <w:pStyle w:val="FootnoteText"/>
        <w:spacing w:after="240"/>
      </w:pPr>
      <w:r>
        <w:rPr>
          <w:rStyle w:val="FootnoteReference"/>
        </w:rPr>
        <w:footnoteRef/>
      </w:r>
      <w:r>
        <w:t xml:space="preserve"> </w:t>
      </w:r>
      <w:hyperlink r:id="rId1" w:history="1">
        <w:r>
          <w:rPr>
            <w:rStyle w:val="Hyperlink"/>
          </w:rPr>
          <w:t>www.ddip.admin.ch</w:t>
        </w:r>
      </w:hyperlink>
      <w:r>
        <w:t>.</w:t>
      </w:r>
    </w:p>
  </w:footnote>
  <w:footnote w:id="7">
    <w:p w:rsidR="00000000" w:rsidRDefault="00000000">
      <w:pPr>
        <w:pStyle w:val="FootnoteText"/>
        <w:tabs>
          <w:tab w:val="left" w:pos="110"/>
        </w:tabs>
        <w:spacing w:after="240"/>
      </w:pPr>
      <w:r>
        <w:rPr>
          <w:rStyle w:val="FootnoteReference"/>
        </w:rPr>
        <w:footnoteRef/>
      </w:r>
      <w:r>
        <w:t xml:space="preserve"> </w:t>
      </w:r>
      <w:r>
        <w:rPr>
          <w:i/>
          <w:iCs/>
        </w:rPr>
        <w:t>Source</w:t>
      </w:r>
      <w:r>
        <w:t>: Office fédéral de la statistique, Statistique annuelle sur l’état de la population (ESPOP). Sans les titula</w:t>
      </w:r>
      <w:r>
        <w:t>i</w:t>
      </w:r>
      <w:r>
        <w:t>res d’un permis de courte durée et sans les personnes dont le séjour en Suisse est en rapport avec le droit d’asile.</w:t>
      </w:r>
    </w:p>
  </w:footnote>
  <w:footnote w:id="8">
    <w:p w:rsidR="00000000" w:rsidRDefault="00000000">
      <w:pPr>
        <w:pStyle w:val="FootnoteText"/>
        <w:spacing w:after="240"/>
      </w:pPr>
      <w:r>
        <w:rPr>
          <w:rStyle w:val="FootnoteReference"/>
        </w:rPr>
        <w:footnoteRef/>
      </w:r>
      <w:r>
        <w:t xml:space="preserve"> </w:t>
      </w:r>
      <w:r>
        <w:rPr>
          <w:i/>
          <w:iCs/>
        </w:rPr>
        <w:t>Source</w:t>
      </w:r>
      <w:r>
        <w:t>: Office fédéral des migrations, Effectif de la population résidente permanente étrangère par cantons de résidence et groupe d’étrangers, fin décembre 2004.</w:t>
      </w:r>
    </w:p>
  </w:footnote>
  <w:footnote w:id="9">
    <w:p w:rsidR="00000000" w:rsidRDefault="00000000">
      <w:pPr>
        <w:pStyle w:val="FootnoteText"/>
        <w:spacing w:after="240"/>
      </w:pPr>
      <w:r>
        <w:rPr>
          <w:rStyle w:val="FootnoteReference"/>
        </w:rPr>
        <w:footnoteRef/>
      </w:r>
      <w:r>
        <w:t xml:space="preserve"> </w:t>
      </w:r>
      <w:r>
        <w:rPr>
          <w:i/>
          <w:iCs/>
        </w:rPr>
        <w:t>Source</w:t>
      </w:r>
      <w:r>
        <w:t>: Office fédéral de la statistique, Statistique de l’état annuel de la population (ESPOP) 2004 (résultats provisoires), février 2005.</w:t>
      </w:r>
    </w:p>
  </w:footnote>
  <w:footnote w:id="10">
    <w:p w:rsidR="00000000" w:rsidRDefault="00000000">
      <w:pPr>
        <w:pStyle w:val="FootnoteText"/>
        <w:spacing w:after="240"/>
      </w:pPr>
      <w:r>
        <w:rPr>
          <w:rStyle w:val="FootnoteReference"/>
        </w:rPr>
        <w:footnoteRef/>
      </w:r>
      <w:r>
        <w:t xml:space="preserve"> </w:t>
      </w:r>
      <w:r>
        <w:rPr>
          <w:i/>
          <w:iCs/>
        </w:rPr>
        <w:t>La population étrangère en Suisse</w:t>
      </w:r>
      <w:r>
        <w:t>, éd. 2005, Office fédéral de la statistique, Neuchâtel 2005, p. 36ss.</w:t>
      </w:r>
    </w:p>
  </w:footnote>
  <w:footnote w:id="11">
    <w:p w:rsidR="00000000" w:rsidRDefault="00000000">
      <w:pPr>
        <w:pStyle w:val="FootnoteText"/>
        <w:spacing w:after="240"/>
      </w:pPr>
      <w:r>
        <w:rPr>
          <w:rStyle w:val="FootnoteReference"/>
        </w:rPr>
        <w:footnoteRef/>
      </w:r>
      <w:r>
        <w:t xml:space="preserve"> Ibid., p. 32.</w:t>
      </w:r>
    </w:p>
  </w:footnote>
  <w:footnote w:id="12">
    <w:p w:rsidR="00000000" w:rsidRDefault="00000000">
      <w:pPr>
        <w:pStyle w:val="FootnoteText"/>
        <w:spacing w:after="240"/>
      </w:pPr>
      <w:r>
        <w:rPr>
          <w:rStyle w:val="FootnoteReference"/>
        </w:rPr>
        <w:footnoteRef/>
      </w:r>
      <w:r>
        <w:t xml:space="preserve"> Office fédéral des migrations, Statistique en matière d’asile 2004.</w:t>
      </w:r>
    </w:p>
  </w:footnote>
  <w:footnote w:id="13">
    <w:p w:rsidR="00000000" w:rsidRDefault="00000000">
      <w:pPr>
        <w:pStyle w:val="FootnoteText"/>
        <w:spacing w:after="240"/>
      </w:pPr>
      <w:r>
        <w:rPr>
          <w:rStyle w:val="FootnoteReference"/>
        </w:rPr>
        <w:footnoteRef/>
      </w:r>
      <w:r>
        <w:t xml:space="preserve"> Ibid.</w:t>
      </w:r>
    </w:p>
  </w:footnote>
  <w:footnote w:id="14">
    <w:p w:rsidR="00000000" w:rsidRDefault="00000000">
      <w:pPr>
        <w:pStyle w:val="FootnoteText"/>
        <w:spacing w:after="240"/>
      </w:pPr>
      <w:r>
        <w:rPr>
          <w:rStyle w:val="FootnoteReference"/>
        </w:rPr>
        <w:footnoteRef/>
      </w:r>
      <w:r>
        <w:t xml:space="preserve"> Office fédéral des migrations, Statistique en matière d’asile, août 2005.</w:t>
      </w:r>
    </w:p>
  </w:footnote>
  <w:footnote w:id="15">
    <w:p w:rsidR="00000000" w:rsidRDefault="00000000">
      <w:pPr>
        <w:pStyle w:val="FootnoteText"/>
        <w:spacing w:after="240"/>
      </w:pPr>
      <w:r>
        <w:rPr>
          <w:rStyle w:val="FootnoteReference"/>
        </w:rPr>
        <w:footnoteRef/>
      </w:r>
      <w:r>
        <w:t xml:space="preserve"> Office fédéral de la statistique, Neuchâtel 2003 − Recensement fédéral de la population 2000 − Structure de la population, langue principale et religion.</w:t>
      </w:r>
    </w:p>
  </w:footnote>
  <w:footnote w:id="16">
    <w:p w:rsidR="00000000" w:rsidRDefault="00000000">
      <w:pPr>
        <w:pStyle w:val="FootnoteText"/>
        <w:spacing w:after="240"/>
      </w:pPr>
      <w:r>
        <w:rPr>
          <w:rStyle w:val="FootnoteReference"/>
        </w:rPr>
        <w:footnoteRef/>
      </w:r>
      <w:r>
        <w:t xml:space="preserve"> Office fédéral de la statistique, Neuchâtel 2003 − Recensement fédéral de la population 2000 − Structure de la population, langue principale et religion.</w:t>
      </w:r>
    </w:p>
  </w:footnote>
  <w:footnote w:id="17">
    <w:p w:rsidR="00000000" w:rsidRDefault="00000000">
      <w:pPr>
        <w:pStyle w:val="FootnoteText"/>
        <w:spacing w:after="240"/>
        <w:rPr>
          <w:lang w:val="en-GB"/>
        </w:rPr>
      </w:pPr>
      <w:r>
        <w:rPr>
          <w:rStyle w:val="FootnoteReference"/>
        </w:rPr>
        <w:footnoteRef/>
      </w:r>
      <w:r>
        <w:rPr>
          <w:lang w:val="en-GB"/>
        </w:rPr>
        <w:t xml:space="preserve"> RS 107.1.</w:t>
      </w:r>
    </w:p>
  </w:footnote>
  <w:footnote w:id="18">
    <w:p w:rsidR="00000000" w:rsidRDefault="00000000">
      <w:pPr>
        <w:pStyle w:val="FootnoteText"/>
        <w:spacing w:after="240"/>
        <w:rPr>
          <w:lang w:val="en-GB"/>
        </w:rPr>
      </w:pPr>
      <w:r>
        <w:rPr>
          <w:rStyle w:val="FootnoteReference"/>
        </w:rPr>
        <w:footnoteRef/>
      </w:r>
      <w:r>
        <w:rPr>
          <w:lang w:val="en-GB"/>
        </w:rPr>
        <w:t xml:space="preserve"> FF 2005 2639.</w:t>
      </w:r>
    </w:p>
  </w:footnote>
  <w:footnote w:id="19">
    <w:p w:rsidR="00000000" w:rsidRDefault="00000000">
      <w:pPr>
        <w:pStyle w:val="FootnoteText"/>
        <w:spacing w:after="240"/>
        <w:rPr>
          <w:lang w:val="en-GB"/>
        </w:rPr>
      </w:pPr>
      <w:r>
        <w:rPr>
          <w:rStyle w:val="FootnoteReference"/>
        </w:rPr>
        <w:footnoteRef/>
      </w:r>
      <w:r>
        <w:rPr>
          <w:lang w:val="en-GB"/>
        </w:rPr>
        <w:t xml:space="preserve"> RS 0.101.</w:t>
      </w:r>
    </w:p>
  </w:footnote>
  <w:footnote w:id="20">
    <w:p w:rsidR="00000000" w:rsidRDefault="00000000">
      <w:pPr>
        <w:pStyle w:val="FootnoteText"/>
        <w:spacing w:after="240"/>
        <w:rPr>
          <w:lang w:val="fr-FR"/>
        </w:rPr>
      </w:pPr>
      <w:r>
        <w:rPr>
          <w:rStyle w:val="FootnoteReference"/>
        </w:rPr>
        <w:footnoteRef/>
      </w:r>
      <w:r>
        <w:rPr>
          <w:lang w:val="fr-FR"/>
        </w:rPr>
        <w:t xml:space="preserve"> </w:t>
      </w:r>
      <w:hyperlink r:id="rId2" w:history="1">
        <w:r>
          <w:rPr>
            <w:rStyle w:val="Hyperlink"/>
            <w:lang w:val="fr-FR"/>
          </w:rPr>
          <w:t>http://www.cybercrime.admin.ch</w:t>
        </w:r>
      </w:hyperlink>
      <w:r>
        <w:rPr>
          <w:lang w:val="fr-FR"/>
        </w:rPr>
        <w:t>, voir aussi par. 229 ci</w:t>
      </w:r>
      <w:r>
        <w:rPr>
          <w:lang w:val="fr-FR"/>
        </w:rPr>
        <w:noBreakHyphen/>
        <w:t xml:space="preserve">dessous. </w:t>
      </w:r>
    </w:p>
  </w:footnote>
  <w:footnote w:id="21">
    <w:p w:rsidR="00000000" w:rsidRDefault="00000000">
      <w:pPr>
        <w:pStyle w:val="FootnoteText"/>
        <w:spacing w:after="240"/>
        <w:rPr>
          <w:lang w:val="en-GB"/>
        </w:rPr>
      </w:pPr>
      <w:r>
        <w:rPr>
          <w:rStyle w:val="FootnoteReference"/>
        </w:rPr>
        <w:footnoteRef/>
      </w:r>
      <w:r>
        <w:rPr>
          <w:lang w:val="en-GB"/>
        </w:rPr>
        <w:t xml:space="preserve"> RO 2003 1949.</w:t>
      </w:r>
    </w:p>
  </w:footnote>
  <w:footnote w:id="22">
    <w:p w:rsidR="00000000" w:rsidRDefault="00000000">
      <w:pPr>
        <w:pStyle w:val="FootnoteText"/>
        <w:spacing w:after="240"/>
        <w:rPr>
          <w:lang w:val="en-GB"/>
        </w:rPr>
      </w:pPr>
      <w:r>
        <w:rPr>
          <w:rStyle w:val="FootnoteReference"/>
        </w:rPr>
        <w:footnoteRef/>
      </w:r>
      <w:r>
        <w:rPr>
          <w:lang w:val="en-GB"/>
        </w:rPr>
        <w:t xml:space="preserve"> RS 311.</w:t>
      </w:r>
    </w:p>
  </w:footnote>
  <w:footnote w:id="23">
    <w:p w:rsidR="00000000" w:rsidRDefault="00000000">
      <w:pPr>
        <w:pStyle w:val="FootnoteText"/>
        <w:spacing w:after="240"/>
        <w:rPr>
          <w:lang w:val="en-GB"/>
        </w:rPr>
      </w:pPr>
      <w:r>
        <w:rPr>
          <w:rStyle w:val="FootnoteReference"/>
        </w:rPr>
        <w:footnoteRef/>
      </w:r>
      <w:r>
        <w:rPr>
          <w:lang w:val="en-GB"/>
        </w:rPr>
        <w:t xml:space="preserve"> RS 120.</w:t>
      </w:r>
    </w:p>
  </w:footnote>
  <w:footnote w:id="24">
    <w:p w:rsidR="00000000" w:rsidRDefault="00000000">
      <w:pPr>
        <w:pStyle w:val="FootnoteText"/>
        <w:spacing w:after="240"/>
        <w:rPr>
          <w:lang w:val="fr-FR"/>
        </w:rPr>
      </w:pPr>
      <w:r>
        <w:rPr>
          <w:rStyle w:val="FootnoteReference"/>
        </w:rPr>
        <w:footnoteRef/>
      </w:r>
      <w:r>
        <w:rPr>
          <w:lang w:val="fr-FR"/>
        </w:rPr>
        <w:t xml:space="preserve"> Pour plus de détails, voir par. 108 et suiv.</w:t>
      </w:r>
    </w:p>
  </w:footnote>
  <w:footnote w:id="25">
    <w:p w:rsidR="00000000" w:rsidRDefault="00000000">
      <w:pPr>
        <w:pStyle w:val="FootnoteText"/>
        <w:spacing w:after="240"/>
        <w:rPr>
          <w:lang w:val="fr-FR"/>
        </w:rPr>
      </w:pPr>
      <w:r>
        <w:rPr>
          <w:rStyle w:val="FootnoteReference"/>
        </w:rPr>
        <w:footnoteRef/>
      </w:r>
      <w:r>
        <w:rPr>
          <w:lang w:val="fr-FR"/>
        </w:rPr>
        <w:t xml:space="preserve"> Voir aussi par. 115 et suiv.</w:t>
      </w:r>
    </w:p>
  </w:footnote>
  <w:footnote w:id="26">
    <w:p w:rsidR="00000000" w:rsidRDefault="00000000">
      <w:pPr>
        <w:pStyle w:val="FootnoteText"/>
        <w:spacing w:after="240"/>
        <w:rPr>
          <w:lang w:val="fr-FR"/>
        </w:rPr>
      </w:pPr>
      <w:r>
        <w:rPr>
          <w:rStyle w:val="FootnoteReference"/>
        </w:rPr>
        <w:footnoteRef/>
      </w:r>
      <w:r>
        <w:rPr>
          <w:lang w:val="fr-FR"/>
        </w:rPr>
        <w:t xml:space="preserve"> RO 2004 1409, voir ch. 118.</w:t>
      </w:r>
    </w:p>
  </w:footnote>
  <w:footnote w:id="27">
    <w:p w:rsidR="00000000" w:rsidRDefault="00000000">
      <w:pPr>
        <w:pStyle w:val="FootnoteText"/>
        <w:spacing w:after="240"/>
      </w:pPr>
      <w:r>
        <w:rPr>
          <w:rStyle w:val="FootnoteReference"/>
        </w:rPr>
        <w:footnoteRef/>
      </w:r>
      <w:r>
        <w:t xml:space="preserve"> FF 2002 6359.</w:t>
      </w:r>
    </w:p>
  </w:footnote>
  <w:footnote w:id="28">
    <w:p w:rsidR="00000000" w:rsidRDefault="00000000">
      <w:pPr>
        <w:pStyle w:val="FootnoteText"/>
        <w:spacing w:after="240"/>
      </w:pPr>
      <w:r>
        <w:rPr>
          <w:rStyle w:val="FootnoteReference"/>
        </w:rPr>
        <w:footnoteRef/>
      </w:r>
      <w:r>
        <w:t xml:space="preserve"> Demandée par la motion 03.3593 du 3 décembre 2003.</w:t>
      </w:r>
    </w:p>
  </w:footnote>
  <w:footnote w:id="29">
    <w:p w:rsidR="00000000" w:rsidRDefault="00000000">
      <w:pPr>
        <w:pStyle w:val="FootnoteText"/>
        <w:spacing w:after="240"/>
      </w:pPr>
      <w:r>
        <w:rPr>
          <w:rStyle w:val="FootnoteReference"/>
        </w:rPr>
        <w:footnoteRef/>
      </w:r>
      <w:r>
        <w:t xml:space="preserve"> Communiqué de presse de l’OFM; révision partielle de la loi sur l’asile, 25 août 2004.</w:t>
      </w:r>
    </w:p>
  </w:footnote>
  <w:footnote w:id="30">
    <w:p w:rsidR="00000000" w:rsidRDefault="00000000">
      <w:pPr>
        <w:pStyle w:val="FootnoteText"/>
        <w:spacing w:after="240"/>
      </w:pPr>
      <w:r>
        <w:rPr>
          <w:rStyle w:val="FootnoteReference"/>
        </w:rPr>
        <w:footnoteRef/>
      </w:r>
      <w:r>
        <w:t xml:space="preserve"> ATF 131 I 166.</w:t>
      </w:r>
    </w:p>
  </w:footnote>
  <w:footnote w:id="31">
    <w:p w:rsidR="00000000" w:rsidRDefault="00000000">
      <w:pPr>
        <w:pStyle w:val="FootnoteText"/>
        <w:spacing w:after="240"/>
        <w:rPr>
          <w:lang w:val="fr-FR"/>
        </w:rPr>
      </w:pPr>
      <w:r>
        <w:rPr>
          <w:rStyle w:val="FootnoteReference"/>
        </w:rPr>
        <w:footnoteRef/>
      </w:r>
      <w:r>
        <w:rPr>
          <w:lang w:val="fr-FR"/>
        </w:rPr>
        <w:t xml:space="preserve"> Recommandations CDAS relatives à l’aide d’urgence NEM</w:t>
      </w:r>
      <w:r>
        <w:rPr>
          <w:color w:val="000000"/>
          <w:lang w:val="fr-FR"/>
        </w:rPr>
        <w:t>; version révisée approuvée par le Comité dire</w:t>
      </w:r>
      <w:r>
        <w:rPr>
          <w:color w:val="000000"/>
          <w:lang w:val="fr-FR"/>
        </w:rPr>
        <w:t>c</w:t>
      </w:r>
      <w:r>
        <w:rPr>
          <w:color w:val="000000"/>
          <w:lang w:val="fr-FR"/>
        </w:rPr>
        <w:t>teur de la CDAS (27 mai 2004).</w:t>
      </w:r>
    </w:p>
  </w:footnote>
  <w:footnote w:id="32">
    <w:p w:rsidR="00000000" w:rsidRDefault="00000000">
      <w:pPr>
        <w:pStyle w:val="FootnoteText"/>
        <w:spacing w:after="240"/>
        <w:rPr>
          <w:lang w:val="fr-FR"/>
        </w:rPr>
      </w:pPr>
      <w:r>
        <w:rPr>
          <w:rStyle w:val="FootnoteReference"/>
        </w:rPr>
        <w:footnoteRef/>
      </w:r>
      <w:r>
        <w:rPr>
          <w:lang w:val="fr-FR"/>
        </w:rPr>
        <w:t xml:space="preserve"> OFM; la nouvelle loi sur les étrangers, état: janvier 2006.</w:t>
      </w:r>
    </w:p>
  </w:footnote>
  <w:footnote w:id="33">
    <w:p w:rsidR="00000000" w:rsidRDefault="00000000">
      <w:pPr>
        <w:pStyle w:val="FootnoteText"/>
        <w:spacing w:after="240"/>
      </w:pPr>
      <w:r>
        <w:rPr>
          <w:rStyle w:val="FootnoteReference"/>
        </w:rPr>
        <w:footnoteRef/>
      </w:r>
      <w:r>
        <w:t xml:space="preserve"> RS 412.10; en vigueur depuis le 1</w:t>
      </w:r>
      <w:r>
        <w:rPr>
          <w:vertAlign w:val="superscript"/>
        </w:rPr>
        <w:t>er</w:t>
      </w:r>
      <w:r>
        <w:t xml:space="preserve"> janvier 2004.</w:t>
      </w:r>
    </w:p>
  </w:footnote>
  <w:footnote w:id="34">
    <w:p w:rsidR="00000000" w:rsidRDefault="00000000">
      <w:pPr>
        <w:pStyle w:val="FootnoteText"/>
        <w:spacing w:after="240"/>
        <w:rPr>
          <w:lang w:val="de-CH"/>
        </w:rPr>
      </w:pPr>
      <w:r>
        <w:rPr>
          <w:rStyle w:val="FootnoteReference"/>
        </w:rPr>
        <w:footnoteRef/>
      </w:r>
      <w:r>
        <w:rPr>
          <w:lang w:val="de-CH"/>
        </w:rPr>
        <w:t xml:space="preserve"> RS 142.20; art. 17, al. 2 </w:t>
      </w:r>
      <w:r>
        <w:rPr>
          <w:i/>
          <w:iCs/>
          <w:lang w:val="de-CH"/>
        </w:rPr>
        <w:t>bis.</w:t>
      </w:r>
    </w:p>
  </w:footnote>
  <w:footnote w:id="35">
    <w:p w:rsidR="00000000" w:rsidRDefault="00000000">
      <w:pPr>
        <w:pStyle w:val="FootnoteText"/>
        <w:spacing w:after="240"/>
        <w:rPr>
          <w:lang w:val="fr-FR"/>
        </w:rPr>
      </w:pPr>
      <w:r>
        <w:rPr>
          <w:rStyle w:val="FootnoteReference"/>
        </w:rPr>
        <w:footnoteRef/>
      </w:r>
      <w:r>
        <w:rPr>
          <w:lang w:val="fr-FR"/>
        </w:rPr>
        <w:t xml:space="preserve"> FF 2004 6807.</w:t>
      </w:r>
    </w:p>
  </w:footnote>
  <w:footnote w:id="36">
    <w:p w:rsidR="00000000" w:rsidRDefault="00000000">
      <w:pPr>
        <w:pStyle w:val="FootnoteText"/>
        <w:spacing w:after="240"/>
      </w:pPr>
      <w:r>
        <w:rPr>
          <w:rStyle w:val="FootnoteReference"/>
        </w:rPr>
        <w:footnoteRef/>
      </w:r>
      <w:r>
        <w:t xml:space="preserve"> Motion </w:t>
      </w:r>
      <w:r>
        <w:rPr>
          <w:szCs w:val="18"/>
        </w:rPr>
        <w:t>Groupe des Verts</w:t>
      </w:r>
      <w:r>
        <w:t xml:space="preserve"> du 6 mai 2004, «Loi sur les langues. Un mandat constitutionnel» (04.3242); motion </w:t>
      </w:r>
      <w:r>
        <w:rPr>
          <w:szCs w:val="18"/>
        </w:rPr>
        <w:t>Abate Fabio</w:t>
      </w:r>
      <w:r>
        <w:t xml:space="preserve"> du 4 mai 2004, «Nouvelle loi sur les langues nationales» (04.3217); initiative parlementaire </w:t>
      </w:r>
      <w:r>
        <w:rPr>
          <w:szCs w:val="18"/>
        </w:rPr>
        <w:t>L</w:t>
      </w:r>
      <w:r>
        <w:rPr>
          <w:szCs w:val="18"/>
        </w:rPr>
        <w:t>e</w:t>
      </w:r>
      <w:r>
        <w:rPr>
          <w:szCs w:val="18"/>
        </w:rPr>
        <w:t>vrat Christian</w:t>
      </w:r>
      <w:r>
        <w:t xml:space="preserve"> du 7 mai 2004, «Loi fédérale sur les langues nationales» (04.429).</w:t>
      </w:r>
    </w:p>
  </w:footnote>
  <w:footnote w:id="37">
    <w:p w:rsidR="00000000" w:rsidRDefault="00000000">
      <w:pPr>
        <w:pStyle w:val="FootnoteText"/>
        <w:spacing w:after="240"/>
      </w:pPr>
      <w:r>
        <w:rPr>
          <w:rStyle w:val="FootnoteReference"/>
        </w:rPr>
        <w:footnoteRef/>
      </w:r>
      <w:r>
        <w:t xml:space="preserve"> Grisons, Fribourg (RS 131.219), Schaffhouse (RS 131.223), Saint</w:t>
      </w:r>
      <w:r>
        <w:noBreakHyphen/>
        <w:t>Gall (RS 131.225), Vaud (RS 131.231), Z</w:t>
      </w:r>
      <w:r>
        <w:t>u</w:t>
      </w:r>
      <w:r>
        <w:t>rich et Bâle</w:t>
      </w:r>
      <w:r>
        <w:noBreakHyphen/>
        <w:t>ville.</w:t>
      </w:r>
    </w:p>
  </w:footnote>
  <w:footnote w:id="38">
    <w:p w:rsidR="00000000" w:rsidRDefault="00000000">
      <w:pPr>
        <w:pStyle w:val="FootnoteText"/>
        <w:spacing w:after="240"/>
      </w:pPr>
      <w:r>
        <w:rPr>
          <w:rStyle w:val="FootnoteReference"/>
        </w:rPr>
        <w:footnoteRef/>
      </w:r>
      <w:r>
        <w:t xml:space="preserve"> Conclusion partagée par Alvaro Gil</w:t>
      </w:r>
      <w:r>
        <w:noBreakHyphen/>
        <w:t>Robles, Commissaire aux droits de l’homme du Conseil de l’Europe, dans son rapport du 8 juin 2005 sur sa visite en Suisse, p. 35.</w:t>
      </w:r>
    </w:p>
  </w:footnote>
  <w:footnote w:id="39">
    <w:p w:rsidR="00000000" w:rsidRDefault="00000000">
      <w:pPr>
        <w:pStyle w:val="FootnoteText"/>
        <w:spacing w:after="240"/>
      </w:pPr>
      <w:r>
        <w:rPr>
          <w:rStyle w:val="FootnoteReference"/>
        </w:rPr>
        <w:footnoteRef/>
      </w:r>
      <w:r>
        <w:t xml:space="preserve"> Motion </w:t>
      </w:r>
      <w:r>
        <w:rPr>
          <w:szCs w:val="18"/>
        </w:rPr>
        <w:t>Hess Bernhard</w:t>
      </w:r>
      <w:r>
        <w:t xml:space="preserve"> du 8 octobre 2004, «Abroger la norme pénale antiraciste» (04.3607).</w:t>
      </w:r>
    </w:p>
  </w:footnote>
  <w:footnote w:id="40">
    <w:p w:rsidR="00000000" w:rsidRDefault="00000000">
      <w:pPr>
        <w:pStyle w:val="FootnoteText"/>
        <w:spacing w:after="240"/>
      </w:pPr>
      <w:r>
        <w:rPr>
          <w:rStyle w:val="FootnoteReference"/>
        </w:rPr>
        <w:footnoteRef/>
      </w:r>
      <w:r>
        <w:t xml:space="preserve"> Réponse du Conseil fédéral à la motion du Groupe UDC du 28 février 2005, «Abrogation de l’article antiraciste» (05.3013).</w:t>
      </w:r>
    </w:p>
  </w:footnote>
  <w:footnote w:id="41">
    <w:p w:rsidR="00000000" w:rsidRDefault="00000000">
      <w:pPr>
        <w:pStyle w:val="FootnoteText"/>
        <w:spacing w:after="240"/>
      </w:pPr>
      <w:r>
        <w:rPr>
          <w:rStyle w:val="FootnoteReference"/>
        </w:rPr>
        <w:footnoteRef/>
      </w:r>
      <w:r>
        <w:t xml:space="preserve"> Dans une série d’annonces, le «Comité contre les naturalisations en masse» a affirmé que les musulmans représentaient une menace pour la Suisse en raison de leur taux de natalité, plus élevé que la moyenne. Les auteurs d’une autre annonce ont expliqué en cinq points ce qu’il adviendrait si les musulmans naturalisés pouvaient prendre des décisions politiques: aucune tol</w:t>
      </w:r>
      <w:r>
        <w:t>é</w:t>
      </w:r>
      <w:r>
        <w:t>rance vis</w:t>
      </w:r>
      <w:r>
        <w:noBreakHyphen/>
        <w:t>à</w:t>
      </w:r>
      <w:r>
        <w:noBreakHyphen/>
        <w:t>vis des autres religions, pas d’égalité des sexes, mariage forcé de mineurs, port du foulard, te</w:t>
      </w:r>
      <w:r>
        <w:t>r</w:t>
      </w:r>
      <w:r>
        <w:t>rorisme (voir Rapport annuel 2004 de la CFR, p. 5 et 6).</w:t>
      </w:r>
    </w:p>
  </w:footnote>
  <w:footnote w:id="42">
    <w:p w:rsidR="00000000" w:rsidRDefault="00000000">
      <w:pPr>
        <w:pStyle w:val="FootnoteText"/>
        <w:spacing w:after="240"/>
      </w:pPr>
      <w:r>
        <w:rPr>
          <w:rStyle w:val="FootnoteReference"/>
        </w:rPr>
        <w:footnoteRef/>
      </w:r>
      <w:r>
        <w:rPr>
          <w:lang w:val="fr-FR"/>
        </w:rPr>
        <w:t xml:space="preserve"> Réponse du Conseil fédéral à l’interpellation Chevrier Maurice du 30 septembre 2004 «L’islamisme radical est</w:t>
      </w:r>
      <w:r>
        <w:rPr>
          <w:lang w:val="fr-FR"/>
        </w:rPr>
        <w:noBreakHyphen/>
        <w:t>il une menace pour la Suisse?» (04.3477)</w:t>
      </w:r>
    </w:p>
  </w:footnote>
  <w:footnote w:id="43">
    <w:p w:rsidR="00000000" w:rsidRDefault="00000000">
      <w:pPr>
        <w:pStyle w:val="FootnoteText"/>
        <w:spacing w:after="240"/>
      </w:pPr>
      <w:r>
        <w:rPr>
          <w:rStyle w:val="FootnoteReference"/>
        </w:rPr>
        <w:footnoteRef/>
      </w:r>
      <w:r>
        <w:t xml:space="preserve"> Communiqué de presse de la CFR du 13 mai 2005: «Profanation des tombes du cimetière juif de Vevey</w:t>
      </w:r>
      <w:r>
        <w:noBreakHyphen/>
        <w:t>Montreux».</w:t>
      </w:r>
    </w:p>
  </w:footnote>
  <w:footnote w:id="44">
    <w:p w:rsidR="00000000" w:rsidRDefault="00000000">
      <w:pPr>
        <w:pStyle w:val="FootnoteText"/>
        <w:spacing w:after="240"/>
      </w:pPr>
      <w:r>
        <w:rPr>
          <w:rStyle w:val="FootnoteReference"/>
        </w:rPr>
        <w:footnoteRef/>
      </w:r>
      <w:r>
        <w:t xml:space="preserve"> L’enquête a révélé que les auteurs de ces actes criminels, selon le jugement de la Cour pénale de Lugano, n’avaient pas de motivation antisémite.</w:t>
      </w:r>
    </w:p>
  </w:footnote>
  <w:footnote w:id="45">
    <w:p w:rsidR="00000000" w:rsidRDefault="00000000">
      <w:pPr>
        <w:pStyle w:val="FootnoteText"/>
        <w:spacing w:after="240"/>
      </w:pPr>
      <w:r>
        <w:rPr>
          <w:rStyle w:val="FootnoteReference"/>
        </w:rPr>
        <w:footnoteRef/>
      </w:r>
      <w:r>
        <w:t xml:space="preserve"> Cette date a été choisie en commémoration de la libération du camp de concentration d’Auschwitz par l’Armée rouge le 27 janvier 1945.</w:t>
      </w:r>
    </w:p>
  </w:footnote>
  <w:footnote w:id="46">
    <w:p w:rsidR="00000000" w:rsidRDefault="00000000">
      <w:pPr>
        <w:pStyle w:val="FootnoteText"/>
        <w:spacing w:after="240"/>
        <w:rPr>
          <w:rStyle w:val="FootnoteReference"/>
        </w:rPr>
      </w:pPr>
      <w:r>
        <w:rPr>
          <w:rStyle w:val="FootnoteReference"/>
        </w:rPr>
        <w:footnoteRef/>
      </w:r>
      <w:r>
        <w:rPr>
          <w:rStyle w:val="FootnoteReference"/>
        </w:rPr>
        <w:t xml:space="preserve"> </w:t>
      </w:r>
      <w:hyperlink r:id="rId3" w:history="1">
        <w:r>
          <w:rPr>
            <w:rStyle w:val="Hyperlink"/>
          </w:rPr>
          <w:t>http://www.edi.admin.ch/ekr/themen/00104/00338/index.html?lang=fr</w:t>
        </w:r>
      </w:hyperlink>
      <w:r>
        <w:t>.</w:t>
      </w:r>
    </w:p>
  </w:footnote>
  <w:footnote w:id="47">
    <w:p w:rsidR="00000000" w:rsidRDefault="00000000">
      <w:pPr>
        <w:pStyle w:val="FootnoteText"/>
        <w:spacing w:after="240"/>
      </w:pPr>
      <w:r>
        <w:rPr>
          <w:rStyle w:val="FootnoteReference"/>
        </w:rPr>
        <w:footnoteRef/>
      </w:r>
      <w:r>
        <w:rPr>
          <w:lang w:val="fr-FR"/>
        </w:rPr>
        <w:t xml:space="preserve"> OFM, Principes de la politique d’intégration de la Suisse, </w:t>
      </w:r>
      <w:hyperlink r:id="rId4" w:history="1">
        <w:r>
          <w:rPr>
            <w:rStyle w:val="Hyperlink"/>
          </w:rPr>
          <w:t>http://www.bfm.admin.ch/</w:t>
        </w:r>
        <w:r>
          <w:rPr>
            <w:rStyle w:val="Hyperlink"/>
          </w:rPr>
          <w:br/>
          <w:t>index.php?id=182&amp;L=0&amp;layout=print</w:t>
        </w:r>
      </w:hyperlink>
      <w:r>
        <w:t>. Voir également: art. 3, al. 1, let. d, de l’ordonnance sur l’intégration des étrangers (OIE), RS 142.205.</w:t>
      </w:r>
    </w:p>
  </w:footnote>
  <w:footnote w:id="48">
    <w:p w:rsidR="00000000" w:rsidRDefault="00000000">
      <w:pPr>
        <w:pStyle w:val="FootnoteText"/>
        <w:spacing w:after="240"/>
        <w:rPr>
          <w:lang w:val="en-GB"/>
        </w:rPr>
      </w:pPr>
      <w:r>
        <w:rPr>
          <w:rStyle w:val="FootnoteReference"/>
        </w:rPr>
        <w:footnoteRef/>
      </w:r>
      <w:r>
        <w:rPr>
          <w:lang w:val="en-GB"/>
        </w:rPr>
        <w:t xml:space="preserve"> Art. 14a OIE.</w:t>
      </w:r>
    </w:p>
  </w:footnote>
  <w:footnote w:id="49">
    <w:p w:rsidR="00000000" w:rsidRDefault="00000000">
      <w:pPr>
        <w:pStyle w:val="FootnoteText"/>
        <w:spacing w:after="240"/>
      </w:pPr>
      <w:r>
        <w:rPr>
          <w:rStyle w:val="FootnoteReference"/>
        </w:rPr>
        <w:footnoteRef/>
      </w:r>
      <w:r>
        <w:t xml:space="preserve"> RS 142.205, voir aussi </w:t>
      </w:r>
      <w:r>
        <w:rPr>
          <w:lang w:val="fr-FR"/>
        </w:rPr>
        <w:t>CERD/C/351/Add.2, par. 71</w:t>
      </w:r>
      <w:r>
        <w:t>.</w:t>
      </w:r>
    </w:p>
  </w:footnote>
  <w:footnote w:id="50">
    <w:p w:rsidR="00000000" w:rsidRDefault="00000000">
      <w:pPr>
        <w:pStyle w:val="FootnoteText"/>
        <w:spacing w:after="240"/>
      </w:pPr>
      <w:r>
        <w:rPr>
          <w:rStyle w:val="FootnoteReference"/>
        </w:rPr>
        <w:footnoteRef/>
      </w:r>
      <w:r>
        <w:t xml:space="preserve"> Programme des points forts de 2004 à 2007; </w:t>
      </w:r>
      <w:hyperlink r:id="rId5" w:history="1">
        <w:r>
          <w:rPr>
            <w:rStyle w:val="Hyperlink"/>
          </w:rPr>
          <w:t>http://www.eka</w:t>
        </w:r>
        <w:r>
          <w:rPr>
            <w:rStyle w:val="Hyperlink"/>
          </w:rPr>
          <w:noBreakHyphen/>
          <w:t>cfe.ch/f/doku/</w:t>
        </w:r>
        <w:r>
          <w:rPr>
            <w:rStyle w:val="Hyperlink"/>
          </w:rPr>
          <w:br/>
          <w:t>prioritaetenordnung_f.pdf</w:t>
        </w:r>
      </w:hyperlink>
      <w:r>
        <w:t>.</w:t>
      </w:r>
    </w:p>
  </w:footnote>
  <w:footnote w:id="51">
    <w:p w:rsidR="00000000" w:rsidRDefault="00000000">
      <w:pPr>
        <w:pStyle w:val="FootnoteText"/>
        <w:spacing w:after="240"/>
        <w:rPr>
          <w:lang w:val="en-GB"/>
        </w:rPr>
      </w:pPr>
      <w:r>
        <w:rPr>
          <w:rStyle w:val="FootnoteReference"/>
        </w:rPr>
        <w:footnoteRef/>
      </w:r>
      <w:r>
        <w:rPr>
          <w:lang w:val="en-GB"/>
        </w:rPr>
        <w:t xml:space="preserve"> Art. 3a OIE.</w:t>
      </w:r>
    </w:p>
  </w:footnote>
  <w:footnote w:id="52">
    <w:p w:rsidR="00000000" w:rsidRDefault="00000000">
      <w:pPr>
        <w:pStyle w:val="FootnoteText"/>
        <w:spacing w:after="240"/>
      </w:pPr>
      <w:r>
        <w:rPr>
          <w:rStyle w:val="FootnoteReference"/>
        </w:rPr>
        <w:footnoteRef/>
      </w:r>
      <w:r>
        <w:rPr>
          <w:lang w:val="fr-FR"/>
        </w:rPr>
        <w:t xml:space="preserve"> </w:t>
      </w:r>
      <w:r>
        <w:t>Communiqué de presse de l’OFM: Améliorer l’intégration des étrangers, 7 septembre 2005.</w:t>
      </w:r>
    </w:p>
  </w:footnote>
  <w:footnote w:id="53">
    <w:p w:rsidR="00000000" w:rsidRDefault="00000000">
      <w:pPr>
        <w:pStyle w:val="FootnoteText"/>
        <w:spacing w:after="240"/>
        <w:rPr>
          <w:lang w:val="en-GB"/>
        </w:rPr>
      </w:pPr>
      <w:r>
        <w:rPr>
          <w:rStyle w:val="FootnoteReference"/>
        </w:rPr>
        <w:footnoteRef/>
      </w:r>
      <w:r>
        <w:rPr>
          <w:lang w:val="fr-FR"/>
        </w:rPr>
        <w:t xml:space="preserve"> Révision de l’ordonnance limitant le nombre des étrangers (OLE) au 1</w:t>
      </w:r>
      <w:r>
        <w:rPr>
          <w:vertAlign w:val="superscript"/>
          <w:lang w:val="fr-FR"/>
        </w:rPr>
        <w:t>er</w:t>
      </w:r>
      <w:r>
        <w:rPr>
          <w:lang w:val="fr-FR"/>
        </w:rPr>
        <w:t xml:space="preserve"> février 2006. </w:t>
      </w:r>
      <w:r>
        <w:rPr>
          <w:lang w:val="en-GB"/>
        </w:rPr>
        <w:t>RS 823.21; art. 7, al. 3.</w:t>
      </w:r>
    </w:p>
  </w:footnote>
  <w:footnote w:id="54">
    <w:p w:rsidR="00000000" w:rsidRDefault="00000000">
      <w:pPr>
        <w:pStyle w:val="FootnoteText"/>
        <w:spacing w:after="240"/>
        <w:rPr>
          <w:lang w:val="en-GB"/>
        </w:rPr>
      </w:pPr>
      <w:r>
        <w:rPr>
          <w:rStyle w:val="FootnoteReference"/>
        </w:rPr>
        <w:footnoteRef/>
      </w:r>
      <w:r>
        <w:rPr>
          <w:lang w:val="en-GB"/>
        </w:rPr>
        <w:t xml:space="preserve"> Art. 2, al. 1, let. b, OIE.</w:t>
      </w:r>
    </w:p>
  </w:footnote>
  <w:footnote w:id="55">
    <w:p w:rsidR="00000000" w:rsidRDefault="00000000">
      <w:pPr>
        <w:pStyle w:val="FootnoteText"/>
        <w:spacing w:after="240"/>
        <w:rPr>
          <w:lang w:val="nl-NL"/>
        </w:rPr>
      </w:pPr>
      <w:r>
        <w:rPr>
          <w:rStyle w:val="FootnoteReference"/>
        </w:rPr>
        <w:footnoteRef/>
      </w:r>
      <w:r>
        <w:rPr>
          <w:lang w:val="nl-NL"/>
        </w:rPr>
        <w:t xml:space="preserve"> Art. 85, al. 7, LEtr.</w:t>
      </w:r>
    </w:p>
  </w:footnote>
  <w:footnote w:id="56">
    <w:p w:rsidR="00000000" w:rsidRDefault="00000000">
      <w:pPr>
        <w:pStyle w:val="FootnoteText"/>
        <w:spacing w:after="240"/>
      </w:pPr>
      <w:r>
        <w:rPr>
          <w:rStyle w:val="FootnoteReference"/>
        </w:rPr>
        <w:footnoteRef/>
      </w:r>
      <w:r>
        <w:rPr>
          <w:lang w:val="fr-FR"/>
        </w:rPr>
        <w:t xml:space="preserve"> Message concernant la modification de la loi sur l’asile du 4 septembre 2002, FF 2002, p. 6370.</w:t>
      </w:r>
    </w:p>
  </w:footnote>
  <w:footnote w:id="57">
    <w:p w:rsidR="00000000" w:rsidRDefault="00000000">
      <w:pPr>
        <w:pStyle w:val="FootnoteText"/>
        <w:spacing w:after="240"/>
      </w:pPr>
      <w:r>
        <w:rPr>
          <w:rStyle w:val="FootnoteReference"/>
        </w:rPr>
        <w:footnoteRef/>
      </w:r>
      <w:r>
        <w:rPr>
          <w:lang w:val="fr-FR"/>
        </w:rPr>
        <w:t xml:space="preserve"> Circulaire du 1</w:t>
      </w:r>
      <w:r>
        <w:rPr>
          <w:vertAlign w:val="superscript"/>
          <w:lang w:val="fr-FR"/>
        </w:rPr>
        <w:t>er</w:t>
      </w:r>
      <w:r>
        <w:rPr>
          <w:lang w:val="fr-FR"/>
        </w:rPr>
        <w:t xml:space="preserve"> février 2006 sur la révision partielle de l’OIE, y compris la liste des critères </w:t>
      </w:r>
      <w:hyperlink r:id="rId6" w:history="1">
        <w:r>
          <w:rPr>
            <w:rStyle w:val="Hyperlink"/>
            <w:lang w:val="fr-FR"/>
          </w:rPr>
          <w:t>http://www.weisungen.bfm.admin.ch/rechtsgrundlagen/rechtsquellen/weitere/index_f.asp#inte</w:t>
        </w:r>
      </w:hyperlink>
      <w:r>
        <w:rPr>
          <w:lang w:val="fr-FR"/>
        </w:rPr>
        <w:t>.</w:t>
      </w:r>
    </w:p>
  </w:footnote>
  <w:footnote w:id="58">
    <w:p w:rsidR="00000000" w:rsidRDefault="00000000">
      <w:pPr>
        <w:pStyle w:val="FootnoteText"/>
        <w:spacing w:after="240"/>
      </w:pPr>
      <w:r>
        <w:rPr>
          <w:rStyle w:val="FootnoteReference"/>
        </w:rPr>
        <w:footnoteRef/>
      </w:r>
      <w:r>
        <w:t xml:space="preserve"> OFM, Rapport explicatif OIE et OLE, </w:t>
      </w:r>
      <w:hyperlink r:id="rId7" w:history="1">
        <w:r>
          <w:rPr>
            <w:rStyle w:val="Hyperlink"/>
          </w:rPr>
          <w:t>http://www.imes.admin.ch/alt/rechtsgrundlagen/</w:t>
        </w:r>
        <w:r>
          <w:rPr>
            <w:rStyle w:val="Hyperlink"/>
          </w:rPr>
          <w:br/>
          <w:t>aktuell/integration/bericht_f.asp#11</w:t>
        </w:r>
      </w:hyperlink>
      <w:r>
        <w:t>.</w:t>
      </w:r>
    </w:p>
  </w:footnote>
  <w:footnote w:id="59">
    <w:p w:rsidR="00000000" w:rsidRDefault="00000000">
      <w:pPr>
        <w:pStyle w:val="FootnoteText"/>
        <w:spacing w:after="240"/>
      </w:pPr>
      <w:r>
        <w:rPr>
          <w:rStyle w:val="FootnoteReference"/>
        </w:rPr>
        <w:footnoteRef/>
      </w:r>
      <w:r>
        <w:rPr>
          <w:lang w:val="fr-FR"/>
        </w:rPr>
        <w:t xml:space="preserve"> Message concernant la loi fédérale sur les étrangers, FF 2002 3516 Office. </w:t>
      </w:r>
    </w:p>
  </w:footnote>
  <w:footnote w:id="60">
    <w:p w:rsidR="00000000" w:rsidRDefault="00000000">
      <w:pPr>
        <w:pStyle w:val="FootnoteText"/>
        <w:spacing w:after="240"/>
        <w:rPr>
          <w:lang w:val="fr-FR"/>
        </w:rPr>
      </w:pPr>
      <w:r>
        <w:rPr>
          <w:rStyle w:val="FootnoteReference"/>
        </w:rPr>
        <w:footnoteRef/>
      </w:r>
      <w:r>
        <w:rPr>
          <w:lang w:val="fr-FR"/>
        </w:rPr>
        <w:t xml:space="preserve"> Message concernant la loi fédérale sur les étrangers, FF 2002 3558.</w:t>
      </w:r>
    </w:p>
  </w:footnote>
  <w:footnote w:id="61">
    <w:p w:rsidR="00000000" w:rsidRDefault="00000000">
      <w:pPr>
        <w:pStyle w:val="FootnoteText"/>
        <w:spacing w:after="240"/>
        <w:rPr>
          <w:lang w:val="fr-FR"/>
        </w:rPr>
      </w:pPr>
      <w:r>
        <w:rPr>
          <w:rStyle w:val="FootnoteReference"/>
        </w:rPr>
        <w:footnoteRef/>
      </w:r>
      <w:r>
        <w:rPr>
          <w:lang w:val="fr-FR"/>
        </w:rPr>
        <w:t xml:space="preserve"> Sans</w:t>
      </w:r>
      <w:r>
        <w:rPr>
          <w:lang w:val="fr-FR"/>
        </w:rPr>
        <w:noBreakHyphen/>
        <w:t>papiers en Suisse (étude), gfs. Berne (</w:t>
      </w:r>
      <w:r>
        <w:rPr>
          <w:szCs w:val="22"/>
          <w:lang w:val="fr-FR"/>
        </w:rPr>
        <w:t>Recherche en politique, communication et société),</w:t>
      </w:r>
      <w:r>
        <w:rPr>
          <w:color w:val="000080"/>
          <w:szCs w:val="22"/>
          <w:lang w:val="fr-FR"/>
        </w:rPr>
        <w:t xml:space="preserve"> </w:t>
      </w:r>
      <w:r>
        <w:rPr>
          <w:lang w:val="fr-FR"/>
        </w:rPr>
        <w:t>février 2005.</w:t>
      </w:r>
    </w:p>
  </w:footnote>
  <w:footnote w:id="62">
    <w:p w:rsidR="00000000" w:rsidRDefault="00000000">
      <w:pPr>
        <w:pStyle w:val="FootnoteText"/>
        <w:spacing w:after="240"/>
      </w:pPr>
      <w:r>
        <w:rPr>
          <w:rStyle w:val="FootnoteReference"/>
        </w:rPr>
        <w:footnoteRef/>
      </w:r>
      <w:r>
        <w:t xml:space="preserve"> Circulaire de l’IMES du 17 septembre 2004: Pratique de l’IMES concernant la réglementation du séjour des étrangers dans les cas personnels d’extrême gravité. Modification de la pratique de l’ODR par rapport à la circulaire</w:t>
      </w:r>
      <w:r>
        <w:rPr>
          <w:iCs/>
        </w:rPr>
        <w:t xml:space="preserve"> </w:t>
      </w:r>
      <w:r>
        <w:t>du 21 décembre 2001, p. 2s.</w:t>
      </w:r>
    </w:p>
  </w:footnote>
  <w:footnote w:id="63">
    <w:p w:rsidR="00000000" w:rsidRDefault="00000000">
      <w:pPr>
        <w:pStyle w:val="FootnoteText"/>
        <w:spacing w:after="240"/>
      </w:pPr>
      <w:r>
        <w:rPr>
          <w:rStyle w:val="FootnoteReference"/>
        </w:rPr>
        <w:footnoteRef/>
      </w:r>
      <w:r>
        <w:t xml:space="preserve"> Voir circulaire de l’IMES du 17 septembre 2004 (ch. 61).</w:t>
      </w:r>
    </w:p>
  </w:footnote>
  <w:footnote w:id="64">
    <w:p w:rsidR="00000000" w:rsidRDefault="00000000">
      <w:pPr>
        <w:pStyle w:val="FootnoteText"/>
        <w:spacing w:after="240"/>
      </w:pPr>
      <w:r>
        <w:rPr>
          <w:rStyle w:val="FootnoteReference"/>
        </w:rPr>
        <w:footnoteRef/>
      </w:r>
      <w:r>
        <w:t xml:space="preserve"> Commission fédérale des étrangers, </w:t>
      </w:r>
      <w:hyperlink r:id="rId8" w:history="1">
        <w:r>
          <w:rPr>
            <w:rStyle w:val="Hyperlink"/>
          </w:rPr>
          <w:t>http://www.eka</w:t>
        </w:r>
        <w:r>
          <w:rPr>
            <w:rStyle w:val="Hyperlink"/>
          </w:rPr>
          <w:noBreakHyphen/>
          <w:t>cfe.ch/f/sapa.asp</w:t>
        </w:r>
      </w:hyperlink>
      <w:r>
        <w:t>.</w:t>
      </w:r>
    </w:p>
  </w:footnote>
  <w:footnote w:id="65">
    <w:p w:rsidR="00000000" w:rsidRDefault="00000000">
      <w:pPr>
        <w:pStyle w:val="FootnoteText"/>
        <w:spacing w:after="240"/>
      </w:pPr>
      <w:r>
        <w:rPr>
          <w:rStyle w:val="FootnoteReference"/>
        </w:rPr>
        <w:footnoteRef/>
      </w:r>
      <w:r>
        <w:t xml:space="preserve"> FF 2001 2809.</w:t>
      </w:r>
    </w:p>
  </w:footnote>
  <w:footnote w:id="66">
    <w:p w:rsidR="00000000" w:rsidRDefault="00000000">
      <w:pPr>
        <w:pStyle w:val="FootnoteText"/>
        <w:spacing w:after="240"/>
        <w:rPr>
          <w:lang w:val="fr-FR"/>
        </w:rPr>
      </w:pPr>
      <w:r>
        <w:rPr>
          <w:rStyle w:val="FootnoteReference"/>
        </w:rPr>
        <w:footnoteRef/>
      </w:r>
      <w:r>
        <w:rPr>
          <w:lang w:val="fr-FR"/>
        </w:rPr>
        <w:t xml:space="preserve"> Rapport annuel de la CFR, 2004.</w:t>
      </w:r>
    </w:p>
  </w:footnote>
  <w:footnote w:id="67">
    <w:p w:rsidR="00000000" w:rsidRDefault="00000000">
      <w:pPr>
        <w:pStyle w:val="FootnoteText"/>
        <w:spacing w:after="240"/>
        <w:rPr>
          <w:lang w:val="de-CH"/>
        </w:rPr>
      </w:pPr>
      <w:r>
        <w:rPr>
          <w:rStyle w:val="FootnoteReference"/>
        </w:rPr>
        <w:footnoteRef/>
      </w:r>
      <w:r>
        <w:rPr>
          <w:lang w:val="fr-FR"/>
        </w:rPr>
        <w:t xml:space="preserve"> Voir ATF 129 I 392 cons. 3.2.2., 126 II 377 cons. </w:t>
      </w:r>
      <w:r>
        <w:rPr>
          <w:lang w:val="de-CH"/>
        </w:rPr>
        <w:t>6 a.</w:t>
      </w:r>
    </w:p>
  </w:footnote>
  <w:footnote w:id="68">
    <w:p w:rsidR="00000000" w:rsidRDefault="00000000">
      <w:pPr>
        <w:pStyle w:val="FootnoteText"/>
        <w:spacing w:after="240"/>
        <w:rPr>
          <w:lang w:val="de-CH"/>
        </w:rPr>
      </w:pPr>
      <w:r>
        <w:rPr>
          <w:rStyle w:val="FootnoteReference"/>
        </w:rPr>
        <w:footnoteRef/>
      </w:r>
      <w:r>
        <w:rPr>
          <w:lang w:val="de-CH"/>
        </w:rPr>
        <w:t xml:space="preserve"> </w:t>
      </w:r>
      <w:r>
        <w:rPr>
          <w:szCs w:val="18"/>
          <w:lang w:val="de-CH"/>
        </w:rPr>
        <w:t>Ulrich Häfelin/Walter Haller</w:t>
      </w:r>
      <w:r>
        <w:rPr>
          <w:lang w:val="de-CH"/>
        </w:rPr>
        <w:t xml:space="preserve">, Schweizerisches Bundesstaatsrecht, 6. Auflage, </w:t>
      </w:r>
      <w:r>
        <w:rPr>
          <w:lang w:val="de-CH"/>
        </w:rPr>
        <w:br/>
        <w:t>Zurich 2005, ch. 747.</w:t>
      </w:r>
    </w:p>
  </w:footnote>
  <w:footnote w:id="69">
    <w:p w:rsidR="00000000" w:rsidRDefault="00000000">
      <w:pPr>
        <w:pStyle w:val="FootnoteText"/>
        <w:spacing w:after="240"/>
        <w:rPr>
          <w:lang w:val="nl-NL"/>
        </w:rPr>
      </w:pPr>
      <w:r>
        <w:rPr>
          <w:rStyle w:val="FootnoteReference"/>
        </w:rPr>
        <w:footnoteRef/>
      </w:r>
      <w:r>
        <w:rPr>
          <w:lang w:val="nl-NL"/>
        </w:rPr>
        <w:t xml:space="preserve"> PNR 42+, </w:t>
      </w:r>
      <w:hyperlink r:id="rId9" w:history="1">
        <w:r>
          <w:rPr>
            <w:rStyle w:val="Hyperlink"/>
            <w:lang w:val="nl-NL"/>
          </w:rPr>
          <w:t>www.snf.ch/NFP/NFP42</w:t>
        </w:r>
      </w:hyperlink>
      <w:r>
        <w:rPr>
          <w:u w:val="single"/>
          <w:lang w:val="nl-NL"/>
        </w:rPr>
        <w:t>+</w:t>
      </w:r>
      <w:r>
        <w:rPr>
          <w:lang w:val="nl-NL"/>
        </w:rPr>
        <w:t>.</w:t>
      </w:r>
    </w:p>
  </w:footnote>
  <w:footnote w:id="70">
    <w:p w:rsidR="00000000" w:rsidRDefault="00000000">
      <w:pPr>
        <w:pStyle w:val="FootnoteText"/>
        <w:spacing w:after="240"/>
      </w:pPr>
      <w:r>
        <w:rPr>
          <w:rStyle w:val="FootnoteReference"/>
        </w:rPr>
        <w:footnoteRef/>
      </w:r>
      <w:r>
        <w:t xml:space="preserve"> Communiqué de presse, publication du Rapport de synthèse du PNR 42+, 27 octobre 2005 (</w:t>
      </w:r>
      <w:hyperlink r:id="rId10" w:history="1">
        <w:r>
          <w:rPr>
            <w:rStyle w:val="Hyperlink"/>
          </w:rPr>
          <w:t>http://www.snf.ch/fr/com/prr/prr_arh_05oct27.asp</w:t>
        </w:r>
      </w:hyperlink>
      <w:r>
        <w:t>).</w:t>
      </w:r>
    </w:p>
  </w:footnote>
  <w:footnote w:id="71">
    <w:p w:rsidR="00000000" w:rsidRDefault="00000000">
      <w:pPr>
        <w:pStyle w:val="FootnoteText"/>
        <w:spacing w:after="240"/>
      </w:pPr>
      <w:r>
        <w:rPr>
          <w:rStyle w:val="FootnoteReference"/>
        </w:rPr>
        <w:footnoteRef/>
      </w:r>
      <w:r>
        <w:t xml:space="preserve"> </w:t>
      </w:r>
      <w:hyperlink r:id="rId11" w:history="1">
        <w:r>
          <w:rPr>
            <w:rStyle w:val="Hyperlink"/>
          </w:rPr>
          <w:t>http://www.edi.admin.ch/ekr/db/start/index.html?lang=fr</w:t>
        </w:r>
      </w:hyperlink>
      <w:r>
        <w:t xml:space="preserve">. </w:t>
      </w:r>
    </w:p>
  </w:footnote>
  <w:footnote w:id="72">
    <w:p w:rsidR="00000000" w:rsidRDefault="00000000">
      <w:pPr>
        <w:pStyle w:val="FootnoteText"/>
        <w:spacing w:after="240"/>
      </w:pPr>
      <w:r>
        <w:rPr>
          <w:rStyle w:val="FootnoteReference"/>
        </w:rPr>
        <w:footnoteRef/>
      </w:r>
      <w:r>
        <w:t xml:space="preserve"> Communiqué de presse de la CFR du 13 décembre 2005.</w:t>
      </w:r>
    </w:p>
  </w:footnote>
  <w:footnote w:id="73">
    <w:p w:rsidR="00000000" w:rsidRDefault="00000000">
      <w:pPr>
        <w:pStyle w:val="FootnoteText"/>
        <w:spacing w:after="240"/>
      </w:pPr>
      <w:r>
        <w:rPr>
          <w:rStyle w:val="FootnoteReference"/>
        </w:rPr>
        <w:footnoteRef/>
      </w:r>
      <w:r>
        <w:t xml:space="preserve"> Arrêt 6S.318/2003 du 27 mai 2004.</w:t>
      </w:r>
    </w:p>
  </w:footnote>
  <w:footnote w:id="74">
    <w:p w:rsidR="00000000" w:rsidRDefault="00000000">
      <w:pPr>
        <w:pStyle w:val="FootnoteText"/>
        <w:spacing w:after="240"/>
        <w:rPr>
          <w:lang w:val="en-US"/>
        </w:rPr>
      </w:pPr>
      <w:r>
        <w:rPr>
          <w:rStyle w:val="FootnoteReference"/>
        </w:rPr>
        <w:footnoteRef/>
      </w:r>
      <w:r>
        <w:rPr>
          <w:lang w:val="en-US"/>
        </w:rPr>
        <w:t xml:space="preserve"> ATF 129 IV 95ss.</w:t>
      </w:r>
    </w:p>
  </w:footnote>
  <w:footnote w:id="75">
    <w:p w:rsidR="00000000" w:rsidRDefault="00000000">
      <w:pPr>
        <w:pStyle w:val="FootnoteText"/>
        <w:spacing w:after="240"/>
      </w:pPr>
      <w:r>
        <w:rPr>
          <w:rStyle w:val="FootnoteReference"/>
        </w:rPr>
        <w:footnoteRef/>
      </w:r>
      <w:r>
        <w:t xml:space="preserve"> En été 2005, le ministère public de Winterthur a ouvert une procédure d’investigation à l’encontre du Président du Parti nationaliste des travailleurs turcs pour infraction à l’article 261 </w:t>
      </w:r>
      <w:r>
        <w:rPr>
          <w:i/>
          <w:iCs/>
        </w:rPr>
        <w:t>bis</w:t>
      </w:r>
      <w:r>
        <w:t>, al. 4, CP.</w:t>
      </w:r>
    </w:p>
  </w:footnote>
  <w:footnote w:id="76">
    <w:p w:rsidR="00000000" w:rsidRDefault="00000000">
      <w:pPr>
        <w:pStyle w:val="FootnoteText"/>
        <w:spacing w:after="200"/>
        <w:rPr>
          <w:lang w:val="en-GB"/>
        </w:rPr>
      </w:pPr>
      <w:r>
        <w:rPr>
          <w:rStyle w:val="FootnoteReference"/>
        </w:rPr>
        <w:footnoteRef/>
      </w:r>
      <w:r>
        <w:rPr>
          <w:lang w:val="en-GB"/>
        </w:rPr>
        <w:t xml:space="preserve"> FF 1997 I 183.</w:t>
      </w:r>
    </w:p>
  </w:footnote>
  <w:footnote w:id="77">
    <w:p w:rsidR="00000000" w:rsidRDefault="00000000">
      <w:pPr>
        <w:pStyle w:val="FootnoteText"/>
        <w:spacing w:after="200"/>
        <w:rPr>
          <w:lang w:val="en-GB"/>
        </w:rPr>
      </w:pPr>
      <w:r>
        <w:rPr>
          <w:rStyle w:val="FootnoteReference"/>
        </w:rPr>
        <w:footnoteRef/>
      </w:r>
      <w:r>
        <w:rPr>
          <w:lang w:val="en-GB"/>
        </w:rPr>
        <w:t xml:space="preserve"> FF 1997 I 197.</w:t>
      </w:r>
    </w:p>
  </w:footnote>
  <w:footnote w:id="78">
    <w:p w:rsidR="00000000" w:rsidRDefault="00000000">
      <w:pPr>
        <w:pStyle w:val="FootnoteText"/>
        <w:spacing w:after="200"/>
        <w:rPr>
          <w:lang w:val="fr-FR"/>
        </w:rPr>
      </w:pPr>
      <w:r>
        <w:rPr>
          <w:rStyle w:val="FootnoteReference"/>
        </w:rPr>
        <w:footnoteRef/>
      </w:r>
      <w:r>
        <w:rPr>
          <w:lang w:val="fr-FR"/>
        </w:rPr>
        <w:t xml:space="preserve"> RO 2002, p. 3148.</w:t>
      </w:r>
    </w:p>
  </w:footnote>
  <w:footnote w:id="79">
    <w:p w:rsidR="00000000" w:rsidRDefault="00000000">
      <w:pPr>
        <w:pStyle w:val="FootnoteText"/>
        <w:spacing w:after="200"/>
        <w:rPr>
          <w:lang w:val="fr-FR"/>
        </w:rPr>
      </w:pPr>
      <w:r>
        <w:rPr>
          <w:rStyle w:val="FootnoteReference"/>
        </w:rPr>
        <w:footnoteRef/>
      </w:r>
      <w:r>
        <w:rPr>
          <w:lang w:val="fr-FR"/>
        </w:rPr>
        <w:t xml:space="preserve"> RO 2002, p. 3147.</w:t>
      </w:r>
    </w:p>
  </w:footnote>
  <w:footnote w:id="80">
    <w:p w:rsidR="00000000" w:rsidRDefault="00000000">
      <w:pPr>
        <w:pStyle w:val="FootnoteText"/>
        <w:spacing w:after="240"/>
        <w:rPr>
          <w:lang w:val="fr-FR"/>
        </w:rPr>
      </w:pPr>
      <w:r>
        <w:rPr>
          <w:rStyle w:val="FootnoteReference"/>
        </w:rPr>
        <w:footnoteRef/>
      </w:r>
      <w:r>
        <w:rPr>
          <w:lang w:val="fr-FR"/>
        </w:rPr>
        <w:t xml:space="preserve"> Communiqué de presse du DFJP du 2 juillet 2003.</w:t>
      </w:r>
    </w:p>
  </w:footnote>
  <w:footnote w:id="81">
    <w:p w:rsidR="00000000" w:rsidRDefault="00000000">
      <w:pPr>
        <w:pStyle w:val="FootnoteText"/>
        <w:spacing w:after="240"/>
        <w:rPr>
          <w:lang w:val="fr-FR"/>
        </w:rPr>
      </w:pPr>
      <w:r>
        <w:rPr>
          <w:rStyle w:val="FootnoteReference"/>
        </w:rPr>
        <w:footnoteRef/>
      </w:r>
      <w:r>
        <w:rPr>
          <w:lang w:val="fr-FR"/>
        </w:rPr>
        <w:t xml:space="preserve"> Série A, vol. 238 = EuGRZ 1992, p. 300.</w:t>
      </w:r>
    </w:p>
  </w:footnote>
  <w:footnote w:id="82">
    <w:p w:rsidR="00000000" w:rsidRDefault="00000000">
      <w:pPr>
        <w:pStyle w:val="FootnoteText"/>
        <w:spacing w:after="240"/>
      </w:pPr>
      <w:r>
        <w:rPr>
          <w:rStyle w:val="FootnoteReference"/>
        </w:rPr>
        <w:footnoteRef/>
      </w:r>
      <w:r>
        <w:t xml:space="preserve"> Communiqué de presse du 20 février 2004, Commission des institutions politiques du Conseil national.</w:t>
      </w:r>
    </w:p>
  </w:footnote>
  <w:footnote w:id="83">
    <w:p w:rsidR="00000000" w:rsidRDefault="00000000">
      <w:pPr>
        <w:pStyle w:val="FootnoteText"/>
        <w:spacing w:after="240"/>
      </w:pPr>
      <w:r>
        <w:rPr>
          <w:rStyle w:val="FootnoteReference"/>
        </w:rPr>
        <w:footnoteRef/>
      </w:r>
      <w:r>
        <w:t xml:space="preserve"> Initiative parlementaire </w:t>
      </w:r>
      <w:r>
        <w:rPr>
          <w:szCs w:val="16"/>
        </w:rPr>
        <w:t>Jossen Peter</w:t>
      </w:r>
      <w:r>
        <w:t xml:space="preserve"> du 16 juin 2004, «Institution d’un service de médiation fédérale» (02.431).</w:t>
      </w:r>
    </w:p>
  </w:footnote>
  <w:footnote w:id="84">
    <w:p w:rsidR="00000000" w:rsidRDefault="00000000">
      <w:pPr>
        <w:pStyle w:val="FootnoteText"/>
        <w:spacing w:after="240"/>
      </w:pPr>
      <w:r>
        <w:rPr>
          <w:rStyle w:val="FootnoteReference"/>
        </w:rPr>
        <w:footnoteRef/>
      </w:r>
      <w:r>
        <w:t xml:space="preserve"> Au sujet de la violence policière, voir aussi ch. 274 ss.</w:t>
      </w:r>
    </w:p>
  </w:footnote>
  <w:footnote w:id="85">
    <w:p w:rsidR="00000000" w:rsidRDefault="00000000">
      <w:pPr>
        <w:pStyle w:val="FootnoteText"/>
        <w:spacing w:after="240"/>
        <w:rPr>
          <w:lang w:val="de-CH"/>
        </w:rPr>
      </w:pPr>
      <w:r>
        <w:rPr>
          <w:rStyle w:val="FootnoteReference"/>
        </w:rPr>
        <w:footnoteRef/>
      </w:r>
      <w:r>
        <w:rPr>
          <w:lang w:val="de-CH"/>
        </w:rPr>
        <w:t xml:space="preserve"> </w:t>
      </w:r>
      <w:r>
        <w:rPr>
          <w:szCs w:val="18"/>
          <w:lang w:val="de-CH"/>
        </w:rPr>
        <w:t>Spenlé/Fumeaux</w:t>
      </w:r>
      <w:r>
        <w:rPr>
          <w:lang w:val="de-CH"/>
        </w:rPr>
        <w:t>, Aspekte der polizeilichen Gewalt aus völker</w:t>
      </w:r>
      <w:r>
        <w:rPr>
          <w:lang w:val="de-CH"/>
        </w:rPr>
        <w:noBreakHyphen/>
        <w:t xml:space="preserve"> und verfahrensrechtlicher Perspektive, SJZ 1001 (2005) Nr. 6, p. 135.</w:t>
      </w:r>
    </w:p>
  </w:footnote>
  <w:footnote w:id="86">
    <w:p w:rsidR="00000000" w:rsidRDefault="00000000">
      <w:pPr>
        <w:pStyle w:val="FootnoteText"/>
        <w:spacing w:after="240"/>
        <w:rPr>
          <w:lang w:val="fr-FR"/>
        </w:rPr>
      </w:pPr>
      <w:r>
        <w:rPr>
          <w:rStyle w:val="FootnoteReference"/>
        </w:rPr>
        <w:footnoteRef/>
      </w:r>
      <w:r>
        <w:rPr>
          <w:lang w:val="fr-FR"/>
        </w:rPr>
        <w:t xml:space="preserve"> </w:t>
      </w:r>
      <w:r>
        <w:rPr>
          <w:szCs w:val="18"/>
          <w:lang w:val="fr-FR"/>
        </w:rPr>
        <w:t>Spenlé/Fumeaux</w:t>
      </w:r>
      <w:r>
        <w:rPr>
          <w:lang w:val="fr-FR"/>
        </w:rPr>
        <w:t>, p. 136.</w:t>
      </w:r>
    </w:p>
  </w:footnote>
  <w:footnote w:id="87">
    <w:p w:rsidR="00000000" w:rsidRDefault="00000000">
      <w:pPr>
        <w:pStyle w:val="FootnoteText"/>
        <w:spacing w:after="240"/>
        <w:rPr>
          <w:lang w:val="fr-FR"/>
        </w:rPr>
      </w:pPr>
      <w:r>
        <w:rPr>
          <w:rStyle w:val="FootnoteReference"/>
        </w:rPr>
        <w:footnoteRef/>
      </w:r>
      <w:r>
        <w:rPr>
          <w:lang w:val="fr-FR"/>
        </w:rPr>
        <w:t xml:space="preserve"> </w:t>
      </w:r>
      <w:hyperlink r:id="rId12" w:history="1">
        <w:r>
          <w:rPr>
            <w:rStyle w:val="Hyperlink"/>
            <w:lang w:val="fr-FR"/>
          </w:rPr>
          <w:t>http://www.admin.ch/ch/f/ff/2006/2457.pdf</w:t>
        </w:r>
      </w:hyperlink>
      <w:r>
        <w:rPr>
          <w:lang w:val="fr-FR"/>
        </w:rPr>
        <w:t>.</w:t>
      </w:r>
    </w:p>
  </w:footnote>
  <w:footnote w:id="88">
    <w:p w:rsidR="00000000" w:rsidRDefault="00000000">
      <w:pPr>
        <w:pStyle w:val="FootnoteText"/>
        <w:spacing w:after="240"/>
        <w:rPr>
          <w:lang w:val="en-GB"/>
        </w:rPr>
      </w:pPr>
      <w:r>
        <w:rPr>
          <w:rStyle w:val="FootnoteReference"/>
        </w:rPr>
        <w:footnoteRef/>
      </w:r>
      <w:r>
        <w:rPr>
          <w:lang w:val="en-GB"/>
        </w:rPr>
        <w:t xml:space="preserve"> </w:t>
      </w:r>
      <w:r>
        <w:rPr>
          <w:szCs w:val="18"/>
          <w:lang w:val="en-GB"/>
        </w:rPr>
        <w:t>Postulat 96.3366 (15.8.1996), postulat 00.3512 (4.10.2000).</w:t>
      </w:r>
    </w:p>
  </w:footnote>
  <w:footnote w:id="89">
    <w:p w:rsidR="00000000" w:rsidRDefault="00000000">
      <w:pPr>
        <w:pStyle w:val="FootnoteText"/>
        <w:spacing w:after="240"/>
        <w:rPr>
          <w:lang w:val="en-GB"/>
        </w:rPr>
      </w:pPr>
      <w:r>
        <w:rPr>
          <w:rStyle w:val="FootnoteReference"/>
        </w:rPr>
        <w:footnoteRef/>
      </w:r>
      <w:r>
        <w:rPr>
          <w:lang w:val="en-GB"/>
        </w:rPr>
        <w:t xml:space="preserve"> </w:t>
      </w:r>
      <w:r>
        <w:rPr>
          <w:szCs w:val="18"/>
          <w:lang w:val="en-GB"/>
        </w:rPr>
        <w:t>Art. 8, al. 3, LPers (RS 172.220.1)</w:t>
      </w:r>
      <w:r>
        <w:rPr>
          <w:lang w:val="en-GB"/>
        </w:rPr>
        <w:t>.</w:t>
      </w:r>
    </w:p>
  </w:footnote>
  <w:footnote w:id="90">
    <w:p w:rsidR="00000000" w:rsidRDefault="00000000">
      <w:pPr>
        <w:pStyle w:val="FootnoteText"/>
        <w:spacing w:after="240"/>
        <w:rPr>
          <w:lang w:val="en-GB"/>
        </w:rPr>
      </w:pPr>
      <w:r>
        <w:rPr>
          <w:rStyle w:val="FootnoteReference"/>
        </w:rPr>
        <w:footnoteRef/>
      </w:r>
      <w:r>
        <w:rPr>
          <w:lang w:val="en-GB"/>
        </w:rPr>
        <w:t xml:space="preserve"> </w:t>
      </w:r>
      <w:r>
        <w:rPr>
          <w:szCs w:val="18"/>
          <w:lang w:val="en-GB"/>
        </w:rPr>
        <w:t>Art. 23, OPers (RS 172.220.111.3).</w:t>
      </w:r>
    </w:p>
  </w:footnote>
  <w:footnote w:id="91">
    <w:p w:rsidR="00000000" w:rsidRDefault="00000000">
      <w:pPr>
        <w:pStyle w:val="FootnoteText"/>
        <w:spacing w:after="240"/>
      </w:pPr>
      <w:r>
        <w:rPr>
          <w:rStyle w:val="FootnoteReference"/>
        </w:rPr>
        <w:footnoteRef/>
      </w:r>
      <w:r>
        <w:t xml:space="preserve"> Les chiffres indiqués dans le tableau ne tiennent pas compte des autres possibilités d’obtenir la nationalité suisse, par exemple la constatation de la nationalité suisse ou l’acquisition de celle</w:t>
      </w:r>
      <w:r>
        <w:noBreakHyphen/>
        <w:t>ci par adoption.</w:t>
      </w:r>
    </w:p>
  </w:footnote>
  <w:footnote w:id="92">
    <w:p w:rsidR="00000000" w:rsidRDefault="00000000">
      <w:pPr>
        <w:pStyle w:val="FootnoteText"/>
        <w:spacing w:after="240"/>
      </w:pPr>
      <w:r>
        <w:rPr>
          <w:rStyle w:val="FootnoteReference"/>
        </w:rPr>
        <w:footnoteRef/>
      </w:r>
      <w:r>
        <w:t xml:space="preserve"> Parmi les personnes qui en bénéficient, on trouve avant tout les conjoints de ressortissants suisses (possibilité d’une naturalisation facilitée après trois ans de mariage pour les personnes ayant leur domicile en Suisse depuis au moins cinq ans) ainsi que les enfants de Suissesses et de Suisses n’ayant pas encore la national</w:t>
      </w:r>
      <w:r>
        <w:t>i</w:t>
      </w:r>
      <w:r>
        <w:t>té suisse.</w:t>
      </w:r>
    </w:p>
  </w:footnote>
  <w:footnote w:id="93">
    <w:p w:rsidR="00000000" w:rsidRDefault="00000000">
      <w:pPr>
        <w:pStyle w:val="FootnoteText"/>
        <w:spacing w:after="240"/>
        <w:rPr>
          <w:lang w:val="fr-FR"/>
        </w:rPr>
      </w:pPr>
      <w:r>
        <w:rPr>
          <w:rStyle w:val="FootnoteReference"/>
        </w:rPr>
        <w:footnoteRef/>
      </w:r>
      <w:r>
        <w:rPr>
          <w:lang w:val="fr-FR"/>
        </w:rPr>
        <w:t xml:space="preserve"> Office fédéral de la statistique, Chiffres clefs de l’état et de l’évolution de la population.</w:t>
      </w:r>
    </w:p>
  </w:footnote>
  <w:footnote w:id="94">
    <w:p w:rsidR="00000000" w:rsidRDefault="00000000">
      <w:pPr>
        <w:pStyle w:val="FootnoteText"/>
        <w:spacing w:after="240"/>
        <w:rPr>
          <w:lang w:val="en-GB"/>
        </w:rPr>
      </w:pPr>
      <w:r>
        <w:rPr>
          <w:rStyle w:val="FootnoteReference"/>
        </w:rPr>
        <w:footnoteRef/>
      </w:r>
      <w:r>
        <w:rPr>
          <w:lang w:val="en-GB"/>
        </w:rPr>
        <w:t xml:space="preserve"> ATF</w:t>
      </w:r>
      <w:r>
        <w:rPr>
          <w:bCs/>
          <w:szCs w:val="22"/>
          <w:lang w:val="en-GB"/>
        </w:rPr>
        <w:t xml:space="preserve"> 130 II 281 ss.</w:t>
      </w:r>
    </w:p>
  </w:footnote>
  <w:footnote w:id="95">
    <w:p w:rsidR="00000000" w:rsidRDefault="00000000">
      <w:pPr>
        <w:pStyle w:val="FootnoteText"/>
        <w:spacing w:after="240"/>
        <w:rPr>
          <w:lang w:val="fr-FR"/>
        </w:rPr>
      </w:pPr>
      <w:r>
        <w:rPr>
          <w:rStyle w:val="FootnoteReference"/>
        </w:rPr>
        <w:footnoteRef/>
      </w:r>
      <w:r>
        <w:rPr>
          <w:lang w:val="fr-FR"/>
        </w:rPr>
        <w:t xml:space="preserve"> Mariages conclus contre la volonté de l’un des conjoints.</w:t>
      </w:r>
    </w:p>
  </w:footnote>
  <w:footnote w:id="96">
    <w:p w:rsidR="00000000" w:rsidRDefault="00000000">
      <w:pPr>
        <w:pStyle w:val="FootnoteText"/>
        <w:spacing w:after="240"/>
        <w:rPr>
          <w:lang w:val="fr-FR"/>
        </w:rPr>
      </w:pPr>
      <w:r>
        <w:rPr>
          <w:rStyle w:val="FootnoteReference"/>
        </w:rPr>
        <w:footnoteRef/>
      </w:r>
      <w:r>
        <w:rPr>
          <w:lang w:val="fr-FR"/>
        </w:rPr>
        <w:t xml:space="preserve"> Voir Question </w:t>
      </w:r>
      <w:r>
        <w:rPr>
          <w:szCs w:val="18"/>
          <w:lang w:val="fr-FR"/>
        </w:rPr>
        <w:t>Banga Boris</w:t>
      </w:r>
      <w:r>
        <w:rPr>
          <w:lang w:val="fr-FR"/>
        </w:rPr>
        <w:t xml:space="preserve"> du 18 mars 2005, «Lutter contre les mariages forcés et mieux protéger les victimes» (04.1181).</w:t>
      </w:r>
    </w:p>
  </w:footnote>
  <w:footnote w:id="97">
    <w:p w:rsidR="00000000" w:rsidRDefault="00000000">
      <w:pPr>
        <w:pStyle w:val="FootnoteText"/>
        <w:spacing w:after="240"/>
        <w:rPr>
          <w:lang w:val="fr-FR"/>
        </w:rPr>
      </w:pPr>
      <w:r>
        <w:rPr>
          <w:rStyle w:val="FootnoteReference"/>
        </w:rPr>
        <w:footnoteRef/>
      </w:r>
      <w:r>
        <w:rPr>
          <w:lang w:val="fr-FR"/>
        </w:rPr>
        <w:t xml:space="preserve"> Par exemple sur une affiche de l’UDC portant le slogan «Nos impôts pour des écoles coraniques?».</w:t>
      </w:r>
    </w:p>
  </w:footnote>
  <w:footnote w:id="98">
    <w:p w:rsidR="00000000" w:rsidRDefault="00000000">
      <w:pPr>
        <w:pStyle w:val="FootnoteText"/>
        <w:spacing w:after="240"/>
        <w:rPr>
          <w:lang w:val="de-CH"/>
        </w:rPr>
      </w:pPr>
      <w:r>
        <w:rPr>
          <w:rStyle w:val="FootnoteReference"/>
        </w:rPr>
        <w:footnoteRef/>
      </w:r>
      <w:r>
        <w:rPr>
          <w:lang w:val="de-CH"/>
        </w:rPr>
        <w:t xml:space="preserve"> Voir Kiener/Kunh, Die Bau</w:t>
      </w:r>
      <w:r>
        <w:rPr>
          <w:lang w:val="de-CH"/>
        </w:rPr>
        <w:noBreakHyphen/>
        <w:t>und Planungsrechtliche Behandlung von Kultusgebäuden im Lichte der Glaubens</w:t>
      </w:r>
      <w:r>
        <w:rPr>
          <w:lang w:val="de-CH"/>
        </w:rPr>
        <w:noBreakHyphen/>
        <w:t>und Gewissensfreiheit, avis de droit.</w:t>
      </w:r>
    </w:p>
  </w:footnote>
  <w:footnote w:id="99">
    <w:p w:rsidR="00000000" w:rsidRDefault="00000000">
      <w:pPr>
        <w:pStyle w:val="FootnoteText"/>
        <w:spacing w:after="240"/>
        <w:rPr>
          <w:lang w:val="de-CH"/>
        </w:rPr>
      </w:pPr>
      <w:r>
        <w:rPr>
          <w:rStyle w:val="FootnoteReference"/>
        </w:rPr>
        <w:footnoteRef/>
      </w:r>
      <w:r>
        <w:rPr>
          <w:lang w:val="de-CH"/>
        </w:rPr>
        <w:t xml:space="preserve"> </w:t>
      </w:r>
      <w:r>
        <w:rPr>
          <w:szCs w:val="18"/>
          <w:lang w:val="de-CH"/>
        </w:rPr>
        <w:t>Häfelin/Haller</w:t>
      </w:r>
      <w:r>
        <w:rPr>
          <w:lang w:val="de-CH"/>
        </w:rPr>
        <w:t>, ch. 439.</w:t>
      </w:r>
    </w:p>
  </w:footnote>
  <w:footnote w:id="100">
    <w:p w:rsidR="00000000" w:rsidRDefault="00000000">
      <w:pPr>
        <w:pStyle w:val="FootnoteText"/>
        <w:spacing w:after="240"/>
        <w:rPr>
          <w:lang w:val="en-GB"/>
        </w:rPr>
      </w:pPr>
      <w:r>
        <w:rPr>
          <w:rStyle w:val="FootnoteReference"/>
        </w:rPr>
        <w:footnoteRef/>
      </w:r>
      <w:r>
        <w:rPr>
          <w:lang w:val="en-GB"/>
        </w:rPr>
        <w:t xml:space="preserve"> ATF 113 Ia 304 ss.</w:t>
      </w:r>
    </w:p>
  </w:footnote>
  <w:footnote w:id="101">
    <w:p w:rsidR="00000000" w:rsidRDefault="00000000">
      <w:pPr>
        <w:pStyle w:val="FootnoteText"/>
        <w:spacing w:after="240"/>
        <w:rPr>
          <w:lang w:val="fr-FR"/>
        </w:rPr>
      </w:pPr>
      <w:r>
        <w:rPr>
          <w:rStyle w:val="FootnoteReference"/>
        </w:rPr>
        <w:footnoteRef/>
      </w:r>
      <w:r>
        <w:rPr>
          <w:lang w:val="fr-FR"/>
        </w:rPr>
        <w:t xml:space="preserve"> ATF 123 I 296, voir aussi CERD/C/351/Add.2, par. 182.</w:t>
      </w:r>
    </w:p>
  </w:footnote>
  <w:footnote w:id="102">
    <w:p w:rsidR="00000000" w:rsidRDefault="00000000">
      <w:pPr>
        <w:pStyle w:val="FootnoteText"/>
        <w:spacing w:after="240"/>
        <w:rPr>
          <w:lang w:val="de-CH"/>
        </w:rPr>
      </w:pPr>
      <w:r>
        <w:rPr>
          <w:rStyle w:val="FootnoteReference"/>
        </w:rPr>
        <w:footnoteRef/>
      </w:r>
      <w:r>
        <w:rPr>
          <w:lang w:val="de-CH"/>
        </w:rPr>
        <w:t xml:space="preserve"> Tages</w:t>
      </w:r>
      <w:r>
        <w:rPr>
          <w:lang w:val="de-CH"/>
        </w:rPr>
        <w:noBreakHyphen/>
        <w:t>Anzeiger, 20 décembre 2003; Basler Zeitung, 19 janvier 2004.</w:t>
      </w:r>
    </w:p>
  </w:footnote>
  <w:footnote w:id="103">
    <w:p w:rsidR="00000000" w:rsidRDefault="00000000">
      <w:pPr>
        <w:pStyle w:val="FootnoteText"/>
        <w:spacing w:after="240"/>
        <w:rPr>
          <w:lang w:val="en-GB"/>
        </w:rPr>
      </w:pPr>
      <w:r>
        <w:rPr>
          <w:rStyle w:val="FootnoteReference"/>
        </w:rPr>
        <w:footnoteRef/>
      </w:r>
      <w:r>
        <w:rPr>
          <w:lang w:val="en-GB"/>
        </w:rPr>
        <w:t xml:space="preserve"> ATF 114 Ia 129, 117 Ia 311, 119 Ia 178.</w:t>
      </w:r>
    </w:p>
  </w:footnote>
  <w:footnote w:id="104">
    <w:p w:rsidR="00000000" w:rsidRDefault="00000000">
      <w:pPr>
        <w:pStyle w:val="FootnoteText"/>
        <w:spacing w:after="240"/>
        <w:rPr>
          <w:lang w:val="de-CH"/>
        </w:rPr>
      </w:pPr>
      <w:r>
        <w:rPr>
          <w:rStyle w:val="FootnoteReference"/>
        </w:rPr>
        <w:footnoteRef/>
      </w:r>
      <w:r>
        <w:rPr>
          <w:lang w:val="de-CH"/>
        </w:rPr>
        <w:t xml:space="preserve"> Richtlinien − Muslimische Schülerinnen und Schüler an der Volksschule: Empfehlungen, Bildungsdirektion des Kantons Zürich, juin 2003.</w:t>
      </w:r>
    </w:p>
  </w:footnote>
  <w:footnote w:id="105">
    <w:p w:rsidR="00000000" w:rsidRDefault="00000000">
      <w:pPr>
        <w:pStyle w:val="FootnoteText"/>
        <w:spacing w:after="240"/>
        <w:rPr>
          <w:lang w:val="de-CH"/>
        </w:rPr>
      </w:pPr>
      <w:r>
        <w:rPr>
          <w:rStyle w:val="FootnoteReference"/>
        </w:rPr>
        <w:footnoteRef/>
      </w:r>
      <w:r>
        <w:rPr>
          <w:lang w:val="de-CH"/>
        </w:rPr>
        <w:t xml:space="preserve"> Volksschulverordnung des Kantons Zürich, 412.111, notamment par. 55 ss.</w:t>
      </w:r>
    </w:p>
  </w:footnote>
  <w:footnote w:id="106">
    <w:p w:rsidR="00000000" w:rsidRDefault="00000000">
      <w:pPr>
        <w:pStyle w:val="FootnoteText"/>
        <w:spacing w:after="240"/>
        <w:rPr>
          <w:lang w:val="de-CH"/>
        </w:rPr>
      </w:pPr>
      <w:r>
        <w:rPr>
          <w:rStyle w:val="FootnoteReference"/>
        </w:rPr>
        <w:footnoteRef/>
      </w:r>
      <w:r>
        <w:rPr>
          <w:lang w:val="de-CH"/>
        </w:rPr>
        <w:t xml:space="preserve"> </w:t>
      </w:r>
      <w:r>
        <w:rPr>
          <w:szCs w:val="18"/>
          <w:lang w:val="de-CH"/>
        </w:rPr>
        <w:t>Tanner</w:t>
      </w:r>
      <w:r>
        <w:rPr>
          <w:lang w:val="de-CH"/>
        </w:rPr>
        <w:t>, Islamischer Religionsunterricht an der öffentlichen Schule und Ausbildung für Imame − Ein Tagungsbericht, Institut für Religionsrecht, Tagung vom 9. April 2005.</w:t>
      </w:r>
    </w:p>
  </w:footnote>
  <w:footnote w:id="107">
    <w:p w:rsidR="00000000" w:rsidRDefault="00000000">
      <w:pPr>
        <w:pStyle w:val="FootnoteText"/>
        <w:spacing w:after="240"/>
        <w:rPr>
          <w:lang w:val="de-CH"/>
        </w:rPr>
      </w:pPr>
      <w:r>
        <w:rPr>
          <w:rStyle w:val="FootnoteReference"/>
        </w:rPr>
        <w:footnoteRef/>
      </w:r>
      <w:r>
        <w:rPr>
          <w:lang w:val="de-CH"/>
        </w:rPr>
        <w:t xml:space="preserve"> Islamischer Religionsunterricht im Schulhaus − Ein Projekt in Kriens und Ebikon, Ein Evaluationsbericht (Zentrum für interkulturellen Dialog).</w:t>
      </w:r>
    </w:p>
  </w:footnote>
  <w:footnote w:id="108">
    <w:p w:rsidR="00000000" w:rsidRDefault="00000000">
      <w:pPr>
        <w:pStyle w:val="FootnoteText"/>
        <w:spacing w:after="240"/>
        <w:rPr>
          <w:lang w:val="en-GB"/>
        </w:rPr>
      </w:pPr>
      <w:r>
        <w:rPr>
          <w:rStyle w:val="FootnoteReference"/>
        </w:rPr>
        <w:footnoteRef/>
      </w:r>
      <w:r>
        <w:rPr>
          <w:lang w:val="en-GB"/>
        </w:rPr>
        <w:t xml:space="preserve"> ATF 131 IV 23 ss.</w:t>
      </w:r>
    </w:p>
  </w:footnote>
  <w:footnote w:id="109">
    <w:p w:rsidR="00000000" w:rsidRDefault="00000000">
      <w:pPr>
        <w:pStyle w:val="FootnoteText"/>
        <w:spacing w:after="240"/>
        <w:rPr>
          <w:lang w:val="de-CH"/>
        </w:rPr>
      </w:pPr>
      <w:r>
        <w:rPr>
          <w:rStyle w:val="FootnoteReference"/>
        </w:rPr>
        <w:footnoteRef/>
      </w:r>
      <w:r>
        <w:rPr>
          <w:lang w:val="de-CH"/>
        </w:rPr>
        <w:t xml:space="preserve"> </w:t>
      </w:r>
      <w:r>
        <w:rPr>
          <w:szCs w:val="18"/>
          <w:lang w:val="de-CH"/>
        </w:rPr>
        <w:t>Häfelin/Haller</w:t>
      </w:r>
      <w:r>
        <w:rPr>
          <w:lang w:val="de-CH"/>
        </w:rPr>
        <w:t>, ch. 467.</w:t>
      </w:r>
    </w:p>
  </w:footnote>
  <w:footnote w:id="110">
    <w:p w:rsidR="00000000" w:rsidRDefault="00000000">
      <w:pPr>
        <w:pStyle w:val="FootnoteText"/>
        <w:spacing w:after="240"/>
        <w:rPr>
          <w:lang w:val="de-CH"/>
        </w:rPr>
      </w:pPr>
      <w:r>
        <w:rPr>
          <w:rStyle w:val="FootnoteReference"/>
        </w:rPr>
        <w:footnoteRef/>
      </w:r>
      <w:r>
        <w:rPr>
          <w:lang w:val="de-CH"/>
        </w:rPr>
        <w:t xml:space="preserve"> </w:t>
      </w:r>
      <w:r>
        <w:rPr>
          <w:szCs w:val="18"/>
          <w:lang w:val="de-CH"/>
        </w:rPr>
        <w:t>Häfelin/Haller</w:t>
      </w:r>
      <w:r>
        <w:rPr>
          <w:lang w:val="de-CH"/>
        </w:rPr>
        <w:t>, ch. 471.</w:t>
      </w:r>
    </w:p>
  </w:footnote>
  <w:footnote w:id="111">
    <w:p w:rsidR="00000000" w:rsidRDefault="00000000">
      <w:pPr>
        <w:pStyle w:val="FootnoteText"/>
        <w:spacing w:after="240"/>
        <w:rPr>
          <w:lang w:val="de-CH"/>
        </w:rPr>
      </w:pPr>
      <w:r>
        <w:rPr>
          <w:rStyle w:val="FootnoteReference"/>
        </w:rPr>
        <w:footnoteRef/>
      </w:r>
      <w:r>
        <w:rPr>
          <w:lang w:val="de-CH"/>
        </w:rPr>
        <w:t xml:space="preserve"> </w:t>
      </w:r>
      <w:r>
        <w:rPr>
          <w:szCs w:val="18"/>
          <w:lang w:val="de-CH"/>
        </w:rPr>
        <w:t>Müller, Grundrechte in der Schweiz</w:t>
      </w:r>
      <w:r>
        <w:rPr>
          <w:lang w:val="de-CH"/>
        </w:rPr>
        <w:t>, 3. Aufl., Bern 1999, p. 331.</w:t>
      </w:r>
    </w:p>
  </w:footnote>
  <w:footnote w:id="112">
    <w:p w:rsidR="00000000" w:rsidRDefault="00000000">
      <w:pPr>
        <w:pStyle w:val="FootnoteText"/>
        <w:spacing w:after="240"/>
        <w:rPr>
          <w:lang w:val="fr-FR"/>
        </w:rPr>
      </w:pPr>
      <w:r>
        <w:rPr>
          <w:rStyle w:val="FootnoteReference"/>
        </w:rPr>
        <w:footnoteRef/>
      </w:r>
      <w:r>
        <w:rPr>
          <w:lang w:val="fr-FR"/>
        </w:rPr>
        <w:t xml:space="preserve"> FF 1997 I 167.</w:t>
      </w:r>
    </w:p>
  </w:footnote>
  <w:footnote w:id="113">
    <w:p w:rsidR="00000000" w:rsidRDefault="00000000">
      <w:pPr>
        <w:pStyle w:val="FootnoteText"/>
        <w:spacing w:after="240"/>
        <w:rPr>
          <w:lang w:val="fr-FR"/>
        </w:rPr>
      </w:pPr>
      <w:r>
        <w:rPr>
          <w:rStyle w:val="FootnoteReference"/>
        </w:rPr>
        <w:footnoteRef/>
      </w:r>
      <w:r>
        <w:rPr>
          <w:lang w:val="fr-FR"/>
        </w:rPr>
        <w:t xml:space="preserve"> Voir ATF 130 I 1, 82 et 2P. 318/2004.</w:t>
      </w:r>
    </w:p>
  </w:footnote>
  <w:footnote w:id="114">
    <w:p w:rsidR="00000000" w:rsidRDefault="00000000">
      <w:pPr>
        <w:pStyle w:val="FootnoteText"/>
        <w:spacing w:after="240"/>
        <w:rPr>
          <w:lang w:val="it-CH"/>
        </w:rPr>
      </w:pPr>
      <w:r>
        <w:rPr>
          <w:rStyle w:val="FootnoteReference"/>
        </w:rPr>
        <w:footnoteRef/>
      </w:r>
      <w:r>
        <w:rPr>
          <w:lang w:val="fr-FR"/>
        </w:rPr>
        <w:t xml:space="preserve"> Voir ATF 130 I 71, 74 s</w:t>
      </w:r>
      <w:r>
        <w:rPr>
          <w:lang w:val="it-CH"/>
        </w:rPr>
        <w:t>. et 121 I 367, 373.</w:t>
      </w:r>
    </w:p>
  </w:footnote>
  <w:footnote w:id="115">
    <w:p w:rsidR="00000000" w:rsidRDefault="00000000">
      <w:pPr>
        <w:pStyle w:val="FootnoteText"/>
        <w:spacing w:after="240"/>
      </w:pPr>
      <w:r>
        <w:rPr>
          <w:rStyle w:val="FootnoteReference"/>
        </w:rPr>
        <w:footnoteRef/>
      </w:r>
      <w:r>
        <w:t xml:space="preserve"> Voir ATF 131 I 166.</w:t>
      </w:r>
    </w:p>
  </w:footnote>
  <w:footnote w:id="116">
    <w:p w:rsidR="00000000" w:rsidRDefault="00000000">
      <w:pPr>
        <w:pStyle w:val="FootnoteText"/>
        <w:spacing w:after="240"/>
      </w:pPr>
      <w:r>
        <w:rPr>
          <w:rStyle w:val="FootnoteReference"/>
        </w:rPr>
        <w:footnoteRef/>
      </w:r>
      <w:r>
        <w:t xml:space="preserve"> Enquête suisse sur la population active en 2004, Office fédéral de la statistique, Communiqué de presse de l’ODM du 27 janvier 2005.</w:t>
      </w:r>
    </w:p>
  </w:footnote>
  <w:footnote w:id="117">
    <w:p w:rsidR="00000000" w:rsidRDefault="00000000">
      <w:pPr>
        <w:pStyle w:val="FootnoteText"/>
        <w:spacing w:after="240"/>
        <w:rPr>
          <w:lang w:val="fr-FR"/>
        </w:rPr>
      </w:pPr>
      <w:r>
        <w:rPr>
          <w:rStyle w:val="FootnoteReference"/>
        </w:rPr>
        <w:footnoteRef/>
      </w:r>
      <w:r>
        <w:t xml:space="preserve"> Interdiction de travail pour les requérants d’asile − Annonce orale par A. Casanova, Vice</w:t>
      </w:r>
      <w:r>
        <w:noBreakHyphen/>
        <w:t xml:space="preserve">Chancelier, 13 juin </w:t>
      </w:r>
      <w:r>
        <w:rPr>
          <w:lang w:val="fr-FR"/>
        </w:rPr>
        <w:t>2000.</w:t>
      </w:r>
    </w:p>
  </w:footnote>
  <w:footnote w:id="118">
    <w:p w:rsidR="00000000" w:rsidRDefault="00000000">
      <w:pPr>
        <w:pStyle w:val="FootnoteText"/>
        <w:spacing w:after="240"/>
        <w:rPr>
          <w:lang w:val="en-GB"/>
        </w:rPr>
      </w:pPr>
      <w:r>
        <w:rPr>
          <w:rStyle w:val="FootnoteReference"/>
        </w:rPr>
        <w:footnoteRef/>
      </w:r>
      <w:r>
        <w:rPr>
          <w:lang w:val="en-GB"/>
        </w:rPr>
        <w:t xml:space="preserve"> Voir art. 4, ALCP, annexe I, art. 2.</w:t>
      </w:r>
    </w:p>
  </w:footnote>
  <w:footnote w:id="119">
    <w:p w:rsidR="00000000" w:rsidRDefault="00000000">
      <w:pPr>
        <w:pStyle w:val="FootnoteText"/>
        <w:spacing w:after="240"/>
      </w:pPr>
      <w:r>
        <w:rPr>
          <w:rStyle w:val="FootnoteReference"/>
        </w:rPr>
        <w:footnoteRef/>
      </w:r>
      <w:r>
        <w:t xml:space="preserve"> RS 823.20.</w:t>
      </w:r>
    </w:p>
  </w:footnote>
  <w:footnote w:id="120">
    <w:p w:rsidR="00000000" w:rsidRDefault="00000000">
      <w:pPr>
        <w:pStyle w:val="FootnoteText"/>
        <w:spacing w:after="240"/>
        <w:rPr>
          <w:lang w:val="fr-FR"/>
        </w:rPr>
      </w:pPr>
      <w:r>
        <w:rPr>
          <w:rStyle w:val="FootnoteReference"/>
        </w:rPr>
        <w:footnoteRef/>
      </w:r>
      <w:r>
        <w:rPr>
          <w:lang w:val="fr-FR"/>
        </w:rPr>
        <w:t xml:space="preserve"> </w:t>
      </w:r>
      <w:r>
        <w:rPr>
          <w:i/>
          <w:iCs/>
          <w:lang w:val="fr-FR"/>
        </w:rPr>
        <w:t>La population étrangère en Suisse</w:t>
      </w:r>
      <w:r>
        <w:rPr>
          <w:lang w:val="fr-FR"/>
        </w:rPr>
        <w:t>, éd. 2004, Office fédéral de la statistique, p. 62.</w:t>
      </w:r>
    </w:p>
  </w:footnote>
  <w:footnote w:id="121">
    <w:p w:rsidR="00000000" w:rsidRDefault="00000000">
      <w:pPr>
        <w:pStyle w:val="FootnoteText"/>
        <w:spacing w:after="240"/>
        <w:rPr>
          <w:lang w:val="fr-FR"/>
        </w:rPr>
      </w:pPr>
      <w:r>
        <w:rPr>
          <w:rStyle w:val="FootnoteReference"/>
        </w:rPr>
        <w:footnoteRef/>
      </w:r>
      <w:r>
        <w:rPr>
          <w:lang w:val="fr-FR"/>
        </w:rPr>
        <w:t xml:space="preserve"> Recensement fédéral de la population 2000: Migration und intégration, Office fédéral de la statistique, p. 50.</w:t>
      </w:r>
    </w:p>
  </w:footnote>
  <w:footnote w:id="122">
    <w:p w:rsidR="00000000" w:rsidRDefault="00000000">
      <w:pPr>
        <w:pStyle w:val="FootnoteText"/>
        <w:spacing w:after="240"/>
      </w:pPr>
      <w:r>
        <w:rPr>
          <w:rStyle w:val="FootnoteReference"/>
        </w:rPr>
        <w:footnoteRef/>
      </w:r>
      <w:r>
        <w:t xml:space="preserve"> Office fédéral de la statistique, Logement 2000, Étude détaillée du recensement des bâtiments et des logements.</w:t>
      </w:r>
    </w:p>
  </w:footnote>
  <w:footnote w:id="123">
    <w:p w:rsidR="00000000" w:rsidRDefault="00000000">
      <w:pPr>
        <w:pStyle w:val="FootnoteText"/>
        <w:spacing w:after="240"/>
        <w:rPr>
          <w:lang w:val="de-CH"/>
        </w:rPr>
      </w:pPr>
      <w:r>
        <w:rPr>
          <w:rStyle w:val="FootnoteReference"/>
        </w:rPr>
        <w:footnoteRef/>
      </w:r>
      <w:r>
        <w:rPr>
          <w:lang w:val="de-CH"/>
        </w:rPr>
        <w:t xml:space="preserve"> </w:t>
      </w:r>
      <w:r>
        <w:rPr>
          <w:i/>
          <w:iCs/>
          <w:lang w:val="de-CH"/>
        </w:rPr>
        <w:t>Terra cognita</w:t>
      </w:r>
      <w:r>
        <w:rPr>
          <w:lang w:val="de-CH"/>
        </w:rPr>
        <w:t>, «Chancengleichheit (auch) im Mietrecht», Barbara Peyer, 5/2004.</w:t>
      </w:r>
    </w:p>
  </w:footnote>
  <w:footnote w:id="124">
    <w:p w:rsidR="00000000" w:rsidRDefault="00000000">
      <w:pPr>
        <w:pStyle w:val="FootnoteText"/>
        <w:spacing w:after="240"/>
      </w:pPr>
      <w:r>
        <w:rPr>
          <w:rStyle w:val="FootnoteReference"/>
        </w:rPr>
        <w:footnoteRef/>
      </w:r>
      <w:r>
        <w:t xml:space="preserve"> Intégration et habitat, Recommandations de la Commission fédérale des étrangers, 11.2004.</w:t>
      </w:r>
    </w:p>
  </w:footnote>
  <w:footnote w:id="125">
    <w:p w:rsidR="00000000" w:rsidRDefault="00000000">
      <w:pPr>
        <w:pStyle w:val="FootnoteText"/>
        <w:spacing w:after="240"/>
        <w:rPr>
          <w:lang w:val="de-CH"/>
        </w:rPr>
      </w:pPr>
      <w:r>
        <w:rPr>
          <w:rStyle w:val="FootnoteReference"/>
        </w:rPr>
        <w:footnoteRef/>
      </w:r>
      <w:r>
        <w:rPr>
          <w:lang w:val="de-CH"/>
        </w:rPr>
        <w:t xml:space="preserve"> </w:t>
      </w:r>
      <w:r>
        <w:rPr>
          <w:szCs w:val="18"/>
          <w:lang w:val="de-CH"/>
        </w:rPr>
        <w:t>Häfelin/Haller</w:t>
      </w:r>
      <w:r>
        <w:rPr>
          <w:lang w:val="de-CH"/>
        </w:rPr>
        <w:t>, n. 918.</w:t>
      </w:r>
    </w:p>
  </w:footnote>
  <w:footnote w:id="126">
    <w:p w:rsidR="00000000" w:rsidRDefault="00000000">
      <w:pPr>
        <w:pStyle w:val="FootnoteText"/>
        <w:spacing w:after="240"/>
        <w:rPr>
          <w:lang w:val="fr-FR"/>
        </w:rPr>
      </w:pPr>
      <w:r>
        <w:rPr>
          <w:rStyle w:val="FootnoteReference"/>
        </w:rPr>
        <w:footnoteRef/>
      </w:r>
      <w:r>
        <w:rPr>
          <w:lang w:val="fr-FR"/>
        </w:rPr>
        <w:t xml:space="preserve"> Message concernant la modification de la loi sur l’asile et de la loi fédérale sur l’assurance maladie, 4 septembre 2002.</w:t>
      </w:r>
    </w:p>
  </w:footnote>
  <w:footnote w:id="127">
    <w:p w:rsidR="00000000" w:rsidRDefault="00000000">
      <w:pPr>
        <w:pStyle w:val="FootnoteText"/>
        <w:spacing w:after="240"/>
        <w:rPr>
          <w:lang w:val="fr-FR"/>
        </w:rPr>
      </w:pPr>
      <w:r>
        <w:rPr>
          <w:rStyle w:val="FootnoteReference"/>
        </w:rPr>
        <w:footnoteRef/>
      </w:r>
      <w:r>
        <w:rPr>
          <w:lang w:val="fr-FR"/>
        </w:rPr>
        <w:t xml:space="preserve"> Directives du 19 décembre 2001 (02/01).</w:t>
      </w:r>
    </w:p>
  </w:footnote>
  <w:footnote w:id="128">
    <w:p w:rsidR="00000000" w:rsidRDefault="00000000">
      <w:pPr>
        <w:pStyle w:val="FootnoteText"/>
        <w:spacing w:after="240"/>
        <w:rPr>
          <w:lang w:val="fr-FR"/>
        </w:rPr>
      </w:pPr>
      <w:r>
        <w:rPr>
          <w:rStyle w:val="FootnoteReference"/>
        </w:rPr>
        <w:footnoteRef/>
      </w:r>
      <w:r>
        <w:rPr>
          <w:lang w:val="fr-FR"/>
        </w:rPr>
        <w:t xml:space="preserve"> Message concernant la modification de la loi sur l’asile et de la loi fédérale sur l’assurance</w:t>
      </w:r>
      <w:r>
        <w:rPr>
          <w:lang w:val="fr-FR"/>
        </w:rPr>
        <w:noBreakHyphen/>
        <w:t>vieillesse et surv</w:t>
      </w:r>
      <w:r>
        <w:rPr>
          <w:lang w:val="fr-FR"/>
        </w:rPr>
        <w:t>i</w:t>
      </w:r>
      <w:r>
        <w:rPr>
          <w:lang w:val="fr-FR"/>
        </w:rPr>
        <w:t>vants, 4 septembre 2002.</w:t>
      </w:r>
    </w:p>
  </w:footnote>
  <w:footnote w:id="129">
    <w:p w:rsidR="00000000" w:rsidRDefault="00000000">
      <w:pPr>
        <w:pStyle w:val="FootnoteText"/>
        <w:spacing w:after="240"/>
        <w:rPr>
          <w:lang w:val="fr-FR"/>
        </w:rPr>
      </w:pPr>
      <w:r>
        <w:rPr>
          <w:rStyle w:val="FootnoteReference"/>
        </w:rPr>
        <w:footnoteRef/>
      </w:r>
      <w:r>
        <w:rPr>
          <w:lang w:val="fr-FR"/>
        </w:rPr>
        <w:t xml:space="preserve"> RS 312.5 (voir Document de base, HRI/CORE/1/Add.29/Rev.1, ch. 62).</w:t>
      </w:r>
    </w:p>
  </w:footnote>
  <w:footnote w:id="130">
    <w:p w:rsidR="00000000" w:rsidRDefault="00000000">
      <w:pPr>
        <w:pStyle w:val="FootnoteText"/>
        <w:spacing w:after="240"/>
        <w:rPr>
          <w:lang w:val="en-GB"/>
        </w:rPr>
      </w:pPr>
      <w:r>
        <w:rPr>
          <w:rStyle w:val="FootnoteReference"/>
        </w:rPr>
        <w:footnoteRef/>
      </w:r>
      <w:r>
        <w:rPr>
          <w:lang w:val="en-GB"/>
        </w:rPr>
        <w:t xml:space="preserve"> ATF 131 IV 78, c. 1.2.</w:t>
      </w:r>
    </w:p>
  </w:footnote>
  <w:footnote w:id="131">
    <w:p w:rsidR="00000000" w:rsidRDefault="00000000">
      <w:pPr>
        <w:pStyle w:val="FootnoteText"/>
        <w:spacing w:after="240"/>
      </w:pPr>
      <w:r>
        <w:rPr>
          <w:rStyle w:val="FootnoteReference"/>
        </w:rPr>
        <w:footnoteRef/>
      </w:r>
      <w:r>
        <w:t xml:space="preserve"> Jugement du Tribunal fédéral, 7 novembre 2002, 6S.196/2002, c.3.</w:t>
      </w:r>
    </w:p>
  </w:footnote>
  <w:footnote w:id="132">
    <w:p w:rsidR="00000000" w:rsidRDefault="00000000">
      <w:pPr>
        <w:pStyle w:val="FootnoteText"/>
        <w:spacing w:after="240"/>
        <w:rPr>
          <w:lang w:val="fr-FR"/>
        </w:rPr>
      </w:pPr>
    </w:p>
  </w:footnote>
  <w:footnote w:id="133">
    <w:p w:rsidR="00000000" w:rsidRDefault="00000000">
      <w:pPr>
        <w:pStyle w:val="FootnoteText"/>
        <w:spacing w:after="240"/>
        <w:rPr>
          <w:lang w:val="fr-FR"/>
        </w:rPr>
      </w:pPr>
      <w:r>
        <w:rPr>
          <w:rStyle w:val="FootnoteReference"/>
        </w:rPr>
        <w:footnoteRef/>
      </w:r>
      <w:r>
        <w:rPr>
          <w:lang w:val="fr-FR"/>
        </w:rPr>
        <w:t xml:space="preserve"> </w:t>
      </w:r>
      <w:hyperlink r:id="rId13" w:history="1">
        <w:r>
          <w:rPr>
            <w:rStyle w:val="Hyperlink"/>
            <w:lang w:val="fr-FR"/>
          </w:rPr>
          <w:t>http://www.edi.admin.ch/frb/beratung/adressen/index.html?lang=fr</w:t>
        </w:r>
      </w:hyperlink>
      <w:r>
        <w:rPr>
          <w:lang w:val="fr-FR"/>
        </w:rPr>
        <w:t>.</w:t>
      </w:r>
    </w:p>
  </w:footnote>
  <w:footnote w:id="134">
    <w:p w:rsidR="00000000" w:rsidRDefault="00000000">
      <w:pPr>
        <w:pStyle w:val="FootnoteText"/>
        <w:spacing w:after="240"/>
      </w:pPr>
      <w:r>
        <w:rPr>
          <w:rStyle w:val="FootnoteReference"/>
        </w:rPr>
        <w:footnoteRef/>
      </w:r>
      <w:r>
        <w:t xml:space="preserve"> </w:t>
      </w:r>
      <w:hyperlink r:id="rId14" w:history="1">
        <w:r>
          <w:rPr>
            <w:rStyle w:val="Hyperlink"/>
          </w:rPr>
          <w:t>http://www.edi.admin.ch/frb/themen/00083/00293/ausbildung.pdf</w:t>
        </w:r>
      </w:hyperlink>
      <w:r>
        <w:t>.</w:t>
      </w:r>
    </w:p>
  </w:footnote>
  <w:footnote w:id="135">
    <w:p w:rsidR="00000000" w:rsidRDefault="00000000">
      <w:pPr>
        <w:pStyle w:val="FootnoteText"/>
        <w:spacing w:after="240"/>
      </w:pPr>
      <w:r>
        <w:rPr>
          <w:rStyle w:val="FootnoteReference"/>
        </w:rPr>
        <w:footnoteRef/>
      </w:r>
      <w:r>
        <w:t xml:space="preserve"> Juridiquement, il ne s’agit pas d’un fonds, mais d’un crédit d’engagement voté par le Parlement incluant des crédits de paiement annuels.</w:t>
      </w:r>
    </w:p>
  </w:footnote>
  <w:footnote w:id="136">
    <w:p w:rsidR="00000000" w:rsidRDefault="00000000">
      <w:pPr>
        <w:pStyle w:val="FootnoteText"/>
        <w:spacing w:after="240"/>
      </w:pPr>
      <w:r>
        <w:rPr>
          <w:rStyle w:val="FootnoteReference"/>
        </w:rPr>
        <w:footnoteRef/>
      </w:r>
      <w:r>
        <w:t xml:space="preserve"> </w:t>
      </w:r>
      <w:hyperlink r:id="rId15" w:history="1">
        <w:r>
          <w:rPr>
            <w:rStyle w:val="Hyperlink"/>
          </w:rPr>
          <w:t>www.edi.admin.ch/frb/</w:t>
        </w:r>
      </w:hyperlink>
      <w:r>
        <w:t>.</w:t>
      </w:r>
    </w:p>
  </w:footnote>
  <w:footnote w:id="137">
    <w:p w:rsidR="00000000" w:rsidRDefault="00000000">
      <w:pPr>
        <w:pStyle w:val="FootnoteText"/>
        <w:spacing w:after="240"/>
        <w:rPr>
          <w:lang w:val="fr-FR"/>
        </w:rPr>
      </w:pPr>
      <w:r>
        <w:rPr>
          <w:rStyle w:val="FootnoteReference"/>
        </w:rPr>
        <w:footnoteRef/>
      </w:r>
      <w:r>
        <w:rPr>
          <w:lang w:val="fr-FR"/>
        </w:rPr>
        <w:t xml:space="preserve"> Les rapports d’évaluation peuvent être commandés auprès du Service de lutte contre le racisme.</w:t>
      </w:r>
    </w:p>
  </w:footnote>
  <w:footnote w:id="138">
    <w:p w:rsidR="00000000" w:rsidRDefault="00000000">
      <w:pPr>
        <w:pStyle w:val="FootnoteText"/>
        <w:spacing w:after="240"/>
      </w:pPr>
      <w:r>
        <w:rPr>
          <w:rStyle w:val="FootnoteReference"/>
        </w:rPr>
        <w:footnoteRef/>
      </w:r>
      <w:r>
        <w:t xml:space="preserve"> NZZ, 13 octobre 2005.</w:t>
      </w:r>
    </w:p>
  </w:footnote>
  <w:footnote w:id="139">
    <w:p w:rsidR="00000000" w:rsidRDefault="00000000">
      <w:pPr>
        <w:pStyle w:val="FootnoteText"/>
        <w:spacing w:after="240"/>
      </w:pPr>
      <w:r>
        <w:rPr>
          <w:rStyle w:val="FootnoteReference"/>
        </w:rPr>
        <w:footnoteRef/>
      </w:r>
      <w:r>
        <w:t xml:space="preserve"> La lutte contre le racisme et la discrimination est une tâche permanente de la société. Les instruments jurid</w:t>
      </w:r>
      <w:r>
        <w:t>i</w:t>
      </w:r>
      <w:r>
        <w:t>ques pour la protection des victimes doivent être renforcés. Il est nécessaire d’offrir aux personnes conce</w:t>
      </w:r>
      <w:r>
        <w:t>r</w:t>
      </w:r>
      <w:r>
        <w:t>nées davantage de structures d’assistance facilement accessibles telles que centres de médiation, de consultation et d’arbitrage. Il faut lutter contre le racisme et la xénophobie en politique et contre les stéréot</w:t>
      </w:r>
      <w:r>
        <w:t>y</w:t>
      </w:r>
      <w:r>
        <w:t xml:space="preserve">pes diffusés par les médias. </w:t>
      </w:r>
      <w:r>
        <w:br/>
        <w:t>La lutte contre le racisme et la discrimination doit faire partie d’une politique gl</w:t>
      </w:r>
      <w:r>
        <w:t>o</w:t>
      </w:r>
      <w:r>
        <w:t xml:space="preserve">bale des droits de l’homme. Le document en question peut être consulté sur: </w:t>
      </w:r>
      <w:hyperlink r:id="rId16" w:history="1">
        <w:r>
          <w:rPr>
            <w:rStyle w:val="Hyperlink"/>
          </w:rPr>
          <w:t>http://www.edi.admin.ch/ekr/portraet/00568/5</w:t>
        </w:r>
        <w:r>
          <w:rPr>
            <w:rStyle w:val="Hyperlink"/>
          </w:rPr>
          <w:noBreakHyphen/>
          <w:t>punkte</w:t>
        </w:r>
        <w:r>
          <w:rPr>
            <w:rStyle w:val="Hyperlink"/>
          </w:rPr>
          <w:noBreakHyphen/>
          <w:t>strategie_lang_fr.pdf</w:t>
        </w:r>
      </w:hyperlink>
      <w:r>
        <w:t>.</w:t>
      </w:r>
    </w:p>
  </w:footnote>
  <w:footnote w:id="140">
    <w:p w:rsidR="00000000" w:rsidRDefault="00000000">
      <w:pPr>
        <w:pStyle w:val="FootnoteText"/>
        <w:spacing w:after="240"/>
      </w:pPr>
      <w:r>
        <w:rPr>
          <w:rStyle w:val="FootnoteReference"/>
        </w:rPr>
        <w:footnoteRef/>
      </w:r>
      <w:r>
        <w:t xml:space="preserve"> À titre d’exemples, mentionnons les communiqués de presse concernant la profanation de tombes dans le cimetière juif de Vevey</w:t>
      </w:r>
      <w:r>
        <w:noBreakHyphen/>
        <w:t>Montreux ainsi que l’incendie criminel qui a visé la synagogue de Lugano.</w:t>
      </w:r>
    </w:p>
  </w:footnote>
  <w:footnote w:id="141">
    <w:p w:rsidR="00000000" w:rsidRDefault="00000000">
      <w:pPr>
        <w:pStyle w:val="FootnoteText"/>
        <w:spacing w:after="240"/>
      </w:pPr>
      <w:r>
        <w:rPr>
          <w:rStyle w:val="FootnoteReference"/>
        </w:rPr>
        <w:footnoteRef/>
      </w:r>
      <w:r>
        <w:t xml:space="preserve"> Motion du groupe UDC du 17 décembre 2004, «Supprimer la Commission fédérale contre le racisme» (04.3771).</w:t>
      </w:r>
    </w:p>
  </w:footnote>
  <w:footnote w:id="142">
    <w:p w:rsidR="00000000" w:rsidRDefault="00000000">
      <w:pPr>
        <w:pStyle w:val="FootnoteText"/>
        <w:spacing w:after="240"/>
      </w:pPr>
      <w:r>
        <w:rPr>
          <w:rStyle w:val="FootnoteReference"/>
        </w:rPr>
        <w:footnoteRef/>
      </w:r>
      <w:r>
        <w:t xml:space="preserve"> La CFE a participé de manière substantielle à la conception du Programme de la promotion de l’intégration.</w:t>
      </w:r>
    </w:p>
  </w:footnote>
  <w:footnote w:id="143">
    <w:p w:rsidR="00000000" w:rsidRDefault="00000000">
      <w:pPr>
        <w:pStyle w:val="FootnoteText"/>
        <w:spacing w:after="240"/>
      </w:pPr>
      <w:r>
        <w:rPr>
          <w:rStyle w:val="FootnoteReference"/>
        </w:rPr>
        <w:footnoteRef/>
      </w:r>
      <w:r>
        <w:t xml:space="preserve"> «Évaluation du Programme de la promotion de l’intégration 2001</w:t>
      </w:r>
      <w:r>
        <w:noBreakHyphen/>
        <w:t xml:space="preserve">2003» (Résumé) 2004, </w:t>
      </w:r>
      <w:hyperlink r:id="rId17" w:history="1">
        <w:r>
          <w:rPr>
            <w:rStyle w:val="Hyperlink"/>
          </w:rPr>
          <w:t>www.eka</w:t>
        </w:r>
        <w:r>
          <w:rPr>
            <w:rStyle w:val="Hyperlink"/>
          </w:rPr>
          <w:noBreakHyphen/>
          <w:t>cfe.ch/f/publikation.asp</w:t>
        </w:r>
      </w:hyperlink>
      <w:r>
        <w:t xml:space="preserve">. </w:t>
      </w:r>
    </w:p>
  </w:footnote>
  <w:footnote w:id="144">
    <w:p w:rsidR="00000000" w:rsidRDefault="00000000">
      <w:pPr>
        <w:pStyle w:val="FootnoteText"/>
        <w:spacing w:after="240"/>
      </w:pPr>
      <w:r>
        <w:rPr>
          <w:rStyle w:val="FootnoteReference"/>
        </w:rPr>
        <w:footnoteRef/>
      </w:r>
      <w:r>
        <w:t xml:space="preserve"> </w:t>
      </w:r>
      <w:hyperlink r:id="rId18" w:history="1">
        <w:r>
          <w:rPr>
            <w:rStyle w:val="Hyperlink"/>
          </w:rPr>
          <w:t>http://www.eka</w:t>
        </w:r>
        <w:r>
          <w:rPr>
            <w:rStyle w:val="Hyperlink"/>
          </w:rPr>
          <w:noBreakHyphen/>
          <w:t>cfe.ch/f/integration.asp</w:t>
        </w:r>
      </w:hyperlink>
      <w:r>
        <w:t>.</w:t>
      </w:r>
    </w:p>
  </w:footnote>
  <w:footnote w:id="145">
    <w:p w:rsidR="00000000" w:rsidRDefault="00000000">
      <w:pPr>
        <w:pStyle w:val="FootnoteText"/>
        <w:spacing w:after="240"/>
      </w:pPr>
    </w:p>
  </w:footnote>
  <w:footnote w:id="146">
    <w:p w:rsidR="00000000" w:rsidRDefault="00000000">
      <w:pPr>
        <w:pStyle w:val="FootnoteText"/>
        <w:spacing w:after="240"/>
      </w:pPr>
      <w:r>
        <w:rPr>
          <w:rStyle w:val="FootnoteReference"/>
        </w:rPr>
        <w:footnoteRef/>
      </w:r>
      <w:r>
        <w:t xml:space="preserve"> </w:t>
      </w:r>
      <w:hyperlink r:id="rId19" w:history="1">
        <w:r>
          <w:rPr>
            <w:rStyle w:val="Hyperlink"/>
          </w:rPr>
          <w:t>www.educa.ch</w:t>
        </w:r>
      </w:hyperlink>
      <w:r>
        <w:t>.</w:t>
      </w:r>
    </w:p>
  </w:footnote>
  <w:footnote w:id="147">
    <w:p w:rsidR="00000000" w:rsidRDefault="00000000">
      <w:pPr>
        <w:pStyle w:val="FootnoteText"/>
        <w:spacing w:after="240"/>
        <w:rPr>
          <w:rStyle w:val="FootnoteReference"/>
          <w:b w:val="0"/>
          <w:bCs/>
          <w:vertAlign w:val="baseline"/>
        </w:rPr>
      </w:pPr>
      <w:r>
        <w:rPr>
          <w:rStyle w:val="FootnoteReference"/>
        </w:rPr>
        <w:footnoteRef/>
      </w:r>
      <w:r>
        <w:rPr>
          <w:rStyle w:val="FootnoteReference"/>
        </w:rPr>
        <w:t xml:space="preserve"> </w:t>
      </w:r>
      <w:hyperlink r:id="rId20" w:history="1">
        <w:r>
          <w:rPr>
            <w:rStyle w:val="Hyperlink"/>
          </w:rPr>
          <w:t>http://www.educa.ch/dyn/1471.htm</w:t>
        </w:r>
      </w:hyperlink>
      <w:r>
        <w:t>.</w:t>
      </w:r>
    </w:p>
  </w:footnote>
  <w:footnote w:id="148">
    <w:p w:rsidR="00000000" w:rsidRDefault="00000000">
      <w:pPr>
        <w:pStyle w:val="FootnoteText"/>
        <w:spacing w:after="240"/>
      </w:pPr>
      <w:r>
        <w:rPr>
          <w:rStyle w:val="FootnoteReference"/>
        </w:rPr>
        <w:footnoteRef/>
      </w:r>
      <w:r>
        <w:t xml:space="preserve"> Voir </w:t>
      </w:r>
      <w:hyperlink r:id="rId21" w:history="1">
        <w:r>
          <w:rPr>
            <w:rStyle w:val="Hyperlink"/>
          </w:rPr>
          <w:t>www.globaleducation.ch</w:t>
        </w:r>
      </w:hyperlink>
      <w:r>
        <w:t>.</w:t>
      </w:r>
    </w:p>
  </w:footnote>
  <w:footnote w:id="149">
    <w:p w:rsidR="00000000" w:rsidRDefault="00000000">
      <w:pPr>
        <w:pStyle w:val="FootnoteText"/>
        <w:spacing w:after="240"/>
      </w:pPr>
      <w:r>
        <w:rPr>
          <w:rStyle w:val="FootnoteReference"/>
        </w:rPr>
        <w:footnoteRef/>
      </w:r>
      <w:r>
        <w:t xml:space="preserve"> </w:t>
      </w:r>
      <w:hyperlink r:id="rId22" w:history="1">
        <w:r>
          <w:rPr>
            <w:rStyle w:val="Hyperlink"/>
          </w:rPr>
          <w:t>www.projetscontreleracisme.ch</w:t>
        </w:r>
      </w:hyperlink>
      <w:r>
        <w:t>.</w:t>
      </w:r>
    </w:p>
  </w:footnote>
  <w:footnote w:id="150">
    <w:p w:rsidR="00000000" w:rsidRDefault="00000000">
      <w:pPr>
        <w:pStyle w:val="FootnoteText"/>
        <w:spacing w:after="240"/>
      </w:pPr>
      <w:r>
        <w:rPr>
          <w:rStyle w:val="FootnoteReference"/>
        </w:rPr>
        <w:footnoteRef/>
      </w:r>
      <w:r>
        <w:t xml:space="preserve"> Art. 9 de l’ordonnance sur les projets en faveur des droits de l’homme et de la lutte contre le racisme (RS 151.21). </w:t>
      </w:r>
    </w:p>
  </w:footnote>
  <w:footnote w:id="151">
    <w:p w:rsidR="00000000" w:rsidRDefault="00000000">
      <w:pPr>
        <w:pStyle w:val="FootnoteText"/>
        <w:spacing w:after="240"/>
        <w:rPr>
          <w:lang w:val="fr-FR"/>
        </w:rPr>
      </w:pPr>
      <w:r>
        <w:rPr>
          <w:rStyle w:val="FootnoteReference"/>
        </w:rPr>
        <w:footnoteRef/>
      </w:r>
      <w:r>
        <w:rPr>
          <w:lang w:val="fr-FR"/>
        </w:rPr>
        <w:t xml:space="preserve"> Voir </w:t>
      </w:r>
      <w:hyperlink r:id="rId23" w:history="1">
        <w:r>
          <w:rPr>
            <w:rStyle w:val="Hyperlink"/>
            <w:lang w:val="fr-FR"/>
          </w:rPr>
          <w:t>www.infoklick.ch/site/fichiers/klartext.php</w:t>
        </w:r>
      </w:hyperlink>
      <w:r>
        <w:rPr>
          <w:lang w:val="fr-FR"/>
        </w:rPr>
        <w:t>.</w:t>
      </w:r>
    </w:p>
  </w:footnote>
  <w:footnote w:id="152">
    <w:p w:rsidR="00000000" w:rsidRDefault="00000000">
      <w:pPr>
        <w:pStyle w:val="FootnoteText"/>
        <w:spacing w:after="200"/>
      </w:pPr>
      <w:r>
        <w:rPr>
          <w:rStyle w:val="FootnoteReference"/>
        </w:rPr>
        <w:footnoteRef/>
      </w:r>
      <w:r>
        <w:t xml:space="preserve"> Déclaration des devoirs et des droits du/de la journaliste, </w:t>
      </w:r>
      <w:hyperlink r:id="rId24" w:history="1">
        <w:r>
          <w:rPr>
            <w:rStyle w:val="Hyperlink"/>
          </w:rPr>
          <w:t>www.presserat.ch</w:t>
        </w:r>
      </w:hyperlink>
      <w:r>
        <w:t>.</w:t>
      </w:r>
    </w:p>
  </w:footnote>
  <w:footnote w:id="153">
    <w:p w:rsidR="00000000" w:rsidRDefault="00000000">
      <w:pPr>
        <w:pStyle w:val="FootnoteText"/>
        <w:spacing w:after="200"/>
      </w:pPr>
      <w:r>
        <w:rPr>
          <w:rStyle w:val="FootnoteReference"/>
        </w:rPr>
        <w:footnoteRef/>
      </w:r>
      <w:r>
        <w:t xml:space="preserve"> Directives relatives à la Déclaration des devoirs et des droits du/de la journaliste; </w:t>
      </w:r>
      <w:hyperlink r:id="rId25" w:history="1">
        <w:r>
          <w:rPr>
            <w:rStyle w:val="Hyperlink"/>
          </w:rPr>
          <w:t>www.presserat.ch</w:t>
        </w:r>
      </w:hyperlink>
      <w:r>
        <w:t>.</w:t>
      </w:r>
    </w:p>
  </w:footnote>
  <w:footnote w:id="154">
    <w:p w:rsidR="00000000" w:rsidRDefault="00000000">
      <w:pPr>
        <w:pStyle w:val="FootnoteText"/>
        <w:spacing w:after="200"/>
      </w:pPr>
      <w:r>
        <w:rPr>
          <w:rStyle w:val="FootnoteReference"/>
        </w:rPr>
        <w:footnoteRef/>
      </w:r>
      <w:r>
        <w:t xml:space="preserve"> N</w:t>
      </w:r>
      <w:r>
        <w:rPr>
          <w:vertAlign w:val="superscript"/>
        </w:rPr>
        <w:t>o</w:t>
      </w:r>
      <w:r>
        <w:t xml:space="preserve"> 10/2001: Rassismus in der Kriminalberichterstattung, Prise de position du Conseil suisse de la presse du 19 janvier 2001.</w:t>
      </w:r>
    </w:p>
  </w:footnote>
  <w:footnote w:id="155">
    <w:p w:rsidR="00000000" w:rsidRDefault="00000000">
      <w:pPr>
        <w:pStyle w:val="FootnoteText"/>
        <w:spacing w:after="200"/>
      </w:pPr>
      <w:r>
        <w:rPr>
          <w:rStyle w:val="FootnoteReference"/>
        </w:rPr>
        <w:footnoteRef/>
      </w:r>
      <w:r>
        <w:t xml:space="preserve"> Prise de position n</w:t>
      </w:r>
      <w:r>
        <w:rPr>
          <w:vertAlign w:val="superscript"/>
        </w:rPr>
        <w:t>o</w:t>
      </w:r>
      <w:r>
        <w:t xml:space="preserve"> 22/99 du 13 décembre 1999.</w:t>
      </w:r>
    </w:p>
  </w:footnote>
  <w:footnote w:id="156">
    <w:p w:rsidR="00000000" w:rsidRDefault="00000000">
      <w:pPr>
        <w:pStyle w:val="FootnoteText"/>
        <w:spacing w:after="200"/>
      </w:pPr>
    </w:p>
  </w:footnote>
  <w:footnote w:id="157">
    <w:p w:rsidR="00000000" w:rsidRDefault="00000000">
      <w:pPr>
        <w:pStyle w:val="FootnoteText"/>
        <w:spacing w:after="200"/>
        <w:rPr>
          <w:lang w:val="de-CH"/>
        </w:rPr>
      </w:pPr>
      <w:r>
        <w:rPr>
          <w:rStyle w:val="FootnoteReference"/>
        </w:rPr>
        <w:footnoteRef/>
      </w:r>
      <w:r>
        <w:rPr>
          <w:lang w:val="de-CH"/>
        </w:rPr>
        <w:t xml:space="preserve"> Magazine électronique «Medienheft» du 29 mai 2002, Zwischen Di</w:t>
      </w:r>
      <w:r>
        <w:rPr>
          <w:lang w:val="de-CH"/>
        </w:rPr>
        <w:t>s</w:t>
      </w:r>
      <w:r>
        <w:rPr>
          <w:lang w:val="de-CH"/>
        </w:rPr>
        <w:t xml:space="preserve">kriminierung und Political Correctness, Peter Studer; </w:t>
      </w:r>
      <w:hyperlink r:id="rId26" w:history="1">
        <w:r>
          <w:rPr>
            <w:rStyle w:val="Hyperlink"/>
            <w:lang w:val="de-CH"/>
          </w:rPr>
          <w:t>www.medienheft.ch</w:t>
        </w:r>
      </w:hyperlink>
      <w:r>
        <w:rPr>
          <w:lang w:val="de-CH"/>
        </w:rPr>
        <w:t>.</w:t>
      </w:r>
    </w:p>
  </w:footnote>
  <w:footnote w:id="158">
    <w:p w:rsidR="00000000" w:rsidRDefault="00000000">
      <w:pPr>
        <w:pStyle w:val="FootnoteText"/>
        <w:spacing w:after="240"/>
        <w:rPr>
          <w:lang w:val="fr-FR"/>
        </w:rPr>
      </w:pPr>
      <w:r>
        <w:rPr>
          <w:rStyle w:val="FootnoteReference"/>
        </w:rPr>
        <w:footnoteRef/>
      </w:r>
      <w:r>
        <w:rPr>
          <w:lang w:val="fr-FR"/>
        </w:rPr>
        <w:t xml:space="preserve"> L’activité de l’AIEP est fondée sur l’article 93, paragraphe 5, de la Constitution fédérale (RS 101) et sur les articles 58 et suivants de la loi fédérale sur la radio et la télévision (LRTV; RS 784.40); </w:t>
      </w:r>
      <w:hyperlink r:id="rId27" w:history="1">
        <w:r>
          <w:rPr>
            <w:rStyle w:val="Hyperlink"/>
            <w:lang w:val="fr-FR"/>
          </w:rPr>
          <w:t>www.ubi.admin.ch</w:t>
        </w:r>
      </w:hyperlink>
      <w:r>
        <w:rPr>
          <w:lang w:val="fr-FR"/>
        </w:rPr>
        <w:t>.</w:t>
      </w:r>
    </w:p>
  </w:footnote>
  <w:footnote w:id="159">
    <w:p w:rsidR="00000000" w:rsidRDefault="00000000">
      <w:pPr>
        <w:pStyle w:val="FootnoteText"/>
        <w:spacing w:after="240"/>
        <w:rPr>
          <w:lang w:val="fr-FR"/>
        </w:rPr>
      </w:pPr>
      <w:r>
        <w:rPr>
          <w:rStyle w:val="FootnoteReference"/>
        </w:rPr>
        <w:footnoteRef/>
      </w:r>
      <w:r>
        <w:rPr>
          <w:lang w:val="fr-FR"/>
        </w:rPr>
        <w:t xml:space="preserve"> </w:t>
      </w:r>
      <w:hyperlink r:id="rId28" w:history="1">
        <w:r>
          <w:rPr>
            <w:rStyle w:val="Hyperlink"/>
            <w:lang w:val="fr-FR"/>
          </w:rPr>
          <w:t>http://www.ubi.admin.ch/verfahr/f/guidelines.html</w:t>
        </w:r>
      </w:hyperlink>
      <w:r>
        <w:rPr>
          <w:lang w:val="fr-FR"/>
        </w:rPr>
        <w:t>.</w:t>
      </w:r>
    </w:p>
  </w:footnote>
  <w:footnote w:id="160">
    <w:p w:rsidR="00000000" w:rsidRDefault="00000000">
      <w:pPr>
        <w:pStyle w:val="FootnoteText"/>
        <w:spacing w:after="240"/>
      </w:pPr>
      <w:r>
        <w:rPr>
          <w:rStyle w:val="FootnoteReference"/>
        </w:rPr>
        <w:footnoteRef/>
      </w:r>
      <w:r>
        <w:t xml:space="preserve"> Publizistische Leitlinien, </w:t>
      </w:r>
      <w:hyperlink r:id="rId29" w:history="1">
        <w:r>
          <w:rPr>
            <w:rStyle w:val="Hyperlink"/>
          </w:rPr>
          <w:t>http://www2.sfdrs.ch/unternehmen/media/publ_leitlinien.pdf</w:t>
        </w:r>
      </w:hyperlink>
      <w:r>
        <w:t xml:space="preserve"> ; dans le même esprit, la Télévision suisse romande (TSR) s’est donné une «Charte d’éthique», qui a été publiée en février 2003, </w:t>
      </w:r>
      <w:hyperlink r:id="rId30" w:history="1">
        <w:r>
          <w:rPr>
            <w:rStyle w:val="Hyperlink"/>
          </w:rPr>
          <w:t>www.tsr.ch</w:t>
        </w:r>
      </w:hyperlink>
      <w:r>
        <w:t>.</w:t>
      </w:r>
    </w:p>
  </w:footnote>
  <w:footnote w:id="161">
    <w:p w:rsidR="00000000" w:rsidRDefault="00000000">
      <w:pPr>
        <w:pStyle w:val="FootnoteText"/>
        <w:spacing w:after="240"/>
        <w:rPr>
          <w:lang w:val="de-CH"/>
        </w:rPr>
      </w:pPr>
      <w:r>
        <w:rPr>
          <w:rStyle w:val="FootnoteReference"/>
        </w:rPr>
        <w:footnoteRef/>
      </w:r>
      <w:r>
        <w:t xml:space="preserve"> Sur mandat de l’«Anti Defamation (ADL) Ligue, Bnaï Brith Zurich», l’étude a été réalisée par le «fög − Forschungsbereich Öffentlichkeit und Gesellschaft» de l’Université de Zurich sous l’égide de la CFR. </w:t>
      </w:r>
      <w:r>
        <w:rPr>
          <w:lang w:val="de-CH"/>
        </w:rPr>
        <w:t xml:space="preserve">Titre: </w:t>
      </w:r>
      <w:r>
        <w:rPr>
          <w:i/>
          <w:iCs/>
          <w:lang w:val="de-CH"/>
        </w:rPr>
        <w:t>Typisierung jüdischer Akteure in den Medien − Vergleichende Analyse von jüdischen und muslimischen Akteuren in der Berichterstattung Deutschschweizer Medien</w:t>
      </w:r>
      <w:r>
        <w:rPr>
          <w:lang w:val="de-CH"/>
        </w:rPr>
        <w:t>; Markus Meier, Monica Müller und Mark Eisenegger; 1</w:t>
      </w:r>
      <w:r>
        <w:rPr>
          <w:vertAlign w:val="superscript"/>
          <w:lang w:val="de-CH"/>
        </w:rPr>
        <w:t>er</w:t>
      </w:r>
      <w:r>
        <w:rPr>
          <w:lang w:val="de-CH"/>
        </w:rPr>
        <w:t xml:space="preserve"> mars 2004.</w:t>
      </w:r>
    </w:p>
  </w:footnote>
  <w:footnote w:id="162">
    <w:p w:rsidR="00000000" w:rsidRDefault="00000000">
      <w:pPr>
        <w:pStyle w:val="FootnoteText"/>
        <w:spacing w:after="240"/>
        <w:rPr>
          <w:lang w:val="de-CH"/>
        </w:rPr>
      </w:pPr>
      <w:r>
        <w:rPr>
          <w:rStyle w:val="FootnoteReference"/>
        </w:rPr>
        <w:footnoteRef/>
      </w:r>
      <w:r>
        <w:rPr>
          <w:lang w:val="de-CH"/>
        </w:rPr>
        <w:t xml:space="preserve"> René Rhinow,</w:t>
      </w:r>
      <w:r>
        <w:rPr>
          <w:i/>
          <w:iCs/>
          <w:lang w:val="de-CH"/>
        </w:rPr>
        <w:t xml:space="preserve"> Grundzüge des Schweizerischen Verfassung</w:t>
      </w:r>
      <w:r>
        <w:rPr>
          <w:i/>
          <w:iCs/>
          <w:lang w:val="de-CH"/>
        </w:rPr>
        <w:t>s</w:t>
      </w:r>
      <w:r>
        <w:rPr>
          <w:i/>
          <w:iCs/>
          <w:lang w:val="de-CH"/>
        </w:rPr>
        <w:t>rechts,</w:t>
      </w:r>
      <w:r>
        <w:rPr>
          <w:lang w:val="de-CH"/>
        </w:rPr>
        <w:t xml:space="preserve"> 2003, p. 565.</w:t>
      </w:r>
    </w:p>
  </w:footnote>
  <w:footnote w:id="163">
    <w:p w:rsidR="00000000" w:rsidRDefault="00000000">
      <w:pPr>
        <w:pStyle w:val="FootnoteText"/>
        <w:spacing w:after="240"/>
        <w:rPr>
          <w:lang w:val="fr-FR"/>
        </w:rPr>
      </w:pPr>
      <w:r>
        <w:rPr>
          <w:rStyle w:val="FootnoteReference"/>
        </w:rPr>
        <w:footnoteRef/>
      </w:r>
      <w:r>
        <w:rPr>
          <w:lang w:val="fr-FR"/>
        </w:rPr>
        <w:t xml:space="preserve"> Art. 49, al. 1, Cst.</w:t>
      </w:r>
    </w:p>
  </w:footnote>
  <w:footnote w:id="164">
    <w:p w:rsidR="00000000" w:rsidRDefault="00000000">
      <w:pPr>
        <w:pStyle w:val="FootnoteText"/>
        <w:spacing w:after="240"/>
        <w:rPr>
          <w:lang w:val="fr-FR"/>
        </w:rPr>
      </w:pPr>
      <w:r>
        <w:rPr>
          <w:rStyle w:val="FootnoteReference"/>
        </w:rPr>
        <w:footnoteRef/>
      </w:r>
      <w:r>
        <w:rPr>
          <w:lang w:val="fr-FR"/>
        </w:rPr>
        <w:t xml:space="preserve"> Message relatif à une nouvelle constitution fédérale, 20 novembre 1996, p. 231 s.</w:t>
      </w:r>
    </w:p>
  </w:footnote>
  <w:footnote w:id="165">
    <w:p w:rsidR="00000000" w:rsidRDefault="00000000">
      <w:pPr>
        <w:pStyle w:val="FootnoteText"/>
        <w:spacing w:after="240"/>
        <w:rPr>
          <w:lang w:val="nl-NL"/>
        </w:rPr>
      </w:pPr>
      <w:r>
        <w:rPr>
          <w:rStyle w:val="FootnoteReference"/>
        </w:rPr>
        <w:footnoteRef/>
      </w:r>
      <w:r>
        <w:rPr>
          <w:lang w:val="nl-NL"/>
        </w:rPr>
        <w:t xml:space="preserve"> Art. 56, al. 3, LEtr.</w:t>
      </w:r>
    </w:p>
  </w:footnote>
  <w:footnote w:id="166">
    <w:p w:rsidR="00000000" w:rsidRDefault="00000000">
      <w:pPr>
        <w:pStyle w:val="FootnoteText"/>
        <w:spacing w:after="240"/>
      </w:pPr>
      <w:r>
        <w:rPr>
          <w:rStyle w:val="FootnoteReference"/>
        </w:rPr>
        <w:footnoteRef/>
      </w:r>
      <w:r>
        <w:t xml:space="preserve"> Exemple: CRAN (Carrefour de réflexion et d’action contre le racisme anti</w:t>
      </w:r>
      <w:r>
        <w:noBreakHyphen/>
        <w:t>Noir), publication d’un guide intitulé «Vos droits face à la Police», qui donne aussi des conseils de comportement lors de contrôles de police. ACOR</w:t>
      </w:r>
      <w:r>
        <w:noBreakHyphen/>
        <w:t>SOS Racisme a créé un numéro d’appel gratuit destiné aux victimes d’actes racistes qui cherchent conseil. On leur donne aussi les informations dont ils ont besoin pour se défendre.</w:t>
      </w:r>
    </w:p>
  </w:footnote>
  <w:footnote w:id="167">
    <w:p w:rsidR="00000000" w:rsidRDefault="00000000">
      <w:pPr>
        <w:pStyle w:val="FootnoteText"/>
        <w:spacing w:after="240"/>
      </w:pPr>
      <w:r>
        <w:rPr>
          <w:rStyle w:val="FootnoteReference"/>
        </w:rPr>
        <w:footnoteRef/>
      </w:r>
      <w:r>
        <w:t xml:space="preserve"> </w:t>
      </w:r>
      <w:r>
        <w:rPr>
          <w:snapToGrid w:val="0"/>
          <w:szCs w:val="18"/>
        </w:rPr>
        <w:t>«La Suisse de couleur» (</w:t>
      </w:r>
      <w:r>
        <w:rPr>
          <w:i/>
          <w:iCs/>
          <w:snapToGrid w:val="0"/>
          <w:szCs w:val="18"/>
        </w:rPr>
        <w:t>Tangram</w:t>
      </w:r>
      <w:r>
        <w:rPr>
          <w:snapToGrid w:val="0"/>
          <w:szCs w:val="18"/>
        </w:rPr>
        <w:t>, n</w:t>
      </w:r>
      <w:r>
        <w:rPr>
          <w:snapToGrid w:val="0"/>
          <w:szCs w:val="18"/>
          <w:vertAlign w:val="superscript"/>
        </w:rPr>
        <w:t>o</w:t>
      </w:r>
      <w:r>
        <w:rPr>
          <w:snapToGrid w:val="0"/>
          <w:szCs w:val="18"/>
        </w:rPr>
        <w:t xml:space="preserve"> 8/mars 2000).</w:t>
      </w:r>
    </w:p>
  </w:footnote>
  <w:footnote w:id="168">
    <w:p w:rsidR="00000000" w:rsidRDefault="00000000">
      <w:pPr>
        <w:pStyle w:val="FootnoteText"/>
        <w:spacing w:after="240"/>
      </w:pPr>
      <w:r>
        <w:rPr>
          <w:rStyle w:val="FootnoteReference"/>
        </w:rPr>
        <w:footnoteRef/>
      </w:r>
      <w:r>
        <w:t xml:space="preserve"> </w:t>
      </w:r>
      <w:hyperlink r:id="rId31" w:history="1">
        <w:r>
          <w:rPr>
            <w:rStyle w:val="Hyperlink"/>
          </w:rPr>
          <w:t>http://www.edi.admin.ch/ekr/dokumentation/shop/00019/00142/index.html?lang=fr</w:t>
        </w:r>
      </w:hyperlink>
      <w:r>
        <w:t>.</w:t>
      </w:r>
    </w:p>
  </w:footnote>
  <w:footnote w:id="169">
    <w:p w:rsidR="00000000" w:rsidRDefault="00000000">
      <w:pPr>
        <w:pStyle w:val="FootnoteText"/>
        <w:spacing w:after="240"/>
        <w:rPr>
          <w:lang w:val="fr-FR"/>
        </w:rPr>
      </w:pPr>
      <w:r>
        <w:rPr>
          <w:rStyle w:val="FootnoteReference"/>
        </w:rPr>
        <w:footnoteRef/>
      </w:r>
      <w:r>
        <w:rPr>
          <w:lang w:val="fr-FR"/>
        </w:rPr>
        <w:t xml:space="preserve"> Résumé de l’étude </w:t>
      </w:r>
      <w:r>
        <w:rPr>
          <w:i/>
          <w:iCs/>
          <w:lang w:val="fr-FR"/>
        </w:rPr>
        <w:t>Les Noirs en Suisse − Une vie entre intégration et discrimination</w:t>
      </w:r>
      <w:r>
        <w:rPr>
          <w:lang w:val="fr-FR"/>
        </w:rPr>
        <w:t>, Carmel Fröhlicher</w:t>
      </w:r>
      <w:r>
        <w:rPr>
          <w:lang w:val="fr-FR"/>
        </w:rPr>
        <w:noBreakHyphen/>
        <w:t>Stines, Kelechi Monika Mennel, Berne 2004.</w:t>
      </w:r>
    </w:p>
  </w:footnote>
  <w:footnote w:id="170">
    <w:p w:rsidR="00000000" w:rsidRDefault="00000000">
      <w:pPr>
        <w:pStyle w:val="FootnoteText"/>
        <w:spacing w:after="240"/>
        <w:rPr>
          <w:lang w:val="fr-FR"/>
        </w:rPr>
      </w:pPr>
      <w:r>
        <w:rPr>
          <w:rStyle w:val="FootnoteReference"/>
        </w:rPr>
        <w:footnoteRef/>
      </w:r>
      <w:r>
        <w:rPr>
          <w:lang w:val="fr-FR"/>
        </w:rPr>
        <w:t xml:space="preserve"> Communiqué de presse de la CFR du 26 novembre 2004.</w:t>
      </w:r>
    </w:p>
  </w:footnote>
  <w:footnote w:id="171">
    <w:p w:rsidR="00000000" w:rsidRDefault="00000000">
      <w:pPr>
        <w:pStyle w:val="FootnoteText"/>
        <w:spacing w:after="240"/>
        <w:rPr>
          <w:lang w:val="en-GB"/>
        </w:rPr>
      </w:pPr>
      <w:r>
        <w:rPr>
          <w:rStyle w:val="FootnoteReference"/>
        </w:rPr>
        <w:footnoteRef/>
      </w:r>
      <w:r>
        <w:rPr>
          <w:lang w:val="en-GB"/>
        </w:rPr>
        <w:t xml:space="preserve"> ATF 129 I 217; 129 I 232.</w:t>
      </w:r>
    </w:p>
  </w:footnote>
  <w:footnote w:id="172">
    <w:p w:rsidR="00000000" w:rsidRDefault="00000000">
      <w:pPr>
        <w:pStyle w:val="FootnoteText"/>
        <w:spacing w:after="240"/>
      </w:pPr>
      <w:r>
        <w:rPr>
          <w:rStyle w:val="FootnoteReference"/>
        </w:rPr>
        <w:footnoteRef/>
      </w:r>
      <w:r>
        <w:t xml:space="preserve"> Interdiction de toute discrimination, art. 8, al. 2, Cst.; obligation de motiver, art. 29, al. 2, Cst.</w:t>
      </w:r>
    </w:p>
  </w:footnote>
  <w:footnote w:id="173">
    <w:p w:rsidR="00000000" w:rsidRDefault="00000000">
      <w:pPr>
        <w:pStyle w:val="FootnoteText"/>
        <w:spacing w:after="240"/>
      </w:pPr>
      <w:r>
        <w:rPr>
          <w:rStyle w:val="FootnoteReference"/>
        </w:rPr>
        <w:footnoteRef/>
      </w:r>
      <w:r>
        <w:t xml:space="preserve"> ATF 129 I 217 Regeste et c. 1.1.</w:t>
      </w:r>
    </w:p>
  </w:footnote>
  <w:footnote w:id="174">
    <w:p w:rsidR="00000000" w:rsidRDefault="00000000">
      <w:pPr>
        <w:pStyle w:val="FootnoteText"/>
        <w:spacing w:after="240"/>
      </w:pPr>
      <w:r>
        <w:rPr>
          <w:rStyle w:val="FootnoteReference"/>
        </w:rPr>
        <w:footnoteRef/>
      </w:r>
      <w:r>
        <w:t xml:space="preserve"> Initiative parlementaire </w:t>
      </w:r>
      <w:r>
        <w:rPr>
          <w:szCs w:val="18"/>
        </w:rPr>
        <w:t>Pfisterer Thomas</w:t>
      </w:r>
      <w:r>
        <w:t xml:space="preserve"> du 3 octobre 2003 «Loi sur la nationalité. Modification» (03.454).</w:t>
      </w:r>
    </w:p>
  </w:footnote>
  <w:footnote w:id="175">
    <w:p w:rsidR="00000000" w:rsidRDefault="00000000">
      <w:pPr>
        <w:pStyle w:val="FootnoteText"/>
        <w:spacing w:after="240"/>
      </w:pPr>
      <w:r>
        <w:rPr>
          <w:rStyle w:val="FootnoteReference"/>
        </w:rPr>
        <w:footnoteRef/>
      </w:r>
      <w:r>
        <w:t xml:space="preserve"> Initiative parlementaire </w:t>
      </w:r>
      <w:r>
        <w:rPr>
          <w:szCs w:val="18"/>
        </w:rPr>
        <w:t>Pfisterer Thomas</w:t>
      </w:r>
      <w:r>
        <w:t xml:space="preserve"> du 3 octobre 2003 «Loi sur la nationalité. Modification» (03.454), et Initiative parlementaire </w:t>
      </w:r>
      <w:r>
        <w:rPr>
          <w:szCs w:val="18"/>
        </w:rPr>
        <w:t>Joder Rudolf</w:t>
      </w:r>
      <w:r>
        <w:t xml:space="preserve"> du 3 octobre 2003 «Naturalisations. Accroître le pouvoir des cantons et des communes» (03.455).</w:t>
      </w:r>
    </w:p>
  </w:footnote>
  <w:footnote w:id="176">
    <w:p w:rsidR="00000000" w:rsidRDefault="00000000">
      <w:pPr>
        <w:pStyle w:val="FootnoteText"/>
        <w:spacing w:after="240"/>
      </w:pPr>
      <w:r>
        <w:rPr>
          <w:rStyle w:val="FootnoteReference"/>
        </w:rPr>
        <w:footnoteRef/>
      </w:r>
      <w:r>
        <w:t xml:space="preserve"> FF 2003 6179.</w:t>
      </w:r>
    </w:p>
  </w:footnote>
  <w:footnote w:id="177">
    <w:p w:rsidR="00000000" w:rsidRDefault="00000000">
      <w:pPr>
        <w:pStyle w:val="FootnoteText"/>
        <w:spacing w:after="240"/>
      </w:pPr>
      <w:r>
        <w:rPr>
          <w:rStyle w:val="FootnoteReference"/>
        </w:rPr>
        <w:footnoteRef/>
      </w:r>
      <w:r>
        <w:t xml:space="preserve"> Voir «Message concernant le droit de la nationalité des jeunes étrangers et la révision de la loi sur la national</w:t>
      </w:r>
      <w:r>
        <w:t>i</w:t>
      </w:r>
      <w:r>
        <w:t>té», 21 novembre 2001, FF 2002 1815.</w:t>
      </w:r>
    </w:p>
  </w:footnote>
  <w:footnote w:id="178">
    <w:p w:rsidR="00000000" w:rsidRDefault="00000000">
      <w:pPr>
        <w:pStyle w:val="FootnoteText"/>
        <w:spacing w:after="240"/>
        <w:rPr>
          <w:lang w:val="fr-FR"/>
        </w:rPr>
      </w:pPr>
      <w:r>
        <w:rPr>
          <w:rStyle w:val="FootnoteReference"/>
        </w:rPr>
        <w:footnoteRef/>
      </w:r>
      <w:r>
        <w:rPr>
          <w:lang w:val="fr-FR"/>
        </w:rPr>
        <w:t xml:space="preserve"> «Naturalisation et connaissances linguistiques, Recommandations de la CFE aux communes, aux cantons et à la Confédération», 2006.</w:t>
      </w:r>
    </w:p>
  </w:footnote>
  <w:footnote w:id="179">
    <w:p w:rsidR="00000000" w:rsidRDefault="00000000">
      <w:pPr>
        <w:pStyle w:val="FootnoteText"/>
        <w:spacing w:after="240"/>
        <w:rPr>
          <w:lang w:val="fr-FR"/>
        </w:rPr>
      </w:pPr>
      <w:r>
        <w:rPr>
          <w:rStyle w:val="FootnoteReference"/>
        </w:rPr>
        <w:footnoteRef/>
      </w:r>
      <w:r>
        <w:rPr>
          <w:lang w:val="fr-FR"/>
        </w:rPr>
        <w:t xml:space="preserve"> Jugement 1P.214/2003 du 12 décembre 2003.</w:t>
      </w:r>
    </w:p>
  </w:footnote>
  <w:footnote w:id="180">
    <w:p w:rsidR="00000000" w:rsidRDefault="00000000">
      <w:pPr>
        <w:pStyle w:val="FootnoteText"/>
        <w:spacing w:after="240"/>
      </w:pPr>
      <w:r>
        <w:rPr>
          <w:rStyle w:val="FootnoteReference"/>
        </w:rPr>
        <w:footnoteRef/>
      </w:r>
      <w:r>
        <w:t xml:space="preserve"> Synthèse du rapport national PISA 2000, OFS et</w:t>
      </w:r>
      <w:r>
        <w:rPr>
          <w:lang w:val="fr-FR"/>
        </w:rPr>
        <w:t xml:space="preserve"> </w:t>
      </w:r>
      <w:r>
        <w:t>CDIP, Neuchâtel 2001, p. 20.</w:t>
      </w:r>
    </w:p>
  </w:footnote>
  <w:footnote w:id="181">
    <w:p w:rsidR="00000000" w:rsidRDefault="00000000">
      <w:pPr>
        <w:pStyle w:val="FootnoteText"/>
        <w:spacing w:after="240"/>
      </w:pPr>
      <w:r>
        <w:rPr>
          <w:rStyle w:val="FootnoteReference"/>
        </w:rPr>
        <w:footnoteRef/>
      </w:r>
      <w:r>
        <w:t xml:space="preserve"> Les classes spéciales sont destinées avant tout aux enfants ayant des difficultés d’apprentissage ou de co</w:t>
      </w:r>
      <w:r>
        <w:t>m</w:t>
      </w:r>
      <w:r>
        <w:t>portement. Leurs salles de classe se trouvent généralement dans les écoles ordinaires et elles sont intégrées dans les structures scolaires locales. Les classes d’accueil pour enfants allophones ne sont pas considérées comme des classes spéciales pour enfants ayant des difficultés d’apprentissage.</w:t>
      </w:r>
    </w:p>
  </w:footnote>
  <w:footnote w:id="182">
    <w:p w:rsidR="00000000" w:rsidRDefault="00000000">
      <w:pPr>
        <w:pStyle w:val="FootnoteText"/>
        <w:spacing w:after="240"/>
      </w:pPr>
      <w:r>
        <w:rPr>
          <w:rStyle w:val="FootnoteReference"/>
        </w:rPr>
        <w:footnoteRef/>
      </w:r>
      <w:r>
        <w:t xml:space="preserve"> Sonja Rosenberg, </w:t>
      </w:r>
      <w:r>
        <w:rPr>
          <w:i/>
          <w:iCs/>
        </w:rPr>
        <w:t>Le parcours scolaire et de formation des élèves immigrés à «faibles» performances scola</w:t>
      </w:r>
      <w:r>
        <w:rPr>
          <w:i/>
          <w:iCs/>
        </w:rPr>
        <w:t>i</w:t>
      </w:r>
      <w:r>
        <w:rPr>
          <w:i/>
          <w:iCs/>
        </w:rPr>
        <w:t>res</w:t>
      </w:r>
      <w:r>
        <w:t xml:space="preserve"> − CONVEGNO 2002: Rapport final, Conférence suisse des directeurs cantonaux de l’instruction publique (CDIP) Berne 2003, p. 7; </w:t>
      </w:r>
      <w:hyperlink r:id="rId32" w:history="1">
        <w:r>
          <w:rPr>
            <w:rStyle w:val="Hyperlink"/>
          </w:rPr>
          <w:t>http://www.edk.ch/PDF_Downloads/Dossiers/Stub19B.pdf</w:t>
        </w:r>
      </w:hyperlink>
      <w:r>
        <w:t>.</w:t>
      </w:r>
    </w:p>
  </w:footnote>
  <w:footnote w:id="183">
    <w:p w:rsidR="00000000" w:rsidRDefault="00000000">
      <w:pPr>
        <w:pStyle w:val="FootnoteText"/>
        <w:spacing w:after="240"/>
      </w:pPr>
      <w:r>
        <w:rPr>
          <w:rStyle w:val="FootnoteReference"/>
        </w:rPr>
        <w:footnoteRef/>
      </w:r>
      <w:r>
        <w:t xml:space="preserve"> «Dans certains cantons, la probabilité pour un enfant migrant de se retrouver dans une classe spéciale dest</w:t>
      </w:r>
      <w:r>
        <w:t>i</w:t>
      </w:r>
      <w:r>
        <w:t>née aux enfants ayant des difficultés d’apprentissage est sept fois supérieure à celle des autres cantons», ibid.</w:t>
      </w:r>
    </w:p>
  </w:footnote>
  <w:footnote w:id="184">
    <w:p w:rsidR="00000000" w:rsidRDefault="00000000">
      <w:pPr>
        <w:pStyle w:val="FootnoteText"/>
        <w:spacing w:after="240"/>
        <w:rPr>
          <w:lang w:val="en-US"/>
        </w:rPr>
      </w:pPr>
      <w:r>
        <w:rPr>
          <w:rStyle w:val="FootnoteReference"/>
        </w:rPr>
        <w:footnoteRef/>
      </w:r>
      <w:r>
        <w:rPr>
          <w:lang w:val="en-US"/>
        </w:rPr>
        <w:t xml:space="preserve"> Ibid., note 209, p. 17 − Rolf Lischer.</w:t>
      </w:r>
    </w:p>
  </w:footnote>
  <w:footnote w:id="185">
    <w:p w:rsidR="00000000" w:rsidRDefault="00000000">
      <w:pPr>
        <w:pStyle w:val="FootnoteText"/>
        <w:spacing w:after="240"/>
        <w:rPr>
          <w:lang w:val="fr-FR"/>
        </w:rPr>
      </w:pPr>
      <w:r>
        <w:rPr>
          <w:rStyle w:val="FootnoteReference"/>
        </w:rPr>
        <w:footnoteRef/>
      </w:r>
      <w:r>
        <w:rPr>
          <w:lang w:val="fr-FR"/>
        </w:rPr>
        <w:t xml:space="preserve"> </w:t>
      </w:r>
      <w:hyperlink r:id="rId33" w:history="1">
        <w:r>
          <w:rPr>
            <w:rStyle w:val="Hyperlink"/>
            <w:lang w:val="fr-FR"/>
          </w:rPr>
          <w:t>www.coe.int/ecri</w:t>
        </w:r>
      </w:hyperlink>
      <w:r>
        <w:rPr>
          <w:lang w:val="fr-FR"/>
        </w:rPr>
        <w:t>, par. 25 et suiv.</w:t>
      </w:r>
    </w:p>
  </w:footnote>
  <w:footnote w:id="186">
    <w:p w:rsidR="00000000" w:rsidRDefault="00000000">
      <w:pPr>
        <w:pStyle w:val="FootnoteText"/>
        <w:spacing w:after="240"/>
      </w:pPr>
      <w:r>
        <w:rPr>
          <w:rStyle w:val="FootnoteReference"/>
        </w:rPr>
        <w:footnoteRef/>
      </w:r>
      <w:r>
        <w:t xml:space="preserve"> Voir Position du Gouvernement suisse relative au troisième rapport de l’ECRI 2003, p. 33.</w:t>
      </w:r>
    </w:p>
  </w:footnote>
  <w:footnote w:id="187">
    <w:p w:rsidR="00000000" w:rsidRDefault="00000000">
      <w:pPr>
        <w:pStyle w:val="FootnoteText"/>
        <w:spacing w:after="240"/>
      </w:pPr>
      <w:r>
        <w:rPr>
          <w:rStyle w:val="FootnoteReference"/>
        </w:rPr>
        <w:footnoteRef/>
      </w:r>
      <w:r>
        <w:t xml:space="preserve"> Lors de sa dernière visite en 2001, le CPT s’était inquiété de l’application de mesures coercitives lors du re</w:t>
      </w:r>
      <w:r>
        <w:t>n</w:t>
      </w:r>
      <w:r>
        <w:t>voi d’étrangers par la voie aérienne.</w:t>
      </w:r>
    </w:p>
  </w:footnote>
  <w:footnote w:id="188">
    <w:p w:rsidR="00000000" w:rsidRDefault="00000000">
      <w:pPr>
        <w:pStyle w:val="FootnoteText"/>
        <w:spacing w:after="240"/>
      </w:pPr>
      <w:r>
        <w:rPr>
          <w:rStyle w:val="FootnoteReference"/>
        </w:rPr>
        <w:footnoteRef/>
      </w:r>
      <w:r>
        <w:t xml:space="preserve"> Communiqué de presse du 24 octobre 2003, Département fédéral de justice et police.</w:t>
      </w:r>
    </w:p>
  </w:footnote>
  <w:footnote w:id="189">
    <w:p w:rsidR="00000000" w:rsidRDefault="00000000">
      <w:pPr>
        <w:pStyle w:val="FootnoteText"/>
        <w:spacing w:after="240"/>
      </w:pPr>
      <w:r>
        <w:rPr>
          <w:rStyle w:val="FootnoteReference"/>
        </w:rPr>
        <w:footnoteRef/>
      </w:r>
      <w:r>
        <w:t xml:space="preserve"> </w:t>
      </w:r>
      <w:hyperlink r:id="rId34" w:history="1">
        <w:r>
          <w:rPr>
            <w:rStyle w:val="Hyperlink"/>
          </w:rPr>
          <w:t>www.zug.ch/vermittler</w:t>
        </w:r>
      </w:hyperlink>
      <w:r>
        <w:t>.</w:t>
      </w:r>
    </w:p>
  </w:footnote>
  <w:footnote w:id="190">
    <w:p w:rsidR="00000000" w:rsidRDefault="00000000">
      <w:pPr>
        <w:pStyle w:val="FootnoteText"/>
        <w:spacing w:after="240"/>
      </w:pPr>
      <w:r>
        <w:rPr>
          <w:rStyle w:val="FootnoteReference"/>
        </w:rPr>
        <w:footnoteRef/>
      </w:r>
      <w:r>
        <w:t xml:space="preserve"> </w:t>
      </w:r>
      <w:hyperlink r:id="rId35" w:history="1">
        <w:r>
          <w:rPr>
            <w:rStyle w:val="Hyperlink"/>
          </w:rPr>
          <w:t>www.om.stzh.ch</w:t>
        </w:r>
      </w:hyperlink>
      <w:r>
        <w:t>.</w:t>
      </w:r>
    </w:p>
  </w:footnote>
  <w:footnote w:id="191">
    <w:p w:rsidR="00000000" w:rsidRDefault="00000000">
      <w:pPr>
        <w:pStyle w:val="FootnoteText"/>
        <w:spacing w:after="240"/>
      </w:pPr>
      <w:r>
        <w:rPr>
          <w:rStyle w:val="FootnoteReference"/>
        </w:rPr>
        <w:footnoteRef/>
      </w:r>
      <w:r>
        <w:t xml:space="preserve"> Le délégué est considéré comme instance de recours neutre et indépendante.</w:t>
      </w:r>
    </w:p>
  </w:footnote>
  <w:footnote w:id="192">
    <w:p w:rsidR="00000000" w:rsidRDefault="00000000">
      <w:pPr>
        <w:pStyle w:val="FootnoteText"/>
        <w:spacing w:after="240"/>
      </w:pPr>
      <w:r>
        <w:rPr>
          <w:rStyle w:val="FootnoteReference"/>
        </w:rPr>
        <w:footnoteRef/>
      </w:r>
      <w:r>
        <w:t xml:space="preserve"> Guide méthodique se référant au règlement concernant l’examen professionnel de policier/policière − 2002; </w:t>
      </w:r>
      <w:hyperlink r:id="rId36" w:history="1">
        <w:r>
          <w:rPr>
            <w:rStyle w:val="Hyperlink"/>
          </w:rPr>
          <w:t>www.institut</w:t>
        </w:r>
        <w:r>
          <w:rPr>
            <w:rStyle w:val="Hyperlink"/>
          </w:rPr>
          <w:noBreakHyphen/>
          <w:t>police.ch</w:t>
        </w:r>
      </w:hyperlink>
      <w:r>
        <w:t>.</w:t>
      </w:r>
    </w:p>
  </w:footnote>
  <w:footnote w:id="193">
    <w:p w:rsidR="00000000" w:rsidRDefault="00000000">
      <w:pPr>
        <w:pStyle w:val="FootnoteText"/>
        <w:spacing w:after="240"/>
      </w:pPr>
      <w:r>
        <w:rPr>
          <w:rStyle w:val="FootnoteReference"/>
        </w:rPr>
        <w:footnoteRef/>
      </w:r>
      <w:r>
        <w:t xml:space="preserve"> </w:t>
      </w:r>
      <w:hyperlink r:id="rId37" w:history="1">
        <w:r>
          <w:rPr>
            <w:rStyle w:val="Hyperlink"/>
          </w:rPr>
          <w:t>www.prison.ch</w:t>
        </w:r>
      </w:hyperlink>
      <w:r>
        <w:t>.</w:t>
      </w:r>
    </w:p>
  </w:footnote>
  <w:footnote w:id="194">
    <w:p w:rsidR="00000000" w:rsidRDefault="00000000">
      <w:pPr>
        <w:pStyle w:val="FootnoteText"/>
        <w:spacing w:after="240"/>
      </w:pPr>
      <w:r>
        <w:rPr>
          <w:rStyle w:val="FootnoteReference"/>
        </w:rPr>
        <w:footnoteRef/>
      </w:r>
      <w:r>
        <w:t xml:space="preserve"> Initiatives parlementaires </w:t>
      </w:r>
      <w:r>
        <w:rPr>
          <w:szCs w:val="18"/>
        </w:rPr>
        <w:t>Müller</w:t>
      </w:r>
      <w:r>
        <w:rPr>
          <w:szCs w:val="18"/>
        </w:rPr>
        <w:noBreakHyphen/>
        <w:t>Hemmi Vreni</w:t>
      </w:r>
      <w:r>
        <w:t xml:space="preserve"> du 10 décembre 2001, et </w:t>
      </w:r>
      <w:r>
        <w:rPr>
          <w:szCs w:val="18"/>
        </w:rPr>
        <w:t>David Eugen</w:t>
      </w:r>
      <w:r>
        <w:t xml:space="preserve"> «Commission fédérale des droits de l’homme» (01.461 et 01.463).</w:t>
      </w:r>
    </w:p>
  </w:footnote>
  <w:footnote w:id="195">
    <w:p w:rsidR="00000000" w:rsidRDefault="00000000">
      <w:pPr>
        <w:pStyle w:val="FootnoteText"/>
        <w:spacing w:after="240"/>
      </w:pPr>
      <w:r>
        <w:rPr>
          <w:rStyle w:val="FootnoteReference"/>
        </w:rPr>
        <w:footnoteRef/>
      </w:r>
      <w:r>
        <w:t xml:space="preserve"> Postulat Commission de politique extérieure du 9 septembre 2002 «Commission fédérale des droits de l’homme» (02.3394).</w:t>
      </w:r>
    </w:p>
  </w:footnote>
  <w:footnote w:id="196">
    <w:p w:rsidR="00000000" w:rsidRDefault="00000000">
      <w:pPr>
        <w:pStyle w:val="FootnoteText"/>
        <w:spacing w:after="240"/>
        <w:rPr>
          <w:lang w:val="de-CH"/>
        </w:rPr>
      </w:pPr>
      <w:r>
        <w:rPr>
          <w:rStyle w:val="FootnoteReference"/>
        </w:rPr>
        <w:footnoteRef/>
      </w:r>
      <w:r>
        <w:rPr>
          <w:szCs w:val="18"/>
          <w:lang w:val="de-CH"/>
        </w:rPr>
        <w:t xml:space="preserve"> Schläppi</w:t>
      </w:r>
      <w:r>
        <w:rPr>
          <w:lang w:val="de-CH"/>
        </w:rPr>
        <w:t xml:space="preserve">, </w:t>
      </w:r>
      <w:r>
        <w:rPr>
          <w:i/>
          <w:iCs/>
          <w:lang w:val="de-CH"/>
        </w:rPr>
        <w:t>Möglichkeiten zur Schaffung einer nationalen Menschenrechtsinstitution in der Schweiz</w:t>
      </w:r>
      <w:r>
        <w:rPr>
          <w:lang w:val="de-CH"/>
        </w:rPr>
        <w:t>, 2003.</w:t>
      </w:r>
    </w:p>
  </w:footnote>
  <w:footnote w:id="197">
    <w:p w:rsidR="00000000" w:rsidRDefault="00000000">
      <w:pPr>
        <w:pStyle w:val="FootnoteText"/>
        <w:spacing w:after="240"/>
        <w:rPr>
          <w:lang w:val="de-CH"/>
        </w:rPr>
      </w:pPr>
      <w:r>
        <w:rPr>
          <w:rStyle w:val="FootnoteReference"/>
        </w:rPr>
        <w:footnoteRef/>
      </w:r>
      <w:r>
        <w:rPr>
          <w:lang w:val="de-CH"/>
        </w:rPr>
        <w:t xml:space="preserve"> FF 2002 3473.</w:t>
      </w:r>
    </w:p>
  </w:footnote>
  <w:footnote w:id="198">
    <w:p w:rsidR="00000000" w:rsidRDefault="00000000">
      <w:pPr>
        <w:pStyle w:val="FootnoteText"/>
        <w:spacing w:after="240"/>
        <w:rPr>
          <w:lang w:val="de-CH"/>
        </w:rPr>
      </w:pPr>
      <w:r>
        <w:rPr>
          <w:rStyle w:val="FootnoteReference"/>
        </w:rPr>
        <w:footnoteRef/>
      </w:r>
      <w:r>
        <w:rPr>
          <w:lang w:val="de-CH"/>
        </w:rPr>
        <w:t xml:space="preserve"> FF 2006 2951.</w:t>
      </w:r>
    </w:p>
  </w:footnote>
  <w:footnote w:id="199">
    <w:p w:rsidR="00000000" w:rsidRDefault="00000000">
      <w:pPr>
        <w:pStyle w:val="FootnoteText"/>
        <w:spacing w:after="200"/>
        <w:rPr>
          <w:lang w:val="de-CH"/>
        </w:rPr>
      </w:pPr>
      <w:r>
        <w:rPr>
          <w:rStyle w:val="FootnoteReference"/>
        </w:rPr>
        <w:footnoteRef/>
      </w:r>
      <w:r>
        <w:rPr>
          <w:lang w:val="de-CH"/>
        </w:rPr>
        <w:t xml:space="preserve"> Projets de Thomas Huonker, Georg Jäger, Roger Sablonier et Thomas Meier; </w:t>
      </w:r>
      <w:hyperlink r:id="rId38" w:history="1">
        <w:r>
          <w:rPr>
            <w:rStyle w:val="Hyperlink"/>
            <w:lang w:val="de-CH"/>
          </w:rPr>
          <w:t>www.nfp51.ch</w:t>
        </w:r>
      </w:hyperlink>
      <w:r>
        <w:rPr>
          <w:lang w:val="de-CH"/>
        </w:rPr>
        <w:t>.</w:t>
      </w:r>
    </w:p>
  </w:footnote>
  <w:footnote w:id="200">
    <w:p w:rsidR="00000000" w:rsidRDefault="00000000">
      <w:pPr>
        <w:pStyle w:val="FootnoteText"/>
        <w:spacing w:after="200"/>
        <w:rPr>
          <w:lang w:val="de-CH"/>
        </w:rPr>
      </w:pPr>
      <w:r>
        <w:rPr>
          <w:rStyle w:val="FootnoteReference"/>
        </w:rPr>
        <w:footnoteRef/>
      </w:r>
      <w:r>
        <w:rPr>
          <w:lang w:val="de-CH"/>
        </w:rPr>
        <w:t xml:space="preserve"> FF 1998 1033.</w:t>
      </w:r>
    </w:p>
  </w:footnote>
  <w:footnote w:id="201">
    <w:p w:rsidR="00000000" w:rsidRDefault="00000000">
      <w:pPr>
        <w:pStyle w:val="FootnoteText"/>
        <w:spacing w:after="200"/>
        <w:rPr>
          <w:lang w:val="de-CH"/>
        </w:rPr>
      </w:pPr>
      <w:r>
        <w:rPr>
          <w:rStyle w:val="FootnoteReference"/>
        </w:rPr>
        <w:footnoteRef/>
      </w:r>
      <w:r>
        <w:rPr>
          <w:lang w:val="de-CH"/>
        </w:rPr>
        <w:t xml:space="preserve"> ATF 129 II 321.</w:t>
      </w:r>
    </w:p>
  </w:footnote>
  <w:footnote w:id="202">
    <w:p w:rsidR="00000000" w:rsidRDefault="00000000">
      <w:pPr>
        <w:pStyle w:val="FootnoteText"/>
        <w:spacing w:after="200"/>
        <w:rPr>
          <w:lang w:val="de-CH"/>
        </w:rPr>
      </w:pPr>
      <w:r>
        <w:rPr>
          <w:rStyle w:val="FootnoteReference"/>
        </w:rPr>
        <w:footnoteRef/>
      </w:r>
      <w:r>
        <w:rPr>
          <w:lang w:val="de-CH"/>
        </w:rPr>
        <w:t xml:space="preserve"> JAAC 66.50, </w:t>
      </w:r>
      <w:hyperlink r:id="rId39" w:history="1">
        <w:r>
          <w:rPr>
            <w:rStyle w:val="Hyperlink"/>
            <w:lang w:val="de-CH"/>
          </w:rPr>
          <w:t>www.vpb.admin.ch/franz/doc/66/66.50.html</w:t>
        </w:r>
      </w:hyperlink>
      <w:r>
        <w:rPr>
          <w:lang w:val="de-CH"/>
        </w:rPr>
        <w:t>.</w:t>
      </w:r>
    </w:p>
  </w:footnote>
  <w:footnote w:id="203">
    <w:p w:rsidR="00000000" w:rsidRDefault="00000000">
      <w:pPr>
        <w:pStyle w:val="FootnoteText"/>
        <w:spacing w:after="200"/>
        <w:rPr>
          <w:lang w:val="de-CH"/>
        </w:rPr>
      </w:pPr>
      <w:r>
        <w:rPr>
          <w:rStyle w:val="FootnoteReference"/>
        </w:rPr>
        <w:footnoteRef/>
      </w:r>
      <w:r>
        <w:rPr>
          <w:lang w:val="de-CH"/>
        </w:rPr>
        <w:t xml:space="preserve"> </w:t>
      </w:r>
      <w:hyperlink r:id="rId40" w:history="1">
        <w:r>
          <w:rPr>
            <w:rStyle w:val="Hyperlink"/>
            <w:lang w:val="de-CH"/>
          </w:rPr>
          <w:t>http://194.8.63.155/documents/odihr/2003/11/1751_fr.pdf</w:t>
        </w:r>
      </w:hyperlink>
      <w:r>
        <w:rPr>
          <w:lang w:val="de-CH"/>
        </w:rPr>
        <w:t>.</w:t>
      </w:r>
    </w:p>
  </w:footnote>
  <w:footnote w:id="204">
    <w:p w:rsidR="00000000" w:rsidRDefault="00000000">
      <w:pPr>
        <w:pStyle w:val="FootnoteText"/>
        <w:spacing w:after="200"/>
        <w:rPr>
          <w:lang w:val="de-CH"/>
        </w:rPr>
      </w:pPr>
      <w:r>
        <w:rPr>
          <w:rStyle w:val="FootnoteReference"/>
        </w:rPr>
        <w:footnoteRef/>
      </w:r>
      <w:r>
        <w:rPr>
          <w:lang w:val="de-CH"/>
        </w:rPr>
        <w:t xml:space="preserve"> </w:t>
      </w:r>
      <w:hyperlink r:id="rId41" w:history="1">
        <w:r>
          <w:rPr>
            <w:rStyle w:val="Hyperlink"/>
            <w:lang w:val="de-CH"/>
          </w:rPr>
          <w:t>www.ddip.admin.ch</w:t>
        </w:r>
      </w:hyperlink>
      <w:r>
        <w:rPr>
          <w:lang w:val="de-CH"/>
        </w:rPr>
        <w:t>.</w:t>
      </w:r>
    </w:p>
  </w:footnote>
  <w:footnote w:id="205">
    <w:p w:rsidR="00000000" w:rsidRDefault="00000000">
      <w:pPr>
        <w:pStyle w:val="FootnoteText"/>
        <w:spacing w:after="200"/>
        <w:rPr>
          <w:lang w:val="de-CH"/>
        </w:rPr>
      </w:pPr>
      <w:r>
        <w:rPr>
          <w:rStyle w:val="FootnoteReference"/>
        </w:rPr>
        <w:footnoteRef/>
      </w:r>
      <w:r>
        <w:rPr>
          <w:lang w:val="de-CH"/>
        </w:rPr>
        <w:t xml:space="preserve"> </w:t>
      </w:r>
      <w:hyperlink r:id="rId42" w:history="1">
        <w:r>
          <w:rPr>
            <w:rStyle w:val="Hyperlink"/>
            <w:lang w:val="de-CH"/>
          </w:rPr>
          <w:t>www.coe.int/ecri</w:t>
        </w:r>
      </w:hyperlink>
      <w:r>
        <w:rPr>
          <w:lang w:val="de-CH"/>
        </w:rPr>
        <w:t>.</w:t>
      </w:r>
    </w:p>
  </w:footnote>
  <w:footnote w:id="206">
    <w:p w:rsidR="00000000" w:rsidRDefault="00000000">
      <w:pPr>
        <w:pStyle w:val="FootnoteText"/>
        <w:spacing w:after="200"/>
      </w:pPr>
      <w:r>
        <w:rPr>
          <w:rStyle w:val="FootnoteReference"/>
        </w:rPr>
        <w:footnoteRef/>
      </w:r>
      <w:r>
        <w:t xml:space="preserve"> Pour plus de détails, voir ch. 309 ss.</w:t>
      </w:r>
    </w:p>
  </w:footnote>
  <w:footnote w:id="207">
    <w:p w:rsidR="00000000" w:rsidRDefault="00000000">
      <w:pPr>
        <w:pStyle w:val="FootnoteText"/>
        <w:spacing w:after="240"/>
      </w:pPr>
      <w:r>
        <w:rPr>
          <w:rStyle w:val="FootnoteReference"/>
        </w:rPr>
        <w:footnoteRef/>
      </w:r>
      <w:r>
        <w:t xml:space="preserve"> Le Conseil fédéral approuvera prochainement le troisième rapport de la Suisse sur l’application de la Charte européenne des langues régionales ou minoritaires. Le rapport sera disponible sur le site de l’Office fédéral de la culture (OFC): </w:t>
      </w:r>
      <w:hyperlink r:id="rId43" w:history="1">
        <w:r>
          <w:rPr>
            <w:rStyle w:val="Hyperlink"/>
          </w:rPr>
          <w:t>http://www.bak.admin.ch</w:t>
        </w:r>
      </w:hyperlink>
      <w:r>
        <w:t>.</w:t>
      </w:r>
    </w:p>
  </w:footnote>
  <w:footnote w:id="208">
    <w:p w:rsidR="00000000" w:rsidRDefault="00000000">
      <w:pPr>
        <w:pStyle w:val="FootnoteText"/>
        <w:spacing w:after="240"/>
      </w:pPr>
      <w:r>
        <w:rPr>
          <w:rStyle w:val="FootnoteReference"/>
        </w:rPr>
        <w:footnoteRef/>
      </w:r>
      <w:r>
        <w:t xml:space="preserve"> Charte européenne des langues régionales ou minoritaires, Application de la Charte en Suisse (deuxième cycle de suivi), Rapport du Comité d’experts de la Charte, 22 septembre 2004, (ECMRL/2004/6), p. 12 et 41, dispon</w:t>
      </w:r>
      <w:r>
        <w:t>i</w:t>
      </w:r>
      <w:r>
        <w:t xml:space="preserve">ble sur le site Internet du Conseil de l’Europe: </w:t>
      </w:r>
      <w:hyperlink r:id="rId44" w:history="1">
        <w:r>
          <w:rPr>
            <w:rStyle w:val="Hyperlink"/>
          </w:rPr>
          <w:t>http://www.coe.int</w:t>
        </w:r>
      </w:hyperlink>
      <w:r>
        <w:t>.</w:t>
      </w:r>
    </w:p>
  </w:footnote>
  <w:footnote w:id="209">
    <w:p w:rsidR="00000000" w:rsidRDefault="00000000">
      <w:pPr>
        <w:pStyle w:val="FootnoteText"/>
        <w:spacing w:after="240"/>
      </w:pPr>
      <w:r>
        <w:rPr>
          <w:rStyle w:val="FootnoteReference"/>
        </w:rPr>
        <w:footnoteRef/>
      </w:r>
      <w:r>
        <w:t xml:space="preserve"> Selon les informations fournies par la ville de Berne, les enfants de l’aire de séjour de Buech auraient «peu ou pas de chances de trouver une place d’apprentissage». La directrice compétente estime que «le mode de vie nomade adopté durant les mois d’été est difficilement conciliable avec un apprentissage» et qu’il est donc nécessaire «de leur proposer un programme scolaire spécial». Berner Zeitung du 17 avril 2003.</w:t>
      </w:r>
    </w:p>
  </w:footnote>
  <w:footnote w:id="210">
    <w:p w:rsidR="00000000" w:rsidRDefault="00000000">
      <w:pPr>
        <w:pStyle w:val="FootnoteText"/>
        <w:spacing w:after="240"/>
      </w:pPr>
      <w:r>
        <w:rPr>
          <w:rStyle w:val="FootnoteReference"/>
        </w:rPr>
        <w:footnoteRef/>
      </w:r>
      <w:r>
        <w:t xml:space="preserve"> Premier rapport du Gouvernement suisse sur la mise en œuvre de la Convention relative aux droits de l’enfant, novembre 2000, ch. 790 ss.</w:t>
      </w:r>
    </w:p>
  </w:footnote>
  <w:footnote w:id="211">
    <w:p w:rsidR="00000000" w:rsidRDefault="00000000">
      <w:pPr>
        <w:pStyle w:val="FootnoteText"/>
        <w:spacing w:after="200"/>
      </w:pPr>
      <w:r>
        <w:rPr>
          <w:rStyle w:val="FootnoteReference"/>
        </w:rPr>
        <w:footnoteRef/>
      </w:r>
      <w:r>
        <w:t xml:space="preserve"> Le droit suisse a été adapté à différentes normes internationales ratifiées par la Suisse: Organisation intern</w:t>
      </w:r>
      <w:r>
        <w:t>a</w:t>
      </w:r>
      <w:r>
        <w:t>tionale du travail (OIT), Conventions n</w:t>
      </w:r>
      <w:r>
        <w:rPr>
          <w:vertAlign w:val="superscript"/>
        </w:rPr>
        <w:t>os</w:t>
      </w:r>
      <w:r>
        <w:t xml:space="preserve"> 138 (RS 0.822.723.8) et 182 (RS 0.822.728.2), et Convention relative aux droits de l’enfant (RS 0.216).</w:t>
      </w:r>
    </w:p>
  </w:footnote>
  <w:footnote w:id="212">
    <w:p w:rsidR="00000000" w:rsidRDefault="00000000">
      <w:pPr>
        <w:pStyle w:val="FootnoteText"/>
        <w:spacing w:after="200"/>
      </w:pPr>
      <w:r>
        <w:rPr>
          <w:rStyle w:val="FootnoteReference"/>
        </w:rPr>
        <w:footnoteRef/>
      </w:r>
      <w:r>
        <w:t xml:space="preserve"> Art. 30, al. 1, de la loi sur le travail (LTr), RS 822.11; les enfants de moins de 15 ans ne peuvent norm</w:t>
      </w:r>
      <w:r>
        <w:t>a</w:t>
      </w:r>
      <w:r>
        <w:t>lement être affectés à un travail uniquement dans le cadre de manifestations culturelles, artistiques ou sport</w:t>
      </w:r>
      <w:r>
        <w:t>i</w:t>
      </w:r>
      <w:r>
        <w:t>ves. Dès 13 ans, ils peuvent être chargés de faire des courses et d’effectuer des travaux légers (art. 30, al. 2, LTr). Les jeunes de moins de 18 ans ne doivent en outre pas effectuer de travaux dangereux (art. 3 de la Convention n</w:t>
      </w:r>
      <w:r>
        <w:rPr>
          <w:vertAlign w:val="superscript"/>
        </w:rPr>
        <w:t>o</w:t>
      </w:r>
      <w:r>
        <w:t xml:space="preserve"> 182 de l’OIT, et art. 32 de la Convention de l’ONU sur les droits de l’enfant).</w:t>
      </w:r>
    </w:p>
  </w:footnote>
  <w:footnote w:id="213">
    <w:p w:rsidR="00000000" w:rsidRDefault="00000000">
      <w:pPr>
        <w:pStyle w:val="FootnoteText"/>
        <w:spacing w:after="200"/>
      </w:pPr>
      <w:r>
        <w:rPr>
          <w:rStyle w:val="FootnoteReference"/>
        </w:rPr>
        <w:footnoteRef/>
      </w:r>
      <w:r>
        <w:t xml:space="preserve"> Art. 307 ss, Code civil suisse (CC), RS 210.</w:t>
      </w:r>
    </w:p>
  </w:footnote>
  <w:footnote w:id="214">
    <w:p w:rsidR="00000000" w:rsidRDefault="00000000">
      <w:pPr>
        <w:pStyle w:val="FootnoteText"/>
        <w:spacing w:after="200"/>
      </w:pPr>
      <w:r>
        <w:rPr>
          <w:rStyle w:val="FootnoteReference"/>
        </w:rPr>
        <w:footnoteRef/>
      </w:r>
      <w:r>
        <w:t xml:space="preserve"> Consultation relative à l’avant</w:t>
      </w:r>
      <w:r>
        <w:noBreakHyphen/>
        <w:t>projet de rapport du Conseil fédéral sur la situation des gens du voyage en Suisse, première partie, p. 32 ss (n’existe encore qu’en allemand).</w:t>
      </w:r>
    </w:p>
  </w:footnote>
  <w:footnote w:id="215">
    <w:p w:rsidR="00000000" w:rsidRDefault="00000000">
      <w:pPr>
        <w:pStyle w:val="FootnoteText"/>
        <w:spacing w:after="200"/>
        <w:rPr>
          <w:lang w:val="de-CH"/>
        </w:rPr>
      </w:pPr>
      <w:r>
        <w:rPr>
          <w:rStyle w:val="FootnoteReference"/>
        </w:rPr>
        <w:footnoteRef/>
      </w:r>
      <w:r>
        <w:rPr>
          <w:lang w:val="de-CH"/>
        </w:rPr>
        <w:t xml:space="preserve"> RS 943.1.</w:t>
      </w:r>
    </w:p>
  </w:footnote>
  <w:footnote w:id="216">
    <w:p w:rsidR="00000000" w:rsidRDefault="00000000">
      <w:pPr>
        <w:pStyle w:val="FootnoteText"/>
        <w:spacing w:after="240"/>
        <w:rPr>
          <w:lang w:val="de-CH"/>
        </w:rPr>
      </w:pPr>
      <w:r>
        <w:rPr>
          <w:rStyle w:val="FootnoteReference"/>
        </w:rPr>
        <w:footnoteRef/>
      </w:r>
      <w:r>
        <w:rPr>
          <w:lang w:val="de-CH"/>
        </w:rPr>
        <w:t xml:space="preserve"> </w:t>
      </w:r>
      <w:r>
        <w:rPr>
          <w:szCs w:val="18"/>
          <w:lang w:val="de-CH"/>
        </w:rPr>
        <w:t>Roth</w:t>
      </w:r>
      <w:r>
        <w:rPr>
          <w:lang w:val="de-CH"/>
        </w:rPr>
        <w:t>, Jenisches Wörterbuch: Aus dem Sprachschatz Jenischer in der Schweiz, Frauenfeld/Wien 2001.</w:t>
      </w:r>
    </w:p>
  </w:footnote>
  <w:footnote w:id="217">
    <w:p w:rsidR="00000000" w:rsidRDefault="00000000">
      <w:pPr>
        <w:pStyle w:val="FootnoteText"/>
        <w:spacing w:after="240"/>
      </w:pPr>
      <w:r>
        <w:rPr>
          <w:rStyle w:val="FootnoteReference"/>
        </w:rPr>
        <w:footnoteRef/>
      </w:r>
      <w:r>
        <w:t xml:space="preserve"> Charte européenne des langues régionales ou minoritaires, deuxième rapport de la Suisse, p. 12.</w:t>
      </w:r>
    </w:p>
  </w:footnote>
  <w:footnote w:id="218">
    <w:p w:rsidR="00000000" w:rsidRDefault="00000000">
      <w:pPr>
        <w:pStyle w:val="FootnoteText"/>
        <w:spacing w:after="240"/>
      </w:pPr>
      <w:r>
        <w:rPr>
          <w:rStyle w:val="FootnoteReference"/>
        </w:rPr>
        <w:footnoteRef/>
      </w:r>
      <w:r>
        <w:t xml:space="preserve"> Voir Position du Gouvernement suisse relative au troisième rapport ECRI 2003, p. 34, ad 48.</w:t>
      </w:r>
    </w:p>
  </w:footnote>
  <w:footnote w:id="219">
    <w:p w:rsidR="00000000" w:rsidRDefault="00000000">
      <w:pPr>
        <w:pStyle w:val="FootnoteText"/>
        <w:spacing w:after="240"/>
      </w:pPr>
      <w:r>
        <w:rPr>
          <w:rStyle w:val="FootnoteReference"/>
        </w:rPr>
        <w:footnoteRef/>
      </w:r>
      <w:r>
        <w:t xml:space="preserve"> Eigenmann/Eugster, Fahrende und Raumplanung, St. Gallen 2001, et sur Internet sous </w:t>
      </w:r>
      <w:hyperlink r:id="rId45" w:history="1">
        <w:r>
          <w:rPr>
            <w:rStyle w:val="Hyperlink"/>
          </w:rPr>
          <w:t>www.bak.admin.ch</w:t>
        </w:r>
      </w:hyperlink>
      <w:r>
        <w:t>.</w:t>
      </w:r>
    </w:p>
  </w:footnote>
  <w:footnote w:id="220">
    <w:p w:rsidR="00000000" w:rsidRDefault="00000000">
      <w:pPr>
        <w:pStyle w:val="FootnoteText"/>
        <w:spacing w:after="240"/>
      </w:pPr>
      <w:r>
        <w:rPr>
          <w:rStyle w:val="FootnoteReference"/>
        </w:rPr>
        <w:footnoteRef/>
      </w:r>
      <w:r>
        <w:t xml:space="preserve"> Eigenmann/Eugster, Fahrende und Raumplanung, Stanbericht 05, St. Gallen 2006.</w:t>
      </w:r>
    </w:p>
  </w:footnote>
  <w:footnote w:id="221">
    <w:p w:rsidR="00000000" w:rsidRDefault="00000000">
      <w:pPr>
        <w:pStyle w:val="FootnoteText"/>
        <w:spacing w:after="200"/>
      </w:pPr>
      <w:r>
        <w:rPr>
          <w:rStyle w:val="FootnoteReference"/>
        </w:rPr>
        <w:footnoteRef/>
      </w:r>
      <w:r>
        <w:t xml:space="preserve"> Dans la commune genevoise de Versoix, l’aménagement d’une nouvelle aire de stationnement destinée aux gens du voyage a été rejeté en votation populaire. Un projet similaire a également été rejeté (avec 59 % de non contre 41 % de oui) dans la commune neuchâteloise de Boudevillers. À Winterthur, dans le canton de Zurich, un projet d’aménagement d’une aire de stationnement pour les gens du voyage a été rejeté lors de la votation sur le plan d’affectation.</w:t>
      </w:r>
    </w:p>
  </w:footnote>
  <w:footnote w:id="222">
    <w:p w:rsidR="00000000" w:rsidRDefault="00000000">
      <w:pPr>
        <w:pStyle w:val="FootnoteText"/>
        <w:spacing w:after="200"/>
      </w:pPr>
      <w:r>
        <w:rPr>
          <w:rStyle w:val="FootnoteReference"/>
        </w:rPr>
        <w:footnoteRef/>
      </w:r>
      <w:r>
        <w:t xml:space="preserve"> «...les plans d’affectation doivent prévoir des zones et des lieux qui se prêtent au séjour de ce groupe de la population et qui correspondent à leurs traditions. Si tel n’est pas le cas, les autorités compétentes doivent adapter les zones à construire existantes aux fins de rendre ce type d’utilisation possible (traduction).», ATF129 II 321, 327.</w:t>
      </w:r>
    </w:p>
  </w:footnote>
  <w:footnote w:id="223">
    <w:p w:rsidR="00000000" w:rsidRDefault="00000000">
      <w:pPr>
        <w:pStyle w:val="FootnoteText"/>
        <w:spacing w:after="240"/>
      </w:pPr>
      <w:r>
        <w:rPr>
          <w:rStyle w:val="FootnoteReference"/>
        </w:rPr>
        <w:footnoteRef/>
      </w:r>
      <w:r>
        <w:t xml:space="preserve"> Systematische Gesetzessammlung des Kantons Basel Landschaft (SGS) 100, art. 109: Kanton und Gemeinden helfen Fahrenden bei der Suche nach Stan</w:t>
      </w:r>
      <w:r>
        <w:t>d</w:t>
      </w:r>
      <w:r>
        <w:t>plätzen.</w:t>
      </w:r>
    </w:p>
  </w:footnote>
  <w:footnote w:id="224">
    <w:p w:rsidR="00000000" w:rsidRDefault="00000000">
      <w:pPr>
        <w:pStyle w:val="FootnoteText"/>
        <w:spacing w:after="240"/>
      </w:pPr>
      <w:r>
        <w:rPr>
          <w:rStyle w:val="FootnoteReference"/>
        </w:rPr>
        <w:footnoteRef/>
      </w:r>
      <w:r>
        <w:t xml:space="preserve"> Systematische Gesetzessammlung des Kantons Aargau (SAR) 110, art. 48: Der Kanton kann in Zusammenarbeit mit den Gemeinden nichtsesshaften ethnischen Minderheiten geeignete Örtlichkeiten für einen befristeten Aufenthalt zur Verfügung stellen.</w:t>
      </w:r>
    </w:p>
  </w:footnote>
  <w:footnote w:id="225">
    <w:p w:rsidR="00000000" w:rsidRDefault="00000000">
      <w:pPr>
        <w:pStyle w:val="FootnoteText"/>
        <w:spacing w:after="240"/>
      </w:pPr>
      <w:r>
        <w:rPr>
          <w:rStyle w:val="FootnoteReference"/>
        </w:rPr>
        <w:footnoteRef/>
      </w:r>
      <w:r>
        <w:t xml:space="preserve"> ATF 129 III 35.</w:t>
      </w:r>
    </w:p>
  </w:footnote>
  <w:footnote w:id="226">
    <w:p w:rsidR="00000000" w:rsidRDefault="00000000">
      <w:pPr>
        <w:pStyle w:val="FootnoteText"/>
        <w:spacing w:after="240"/>
      </w:pPr>
      <w:r>
        <w:rPr>
          <w:rStyle w:val="FootnoteReference"/>
        </w:rPr>
        <w:footnoteRef/>
      </w:r>
      <w:r>
        <w:t xml:space="preserve"> Bucher, Nicht, «Kontrahierungspflicht» − Schon eher Schutz vor Boykott, Recht 2003, cahier 3, p. 101 à 115.</w:t>
      </w:r>
    </w:p>
  </w:footnote>
  <w:footnote w:id="227">
    <w:p w:rsidR="00000000" w:rsidRDefault="00000000">
      <w:pPr>
        <w:pStyle w:val="FootnoteText"/>
        <w:spacing w:after="240"/>
      </w:pPr>
      <w:r>
        <w:rPr>
          <w:rStyle w:val="FootnoteReference"/>
        </w:rPr>
        <w:footnoteRef/>
      </w:r>
      <w:r>
        <w:t xml:space="preserve"> Caplazi, «Wissenstransfer» gegen Diskriminierung in der Arbeitswelt − Bulletin humanrights.ch n</w:t>
      </w:r>
      <w:r>
        <w:rPr>
          <w:vertAlign w:val="superscript"/>
        </w:rPr>
        <w:t>o</w:t>
      </w:r>
      <w:r>
        <w:t xml:space="preserve"> 1, juin 2004, p. 3.</w:t>
      </w:r>
    </w:p>
  </w:footnote>
  <w:footnote w:id="228">
    <w:p w:rsidR="00000000" w:rsidRDefault="00000000">
      <w:pPr>
        <w:pStyle w:val="FootnoteText"/>
        <w:spacing w:after="240"/>
        <w:rPr>
          <w:szCs w:val="18"/>
          <w:lang w:val="de-CH"/>
        </w:rPr>
      </w:pPr>
      <w:r>
        <w:rPr>
          <w:rStyle w:val="FootnoteReference"/>
          <w:szCs w:val="18"/>
        </w:rPr>
        <w:footnoteRef/>
      </w:r>
      <w:r>
        <w:rPr>
          <w:lang w:val="de-CH"/>
        </w:rPr>
        <w:t xml:space="preserve"> </w:t>
      </w:r>
      <w:r>
        <w:rPr>
          <w:szCs w:val="18"/>
          <w:lang w:val="de-CH"/>
        </w:rPr>
        <w:t>Egger/Bauer/Künzi,</w:t>
      </w:r>
      <w:r>
        <w:rPr>
          <w:bCs/>
          <w:szCs w:val="18"/>
          <w:lang w:val="de-CH"/>
        </w:rPr>
        <w:t xml:space="preserve"> Möglichkeiten von Massnahmen gegen rassistische Diskriminierung in der A</w:t>
      </w:r>
      <w:r>
        <w:rPr>
          <w:bCs/>
          <w:szCs w:val="18"/>
          <w:lang w:val="de-CH"/>
        </w:rPr>
        <w:t>r</w:t>
      </w:r>
      <w:r>
        <w:rPr>
          <w:bCs/>
          <w:szCs w:val="18"/>
          <w:lang w:val="de-CH"/>
        </w:rPr>
        <w:t xml:space="preserve">beitswelt − </w:t>
      </w:r>
      <w:r>
        <w:rPr>
          <w:szCs w:val="18"/>
          <w:lang w:val="de-CH"/>
        </w:rPr>
        <w:t>Eine Bestandesaufnahme von Problemlagen und Handlungsmöglichkeiten − étude commandée par le Service de lutte contre le racisme, Berne, mars 2003 (n’existe qu’en allemand).</w:t>
      </w:r>
    </w:p>
  </w:footnote>
  <w:footnote w:id="229">
    <w:p w:rsidR="00000000" w:rsidRDefault="00000000">
      <w:pPr>
        <w:pStyle w:val="FootnoteText"/>
        <w:spacing w:after="240"/>
        <w:rPr>
          <w:szCs w:val="18"/>
        </w:rPr>
      </w:pPr>
      <w:r>
        <w:rPr>
          <w:rStyle w:val="FootnoteReference"/>
        </w:rPr>
        <w:footnoteRef/>
      </w:r>
      <w:r>
        <w:t xml:space="preserve"> Interpellation </w:t>
      </w:r>
      <w:r>
        <w:rPr>
          <w:szCs w:val="18"/>
        </w:rPr>
        <w:t>Bühlmann Cécile</w:t>
      </w:r>
      <w:r>
        <w:t xml:space="preserve"> du 19 juin 2003 «Discrimination raciale dans le monde du travail» (03.3372) et Motion </w:t>
      </w:r>
      <w:r>
        <w:rPr>
          <w:szCs w:val="18"/>
        </w:rPr>
        <w:t>Groupe des Verts du</w:t>
      </w:r>
      <w:r>
        <w:t xml:space="preserve"> 17.12.2004 «Loi contre la discrimination raciale dans le monde du travail» (04.3791).</w:t>
      </w:r>
    </w:p>
  </w:footnote>
  <w:footnote w:id="230">
    <w:p w:rsidR="00000000" w:rsidRDefault="00000000">
      <w:pPr>
        <w:pStyle w:val="FootnoteText"/>
        <w:spacing w:after="240"/>
      </w:pPr>
      <w:r>
        <w:rPr>
          <w:rStyle w:val="FootnoteReference"/>
        </w:rPr>
        <w:footnoteRef/>
      </w:r>
      <w:r>
        <w:t xml:space="preserve"> RS 210.</w:t>
      </w:r>
    </w:p>
  </w:footnote>
  <w:footnote w:id="231">
    <w:p w:rsidR="00000000" w:rsidRDefault="00000000">
      <w:pPr>
        <w:pStyle w:val="FootnoteText"/>
        <w:spacing w:after="240"/>
      </w:pPr>
      <w:r>
        <w:rPr>
          <w:rStyle w:val="FootnoteReference"/>
        </w:rPr>
        <w:footnoteRef/>
      </w:r>
      <w:r>
        <w:t xml:space="preserve"> RS 822.11.</w:t>
      </w:r>
    </w:p>
  </w:footnote>
  <w:footnote w:id="232">
    <w:p w:rsidR="00000000" w:rsidRDefault="00000000">
      <w:pPr>
        <w:pStyle w:val="FootnoteText"/>
        <w:spacing w:after="240"/>
      </w:pPr>
      <w:r>
        <w:rPr>
          <w:rStyle w:val="FootnoteReference"/>
        </w:rPr>
        <w:footnoteRef/>
      </w:r>
      <w:r>
        <w:t xml:space="preserve"> RS 220.</w:t>
      </w:r>
    </w:p>
  </w:footnote>
  <w:footnote w:id="233">
    <w:p w:rsidR="00000000" w:rsidRDefault="00000000">
      <w:pPr>
        <w:pStyle w:val="FootnoteText"/>
        <w:spacing w:after="240"/>
      </w:pPr>
      <w:r>
        <w:rPr>
          <w:rStyle w:val="FootnoteReference"/>
        </w:rPr>
        <w:footnoteRef/>
      </w:r>
      <w:r>
        <w:t xml:space="preserve"> Jugement du 13 janvier 2006 du Tribunal des Prud’hommes de Zurich, AN05 04 01.</w:t>
      </w:r>
    </w:p>
  </w:footnote>
  <w:footnote w:id="234">
    <w:p w:rsidR="00000000" w:rsidRDefault="00000000">
      <w:pPr>
        <w:pStyle w:val="FootnoteText"/>
        <w:spacing w:after="240"/>
      </w:pPr>
      <w:r>
        <w:rPr>
          <w:rStyle w:val="FootnoteReference"/>
        </w:rPr>
        <w:footnoteRef/>
      </w:r>
      <w:r>
        <w:t xml:space="preserve"> Jugement du 1</w:t>
      </w:r>
      <w:r>
        <w:rPr>
          <w:vertAlign w:val="superscript"/>
        </w:rPr>
        <w:t>er</w:t>
      </w:r>
      <w:r>
        <w:t xml:space="preserve"> juin 2005 du Tribunal des Prud’hommes de Lausanne.</w:t>
      </w:r>
    </w:p>
  </w:footnote>
  <w:footnote w:id="235">
    <w:p w:rsidR="00000000" w:rsidRDefault="00000000">
      <w:pPr>
        <w:pStyle w:val="FootnoteText"/>
        <w:spacing w:after="240"/>
      </w:pPr>
      <w:r>
        <w:rPr>
          <w:rStyle w:val="FootnoteReference"/>
        </w:rPr>
        <w:footnoteRef/>
      </w:r>
      <w:r>
        <w:rPr>
          <w:lang w:val="de-CH"/>
        </w:rPr>
        <w:t xml:space="preserve"> </w:t>
      </w:r>
      <w:r>
        <w:rPr>
          <w:i/>
          <w:iCs/>
          <w:lang w:val="de-CH"/>
        </w:rPr>
        <w:t>Möglichkeiten von Massnahmen gegen rassistische Diskriminierung in der Arbeitswelt</w:t>
      </w:r>
      <w:r>
        <w:rPr>
          <w:lang w:val="de-CH"/>
        </w:rPr>
        <w:t>, Th. </w:t>
      </w:r>
      <w:r>
        <w:t>Egger/T. Bauer/K. Künzi, mars 2003, p. 63.</w:t>
      </w:r>
    </w:p>
  </w:footnote>
  <w:footnote w:id="236">
    <w:p w:rsidR="00000000" w:rsidRDefault="00000000">
      <w:pPr>
        <w:pStyle w:val="FootnoteText"/>
        <w:spacing w:after="200"/>
      </w:pPr>
      <w:r>
        <w:rPr>
          <w:rStyle w:val="FootnoteReference"/>
        </w:rPr>
        <w:footnoteRef/>
      </w:r>
      <w:r>
        <w:t xml:space="preserve"> RS.220.</w:t>
      </w:r>
    </w:p>
  </w:footnote>
  <w:footnote w:id="237">
    <w:p w:rsidR="00000000" w:rsidRDefault="00000000">
      <w:pPr>
        <w:pStyle w:val="FootnoteText"/>
        <w:spacing w:after="200"/>
        <w:rPr>
          <w:szCs w:val="18"/>
        </w:rPr>
      </w:pPr>
      <w:r>
        <w:rPr>
          <w:rStyle w:val="FootnoteReference"/>
          <w:szCs w:val="18"/>
        </w:rPr>
        <w:footnoteRef/>
      </w:r>
      <w:r>
        <w:rPr>
          <w:szCs w:val="18"/>
        </w:rPr>
        <w:t xml:space="preserve"> Intégration et travail − Recommandations de la Commission fédérale des étrangers CFE en vue d’améliorer l’intégration des migrants sur le marché du travail; novembre 2003 </w:t>
      </w:r>
      <w:hyperlink r:id="rId46" w:history="1">
        <w:r>
          <w:rPr>
            <w:rStyle w:val="Hyperlink"/>
            <w:szCs w:val="18"/>
          </w:rPr>
          <w:t>http://www.eka</w:t>
        </w:r>
        <w:r>
          <w:rPr>
            <w:rStyle w:val="Hyperlink"/>
            <w:szCs w:val="18"/>
          </w:rPr>
          <w:noBreakHyphen/>
          <w:t>cfe.ch/f/Doku/Integration_Arbeit_Empfehlungen_2003_f.pdf</w:t>
        </w:r>
      </w:hyperlink>
      <w:r>
        <w:rPr>
          <w:szCs w:val="18"/>
        </w:rPr>
        <w:t>.</w:t>
      </w:r>
    </w:p>
  </w:footnote>
  <w:footnote w:id="238">
    <w:p w:rsidR="00000000" w:rsidRDefault="00000000">
      <w:pPr>
        <w:pStyle w:val="FootnoteText"/>
        <w:spacing w:after="200"/>
      </w:pPr>
      <w:r>
        <w:rPr>
          <w:rStyle w:val="FootnoteReference"/>
        </w:rPr>
        <w:footnoteRef/>
      </w:r>
      <w:r>
        <w:t xml:space="preserve"> En 2003, 0,91 % des logements étaient inoccupés en Suisse. Dans les agglomérations, en particulier, les logements sont un bien rare. Dans le canton de Genève, le pourcentage de logements inoccupés est tombé à 0,17 %. Aperçu du marché du logement: mai 2004, Office fédéral du logement, </w:t>
      </w:r>
      <w:hyperlink r:id="rId47" w:history="1">
        <w:r>
          <w:rPr>
            <w:rStyle w:val="Hyperlink"/>
          </w:rPr>
          <w:t>www.bwo.admin.ch</w:t>
        </w:r>
      </w:hyperlink>
      <w:r>
        <w:t>.</w:t>
      </w:r>
    </w:p>
  </w:footnote>
  <w:footnote w:id="239">
    <w:p w:rsidR="00000000" w:rsidRDefault="00000000">
      <w:pPr>
        <w:pStyle w:val="FootnoteText"/>
        <w:spacing w:after="200"/>
        <w:rPr>
          <w:lang w:val="de-CH"/>
        </w:rPr>
      </w:pPr>
      <w:r>
        <w:rPr>
          <w:rStyle w:val="FootnoteReference"/>
        </w:rPr>
        <w:footnoteRef/>
      </w:r>
      <w:r>
        <w:rPr>
          <w:lang w:val="de-CH"/>
        </w:rPr>
        <w:t xml:space="preserve"> </w:t>
      </w:r>
      <w:hyperlink r:id="rId48" w:history="1">
        <w:r>
          <w:rPr>
            <w:rStyle w:val="Hyperlink"/>
            <w:lang w:val="de-CH"/>
          </w:rPr>
          <w:t>www.espace.ch</w:t>
        </w:r>
      </w:hyperlink>
      <w:r>
        <w:rPr>
          <w:lang w:val="de-CH"/>
        </w:rPr>
        <w:t>, Berner Zeitung, Bernhard Ott, «Nur für Schweizer Mieter», 6 juillet 2004.</w:t>
      </w:r>
    </w:p>
  </w:footnote>
  <w:footnote w:id="240">
    <w:p w:rsidR="00000000" w:rsidRDefault="00000000">
      <w:pPr>
        <w:pStyle w:val="FootnoteText"/>
        <w:spacing w:after="200"/>
        <w:rPr>
          <w:lang w:val="de-CH"/>
        </w:rPr>
      </w:pPr>
      <w:r>
        <w:rPr>
          <w:rStyle w:val="FootnoteReference"/>
        </w:rPr>
        <w:footnoteRef/>
      </w:r>
      <w:r>
        <w:rPr>
          <w:lang w:val="de-CH"/>
        </w:rPr>
        <w:t xml:space="preserve"> Welten unter einem Dach, Koordinationsstelle für Integrat</w:t>
      </w:r>
      <w:r>
        <w:rPr>
          <w:lang w:val="de-CH"/>
        </w:rPr>
        <w:t>i</w:t>
      </w:r>
      <w:r>
        <w:rPr>
          <w:lang w:val="de-CH"/>
        </w:rPr>
        <w:t xml:space="preserve">on der Stadt Bern, </w:t>
      </w:r>
      <w:hyperlink r:id="rId49" w:history="1">
        <w:r>
          <w:rPr>
            <w:rStyle w:val="Hyperlink"/>
            <w:lang w:val="de-CH"/>
          </w:rPr>
          <w:t>www.bern.ch</w:t>
        </w:r>
      </w:hyperlink>
      <w:r>
        <w:rPr>
          <w:lang w:val="de-CH"/>
        </w:rPr>
        <w:t>.</w:t>
      </w:r>
    </w:p>
  </w:footnote>
  <w:footnote w:id="241">
    <w:p w:rsidR="00000000" w:rsidRDefault="00000000">
      <w:pPr>
        <w:pStyle w:val="FootnoteText"/>
        <w:spacing w:after="200"/>
        <w:rPr>
          <w:lang w:val="de-CH"/>
        </w:rPr>
      </w:pPr>
      <w:r>
        <w:rPr>
          <w:rStyle w:val="FootnoteReference"/>
        </w:rPr>
        <w:footnoteRef/>
      </w:r>
      <w:r>
        <w:rPr>
          <w:lang w:val="de-CH"/>
        </w:rPr>
        <w:t xml:space="preserve"> Domicil Wohnkultur − Dialog statt Konfrontation, </w:t>
      </w:r>
      <w:hyperlink r:id="rId50" w:history="1">
        <w:r>
          <w:rPr>
            <w:rStyle w:val="Hyperlink"/>
            <w:lang w:val="de-CH"/>
          </w:rPr>
          <w:t>www.domicilwohnen.ch</w:t>
        </w:r>
      </w:hyperlink>
      <w:r>
        <w:rPr>
          <w:lang w:val="de-CH"/>
        </w:rPr>
        <w:t>.</w:t>
      </w:r>
    </w:p>
  </w:footnote>
  <w:footnote w:id="242">
    <w:p w:rsidR="00000000" w:rsidRDefault="00000000">
      <w:pPr>
        <w:pStyle w:val="FootnoteText"/>
        <w:spacing w:after="200"/>
      </w:pPr>
      <w:r>
        <w:rPr>
          <w:rStyle w:val="FootnoteReference"/>
        </w:rPr>
        <w:footnoteRef/>
      </w:r>
      <w:r>
        <w:t xml:space="preserve"> ATF 119 II 36 ss, 38 s.; 117 II 156 ss, 159.</w:t>
      </w:r>
    </w:p>
  </w:footnote>
  <w:footnote w:id="243">
    <w:p w:rsidR="00000000" w:rsidRDefault="00000000">
      <w:pPr>
        <w:pStyle w:val="FootnoteText"/>
        <w:spacing w:after="200"/>
      </w:pPr>
      <w:r>
        <w:rPr>
          <w:rStyle w:val="FootnoteReference"/>
        </w:rPr>
        <w:footnoteRef/>
      </w:r>
      <w:r>
        <w:t xml:space="preserve"> Selon les indications de la CDIP, la proportion des élèves du niveau primaire inscrits dans une école privée est de 2,3 %. Ce pourcentage passe à 5,4 % au niveau secondaire I. Contribution suisse à la base de do</w:t>
      </w:r>
      <w:r>
        <w:t>n</w:t>
      </w:r>
      <w:r>
        <w:t>nées «Eurybase − la base de données sur les systèmes d’enseignement en Europe», état au 1</w:t>
      </w:r>
      <w:r>
        <w:rPr>
          <w:vertAlign w:val="superscript"/>
        </w:rPr>
        <w:t>er</w:t>
      </w:r>
      <w:r>
        <w:t xml:space="preserve"> janvier 2001.</w:t>
      </w:r>
    </w:p>
  </w:footnote>
  <w:footnote w:id="244">
    <w:p w:rsidR="00000000" w:rsidRDefault="00000000">
      <w:pPr>
        <w:pStyle w:val="FootnoteText"/>
        <w:spacing w:after="240"/>
      </w:pPr>
      <w:r>
        <w:rPr>
          <w:rStyle w:val="FootnoteReference"/>
        </w:rPr>
        <w:footnoteRef/>
      </w:r>
      <w:r>
        <w:t xml:space="preserve"> À ce niveau, les écoles privées drainent à peu près 11 % des élèves; indications de la CDIP, Eurybase du 1</w:t>
      </w:r>
      <w:r>
        <w:rPr>
          <w:vertAlign w:val="superscript"/>
        </w:rPr>
        <w:t>er</w:t>
      </w:r>
      <w:r>
        <w:t xml:space="preserve"> janvier 2001.</w:t>
      </w:r>
    </w:p>
  </w:footnote>
  <w:footnote w:id="245">
    <w:p w:rsidR="00000000" w:rsidRDefault="00000000">
      <w:pPr>
        <w:pStyle w:val="FootnoteText"/>
        <w:spacing w:after="200"/>
      </w:pPr>
      <w:r>
        <w:rPr>
          <w:rStyle w:val="FootnoteReference"/>
        </w:rPr>
        <w:footnoteRef/>
      </w:r>
      <w:r>
        <w:t xml:space="preserve"> La part des étudiants inscrits dans des institutions de formation privées est de 17,6 %; indications de la CDIP, E</w:t>
      </w:r>
      <w:r>
        <w:t>u</w:t>
      </w:r>
      <w:r>
        <w:t>rybase du 1</w:t>
      </w:r>
      <w:r>
        <w:rPr>
          <w:vertAlign w:val="superscript"/>
        </w:rPr>
        <w:t>er</w:t>
      </w:r>
      <w:r>
        <w:t xml:space="preserve"> janvier 2001.</w:t>
      </w:r>
    </w:p>
  </w:footnote>
  <w:footnote w:id="246">
    <w:p w:rsidR="00000000" w:rsidRDefault="00000000">
      <w:pPr>
        <w:pStyle w:val="FootnoteText"/>
        <w:spacing w:after="200"/>
      </w:pPr>
      <w:r>
        <w:rPr>
          <w:rStyle w:val="FootnoteReference"/>
        </w:rPr>
        <w:footnoteRef/>
      </w:r>
      <w:r>
        <w:t xml:space="preserve"> Selon le rapport relatif à la situation sur le marché des places d’apprentissage − juin 2004, OFFT.</w:t>
      </w:r>
    </w:p>
  </w:footnote>
  <w:footnote w:id="247">
    <w:p w:rsidR="00000000" w:rsidRDefault="00000000">
      <w:pPr>
        <w:pStyle w:val="FootnoteText"/>
        <w:spacing w:after="200"/>
      </w:pPr>
      <w:r>
        <w:rPr>
          <w:rStyle w:val="FootnoteReference"/>
        </w:rPr>
        <w:footnoteRef/>
      </w:r>
      <w:r>
        <w:t xml:space="preserve"> Rapport final Task Force, «Places d’apprentissage 2003», Office fédéral de la formation professionnelle et de la technologie (OFFT), 22 mars 2004.</w:t>
      </w:r>
    </w:p>
  </w:footnote>
  <w:footnote w:id="248">
    <w:p w:rsidR="00000000" w:rsidRDefault="00000000">
      <w:pPr>
        <w:pStyle w:val="FootnoteText"/>
        <w:spacing w:after="200"/>
      </w:pPr>
      <w:r>
        <w:rPr>
          <w:rStyle w:val="FootnoteReference"/>
        </w:rPr>
        <w:footnoteRef/>
      </w:r>
      <w:r>
        <w:t xml:space="preserve"> Forum n</w:t>
      </w:r>
      <w:r>
        <w:rPr>
          <w:vertAlign w:val="superscript"/>
        </w:rPr>
        <w:t>o</w:t>
      </w:r>
      <w:r>
        <w:t xml:space="preserve"> 3/2004, Rosita Fibbi, Bülent Kaya, Entienne P</w:t>
      </w:r>
      <w:r>
        <w:t>i</w:t>
      </w:r>
      <w:r>
        <w:t xml:space="preserve">quet, </w:t>
      </w:r>
      <w:r>
        <w:rPr>
          <w:i/>
          <w:iCs/>
        </w:rPr>
        <w:t>Quand s’appeler Pierre, Afrim ou Mehmet fait la différence</w:t>
      </w:r>
      <w:r>
        <w:t xml:space="preserve">, p. 38 à 41, Neuchâtel, Forum suisse pour l’étude des migrations et de la population, </w:t>
      </w:r>
      <w:hyperlink r:id="rId51" w:history="1">
        <w:r>
          <w:rPr>
            <w:rStyle w:val="Hyperlink"/>
          </w:rPr>
          <w:t>www.migration</w:t>
        </w:r>
        <w:r>
          <w:rPr>
            <w:rStyle w:val="Hyperlink"/>
          </w:rPr>
          <w:noBreakHyphen/>
          <w:t>population.ch</w:t>
        </w:r>
      </w:hyperlink>
      <w:r>
        <w:t>.</w:t>
      </w:r>
    </w:p>
  </w:footnote>
  <w:footnote w:id="249">
    <w:p w:rsidR="00000000" w:rsidRDefault="00000000">
      <w:pPr>
        <w:pStyle w:val="FootnoteText"/>
        <w:spacing w:after="200"/>
      </w:pPr>
      <w:r>
        <w:rPr>
          <w:rStyle w:val="FootnoteReference"/>
        </w:rPr>
        <w:footnoteRef/>
      </w:r>
      <w:r>
        <w:t xml:space="preserve"> OFFT − Recommandation 2000 relative aux offres de transition entre la scolarité obligatoire et la formation professionnelle, Berne, mai 2000, </w:t>
      </w:r>
      <w:hyperlink r:id="rId52" w:history="1">
        <w:r>
          <w:rPr>
            <w:rStyle w:val="Hyperlink"/>
          </w:rPr>
          <w:t>www.bbt.admin.ch/berufsbi/publikat/transit/f/</w:t>
        </w:r>
        <w:r>
          <w:rPr>
            <w:rStyle w:val="Hyperlink"/>
          </w:rPr>
          <w:br/>
          <w:t>ofform.pdf</w:t>
        </w:r>
      </w:hyperlink>
      <w:r>
        <w:t>.</w:t>
      </w:r>
    </w:p>
  </w:footnote>
  <w:footnote w:id="250">
    <w:p w:rsidR="00000000" w:rsidRDefault="00000000">
      <w:pPr>
        <w:spacing w:after="200"/>
        <w:jc w:val="both"/>
      </w:pPr>
      <w:r>
        <w:rPr>
          <w:b/>
          <w:bCs/>
          <w:vertAlign w:val="superscript"/>
        </w:rPr>
        <w:footnoteRef/>
      </w:r>
      <w:r>
        <w:t xml:space="preserve"> RS 412.100.41.</w:t>
      </w:r>
    </w:p>
  </w:footnote>
  <w:footnote w:id="251">
    <w:p w:rsidR="00000000" w:rsidRDefault="00000000">
      <w:pPr>
        <w:spacing w:after="200"/>
        <w:jc w:val="both"/>
      </w:pPr>
      <w:r>
        <w:rPr>
          <w:b/>
          <w:bCs/>
          <w:vertAlign w:val="superscript"/>
        </w:rPr>
        <w:footnoteRef/>
      </w:r>
      <w:r>
        <w:t xml:space="preserve"> SR 412.10.</w:t>
      </w:r>
    </w:p>
  </w:footnote>
  <w:footnote w:id="252">
    <w:p w:rsidR="00000000" w:rsidRDefault="00000000">
      <w:pPr>
        <w:spacing w:after="200"/>
      </w:pPr>
      <w:r>
        <w:rPr>
          <w:b/>
          <w:bCs/>
          <w:vertAlign w:val="superscript"/>
        </w:rPr>
        <w:footnoteRef/>
      </w:r>
      <w:r>
        <w:t xml:space="preserve"> La stratégie a été élaborée par l’Office fédéral de la santé publique en collaboration avec l’Office fédéral des réfugiés et l’Office fédéral de l’immigration, de l’intégration et de l’émigration (aujourd’hui réunis dans l’Office féd</w:t>
      </w:r>
      <w:r>
        <w:t>é</w:t>
      </w:r>
      <w:r>
        <w:t xml:space="preserve">ral des migrations (OFM)), et avec la Commission fédérale des étrangers (CFE). Version revue après consultation des offices (février 2002); </w:t>
      </w:r>
      <w:hyperlink r:id="rId53" w:history="1">
        <w:r>
          <w:rPr>
            <w:rStyle w:val="Hyperlink"/>
          </w:rPr>
          <w:t>http://www.bag.admin.ch/themen/gesundheitspolitik/00394/00395/</w:t>
        </w:r>
        <w:r>
          <w:rPr>
            <w:rStyle w:val="Hyperlink"/>
          </w:rPr>
          <w:br/>
          <w:t>00396/index.html?lang=fr</w:t>
        </w:r>
      </w:hyperlink>
      <w:r>
        <w:t xml:space="preserve">. Le 18 mai 2005, le Conseil fédéral a prorogé la stratégie </w:t>
      </w:r>
      <w:r>
        <w:br/>
        <w:t xml:space="preserve">d’une année, jusqu’en 2007. Pour plus d’informations sur la migration et la santé, tapez: </w:t>
      </w:r>
      <w:hyperlink r:id="rId54" w:history="1">
        <w:r>
          <w:rPr>
            <w:rStyle w:val="Hyperlink"/>
          </w:rPr>
          <w:t>www.bag.admin.ch/themen/gesundheitsp</w:t>
        </w:r>
        <w:r>
          <w:rPr>
            <w:rStyle w:val="Hyperlink"/>
          </w:rPr>
          <w:t>o</w:t>
        </w:r>
        <w:r>
          <w:rPr>
            <w:rStyle w:val="Hyperlink"/>
          </w:rPr>
          <w:t>litik/00394/index.html?lang=fr</w:t>
        </w:r>
      </w:hyperlink>
      <w:r>
        <w:t>.</w:t>
      </w:r>
    </w:p>
  </w:footnote>
  <w:footnote w:id="253">
    <w:p w:rsidR="00000000" w:rsidRDefault="00000000">
      <w:pPr>
        <w:pStyle w:val="FootnoteText"/>
        <w:spacing w:after="240"/>
      </w:pPr>
      <w:r>
        <w:rPr>
          <w:rStyle w:val="FootnoteReference"/>
        </w:rPr>
        <w:footnoteRef/>
      </w:r>
      <w:r>
        <w:t xml:space="preserve"> Le nouveau site Internet </w:t>
      </w:r>
      <w:hyperlink r:id="rId55" w:history="1">
        <w:r>
          <w:rPr>
            <w:rStyle w:val="Hyperlink"/>
          </w:rPr>
          <w:t>www.migesplus.ch</w:t>
        </w:r>
      </w:hyperlink>
      <w:r>
        <w:t xml:space="preserve"> propose aux spécialistes des domaines de la santé, de l’assistance sociale et de l’éducation un aperçu du matériel d’information existant dans les langues des m</w:t>
      </w:r>
      <w:r>
        <w:t>i</w:t>
      </w:r>
      <w:r>
        <w:t>grants sur des sujets de santé.</w:t>
      </w:r>
    </w:p>
  </w:footnote>
  <w:footnote w:id="254">
    <w:p w:rsidR="00000000" w:rsidRDefault="00000000">
      <w:pPr>
        <w:pStyle w:val="FootnoteText"/>
        <w:spacing w:after="240"/>
      </w:pPr>
      <w:r>
        <w:rPr>
          <w:rStyle w:val="FootnoteReference"/>
        </w:rPr>
        <w:footnoteRef/>
      </w:r>
      <w:r>
        <w:rPr>
          <w:lang w:val="de-CH"/>
        </w:rPr>
        <w:t xml:space="preserve"> </w:t>
      </w:r>
      <w:r>
        <w:t>Forum n</w:t>
      </w:r>
      <w:r>
        <w:rPr>
          <w:vertAlign w:val="superscript"/>
        </w:rPr>
        <w:t>o</w:t>
      </w:r>
      <w:r>
        <w:t xml:space="preserve"> 3/2004, Spang/Hanselmann, Bundesstrategie, «Migration und Gesundheit 2002</w:t>
      </w:r>
      <w:r>
        <w:noBreakHyphen/>
        <w:t xml:space="preserve">2006»: Struktureller Ansatz unter Berücksichtigung der Zielgruppen, p. 21 à 26, Neuchâtel, Forum suisse pour l’étude des migrations et de la population, </w:t>
      </w:r>
      <w:hyperlink r:id="rId56" w:history="1">
        <w:r>
          <w:rPr>
            <w:rStyle w:val="Hyperlink"/>
          </w:rPr>
          <w:t>www.migration</w:t>
        </w:r>
        <w:r>
          <w:rPr>
            <w:rStyle w:val="Hyperlink"/>
          </w:rPr>
          <w:noBreakHyphen/>
          <w:t>population.ch/fileadmin/sfm/publications/f/03_forum.pdf</w:t>
        </w:r>
      </w:hyperlink>
      <w:r>
        <w:t xml:space="preserve"> .</w:t>
      </w:r>
    </w:p>
  </w:footnote>
  <w:footnote w:id="255">
    <w:p w:rsidR="00000000" w:rsidRDefault="00000000">
      <w:pPr>
        <w:pStyle w:val="FootnoteText"/>
        <w:spacing w:after="240"/>
      </w:pPr>
      <w:r>
        <w:rPr>
          <w:rStyle w:val="FootnoteReference"/>
        </w:rPr>
        <w:footnoteRef/>
      </w:r>
      <w:r>
        <w:t xml:space="preserve"> </w:t>
      </w:r>
      <w:hyperlink r:id="rId57" w:history="1">
        <w:r>
          <w:rPr>
            <w:rStyle w:val="Hyperlink"/>
          </w:rPr>
          <w:t>http://www.edi.admin.ch/ekr/beratung/00556/00558/index.</w:t>
        </w:r>
        <w:r>
          <w:rPr>
            <w:rStyle w:val="Hyperlink"/>
          </w:rPr>
          <w:t>h</w:t>
        </w:r>
        <w:r>
          <w:rPr>
            <w:rStyle w:val="Hyperlink"/>
          </w:rPr>
          <w:t>tml?lang=fr</w:t>
        </w:r>
      </w:hyperlink>
      <w:r>
        <w:t>.</w:t>
      </w:r>
    </w:p>
  </w:footnote>
  <w:footnote w:id="256">
    <w:p w:rsidR="00000000" w:rsidRDefault="00000000">
      <w:pPr>
        <w:pStyle w:val="FootnoteText"/>
        <w:spacing w:after="240"/>
      </w:pPr>
      <w:r>
        <w:rPr>
          <w:rStyle w:val="FootnoteReference"/>
        </w:rPr>
        <w:footnoteRef/>
      </w:r>
      <w:r>
        <w:t xml:space="preserve"> Le Service de lutte contre le racisme (SLR) a été chargé par la Suisse de coordonner les mesures de mise en œuvre.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CERD/C/CHE/6</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pPr>
    <w:r>
      <w:tab/>
      <w:t>CERD/C/CHE/6</w:t>
    </w:r>
  </w:p>
  <w:p w:rsidR="00000000" w:rsidRDefault="00000000">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56B5A"/>
    <w:multiLevelType w:val="hybridMultilevel"/>
    <w:tmpl w:val="51FCA2C4"/>
    <w:lvl w:ilvl="0" w:tplc="01428352">
      <w:start w:val="1"/>
      <w:numFmt w:val="bullet"/>
      <w:lvlText w:val=""/>
      <w:lvlJc w:val="left"/>
      <w:pPr>
        <w:tabs>
          <w:tab w:val="num" w:pos="780"/>
        </w:tabs>
        <w:ind w:left="0" w:firstLine="42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
    <w:nsid w:val="02260784"/>
    <w:multiLevelType w:val="multilevel"/>
    <w:tmpl w:val="3D9A9DAA"/>
    <w:lvl w:ilvl="0">
      <w:numFmt w:val="none"/>
      <w:lvlText w:val=""/>
      <w:lvlJc w:val="left"/>
      <w:pPr>
        <w:tabs>
          <w:tab w:val="num" w:pos="360"/>
        </w:tabs>
      </w:p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2">
    <w:nsid w:val="036A275F"/>
    <w:multiLevelType w:val="multilevel"/>
    <w:tmpl w:val="A55EAE6C"/>
    <w:lvl w:ilvl="0">
      <w:numFmt w:val="bullet"/>
      <w:lvlText w:val="-"/>
      <w:lvlJc w:val="left"/>
      <w:pPr>
        <w:tabs>
          <w:tab w:val="num" w:pos="1080"/>
        </w:tabs>
        <w:ind w:left="1080" w:hanging="720"/>
      </w:pPr>
      <w:rPr>
        <w:rFonts w:ascii="Arial" w:eastAsia="Times New Roman" w:hAnsi="Arial" w:cs="Aria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04346A15"/>
    <w:multiLevelType w:val="multilevel"/>
    <w:tmpl w:val="E6CA5FB6"/>
    <w:lvl w:ilvl="0">
      <w:start w:val="1"/>
      <w:numFmt w:val="bullet"/>
      <w:lvlText w:val=""/>
      <w:lvlJc w:val="left"/>
      <w:pPr>
        <w:tabs>
          <w:tab w:val="num" w:pos="780"/>
        </w:tabs>
        <w:ind w:left="0" w:firstLine="420"/>
      </w:pPr>
      <w:rPr>
        <w:rFonts w:ascii="Symbol" w:hAnsi="Symbol" w:hint="default"/>
      </w:r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4">
    <w:nsid w:val="066A3239"/>
    <w:multiLevelType w:val="multilevel"/>
    <w:tmpl w:val="BB4AAB4A"/>
    <w:lvl w:ilvl="0">
      <w:start w:val="1"/>
      <w:numFmt w:val="none"/>
      <w:lvlText w:val="%1"/>
      <w:lvlJc w:val="left"/>
      <w:pPr>
        <w:tabs>
          <w:tab w:val="num" w:pos="0"/>
        </w:tabs>
        <w:ind w:left="0" w:firstLine="0"/>
      </w:pPr>
      <w:rPr>
        <w:rFonts w:hint="default"/>
        <w:b/>
        <w:i w:val="0"/>
        <w:sz w:val="32"/>
        <w:u w:val="single"/>
      </w:rPr>
    </w:lvl>
    <w:lvl w:ilvl="1">
      <w:start w:val="1"/>
      <w:numFmt w:val="none"/>
      <w:lvlText w:val="%1"/>
      <w:lvlJc w:val="left"/>
      <w:pPr>
        <w:tabs>
          <w:tab w:val="num" w:pos="0"/>
        </w:tabs>
        <w:ind w:left="0" w:firstLine="0"/>
      </w:pPr>
      <w:rPr>
        <w:rFonts w:hint="default"/>
      </w:rPr>
    </w:lvl>
    <w:lvl w:ilvl="2">
      <w:start w:val="1"/>
      <w:numFmt w:val="decimal"/>
      <w:lvlText w:val="%3."/>
      <w:lvlJc w:val="left"/>
      <w:pPr>
        <w:tabs>
          <w:tab w:val="num" w:pos="851"/>
        </w:tabs>
        <w:ind w:left="851" w:hanging="851"/>
      </w:pPr>
      <w:rPr>
        <w:rFonts w:hint="default"/>
      </w:rPr>
    </w:lvl>
    <w:lvl w:ilvl="3">
      <w:start w:val="1"/>
      <w:numFmt w:val="decimal"/>
      <w:lvlText w:val="%3.%4."/>
      <w:lvlJc w:val="left"/>
      <w:pPr>
        <w:tabs>
          <w:tab w:val="num" w:pos="851"/>
        </w:tabs>
        <w:ind w:left="851" w:hanging="851"/>
      </w:pPr>
      <w:rPr>
        <w:rFonts w:hint="default"/>
      </w:rPr>
    </w:lvl>
    <w:lvl w:ilvl="4">
      <w:start w:val="1"/>
      <w:numFmt w:val="decimal"/>
      <w:lvlText w:val="%3.%4.%5."/>
      <w:lvlJc w:val="left"/>
      <w:pPr>
        <w:tabs>
          <w:tab w:val="num" w:pos="851"/>
        </w:tabs>
        <w:ind w:left="851" w:hanging="851"/>
      </w:pPr>
      <w:rPr>
        <w:rFonts w:hint="default"/>
        <w:b/>
        <w:i w:val="0"/>
        <w:caps w:val="0"/>
        <w:strike w:val="0"/>
        <w:dstrike w:val="0"/>
        <w:outline w:val="0"/>
        <w:shadow w:val="0"/>
        <w:emboss w:val="0"/>
        <w:imprint w:val="0"/>
        <w:vanish w:val="0"/>
        <w:sz w:val="24"/>
        <w:szCs w:val="24"/>
        <w:u w:val="none"/>
        <w:vertAlign w:val="baseline"/>
      </w:rPr>
    </w:lvl>
    <w:lvl w:ilvl="5">
      <w:start w:val="1"/>
      <w:numFmt w:val="decimal"/>
      <w:lvlText w:val="%1%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nsid w:val="0AA22228"/>
    <w:multiLevelType w:val="hybridMultilevel"/>
    <w:tmpl w:val="30E2C700"/>
    <w:lvl w:ilvl="0" w:tplc="01428352">
      <w:start w:val="1"/>
      <w:numFmt w:val="bullet"/>
      <w:lvlText w:val=""/>
      <w:lvlJc w:val="left"/>
      <w:pPr>
        <w:tabs>
          <w:tab w:val="num" w:pos="780"/>
        </w:tabs>
        <w:ind w:left="0" w:firstLine="42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6">
    <w:nsid w:val="0D6D333F"/>
    <w:multiLevelType w:val="multilevel"/>
    <w:tmpl w:val="5E569B2E"/>
    <w:lvl w:ilvl="0">
      <w:numFmt w:val="bullet"/>
      <w:lvlText w:val="-"/>
      <w:lvlJc w:val="left"/>
      <w:pPr>
        <w:tabs>
          <w:tab w:val="num" w:pos="720"/>
        </w:tabs>
        <w:ind w:left="720" w:hanging="720"/>
      </w:pPr>
      <w:rPr>
        <w:rFonts w:ascii="Arial" w:eastAsia="Times New Roman" w:hAnsi="Arial" w:cs="Arial" w:hint="default"/>
        <w:b w:val="0"/>
        <w:sz w:val="22"/>
        <w:szCs w:val="22"/>
      </w:r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7">
    <w:nsid w:val="10D730DF"/>
    <w:multiLevelType w:val="hybridMultilevel"/>
    <w:tmpl w:val="1E9A4D68"/>
    <w:lvl w:ilvl="0" w:tplc="01428352">
      <w:start w:val="1"/>
      <w:numFmt w:val="bullet"/>
      <w:lvlText w:val=""/>
      <w:lvlJc w:val="left"/>
      <w:pPr>
        <w:tabs>
          <w:tab w:val="num" w:pos="780"/>
        </w:tabs>
        <w:ind w:left="0" w:firstLine="42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8">
    <w:nsid w:val="142D38A0"/>
    <w:multiLevelType w:val="hybridMultilevel"/>
    <w:tmpl w:val="1514FB22"/>
    <w:lvl w:ilvl="0" w:tplc="01428352">
      <w:start w:val="1"/>
      <w:numFmt w:val="bullet"/>
      <w:lvlText w:val=""/>
      <w:lvlJc w:val="left"/>
      <w:pPr>
        <w:tabs>
          <w:tab w:val="num" w:pos="780"/>
        </w:tabs>
        <w:ind w:left="0" w:firstLine="42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9">
    <w:nsid w:val="166D7B1A"/>
    <w:multiLevelType w:val="multilevel"/>
    <w:tmpl w:val="BB4AAB4A"/>
    <w:lvl w:ilvl="0">
      <w:start w:val="1"/>
      <w:numFmt w:val="none"/>
      <w:lvlText w:val="%1"/>
      <w:lvlJc w:val="left"/>
      <w:pPr>
        <w:tabs>
          <w:tab w:val="num" w:pos="0"/>
        </w:tabs>
        <w:ind w:left="0" w:firstLine="0"/>
      </w:pPr>
      <w:rPr>
        <w:rFonts w:hint="default"/>
        <w:b/>
        <w:i w:val="0"/>
        <w:sz w:val="32"/>
        <w:u w:val="single"/>
      </w:rPr>
    </w:lvl>
    <w:lvl w:ilvl="1">
      <w:start w:val="1"/>
      <w:numFmt w:val="none"/>
      <w:lvlText w:val="%1"/>
      <w:lvlJc w:val="left"/>
      <w:pPr>
        <w:tabs>
          <w:tab w:val="num" w:pos="0"/>
        </w:tabs>
        <w:ind w:left="0" w:firstLine="0"/>
      </w:pPr>
      <w:rPr>
        <w:rFonts w:hint="default"/>
      </w:rPr>
    </w:lvl>
    <w:lvl w:ilvl="2">
      <w:start w:val="1"/>
      <w:numFmt w:val="decimal"/>
      <w:pStyle w:val="Heading3"/>
      <w:lvlText w:val="%3."/>
      <w:lvlJc w:val="left"/>
      <w:pPr>
        <w:tabs>
          <w:tab w:val="num" w:pos="851"/>
        </w:tabs>
        <w:ind w:left="851" w:hanging="851"/>
      </w:pPr>
      <w:rPr>
        <w:rFonts w:hint="default"/>
      </w:rPr>
    </w:lvl>
    <w:lvl w:ilvl="3">
      <w:start w:val="1"/>
      <w:numFmt w:val="decimal"/>
      <w:pStyle w:val="Heading4"/>
      <w:lvlText w:val="%3.%4."/>
      <w:lvlJc w:val="left"/>
      <w:pPr>
        <w:tabs>
          <w:tab w:val="num" w:pos="851"/>
        </w:tabs>
        <w:ind w:left="851" w:hanging="851"/>
      </w:pPr>
      <w:rPr>
        <w:rFonts w:hint="default"/>
      </w:rPr>
    </w:lvl>
    <w:lvl w:ilvl="4">
      <w:start w:val="1"/>
      <w:numFmt w:val="decimal"/>
      <w:pStyle w:val="Heading5"/>
      <w:lvlText w:val="%3.%4.%5."/>
      <w:lvlJc w:val="left"/>
      <w:pPr>
        <w:tabs>
          <w:tab w:val="num" w:pos="1751"/>
        </w:tabs>
        <w:ind w:left="1751" w:hanging="851"/>
      </w:pPr>
      <w:rPr>
        <w:rFonts w:hint="default"/>
        <w:b/>
        <w:i w:val="0"/>
        <w:caps w:val="0"/>
        <w:strike w:val="0"/>
        <w:dstrike w:val="0"/>
        <w:outline w:val="0"/>
        <w:shadow w:val="0"/>
        <w:emboss w:val="0"/>
        <w:imprint w:val="0"/>
        <w:vanish w:val="0"/>
        <w:sz w:val="24"/>
        <w:szCs w:val="24"/>
        <w:u w:val="none"/>
        <w:vertAlign w:val="baseline"/>
      </w:rPr>
    </w:lvl>
    <w:lvl w:ilvl="5">
      <w:start w:val="1"/>
      <w:numFmt w:val="decimal"/>
      <w:pStyle w:val="Heading6"/>
      <w:lvlText w:val="%1%3.%4.%5.%6"/>
      <w:lvlJc w:val="left"/>
      <w:pPr>
        <w:tabs>
          <w:tab w:val="num" w:pos="2052"/>
        </w:tabs>
        <w:ind w:left="20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0">
    <w:nsid w:val="169473DD"/>
    <w:multiLevelType w:val="hybridMultilevel"/>
    <w:tmpl w:val="4862398E"/>
    <w:lvl w:ilvl="0" w:tplc="DB34DEF6">
      <w:start w:val="1"/>
      <w:numFmt w:val="bullet"/>
      <w:lvlRestart w:val="0"/>
      <w:lvlText w:val=""/>
      <w:lvlJc w:val="left"/>
      <w:pPr>
        <w:tabs>
          <w:tab w:val="num" w:pos="357"/>
        </w:tabs>
        <w:ind w:left="357" w:hanging="357"/>
      </w:pPr>
      <w:rPr>
        <w:rFonts w:ascii="Symbol" w:hAnsi="Symbol" w:hint="default"/>
        <w:color w:val="auto"/>
      </w:rPr>
    </w:lvl>
    <w:lvl w:ilvl="1" w:tplc="08070003" w:tentative="1">
      <w:start w:val="1"/>
      <w:numFmt w:val="bullet"/>
      <w:lvlText w:val="o"/>
      <w:lvlJc w:val="left"/>
      <w:pPr>
        <w:tabs>
          <w:tab w:val="num" w:pos="2160"/>
        </w:tabs>
        <w:ind w:left="2160" w:hanging="360"/>
      </w:pPr>
      <w:rPr>
        <w:rFonts w:ascii="Courier New" w:hAnsi="Courier New" w:cs="Courier New" w:hint="default"/>
      </w:rPr>
    </w:lvl>
    <w:lvl w:ilvl="2" w:tplc="08070005" w:tentative="1">
      <w:start w:val="1"/>
      <w:numFmt w:val="bullet"/>
      <w:lvlText w:val=""/>
      <w:lvlJc w:val="left"/>
      <w:pPr>
        <w:tabs>
          <w:tab w:val="num" w:pos="2880"/>
        </w:tabs>
        <w:ind w:left="2880" w:hanging="360"/>
      </w:pPr>
      <w:rPr>
        <w:rFonts w:ascii="Wingdings" w:hAnsi="Wingdings" w:hint="default"/>
      </w:rPr>
    </w:lvl>
    <w:lvl w:ilvl="3" w:tplc="08070001" w:tentative="1">
      <w:start w:val="1"/>
      <w:numFmt w:val="bullet"/>
      <w:lvlText w:val=""/>
      <w:lvlJc w:val="left"/>
      <w:pPr>
        <w:tabs>
          <w:tab w:val="num" w:pos="3600"/>
        </w:tabs>
        <w:ind w:left="3600" w:hanging="360"/>
      </w:pPr>
      <w:rPr>
        <w:rFonts w:ascii="Symbol" w:hAnsi="Symbol" w:hint="default"/>
      </w:rPr>
    </w:lvl>
    <w:lvl w:ilvl="4" w:tplc="08070003" w:tentative="1">
      <w:start w:val="1"/>
      <w:numFmt w:val="bullet"/>
      <w:lvlText w:val="o"/>
      <w:lvlJc w:val="left"/>
      <w:pPr>
        <w:tabs>
          <w:tab w:val="num" w:pos="4320"/>
        </w:tabs>
        <w:ind w:left="4320" w:hanging="360"/>
      </w:pPr>
      <w:rPr>
        <w:rFonts w:ascii="Courier New" w:hAnsi="Courier New" w:cs="Courier New" w:hint="default"/>
      </w:rPr>
    </w:lvl>
    <w:lvl w:ilvl="5" w:tplc="08070005" w:tentative="1">
      <w:start w:val="1"/>
      <w:numFmt w:val="bullet"/>
      <w:lvlText w:val=""/>
      <w:lvlJc w:val="left"/>
      <w:pPr>
        <w:tabs>
          <w:tab w:val="num" w:pos="5040"/>
        </w:tabs>
        <w:ind w:left="5040" w:hanging="360"/>
      </w:pPr>
      <w:rPr>
        <w:rFonts w:ascii="Wingdings" w:hAnsi="Wingdings" w:hint="default"/>
      </w:rPr>
    </w:lvl>
    <w:lvl w:ilvl="6" w:tplc="08070001" w:tentative="1">
      <w:start w:val="1"/>
      <w:numFmt w:val="bullet"/>
      <w:lvlText w:val=""/>
      <w:lvlJc w:val="left"/>
      <w:pPr>
        <w:tabs>
          <w:tab w:val="num" w:pos="5760"/>
        </w:tabs>
        <w:ind w:left="5760" w:hanging="360"/>
      </w:pPr>
      <w:rPr>
        <w:rFonts w:ascii="Symbol" w:hAnsi="Symbol" w:hint="default"/>
      </w:rPr>
    </w:lvl>
    <w:lvl w:ilvl="7" w:tplc="08070003" w:tentative="1">
      <w:start w:val="1"/>
      <w:numFmt w:val="bullet"/>
      <w:lvlText w:val="o"/>
      <w:lvlJc w:val="left"/>
      <w:pPr>
        <w:tabs>
          <w:tab w:val="num" w:pos="6480"/>
        </w:tabs>
        <w:ind w:left="6480" w:hanging="360"/>
      </w:pPr>
      <w:rPr>
        <w:rFonts w:ascii="Courier New" w:hAnsi="Courier New" w:cs="Courier New" w:hint="default"/>
      </w:rPr>
    </w:lvl>
    <w:lvl w:ilvl="8" w:tplc="08070005" w:tentative="1">
      <w:start w:val="1"/>
      <w:numFmt w:val="bullet"/>
      <w:lvlText w:val=""/>
      <w:lvlJc w:val="left"/>
      <w:pPr>
        <w:tabs>
          <w:tab w:val="num" w:pos="7200"/>
        </w:tabs>
        <w:ind w:left="7200" w:hanging="360"/>
      </w:pPr>
      <w:rPr>
        <w:rFonts w:ascii="Wingdings" w:hAnsi="Wingdings" w:hint="default"/>
      </w:rPr>
    </w:lvl>
  </w:abstractNum>
  <w:abstractNum w:abstractNumId="11">
    <w:nsid w:val="1A862A67"/>
    <w:multiLevelType w:val="hybridMultilevel"/>
    <w:tmpl w:val="E968FE44"/>
    <w:lvl w:ilvl="0" w:tplc="28849B1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AB54AE4"/>
    <w:multiLevelType w:val="hybridMultilevel"/>
    <w:tmpl w:val="7E121E44"/>
    <w:lvl w:ilvl="0" w:tplc="01428352">
      <w:start w:val="1"/>
      <w:numFmt w:val="bullet"/>
      <w:lvlText w:val=""/>
      <w:lvlJc w:val="left"/>
      <w:pPr>
        <w:tabs>
          <w:tab w:val="num" w:pos="780"/>
        </w:tabs>
        <w:ind w:left="0" w:firstLine="42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3">
    <w:nsid w:val="1B107A4B"/>
    <w:multiLevelType w:val="singleLevel"/>
    <w:tmpl w:val="352653A4"/>
    <w:lvl w:ilvl="0">
      <w:start w:val="1"/>
      <w:numFmt w:val="decimal"/>
      <w:lvlText w:val="%1."/>
      <w:lvlJc w:val="left"/>
      <w:pPr>
        <w:tabs>
          <w:tab w:val="num" w:pos="360"/>
        </w:tabs>
        <w:ind w:left="227" w:hanging="227"/>
      </w:pPr>
    </w:lvl>
  </w:abstractNum>
  <w:abstractNum w:abstractNumId="14">
    <w:nsid w:val="220C6719"/>
    <w:multiLevelType w:val="hybridMultilevel"/>
    <w:tmpl w:val="7B2CE5AC"/>
    <w:lvl w:ilvl="0" w:tplc="01428352">
      <w:start w:val="1"/>
      <w:numFmt w:val="bullet"/>
      <w:lvlText w:val=""/>
      <w:lvlJc w:val="left"/>
      <w:pPr>
        <w:tabs>
          <w:tab w:val="num" w:pos="780"/>
        </w:tabs>
        <w:ind w:left="0" w:firstLine="42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5">
    <w:nsid w:val="22BF3352"/>
    <w:multiLevelType w:val="hybridMultilevel"/>
    <w:tmpl w:val="F77A93D4"/>
    <w:lvl w:ilvl="0" w:tplc="7A36F4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22E44978"/>
    <w:multiLevelType w:val="hybridMultilevel"/>
    <w:tmpl w:val="74A0C260"/>
    <w:lvl w:ilvl="0" w:tplc="401491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25F84495"/>
    <w:multiLevelType w:val="hybridMultilevel"/>
    <w:tmpl w:val="8CAE8560"/>
    <w:lvl w:ilvl="0" w:tplc="01428352">
      <w:start w:val="1"/>
      <w:numFmt w:val="bullet"/>
      <w:lvlText w:val=""/>
      <w:lvlJc w:val="left"/>
      <w:pPr>
        <w:tabs>
          <w:tab w:val="num" w:pos="780"/>
        </w:tabs>
        <w:ind w:left="0" w:firstLine="42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8">
    <w:nsid w:val="277D2F3B"/>
    <w:multiLevelType w:val="hybridMultilevel"/>
    <w:tmpl w:val="29FC1C40"/>
    <w:lvl w:ilvl="0" w:tplc="01428352">
      <w:start w:val="1"/>
      <w:numFmt w:val="bullet"/>
      <w:lvlText w:val=""/>
      <w:lvlJc w:val="left"/>
      <w:pPr>
        <w:tabs>
          <w:tab w:val="num" w:pos="780"/>
        </w:tabs>
        <w:ind w:left="0" w:firstLine="42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9">
    <w:nsid w:val="29F66ABD"/>
    <w:multiLevelType w:val="multilevel"/>
    <w:tmpl w:val="A55EAE6C"/>
    <w:lvl w:ilvl="0">
      <w:numFmt w:val="bullet"/>
      <w:lvlText w:val="-"/>
      <w:lvlJc w:val="left"/>
      <w:pPr>
        <w:tabs>
          <w:tab w:val="num" w:pos="1080"/>
        </w:tabs>
        <w:ind w:left="1080" w:hanging="720"/>
      </w:pPr>
      <w:rPr>
        <w:rFonts w:ascii="Arial" w:eastAsia="Times New Roman" w:hAnsi="Arial" w:cs="Aria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1">
    <w:nsid w:val="2BCC7236"/>
    <w:multiLevelType w:val="multilevel"/>
    <w:tmpl w:val="BB4AAB4A"/>
    <w:lvl w:ilvl="0">
      <w:start w:val="1"/>
      <w:numFmt w:val="none"/>
      <w:lvlText w:val="%1"/>
      <w:lvlJc w:val="left"/>
      <w:pPr>
        <w:tabs>
          <w:tab w:val="num" w:pos="0"/>
        </w:tabs>
        <w:ind w:left="0" w:firstLine="0"/>
      </w:pPr>
      <w:rPr>
        <w:rFonts w:hint="default"/>
        <w:b/>
        <w:i w:val="0"/>
        <w:sz w:val="32"/>
        <w:u w:val="single"/>
      </w:rPr>
    </w:lvl>
    <w:lvl w:ilvl="1">
      <w:start w:val="1"/>
      <w:numFmt w:val="none"/>
      <w:lvlText w:val="%1"/>
      <w:lvlJc w:val="left"/>
      <w:pPr>
        <w:tabs>
          <w:tab w:val="num" w:pos="0"/>
        </w:tabs>
        <w:ind w:left="0" w:firstLine="0"/>
      </w:pPr>
      <w:rPr>
        <w:rFonts w:hint="default"/>
      </w:rPr>
    </w:lvl>
    <w:lvl w:ilvl="2">
      <w:start w:val="1"/>
      <w:numFmt w:val="decimal"/>
      <w:lvlText w:val="%3."/>
      <w:lvlJc w:val="left"/>
      <w:pPr>
        <w:tabs>
          <w:tab w:val="num" w:pos="851"/>
        </w:tabs>
        <w:ind w:left="851" w:hanging="851"/>
      </w:pPr>
      <w:rPr>
        <w:rFonts w:hint="default"/>
      </w:rPr>
    </w:lvl>
    <w:lvl w:ilvl="3">
      <w:start w:val="1"/>
      <w:numFmt w:val="decimal"/>
      <w:lvlText w:val="%3.%4."/>
      <w:lvlJc w:val="left"/>
      <w:pPr>
        <w:tabs>
          <w:tab w:val="num" w:pos="851"/>
        </w:tabs>
        <w:ind w:left="851" w:hanging="851"/>
      </w:pPr>
      <w:rPr>
        <w:rFonts w:hint="default"/>
      </w:rPr>
    </w:lvl>
    <w:lvl w:ilvl="4">
      <w:start w:val="1"/>
      <w:numFmt w:val="decimal"/>
      <w:lvlText w:val="%3.%4.%5."/>
      <w:lvlJc w:val="left"/>
      <w:pPr>
        <w:tabs>
          <w:tab w:val="num" w:pos="1751"/>
        </w:tabs>
        <w:ind w:left="1751" w:hanging="851"/>
      </w:pPr>
      <w:rPr>
        <w:rFonts w:hint="default"/>
        <w:b/>
        <w:i w:val="0"/>
        <w:caps w:val="0"/>
        <w:strike w:val="0"/>
        <w:dstrike w:val="0"/>
        <w:outline w:val="0"/>
        <w:shadow w:val="0"/>
        <w:emboss w:val="0"/>
        <w:imprint w:val="0"/>
        <w:vanish w:val="0"/>
        <w:sz w:val="24"/>
        <w:szCs w:val="24"/>
        <w:u w:val="none"/>
        <w:vertAlign w:val="baseline"/>
      </w:rPr>
    </w:lvl>
    <w:lvl w:ilvl="5">
      <w:start w:val="1"/>
      <w:numFmt w:val="decimal"/>
      <w:lvlText w:val="%1%3.%4.%5.%6"/>
      <w:lvlJc w:val="left"/>
      <w:pPr>
        <w:tabs>
          <w:tab w:val="num" w:pos="2052"/>
        </w:tabs>
        <w:ind w:left="20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2F47C4"/>
    <w:multiLevelType w:val="hybridMultilevel"/>
    <w:tmpl w:val="B888B386"/>
    <w:lvl w:ilvl="0" w:tplc="B324E56E">
      <w:start w:val="1"/>
      <w:numFmt w:val="bullet"/>
      <w:lvlText w:val=""/>
      <w:lvlJc w:val="left"/>
      <w:pPr>
        <w:tabs>
          <w:tab w:val="num" w:pos="1134"/>
        </w:tabs>
        <w:ind w:left="1134"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2E553DB6"/>
    <w:multiLevelType w:val="multilevel"/>
    <w:tmpl w:val="D83E5F06"/>
    <w:lvl w:ilvl="0">
      <w:start w:val="1"/>
      <w:numFmt w:val="bullet"/>
      <w:lvlRestart w:val="0"/>
      <w:lvlText w:val=""/>
      <w:lvlJc w:val="left"/>
      <w:pPr>
        <w:tabs>
          <w:tab w:val="num" w:pos="357"/>
        </w:tabs>
        <w:ind w:left="357" w:hanging="357"/>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2F800EBE"/>
    <w:multiLevelType w:val="hybridMultilevel"/>
    <w:tmpl w:val="72408D68"/>
    <w:lvl w:ilvl="0" w:tplc="01428352">
      <w:start w:val="1"/>
      <w:numFmt w:val="bullet"/>
      <w:lvlText w:val=""/>
      <w:lvlJc w:val="left"/>
      <w:pPr>
        <w:tabs>
          <w:tab w:val="num" w:pos="540"/>
        </w:tabs>
        <w:ind w:left="-240" w:firstLine="420"/>
      </w:pPr>
      <w:rPr>
        <w:rFonts w:ascii="Symbol" w:hAnsi="Symbol" w:hint="default"/>
        <w:color w:val="auto"/>
      </w:rPr>
    </w:lvl>
    <w:lvl w:ilvl="1" w:tplc="08070003" w:tentative="1">
      <w:start w:val="1"/>
      <w:numFmt w:val="bullet"/>
      <w:lvlText w:val="o"/>
      <w:lvlJc w:val="left"/>
      <w:pPr>
        <w:tabs>
          <w:tab w:val="num" w:pos="1200"/>
        </w:tabs>
        <w:ind w:left="1200" w:hanging="360"/>
      </w:pPr>
      <w:rPr>
        <w:rFonts w:ascii="Courier New" w:hAnsi="Courier New" w:cs="Courier New" w:hint="default"/>
      </w:rPr>
    </w:lvl>
    <w:lvl w:ilvl="2" w:tplc="08070005" w:tentative="1">
      <w:start w:val="1"/>
      <w:numFmt w:val="bullet"/>
      <w:lvlText w:val=""/>
      <w:lvlJc w:val="left"/>
      <w:pPr>
        <w:tabs>
          <w:tab w:val="num" w:pos="1920"/>
        </w:tabs>
        <w:ind w:left="1920" w:hanging="360"/>
      </w:pPr>
      <w:rPr>
        <w:rFonts w:ascii="Wingdings" w:hAnsi="Wingdings" w:hint="default"/>
      </w:rPr>
    </w:lvl>
    <w:lvl w:ilvl="3" w:tplc="08070001" w:tentative="1">
      <w:start w:val="1"/>
      <w:numFmt w:val="bullet"/>
      <w:lvlText w:val=""/>
      <w:lvlJc w:val="left"/>
      <w:pPr>
        <w:tabs>
          <w:tab w:val="num" w:pos="2640"/>
        </w:tabs>
        <w:ind w:left="2640" w:hanging="360"/>
      </w:pPr>
      <w:rPr>
        <w:rFonts w:ascii="Symbol" w:hAnsi="Symbol" w:hint="default"/>
      </w:rPr>
    </w:lvl>
    <w:lvl w:ilvl="4" w:tplc="08070003" w:tentative="1">
      <w:start w:val="1"/>
      <w:numFmt w:val="bullet"/>
      <w:lvlText w:val="o"/>
      <w:lvlJc w:val="left"/>
      <w:pPr>
        <w:tabs>
          <w:tab w:val="num" w:pos="3360"/>
        </w:tabs>
        <w:ind w:left="3360" w:hanging="360"/>
      </w:pPr>
      <w:rPr>
        <w:rFonts w:ascii="Courier New" w:hAnsi="Courier New" w:cs="Courier New" w:hint="default"/>
      </w:rPr>
    </w:lvl>
    <w:lvl w:ilvl="5" w:tplc="08070005" w:tentative="1">
      <w:start w:val="1"/>
      <w:numFmt w:val="bullet"/>
      <w:lvlText w:val=""/>
      <w:lvlJc w:val="left"/>
      <w:pPr>
        <w:tabs>
          <w:tab w:val="num" w:pos="4080"/>
        </w:tabs>
        <w:ind w:left="4080" w:hanging="360"/>
      </w:pPr>
      <w:rPr>
        <w:rFonts w:ascii="Wingdings" w:hAnsi="Wingdings" w:hint="default"/>
      </w:rPr>
    </w:lvl>
    <w:lvl w:ilvl="6" w:tplc="08070001" w:tentative="1">
      <w:start w:val="1"/>
      <w:numFmt w:val="bullet"/>
      <w:lvlText w:val=""/>
      <w:lvlJc w:val="left"/>
      <w:pPr>
        <w:tabs>
          <w:tab w:val="num" w:pos="4800"/>
        </w:tabs>
        <w:ind w:left="4800" w:hanging="360"/>
      </w:pPr>
      <w:rPr>
        <w:rFonts w:ascii="Symbol" w:hAnsi="Symbol" w:hint="default"/>
      </w:rPr>
    </w:lvl>
    <w:lvl w:ilvl="7" w:tplc="08070003" w:tentative="1">
      <w:start w:val="1"/>
      <w:numFmt w:val="bullet"/>
      <w:lvlText w:val="o"/>
      <w:lvlJc w:val="left"/>
      <w:pPr>
        <w:tabs>
          <w:tab w:val="num" w:pos="5520"/>
        </w:tabs>
        <w:ind w:left="5520" w:hanging="360"/>
      </w:pPr>
      <w:rPr>
        <w:rFonts w:ascii="Courier New" w:hAnsi="Courier New" w:cs="Courier New" w:hint="default"/>
      </w:rPr>
    </w:lvl>
    <w:lvl w:ilvl="8" w:tplc="08070005" w:tentative="1">
      <w:start w:val="1"/>
      <w:numFmt w:val="bullet"/>
      <w:lvlText w:val=""/>
      <w:lvlJc w:val="left"/>
      <w:pPr>
        <w:tabs>
          <w:tab w:val="num" w:pos="6240"/>
        </w:tabs>
        <w:ind w:left="6240" w:hanging="360"/>
      </w:pPr>
      <w:rPr>
        <w:rFonts w:ascii="Wingdings" w:hAnsi="Wingdings" w:hint="default"/>
      </w:rPr>
    </w:lvl>
  </w:abstractNum>
  <w:abstractNum w:abstractNumId="25">
    <w:nsid w:val="31EF5E99"/>
    <w:multiLevelType w:val="hybridMultilevel"/>
    <w:tmpl w:val="AD0C456E"/>
    <w:lvl w:ilvl="0" w:tplc="28849B1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3266374E"/>
    <w:multiLevelType w:val="hybridMultilevel"/>
    <w:tmpl w:val="A55EAE6C"/>
    <w:lvl w:ilvl="0" w:tplc="DF682CB0">
      <w:numFmt w:val="bullet"/>
      <w:lvlText w:val="-"/>
      <w:lvlJc w:val="left"/>
      <w:pPr>
        <w:tabs>
          <w:tab w:val="num" w:pos="1080"/>
        </w:tabs>
        <w:ind w:left="1080" w:hanging="720"/>
      </w:pPr>
      <w:rPr>
        <w:rFonts w:ascii="Arial" w:eastAsia="Times New Roman" w:hAnsi="Arial" w:cs="Arial" w:hint="default"/>
      </w:rPr>
    </w:lvl>
    <w:lvl w:ilvl="1" w:tplc="04090001">
      <w:start w:val="1"/>
      <w:numFmt w:val="bullet"/>
      <w:lvlText w:val=""/>
      <w:lvlJc w:val="left"/>
      <w:pPr>
        <w:tabs>
          <w:tab w:val="num" w:pos="1440"/>
        </w:tabs>
        <w:ind w:left="1440" w:hanging="360"/>
      </w:pPr>
      <w:rPr>
        <w:rFonts w:ascii="Symbol" w:hAnsi="Symbol"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27">
    <w:nsid w:val="362D1FE4"/>
    <w:multiLevelType w:val="multilevel"/>
    <w:tmpl w:val="43A8E112"/>
    <w:lvl w:ilvl="0">
      <w:start w:val="1"/>
      <w:numFmt w:val="bullet"/>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28">
    <w:nsid w:val="38B9410B"/>
    <w:multiLevelType w:val="hybridMultilevel"/>
    <w:tmpl w:val="0C6CF3F0"/>
    <w:lvl w:ilvl="0" w:tplc="5E18535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3B9D3519"/>
    <w:multiLevelType w:val="hybridMultilevel"/>
    <w:tmpl w:val="934C5C52"/>
    <w:lvl w:ilvl="0" w:tplc="01428352">
      <w:start w:val="1"/>
      <w:numFmt w:val="bullet"/>
      <w:lvlText w:val=""/>
      <w:lvlJc w:val="left"/>
      <w:pPr>
        <w:tabs>
          <w:tab w:val="num" w:pos="780"/>
        </w:tabs>
        <w:ind w:left="0" w:firstLine="42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0">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1">
    <w:nsid w:val="3FDD5443"/>
    <w:multiLevelType w:val="hybridMultilevel"/>
    <w:tmpl w:val="C8A627AE"/>
    <w:lvl w:ilvl="0" w:tplc="C39A6A48">
      <w:start w:val="1"/>
      <w:numFmt w:val="lowerLetter"/>
      <w:lvlText w:val="%1)"/>
      <w:lvlJc w:val="left"/>
      <w:pPr>
        <w:tabs>
          <w:tab w:val="num" w:pos="360"/>
        </w:tabs>
        <w:ind w:left="0" w:firstLine="0"/>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32">
    <w:nsid w:val="3FF0220E"/>
    <w:multiLevelType w:val="hybridMultilevel"/>
    <w:tmpl w:val="43A8E112"/>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3">
    <w:nsid w:val="421A1BFC"/>
    <w:multiLevelType w:val="hybridMultilevel"/>
    <w:tmpl w:val="7D4673DC"/>
    <w:lvl w:ilvl="0" w:tplc="DB34DEF6">
      <w:start w:val="1"/>
      <w:numFmt w:val="bullet"/>
      <w:lvlRestart w:val="0"/>
      <w:lvlText w:val=""/>
      <w:lvlJc w:val="left"/>
      <w:pPr>
        <w:tabs>
          <w:tab w:val="num" w:pos="357"/>
        </w:tabs>
        <w:ind w:left="357" w:hanging="357"/>
      </w:pPr>
      <w:rPr>
        <w:rFonts w:ascii="Symbol" w:hAnsi="Symbol" w:hint="default"/>
        <w:color w:val="auto"/>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34">
    <w:nsid w:val="482F0754"/>
    <w:multiLevelType w:val="hybridMultilevel"/>
    <w:tmpl w:val="AD0C456E"/>
    <w:lvl w:ilvl="0" w:tplc="94785D10">
      <w:start w:val="1"/>
      <w:numFmt w:val="bullet"/>
      <w:lvlText w:val=""/>
      <w:lvlJc w:val="left"/>
      <w:pPr>
        <w:tabs>
          <w:tab w:val="num" w:pos="1134"/>
        </w:tabs>
        <w:ind w:left="1134"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4BBA516A"/>
    <w:multiLevelType w:val="multilevel"/>
    <w:tmpl w:val="8A9CEF6E"/>
    <w:lvl w:ilvl="0">
      <w:start w:val="1"/>
      <w:numFmt w:val="decimal"/>
      <w:lvlText w:val="%1"/>
      <w:lvlJc w:val="left"/>
      <w:pPr>
        <w:tabs>
          <w:tab w:val="num" w:pos="720"/>
        </w:tabs>
        <w:ind w:left="720" w:hanging="720"/>
      </w:pPr>
      <w:rPr>
        <w:rFonts w:hint="default"/>
      </w:rPr>
    </w:lvl>
    <w:lvl w:ilvl="1">
      <w:start w:val="1"/>
      <w:numFmt w:val="decimal"/>
      <w:lvlText w:val="2.%2"/>
      <w:lvlJc w:val="left"/>
      <w:pPr>
        <w:tabs>
          <w:tab w:val="num" w:pos="720"/>
        </w:tabs>
        <w:ind w:left="720" w:hanging="720"/>
      </w:pPr>
      <w:rPr>
        <w:rFonts w:hint="default"/>
      </w:rPr>
    </w:lvl>
    <w:lvl w:ilvl="2">
      <w:start w:val="1"/>
      <w:numFmt w:val="decimal"/>
      <w:lvlText w:val="3.%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7">
    <w:nsid w:val="50F74F14"/>
    <w:multiLevelType w:val="multilevel"/>
    <w:tmpl w:val="3D9A9DAA"/>
    <w:lvl w:ilvl="0">
      <w:numFmt w:val="none"/>
      <w:lvlText w:val=""/>
      <w:lvlJc w:val="left"/>
      <w:pPr>
        <w:tabs>
          <w:tab w:val="num" w:pos="360"/>
        </w:tabs>
      </w:p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38">
    <w:nsid w:val="512A730D"/>
    <w:multiLevelType w:val="hybridMultilevel"/>
    <w:tmpl w:val="F89C3D8E"/>
    <w:lvl w:ilvl="0" w:tplc="28849B1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564C6919"/>
    <w:multiLevelType w:val="hybridMultilevel"/>
    <w:tmpl w:val="71265352"/>
    <w:lvl w:ilvl="0" w:tplc="ECC4BBDE">
      <w:start w:val="1"/>
      <w:numFmt w:val="bullet"/>
      <w:lvlText w:val=""/>
      <w:lvlJc w:val="left"/>
      <w:pPr>
        <w:tabs>
          <w:tab w:val="num" w:pos="1134"/>
        </w:tabs>
        <w:ind w:left="1134"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60F30A36"/>
    <w:multiLevelType w:val="hybridMultilevel"/>
    <w:tmpl w:val="D83E5F06"/>
    <w:lvl w:ilvl="0" w:tplc="DB34DEF6">
      <w:start w:val="1"/>
      <w:numFmt w:val="bullet"/>
      <w:lvlRestart w:val="0"/>
      <w:lvlText w:val=""/>
      <w:lvlJc w:val="left"/>
      <w:pPr>
        <w:tabs>
          <w:tab w:val="num" w:pos="357"/>
        </w:tabs>
        <w:ind w:left="357" w:hanging="357"/>
      </w:pPr>
      <w:rPr>
        <w:rFonts w:ascii="Symbol" w:hAnsi="Symbol" w:hint="default"/>
        <w:color w:val="auto"/>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41">
    <w:nsid w:val="62620AA5"/>
    <w:multiLevelType w:val="multilevel"/>
    <w:tmpl w:val="29FC1C40"/>
    <w:lvl w:ilvl="0">
      <w:start w:val="1"/>
      <w:numFmt w:val="bullet"/>
      <w:lvlText w:val=""/>
      <w:lvlJc w:val="left"/>
      <w:pPr>
        <w:tabs>
          <w:tab w:val="num" w:pos="780"/>
        </w:tabs>
        <w:ind w:left="0" w:firstLine="420"/>
      </w:pPr>
      <w:rPr>
        <w:rFonts w:ascii="Symbol" w:hAnsi="Symbol" w:hint="default"/>
      </w:rPr>
    </w:lvl>
    <w:lvl w:ilvl="1">
      <w:start w:val="1"/>
      <w:numFmt w:val="bullet"/>
      <w:lvlText w:val="o"/>
      <w:lvlJc w:val="left"/>
      <w:pPr>
        <w:tabs>
          <w:tab w:val="num" w:pos="1500"/>
        </w:tabs>
        <w:ind w:left="1500" w:hanging="360"/>
      </w:pPr>
      <w:rPr>
        <w:rFonts w:ascii="Courier New" w:hAnsi="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42">
    <w:nsid w:val="63F73C1D"/>
    <w:multiLevelType w:val="hybridMultilevel"/>
    <w:tmpl w:val="9F7E4766"/>
    <w:lvl w:ilvl="0" w:tplc="F22C2102">
      <w:start w:val="1"/>
      <w:numFmt w:val="bullet"/>
      <w:lvlText w:val=""/>
      <w:lvlJc w:val="left"/>
      <w:pPr>
        <w:tabs>
          <w:tab w:val="num" w:pos="1134"/>
        </w:tabs>
        <w:ind w:left="1134"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64C06FDA"/>
    <w:multiLevelType w:val="hybridMultilevel"/>
    <w:tmpl w:val="9F7E4766"/>
    <w:lvl w:ilvl="0" w:tplc="28849B1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657161A4"/>
    <w:multiLevelType w:val="multilevel"/>
    <w:tmpl w:val="022CB110"/>
    <w:lvl w:ilvl="0">
      <w:numFmt w:val="none"/>
      <w:lvlText w:val=""/>
      <w:lvlJc w:val="left"/>
      <w:pPr>
        <w:tabs>
          <w:tab w:val="num" w:pos="360"/>
        </w:tabs>
      </w:pPr>
    </w:lvl>
    <w:lvl w:ilvl="1">
      <w:start w:val="1"/>
      <w:numFmt w:val="decimal"/>
      <w:lvlText w:val="%1.%2."/>
      <w:lvlJc w:val="left"/>
      <w:pPr>
        <w:tabs>
          <w:tab w:val="num" w:pos="867"/>
        </w:tabs>
        <w:ind w:left="867" w:hanging="357"/>
      </w:pPr>
    </w:lvl>
    <w:lvl w:ilvl="2">
      <w:start w:val="1"/>
      <w:numFmt w:val="decimal"/>
      <w:lvlText w:val="%1.%2.%3."/>
      <w:lvlJc w:val="left"/>
      <w:pPr>
        <w:tabs>
          <w:tab w:val="num" w:pos="867"/>
        </w:tabs>
        <w:ind w:left="867" w:hanging="357"/>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728"/>
        </w:tabs>
        <w:ind w:left="1440" w:hanging="432"/>
      </w:pPr>
    </w:lvl>
    <w:lvl w:ilvl="8">
      <w:start w:val="1"/>
      <w:numFmt w:val="lowerRoman"/>
      <w:lvlText w:val="%9."/>
      <w:lvlJc w:val="right"/>
      <w:pPr>
        <w:tabs>
          <w:tab w:val="num" w:pos="1584"/>
        </w:tabs>
        <w:ind w:left="1584" w:hanging="144"/>
      </w:pPr>
    </w:lvl>
  </w:abstractNum>
  <w:abstractNum w:abstractNumId="45">
    <w:nsid w:val="66022F48"/>
    <w:multiLevelType w:val="hybridMultilevel"/>
    <w:tmpl w:val="421803C2"/>
    <w:lvl w:ilvl="0" w:tplc="44A27FF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66A75B64"/>
    <w:multiLevelType w:val="hybridMultilevel"/>
    <w:tmpl w:val="B9487228"/>
    <w:lvl w:ilvl="0" w:tplc="01428352">
      <w:start w:val="1"/>
      <w:numFmt w:val="bullet"/>
      <w:lvlText w:val=""/>
      <w:lvlJc w:val="left"/>
      <w:pPr>
        <w:tabs>
          <w:tab w:val="num" w:pos="780"/>
        </w:tabs>
        <w:ind w:left="0" w:firstLine="42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7">
    <w:nsid w:val="67847180"/>
    <w:multiLevelType w:val="hybridMultilevel"/>
    <w:tmpl w:val="FB5CA048"/>
    <w:lvl w:ilvl="0" w:tplc="01428352">
      <w:start w:val="1"/>
      <w:numFmt w:val="bullet"/>
      <w:lvlText w:val=""/>
      <w:lvlJc w:val="left"/>
      <w:pPr>
        <w:tabs>
          <w:tab w:val="num" w:pos="780"/>
        </w:tabs>
        <w:ind w:left="0" w:firstLine="42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8">
    <w:nsid w:val="70874B4F"/>
    <w:multiLevelType w:val="multilevel"/>
    <w:tmpl w:val="BB4AAB4A"/>
    <w:lvl w:ilvl="0">
      <w:start w:val="1"/>
      <w:numFmt w:val="none"/>
      <w:lvlText w:val="%1"/>
      <w:lvlJc w:val="left"/>
      <w:pPr>
        <w:tabs>
          <w:tab w:val="num" w:pos="0"/>
        </w:tabs>
        <w:ind w:left="0" w:firstLine="0"/>
      </w:pPr>
      <w:rPr>
        <w:rFonts w:hint="default"/>
        <w:b/>
        <w:i w:val="0"/>
        <w:sz w:val="32"/>
        <w:u w:val="single"/>
      </w:rPr>
    </w:lvl>
    <w:lvl w:ilvl="1">
      <w:start w:val="1"/>
      <w:numFmt w:val="none"/>
      <w:lvlText w:val="%1"/>
      <w:lvlJc w:val="left"/>
      <w:pPr>
        <w:tabs>
          <w:tab w:val="num" w:pos="0"/>
        </w:tabs>
        <w:ind w:left="0" w:firstLine="0"/>
      </w:pPr>
      <w:rPr>
        <w:rFonts w:hint="default"/>
      </w:rPr>
    </w:lvl>
    <w:lvl w:ilvl="2">
      <w:start w:val="1"/>
      <w:numFmt w:val="decimal"/>
      <w:lvlText w:val="%3."/>
      <w:lvlJc w:val="left"/>
      <w:pPr>
        <w:tabs>
          <w:tab w:val="num" w:pos="851"/>
        </w:tabs>
        <w:ind w:left="851" w:hanging="851"/>
      </w:pPr>
      <w:rPr>
        <w:rFonts w:hint="default"/>
      </w:rPr>
    </w:lvl>
    <w:lvl w:ilvl="3">
      <w:start w:val="1"/>
      <w:numFmt w:val="decimal"/>
      <w:lvlText w:val="%3.%4."/>
      <w:lvlJc w:val="left"/>
      <w:pPr>
        <w:tabs>
          <w:tab w:val="num" w:pos="851"/>
        </w:tabs>
        <w:ind w:left="851" w:hanging="851"/>
      </w:pPr>
      <w:rPr>
        <w:rFonts w:hint="default"/>
      </w:rPr>
    </w:lvl>
    <w:lvl w:ilvl="4">
      <w:start w:val="1"/>
      <w:numFmt w:val="decimal"/>
      <w:lvlText w:val="%3.%4.%5."/>
      <w:lvlJc w:val="left"/>
      <w:pPr>
        <w:tabs>
          <w:tab w:val="num" w:pos="851"/>
        </w:tabs>
        <w:ind w:left="851" w:hanging="851"/>
      </w:pPr>
      <w:rPr>
        <w:rFonts w:hint="default"/>
        <w:b/>
        <w:i w:val="0"/>
        <w:caps w:val="0"/>
        <w:strike w:val="0"/>
        <w:dstrike w:val="0"/>
        <w:outline w:val="0"/>
        <w:shadow w:val="0"/>
        <w:emboss w:val="0"/>
        <w:imprint w:val="0"/>
        <w:vanish w:val="0"/>
        <w:sz w:val="24"/>
        <w:szCs w:val="24"/>
        <w:u w:val="none"/>
        <w:vertAlign w:val="baseline"/>
      </w:rPr>
    </w:lvl>
    <w:lvl w:ilvl="5">
      <w:start w:val="1"/>
      <w:numFmt w:val="decimal"/>
      <w:lvlText w:val="%1%3.%4.%5.%6"/>
      <w:lvlJc w:val="left"/>
      <w:pPr>
        <w:tabs>
          <w:tab w:val="num" w:pos="2052"/>
        </w:tabs>
        <w:ind w:left="20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9">
    <w:nsid w:val="71843207"/>
    <w:multiLevelType w:val="multilevel"/>
    <w:tmpl w:val="BE543B9A"/>
    <w:lvl w:ilvl="0">
      <w:start w:val="1"/>
      <w:numFmt w:val="decimal"/>
      <w:lvlRestart w:val="0"/>
      <w:lvlText w:val="%1."/>
      <w:lvlJc w:val="left"/>
      <w:pPr>
        <w:tabs>
          <w:tab w:val="num" w:pos="357"/>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73607D94"/>
    <w:multiLevelType w:val="multilevel"/>
    <w:tmpl w:val="31DE8162"/>
    <w:lvl w:ilvl="0">
      <w:numFmt w:val="none"/>
      <w:lvlText w:val=""/>
      <w:lvlJc w:val="left"/>
      <w:pPr>
        <w:tabs>
          <w:tab w:val="num" w:pos="360"/>
        </w:tabs>
      </w:p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51">
    <w:nsid w:val="78F34953"/>
    <w:multiLevelType w:val="hybridMultilevel"/>
    <w:tmpl w:val="A0682C4C"/>
    <w:lvl w:ilvl="0" w:tplc="1062054C">
      <w:start w:val="8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53">
    <w:nsid w:val="7D7E0E3C"/>
    <w:multiLevelType w:val="hybridMultilevel"/>
    <w:tmpl w:val="6D525956"/>
    <w:lvl w:ilvl="0" w:tplc="DB34DEF6">
      <w:start w:val="1"/>
      <w:numFmt w:val="bullet"/>
      <w:lvlRestart w:val="0"/>
      <w:lvlText w:val=""/>
      <w:lvlJc w:val="left"/>
      <w:pPr>
        <w:tabs>
          <w:tab w:val="num" w:pos="357"/>
        </w:tabs>
        <w:ind w:left="357" w:hanging="357"/>
      </w:pPr>
      <w:rPr>
        <w:rFonts w:ascii="Symbol" w:hAnsi="Symbol" w:hint="default"/>
        <w:color w:val="auto"/>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54">
    <w:nsid w:val="7DA6176D"/>
    <w:multiLevelType w:val="multilevel"/>
    <w:tmpl w:val="AD58AFD0"/>
    <w:lvl w:ilvl="0">
      <w:start w:val="1"/>
      <w:numFmt w:val="decimal"/>
      <w:lvlText w:val="%1."/>
      <w:lvlJc w:val="left"/>
      <w:pPr>
        <w:tabs>
          <w:tab w:val="num" w:pos="990"/>
        </w:tabs>
        <w:ind w:left="990" w:hanging="720"/>
      </w:pPr>
      <w:rPr>
        <w:rFonts w:ascii="Times New Roman" w:hAnsi="Times New Roman" w:cs="Times New Roman" w:hint="default"/>
        <w:b w:val="0"/>
        <w:i w:val="0"/>
        <w:iCs/>
        <w:sz w:val="22"/>
        <w:szCs w:val="22"/>
      </w:r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55">
    <w:nsid w:val="7EE3307B"/>
    <w:multiLevelType w:val="hybridMultilevel"/>
    <w:tmpl w:val="421803C2"/>
    <w:lvl w:ilvl="0" w:tplc="28849B1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52"/>
  </w:num>
  <w:num w:numId="3">
    <w:abstractNumId w:val="20"/>
  </w:num>
  <w:num w:numId="4">
    <w:abstractNumId w:val="52"/>
  </w:num>
  <w:num w:numId="5">
    <w:abstractNumId w:val="20"/>
  </w:num>
  <w:num w:numId="6">
    <w:abstractNumId w:val="52"/>
  </w:num>
  <w:num w:numId="7">
    <w:abstractNumId w:val="52"/>
  </w:num>
  <w:num w:numId="8">
    <w:abstractNumId w:val="52"/>
  </w:num>
  <w:num w:numId="9">
    <w:abstractNumId w:val="52"/>
  </w:num>
  <w:num w:numId="10">
    <w:abstractNumId w:val="30"/>
  </w:num>
  <w:num w:numId="11">
    <w:abstractNumId w:val="30"/>
  </w:num>
  <w:num w:numId="12">
    <w:abstractNumId w:val="52"/>
  </w:num>
  <w:num w:numId="13">
    <w:abstractNumId w:val="30"/>
  </w:num>
  <w:num w:numId="14">
    <w:abstractNumId w:val="52"/>
  </w:num>
  <w:num w:numId="15">
    <w:abstractNumId w:val="52"/>
  </w:num>
  <w:num w:numId="16">
    <w:abstractNumId w:val="52"/>
  </w:num>
  <w:num w:numId="17">
    <w:abstractNumId w:val="52"/>
  </w:num>
  <w:num w:numId="18">
    <w:abstractNumId w:val="52"/>
  </w:num>
  <w:num w:numId="19">
    <w:abstractNumId w:val="52"/>
  </w:num>
  <w:num w:numId="20">
    <w:abstractNumId w:val="20"/>
  </w:num>
  <w:num w:numId="21">
    <w:abstractNumId w:val="20"/>
  </w:num>
  <w:num w:numId="22">
    <w:abstractNumId w:val="20"/>
  </w:num>
  <w:num w:numId="23">
    <w:abstractNumId w:val="20"/>
  </w:num>
  <w:num w:numId="24">
    <w:abstractNumId w:val="20"/>
  </w:num>
  <w:num w:numId="25">
    <w:abstractNumId w:val="30"/>
  </w:num>
  <w:num w:numId="26">
    <w:abstractNumId w:val="30"/>
  </w:num>
  <w:num w:numId="27">
    <w:abstractNumId w:val="20"/>
  </w:num>
  <w:num w:numId="28">
    <w:abstractNumId w:val="30"/>
  </w:num>
  <w:num w:numId="29">
    <w:abstractNumId w:val="30"/>
  </w:num>
  <w:num w:numId="30">
    <w:abstractNumId w:val="30"/>
  </w:num>
  <w:num w:numId="31">
    <w:abstractNumId w:val="20"/>
  </w:num>
  <w:num w:numId="32">
    <w:abstractNumId w:val="20"/>
  </w:num>
  <w:num w:numId="33">
    <w:abstractNumId w:val="52"/>
  </w:num>
  <w:num w:numId="34">
    <w:abstractNumId w:val="20"/>
  </w:num>
  <w:num w:numId="35">
    <w:abstractNumId w:val="52"/>
  </w:num>
  <w:num w:numId="36">
    <w:abstractNumId w:val="52"/>
  </w:num>
  <w:num w:numId="37">
    <w:abstractNumId w:val="20"/>
  </w:num>
  <w:num w:numId="38">
    <w:abstractNumId w:val="52"/>
  </w:num>
  <w:num w:numId="39">
    <w:abstractNumId w:val="20"/>
  </w:num>
  <w:num w:numId="40">
    <w:abstractNumId w:val="20"/>
  </w:num>
  <w:num w:numId="41">
    <w:abstractNumId w:val="20"/>
  </w:num>
  <w:num w:numId="42">
    <w:abstractNumId w:val="52"/>
  </w:num>
  <w:num w:numId="43">
    <w:abstractNumId w:val="20"/>
  </w:num>
  <w:num w:numId="44">
    <w:abstractNumId w:val="52"/>
  </w:num>
  <w:num w:numId="45">
    <w:abstractNumId w:val="20"/>
  </w:num>
  <w:num w:numId="46">
    <w:abstractNumId w:val="20"/>
  </w:num>
  <w:num w:numId="47">
    <w:abstractNumId w:val="36"/>
  </w:num>
  <w:num w:numId="48">
    <w:abstractNumId w:val="9"/>
  </w:num>
  <w:num w:numId="49">
    <w:abstractNumId w:val="13"/>
  </w:num>
  <w:num w:numId="50">
    <w:abstractNumId w:val="44"/>
  </w:num>
  <w:num w:numId="51">
    <w:abstractNumId w:val="54"/>
  </w:num>
  <w:num w:numId="52">
    <w:abstractNumId w:val="35"/>
  </w:num>
  <w:num w:numId="53">
    <w:abstractNumId w:val="50"/>
  </w:num>
  <w:num w:numId="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3"/>
  </w:num>
  <w:num w:numId="56">
    <w:abstractNumId w:val="10"/>
  </w:num>
  <w:num w:numId="57">
    <w:abstractNumId w:val="53"/>
  </w:num>
  <w:num w:numId="58">
    <w:abstractNumId w:val="37"/>
  </w:num>
  <w:num w:numId="59">
    <w:abstractNumId w:val="40"/>
  </w:num>
  <w:num w:numId="60">
    <w:abstractNumId w:val="31"/>
  </w:num>
  <w:num w:numId="61">
    <w:abstractNumId w:val="26"/>
  </w:num>
  <w:num w:numId="62">
    <w:abstractNumId w:val="6"/>
  </w:num>
  <w:num w:numId="63">
    <w:abstractNumId w:val="32"/>
  </w:num>
  <w:num w:numId="64">
    <w:abstractNumId w:val="4"/>
  </w:num>
  <w:num w:numId="65">
    <w:abstractNumId w:val="27"/>
  </w:num>
  <w:num w:numId="66">
    <w:abstractNumId w:val="18"/>
  </w:num>
  <w:num w:numId="67">
    <w:abstractNumId w:val="7"/>
  </w:num>
  <w:num w:numId="68">
    <w:abstractNumId w:val="8"/>
  </w:num>
  <w:num w:numId="69">
    <w:abstractNumId w:val="5"/>
  </w:num>
  <w:num w:numId="70">
    <w:abstractNumId w:val="46"/>
  </w:num>
  <w:num w:numId="71">
    <w:abstractNumId w:val="0"/>
  </w:num>
  <w:num w:numId="72">
    <w:abstractNumId w:val="47"/>
  </w:num>
  <w:num w:numId="73">
    <w:abstractNumId w:val="29"/>
  </w:num>
  <w:num w:numId="74">
    <w:abstractNumId w:val="14"/>
  </w:num>
  <w:num w:numId="75">
    <w:abstractNumId w:val="41"/>
  </w:num>
  <w:num w:numId="76">
    <w:abstractNumId w:val="48"/>
  </w:num>
  <w:num w:numId="77">
    <w:abstractNumId w:val="21"/>
  </w:num>
  <w:num w:numId="78">
    <w:abstractNumId w:val="2"/>
  </w:num>
  <w:num w:numId="79">
    <w:abstractNumId w:val="17"/>
  </w:num>
  <w:num w:numId="80">
    <w:abstractNumId w:val="19"/>
  </w:num>
  <w:num w:numId="81">
    <w:abstractNumId w:val="12"/>
  </w:num>
  <w:num w:numId="82">
    <w:abstractNumId w:val="23"/>
  </w:num>
  <w:num w:numId="83">
    <w:abstractNumId w:val="24"/>
  </w:num>
  <w:num w:numId="84">
    <w:abstractNumId w:val="1"/>
  </w:num>
  <w:num w:numId="85">
    <w:abstractNumId w:val="3"/>
  </w:num>
  <w:num w:numId="86">
    <w:abstractNumId w:val="49"/>
  </w:num>
  <w:num w:numId="87">
    <w:abstractNumId w:val="16"/>
  </w:num>
  <w:num w:numId="88">
    <w:abstractNumId w:val="15"/>
  </w:num>
  <w:num w:numId="89">
    <w:abstractNumId w:val="11"/>
  </w:num>
  <w:num w:numId="90">
    <w:abstractNumId w:val="55"/>
  </w:num>
  <w:num w:numId="91">
    <w:abstractNumId w:val="38"/>
  </w:num>
  <w:num w:numId="92">
    <w:abstractNumId w:val="43"/>
  </w:num>
  <w:num w:numId="93">
    <w:abstractNumId w:val="25"/>
  </w:num>
  <w:num w:numId="94">
    <w:abstractNumId w:val="28"/>
  </w:num>
  <w:num w:numId="95">
    <w:abstractNumId w:val="39"/>
  </w:num>
  <w:num w:numId="96">
    <w:abstractNumId w:val="51"/>
  </w:num>
  <w:num w:numId="97">
    <w:abstractNumId w:val="45"/>
  </w:num>
  <w:num w:numId="98">
    <w:abstractNumId w:val="42"/>
  </w:num>
  <w:num w:numId="99">
    <w:abstractNumId w:val="22"/>
  </w:num>
  <w:num w:numId="10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ctiveWritingStyle w:appName="MSWord" w:lang="nl-NL"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rPr>
  </w:style>
  <w:style w:type="paragraph" w:styleId="Heading2">
    <w:name w:val="heading 2"/>
    <w:basedOn w:val="Normal"/>
    <w:next w:val="Normal"/>
    <w:qFormat/>
    <w:pPr>
      <w:keepNext/>
      <w:spacing w:after="240"/>
      <w:outlineLvl w:val="1"/>
    </w:pPr>
    <w:rPr>
      <w:rFonts w:ascii="Times New Roman Gras" w:hAnsi="Times New Roman Gras"/>
      <w:b/>
    </w:rPr>
  </w:style>
  <w:style w:type="paragraph" w:styleId="Heading3">
    <w:name w:val="heading 3"/>
    <w:basedOn w:val="Normal"/>
    <w:next w:val="Normal"/>
    <w:qFormat/>
    <w:pPr>
      <w:numPr>
        <w:ilvl w:val="2"/>
        <w:numId w:val="48"/>
      </w:numPr>
      <w:tabs>
        <w:tab w:val="clear" w:pos="851"/>
      </w:tabs>
      <w:spacing w:after="240"/>
      <w:ind w:left="0" w:firstLine="0"/>
      <w:outlineLvl w:val="2"/>
    </w:pPr>
    <w:rPr>
      <w:rFonts w:ascii="Times New Roman Gras" w:hAnsi="Times New Roman Gras"/>
      <w:b/>
      <w:lang w:eastAsia="de-CH"/>
    </w:rPr>
  </w:style>
  <w:style w:type="paragraph" w:styleId="Heading4">
    <w:name w:val="heading 4"/>
    <w:basedOn w:val="Normal"/>
    <w:next w:val="Normal"/>
    <w:qFormat/>
    <w:pPr>
      <w:numPr>
        <w:ilvl w:val="3"/>
        <w:numId w:val="48"/>
      </w:numPr>
      <w:tabs>
        <w:tab w:val="clear" w:pos="851"/>
      </w:tabs>
      <w:spacing w:after="240"/>
      <w:ind w:left="0" w:firstLine="0"/>
      <w:outlineLvl w:val="3"/>
    </w:pPr>
    <w:rPr>
      <w:rFonts w:ascii="Times New Roman Gras" w:hAnsi="Times New Roman Gras"/>
      <w:b/>
      <w:lang w:eastAsia="de-CH"/>
    </w:rPr>
  </w:style>
  <w:style w:type="paragraph" w:styleId="Heading5">
    <w:name w:val="heading 5"/>
    <w:basedOn w:val="Normal"/>
    <w:next w:val="Normal"/>
    <w:qFormat/>
    <w:pPr>
      <w:keepNext/>
      <w:numPr>
        <w:ilvl w:val="4"/>
        <w:numId w:val="48"/>
      </w:numPr>
      <w:tabs>
        <w:tab w:val="clear" w:pos="1751"/>
      </w:tabs>
      <w:spacing w:after="240"/>
      <w:ind w:left="0" w:firstLine="0"/>
      <w:outlineLvl w:val="4"/>
    </w:pPr>
    <w:rPr>
      <w:rFonts w:ascii="Times New Roman Gras" w:hAnsi="Times New Roman Gras"/>
      <w:b/>
      <w:szCs w:val="24"/>
      <w:lang w:eastAsia="de-CH"/>
    </w:rPr>
  </w:style>
  <w:style w:type="paragraph" w:styleId="Heading6">
    <w:name w:val="heading 6"/>
    <w:basedOn w:val="Normal"/>
    <w:next w:val="Normal"/>
    <w:qFormat/>
    <w:pPr>
      <w:numPr>
        <w:ilvl w:val="5"/>
        <w:numId w:val="48"/>
      </w:numPr>
      <w:tabs>
        <w:tab w:val="clear" w:pos="2052"/>
      </w:tabs>
      <w:spacing w:after="240"/>
      <w:ind w:left="0" w:firstLine="0"/>
      <w:outlineLvl w:val="5"/>
    </w:pPr>
    <w:rPr>
      <w:szCs w:val="22"/>
      <w:lang w:eastAsia="de-CH"/>
    </w:rPr>
  </w:style>
  <w:style w:type="paragraph" w:styleId="Heading7">
    <w:name w:val="heading 7"/>
    <w:basedOn w:val="Normal"/>
    <w:next w:val="Normal"/>
    <w:qFormat/>
    <w:pPr>
      <w:keepNext/>
      <w:numPr>
        <w:ilvl w:val="6"/>
        <w:numId w:val="48"/>
      </w:numPr>
      <w:tabs>
        <w:tab w:val="clear" w:pos="1296"/>
      </w:tabs>
      <w:spacing w:after="240"/>
      <w:ind w:left="0" w:firstLine="0"/>
      <w:outlineLvl w:val="6"/>
    </w:pPr>
    <w:rPr>
      <w:lang w:eastAsia="de-CH"/>
    </w:rPr>
  </w:style>
  <w:style w:type="paragraph" w:styleId="Heading8">
    <w:name w:val="heading 8"/>
    <w:basedOn w:val="Normal"/>
    <w:next w:val="Normal"/>
    <w:qFormat/>
    <w:pPr>
      <w:keepNext/>
      <w:numPr>
        <w:ilvl w:val="7"/>
        <w:numId w:val="48"/>
      </w:numPr>
      <w:tabs>
        <w:tab w:val="clear" w:pos="1440"/>
      </w:tabs>
      <w:spacing w:after="240"/>
      <w:ind w:left="0" w:firstLine="0"/>
      <w:outlineLvl w:val="7"/>
    </w:pPr>
    <w:rPr>
      <w:lang w:eastAsia="de-CH"/>
    </w:rPr>
  </w:style>
  <w:style w:type="paragraph" w:styleId="Heading9">
    <w:name w:val="heading 9"/>
    <w:basedOn w:val="Normal"/>
    <w:next w:val="Normal"/>
    <w:qFormat/>
    <w:pPr>
      <w:keepNext/>
      <w:numPr>
        <w:ilvl w:val="8"/>
        <w:numId w:val="48"/>
      </w:numPr>
      <w:tabs>
        <w:tab w:val="clear" w:pos="1584"/>
      </w:tabs>
      <w:spacing w:after="240"/>
      <w:ind w:left="0" w:firstLine="0"/>
      <w:outlineLvl w:val="8"/>
    </w:pPr>
    <w:rPr>
      <w:rFonts w:ascii="Times New Roman Gras" w:hAnsi="Times New Roman Gras"/>
      <w:b/>
      <w:lang w:eastAsia="de-CH"/>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educa.ch"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www.edi.admin.ch/frb/beratung/adressen/index.html?lang=fr" TargetMode="External"/><Relationship Id="rId18" Type="http://schemas.openxmlformats.org/officeDocument/2006/relationships/hyperlink" Target="http://www.ekacfe.ch/f/integration.asp" TargetMode="External"/><Relationship Id="rId26" Type="http://schemas.openxmlformats.org/officeDocument/2006/relationships/hyperlink" Target="http://www.medienheft.ch" TargetMode="External"/><Relationship Id="rId39" Type="http://schemas.openxmlformats.org/officeDocument/2006/relationships/hyperlink" Target="http://www.vpb.admin.ch/franz/doc/66/66.50.html" TargetMode="External"/><Relationship Id="rId21" Type="http://schemas.openxmlformats.org/officeDocument/2006/relationships/hyperlink" Target="http://www.globaleducation.ch" TargetMode="External"/><Relationship Id="rId34" Type="http://schemas.openxmlformats.org/officeDocument/2006/relationships/hyperlink" Target="http://www.zug.ch/vermittler" TargetMode="External"/><Relationship Id="rId42" Type="http://schemas.openxmlformats.org/officeDocument/2006/relationships/hyperlink" Target="http://www.coe.int/ecri" TargetMode="External"/><Relationship Id="rId47" Type="http://schemas.openxmlformats.org/officeDocument/2006/relationships/hyperlink" Target="http://www.bwo.admin.ch" TargetMode="External"/><Relationship Id="rId50" Type="http://schemas.openxmlformats.org/officeDocument/2006/relationships/hyperlink" Target="http://www.domicilwohnen.ch" TargetMode="External"/><Relationship Id="rId55" Type="http://schemas.openxmlformats.org/officeDocument/2006/relationships/hyperlink" Target="http://www.migesplus.ch" TargetMode="External"/><Relationship Id="rId7" Type="http://schemas.openxmlformats.org/officeDocument/2006/relationships/hyperlink" Target="http://www.imes.admin.ch/alt/rechtsgrundlagen/aktuell/integration/bericht_f.asp#11" TargetMode="External"/><Relationship Id="rId12" Type="http://schemas.openxmlformats.org/officeDocument/2006/relationships/hyperlink" Target="http://www.admin.ch/ch/f/ff/2006/2457.pdf" TargetMode="External"/><Relationship Id="rId17" Type="http://schemas.openxmlformats.org/officeDocument/2006/relationships/hyperlink" Target="http://www.ekacfe.ch/f/publikation.asp" TargetMode="External"/><Relationship Id="rId25" Type="http://schemas.openxmlformats.org/officeDocument/2006/relationships/hyperlink" Target="http://www.presserat.ch" TargetMode="External"/><Relationship Id="rId33" Type="http://schemas.openxmlformats.org/officeDocument/2006/relationships/hyperlink" Target="http://www.coe.int/ecri" TargetMode="External"/><Relationship Id="rId38" Type="http://schemas.openxmlformats.org/officeDocument/2006/relationships/hyperlink" Target="http://www.nfp51.ch" TargetMode="External"/><Relationship Id="rId46" Type="http://schemas.openxmlformats.org/officeDocument/2006/relationships/hyperlink" Target="http://www.ekacfe.ch/f/Doku/Integration_Arbeit_Empfehlungen_2003_f.pdf" TargetMode="External"/><Relationship Id="rId2" Type="http://schemas.openxmlformats.org/officeDocument/2006/relationships/hyperlink" Target="http://www.cybercrime.admin.ch" TargetMode="External"/><Relationship Id="rId16" Type="http://schemas.openxmlformats.org/officeDocument/2006/relationships/hyperlink" Target="http://www.edi.admin.ch/ekr/portraet/00568/5punktestrategie_lang_fr.pdf" TargetMode="External"/><Relationship Id="rId20" Type="http://schemas.openxmlformats.org/officeDocument/2006/relationships/hyperlink" Target="http://www.educa.ch/dyn/1471.htm" TargetMode="External"/><Relationship Id="rId29" Type="http://schemas.openxmlformats.org/officeDocument/2006/relationships/hyperlink" Target="http://www2.sfdrs.ch/unternehmen/media/publ_leitlinien.pdf" TargetMode="External"/><Relationship Id="rId41" Type="http://schemas.openxmlformats.org/officeDocument/2006/relationships/hyperlink" Target="http://www.ddip.admin.ch" TargetMode="External"/><Relationship Id="rId54" Type="http://schemas.openxmlformats.org/officeDocument/2006/relationships/hyperlink" Target="http://www.bag.admin.ch/themen/gesundheitspolitik/00394/index.html?lang=fr" TargetMode="External"/><Relationship Id="rId1" Type="http://schemas.openxmlformats.org/officeDocument/2006/relationships/hyperlink" Target="http://www.ddip.admin.ch" TargetMode="External"/><Relationship Id="rId6" Type="http://schemas.openxmlformats.org/officeDocument/2006/relationships/hyperlink" Target="http://www.weisungen.bfm.admin.ch/rechtsgrundlagen/rechtsquellen/weitere/index_f.asp#inte" TargetMode="External"/><Relationship Id="rId11" Type="http://schemas.openxmlformats.org/officeDocument/2006/relationships/hyperlink" Target="http://www.edi.admin.ch/ekr/db/start/index.html?lang=fr" TargetMode="External"/><Relationship Id="rId24" Type="http://schemas.openxmlformats.org/officeDocument/2006/relationships/hyperlink" Target="http://www.presserat.ch" TargetMode="External"/><Relationship Id="rId32" Type="http://schemas.openxmlformats.org/officeDocument/2006/relationships/hyperlink" Target="http://www.edk.ch/PDF_Downloads/Dossiers/Stub19B.pdf" TargetMode="External"/><Relationship Id="rId37" Type="http://schemas.openxmlformats.org/officeDocument/2006/relationships/hyperlink" Target="http://www.prison.ch" TargetMode="External"/><Relationship Id="rId40" Type="http://schemas.openxmlformats.org/officeDocument/2006/relationships/hyperlink" Target="http://194.8.63.155/documents/odihr/2003/11/1751_fr.pdf" TargetMode="External"/><Relationship Id="rId45" Type="http://schemas.openxmlformats.org/officeDocument/2006/relationships/hyperlink" Target="http://www.bak.admin.ch" TargetMode="External"/><Relationship Id="rId53" Type="http://schemas.openxmlformats.org/officeDocument/2006/relationships/hyperlink" Target="http://www.bag.admin.ch/themen/gesundheitspolitik/00394/00395/00396/index.html?lang=fr" TargetMode="External"/><Relationship Id="rId5" Type="http://schemas.openxmlformats.org/officeDocument/2006/relationships/hyperlink" Target="http://www.ekacfe.ch/f/doku/prioritaetenordnung_f.pdf" TargetMode="External"/><Relationship Id="rId15" Type="http://schemas.openxmlformats.org/officeDocument/2006/relationships/hyperlink" Target="http://www.edi.admin.ch/frb/" TargetMode="External"/><Relationship Id="rId23" Type="http://schemas.openxmlformats.org/officeDocument/2006/relationships/hyperlink" Target="http://www.infoklick.ch/site/fichiers/klartext.php" TargetMode="External"/><Relationship Id="rId28" Type="http://schemas.openxmlformats.org/officeDocument/2006/relationships/hyperlink" Target="http://www.ubi.admin.ch/verfahr/f/guidelines.html" TargetMode="External"/><Relationship Id="rId36" Type="http://schemas.openxmlformats.org/officeDocument/2006/relationships/hyperlink" Target="http://www.institutpolice.ch" TargetMode="External"/><Relationship Id="rId49" Type="http://schemas.openxmlformats.org/officeDocument/2006/relationships/hyperlink" Target="http://www.bern.ch" TargetMode="External"/><Relationship Id="rId57" Type="http://schemas.openxmlformats.org/officeDocument/2006/relationships/hyperlink" Target="http://www.edi.admin.ch/ekr/beratung/00556/00558/index.html?lang=fr" TargetMode="External"/><Relationship Id="rId10" Type="http://schemas.openxmlformats.org/officeDocument/2006/relationships/hyperlink" Target="http://www.snf.ch/fr/com/prr/prr_arh_05oct27.asp" TargetMode="External"/><Relationship Id="rId19" Type="http://schemas.openxmlformats.org/officeDocument/2006/relationships/hyperlink" Target="http://www.educa.ch" TargetMode="External"/><Relationship Id="rId31" Type="http://schemas.openxmlformats.org/officeDocument/2006/relationships/hyperlink" Target="http://www.edi.admin.ch/ekr/dokumentation/shop/00019/00142/index.html?lang=fr" TargetMode="External"/><Relationship Id="rId44" Type="http://schemas.openxmlformats.org/officeDocument/2006/relationships/hyperlink" Target="http://www.coe.int" TargetMode="External"/><Relationship Id="rId52" Type="http://schemas.openxmlformats.org/officeDocument/2006/relationships/hyperlink" Target="http://www.bbt.admin.ch/berufsbi/publikat/transit/f/ofform.pdf" TargetMode="External"/><Relationship Id="rId4" Type="http://schemas.openxmlformats.org/officeDocument/2006/relationships/hyperlink" Target="http://www.bfm.admin.ch/index.php?id=182&amp;L=0&amp;layout=print" TargetMode="External"/><Relationship Id="rId9" Type="http://schemas.openxmlformats.org/officeDocument/2006/relationships/hyperlink" Target="http://www.snf.ch/NFP/NFP42" TargetMode="External"/><Relationship Id="rId14" Type="http://schemas.openxmlformats.org/officeDocument/2006/relationships/hyperlink" Target="http://www.edi.admin.ch/frb/themen/00083/00293/ausbildung.pdf" TargetMode="External"/><Relationship Id="rId22" Type="http://schemas.openxmlformats.org/officeDocument/2006/relationships/hyperlink" Target="http://www.projetscontreleracisme.ch" TargetMode="External"/><Relationship Id="rId27" Type="http://schemas.openxmlformats.org/officeDocument/2006/relationships/hyperlink" Target="http://www.ubi.admin.ch" TargetMode="External"/><Relationship Id="rId30" Type="http://schemas.openxmlformats.org/officeDocument/2006/relationships/hyperlink" Target="http://www.tsr.ch" TargetMode="External"/><Relationship Id="rId35" Type="http://schemas.openxmlformats.org/officeDocument/2006/relationships/hyperlink" Target="http://www.om.stzh.ch" TargetMode="External"/><Relationship Id="rId43" Type="http://schemas.openxmlformats.org/officeDocument/2006/relationships/hyperlink" Target="http://www.bak.admin.ch" TargetMode="External"/><Relationship Id="rId48" Type="http://schemas.openxmlformats.org/officeDocument/2006/relationships/hyperlink" Target="http://www.espace.ch" TargetMode="External"/><Relationship Id="rId56" Type="http://schemas.openxmlformats.org/officeDocument/2006/relationships/hyperlink" Target="http://www.migrationpopulation.ch/fileadmin/sfm/publications/f/03_forum.pdf" TargetMode="External"/><Relationship Id="rId8" Type="http://schemas.openxmlformats.org/officeDocument/2006/relationships/hyperlink" Target="http://www.eka-cfe.ch/f/sapa.asp" TargetMode="External"/><Relationship Id="rId51" Type="http://schemas.openxmlformats.org/officeDocument/2006/relationships/hyperlink" Target="http://www.migrationpopulation.ch" TargetMode="External"/><Relationship Id="rId3" Type="http://schemas.openxmlformats.org/officeDocument/2006/relationships/hyperlink" Target="http://www.edi.admin.ch/ekr/themen/00104/00338/index.html?lang=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102</Pages>
  <Words>38984</Words>
  <Characters>222212</Characters>
  <Application>Microsoft Office Word</Application>
  <DocSecurity>4</DocSecurity>
  <Lines>1851</Lines>
  <Paragraphs>444</Paragraphs>
  <ScaleCrop>false</ScaleCrop>
  <HeadingPairs>
    <vt:vector size="2" baseType="variant">
      <vt:variant>
        <vt:lpstr>Titre</vt:lpstr>
      </vt:variant>
      <vt:variant>
        <vt:i4>1</vt:i4>
      </vt:variant>
    </vt:vector>
  </HeadingPairs>
  <TitlesOfParts>
    <vt:vector size="1" baseType="lpstr">
      <vt:lpstr>NATIONS UNIES</vt:lpstr>
    </vt:vector>
  </TitlesOfParts>
  <Manager>jn</Manager>
  <Company>ONU</Company>
  <LinksUpToDate>false</LinksUpToDate>
  <CharactersWithSpaces>272891</CharactersWithSpaces>
  <SharedDoc>false</SharedDoc>
  <HLinks>
    <vt:vector size="348" baseType="variant">
      <vt:variant>
        <vt:i4>1441809</vt:i4>
      </vt:variant>
      <vt:variant>
        <vt:i4>3</vt:i4>
      </vt:variant>
      <vt:variant>
        <vt:i4>0</vt:i4>
      </vt:variant>
      <vt:variant>
        <vt:i4>5</vt:i4>
      </vt:variant>
      <vt:variant>
        <vt:lpwstr>http://www.educa.ch/</vt:lpwstr>
      </vt:variant>
      <vt:variant>
        <vt:lpwstr/>
      </vt:variant>
      <vt:variant>
        <vt:i4>7995489</vt:i4>
      </vt:variant>
      <vt:variant>
        <vt:i4>168</vt:i4>
      </vt:variant>
      <vt:variant>
        <vt:i4>0</vt:i4>
      </vt:variant>
      <vt:variant>
        <vt:i4>5</vt:i4>
      </vt:variant>
      <vt:variant>
        <vt:lpwstr>http://www.edi.admin.ch/ekr/beratung/00556/00558/index.html?lang=fr</vt:lpwstr>
      </vt:variant>
      <vt:variant>
        <vt:lpwstr/>
      </vt:variant>
      <vt:variant>
        <vt:i4>4259922</vt:i4>
      </vt:variant>
      <vt:variant>
        <vt:i4>165</vt:i4>
      </vt:variant>
      <vt:variant>
        <vt:i4>0</vt:i4>
      </vt:variant>
      <vt:variant>
        <vt:i4>5</vt:i4>
      </vt:variant>
      <vt:variant>
        <vt:lpwstr>http://www.migration_x001e_population.ch/fileadmin/sfm/publications/f/03_forum.pdf</vt:lpwstr>
      </vt:variant>
      <vt:variant>
        <vt:lpwstr/>
      </vt:variant>
      <vt:variant>
        <vt:i4>65567</vt:i4>
      </vt:variant>
      <vt:variant>
        <vt:i4>162</vt:i4>
      </vt:variant>
      <vt:variant>
        <vt:i4>0</vt:i4>
      </vt:variant>
      <vt:variant>
        <vt:i4>5</vt:i4>
      </vt:variant>
      <vt:variant>
        <vt:lpwstr>http://www.migesplus.ch/</vt:lpwstr>
      </vt:variant>
      <vt:variant>
        <vt:lpwstr/>
      </vt:variant>
      <vt:variant>
        <vt:i4>7667825</vt:i4>
      </vt:variant>
      <vt:variant>
        <vt:i4>159</vt:i4>
      </vt:variant>
      <vt:variant>
        <vt:i4>0</vt:i4>
      </vt:variant>
      <vt:variant>
        <vt:i4>5</vt:i4>
      </vt:variant>
      <vt:variant>
        <vt:lpwstr>http://www.bag.admin.ch/themen/gesundheitspolitik/00394/index.html?lang=fr</vt:lpwstr>
      </vt:variant>
      <vt:variant>
        <vt:lpwstr/>
      </vt:variant>
      <vt:variant>
        <vt:i4>3735623</vt:i4>
      </vt:variant>
      <vt:variant>
        <vt:i4>156</vt:i4>
      </vt:variant>
      <vt:variant>
        <vt:i4>0</vt:i4>
      </vt:variant>
      <vt:variant>
        <vt:i4>5</vt:i4>
      </vt:variant>
      <vt:variant>
        <vt:lpwstr>http://www.bag.admin.ch/themen/gesundheitspolitik/00394/00395/_x000b_00396/index.html?lang=fr</vt:lpwstr>
      </vt:variant>
      <vt:variant>
        <vt:lpwstr/>
      </vt:variant>
      <vt:variant>
        <vt:i4>6815745</vt:i4>
      </vt:variant>
      <vt:variant>
        <vt:i4>153</vt:i4>
      </vt:variant>
      <vt:variant>
        <vt:i4>0</vt:i4>
      </vt:variant>
      <vt:variant>
        <vt:i4>5</vt:i4>
      </vt:variant>
      <vt:variant>
        <vt:lpwstr>http://www.bbt.admin.ch/berufsbi/publikat/transit/f/_x000b_ofform.pdf</vt:lpwstr>
      </vt:variant>
      <vt:variant>
        <vt:lpwstr/>
      </vt:variant>
      <vt:variant>
        <vt:i4>7733329</vt:i4>
      </vt:variant>
      <vt:variant>
        <vt:i4>150</vt:i4>
      </vt:variant>
      <vt:variant>
        <vt:i4>0</vt:i4>
      </vt:variant>
      <vt:variant>
        <vt:i4>5</vt:i4>
      </vt:variant>
      <vt:variant>
        <vt:lpwstr>http://www.migration_x001e_population.ch/</vt:lpwstr>
      </vt:variant>
      <vt:variant>
        <vt:lpwstr/>
      </vt:variant>
      <vt:variant>
        <vt:i4>917507</vt:i4>
      </vt:variant>
      <vt:variant>
        <vt:i4>147</vt:i4>
      </vt:variant>
      <vt:variant>
        <vt:i4>0</vt:i4>
      </vt:variant>
      <vt:variant>
        <vt:i4>5</vt:i4>
      </vt:variant>
      <vt:variant>
        <vt:lpwstr>http://www.domicilwohnen.ch/</vt:lpwstr>
      </vt:variant>
      <vt:variant>
        <vt:lpwstr/>
      </vt:variant>
      <vt:variant>
        <vt:i4>8192056</vt:i4>
      </vt:variant>
      <vt:variant>
        <vt:i4>144</vt:i4>
      </vt:variant>
      <vt:variant>
        <vt:i4>0</vt:i4>
      </vt:variant>
      <vt:variant>
        <vt:i4>5</vt:i4>
      </vt:variant>
      <vt:variant>
        <vt:lpwstr>http://www.bern.ch/</vt:lpwstr>
      </vt:variant>
      <vt:variant>
        <vt:lpwstr/>
      </vt:variant>
      <vt:variant>
        <vt:i4>1769540</vt:i4>
      </vt:variant>
      <vt:variant>
        <vt:i4>141</vt:i4>
      </vt:variant>
      <vt:variant>
        <vt:i4>0</vt:i4>
      </vt:variant>
      <vt:variant>
        <vt:i4>5</vt:i4>
      </vt:variant>
      <vt:variant>
        <vt:lpwstr>http://www.espace.ch/</vt:lpwstr>
      </vt:variant>
      <vt:variant>
        <vt:lpwstr/>
      </vt:variant>
      <vt:variant>
        <vt:i4>524354</vt:i4>
      </vt:variant>
      <vt:variant>
        <vt:i4>138</vt:i4>
      </vt:variant>
      <vt:variant>
        <vt:i4>0</vt:i4>
      </vt:variant>
      <vt:variant>
        <vt:i4>5</vt:i4>
      </vt:variant>
      <vt:variant>
        <vt:lpwstr>http://www.bwo.admin.ch/</vt:lpwstr>
      </vt:variant>
      <vt:variant>
        <vt:lpwstr/>
      </vt:variant>
      <vt:variant>
        <vt:i4>7405632</vt:i4>
      </vt:variant>
      <vt:variant>
        <vt:i4>135</vt:i4>
      </vt:variant>
      <vt:variant>
        <vt:i4>0</vt:i4>
      </vt:variant>
      <vt:variant>
        <vt:i4>5</vt:i4>
      </vt:variant>
      <vt:variant>
        <vt:lpwstr>http://www.eka_x001e_cfe.ch/f/Doku/Integration_Arbeit_Empfehlungen_2003_f.pdf</vt:lpwstr>
      </vt:variant>
      <vt:variant>
        <vt:lpwstr/>
      </vt:variant>
      <vt:variant>
        <vt:i4>786516</vt:i4>
      </vt:variant>
      <vt:variant>
        <vt:i4>132</vt:i4>
      </vt:variant>
      <vt:variant>
        <vt:i4>0</vt:i4>
      </vt:variant>
      <vt:variant>
        <vt:i4>5</vt:i4>
      </vt:variant>
      <vt:variant>
        <vt:lpwstr>http://www.bak.admin.ch/</vt:lpwstr>
      </vt:variant>
      <vt:variant>
        <vt:lpwstr/>
      </vt:variant>
      <vt:variant>
        <vt:i4>3145855</vt:i4>
      </vt:variant>
      <vt:variant>
        <vt:i4>129</vt:i4>
      </vt:variant>
      <vt:variant>
        <vt:i4>0</vt:i4>
      </vt:variant>
      <vt:variant>
        <vt:i4>5</vt:i4>
      </vt:variant>
      <vt:variant>
        <vt:lpwstr>http://www.coe.int/</vt:lpwstr>
      </vt:variant>
      <vt:variant>
        <vt:lpwstr/>
      </vt:variant>
      <vt:variant>
        <vt:i4>786516</vt:i4>
      </vt:variant>
      <vt:variant>
        <vt:i4>126</vt:i4>
      </vt:variant>
      <vt:variant>
        <vt:i4>0</vt:i4>
      </vt:variant>
      <vt:variant>
        <vt:i4>5</vt:i4>
      </vt:variant>
      <vt:variant>
        <vt:lpwstr>http://www.bak.admin.ch/</vt:lpwstr>
      </vt:variant>
      <vt:variant>
        <vt:lpwstr/>
      </vt:variant>
      <vt:variant>
        <vt:i4>2555955</vt:i4>
      </vt:variant>
      <vt:variant>
        <vt:i4>123</vt:i4>
      </vt:variant>
      <vt:variant>
        <vt:i4>0</vt:i4>
      </vt:variant>
      <vt:variant>
        <vt:i4>5</vt:i4>
      </vt:variant>
      <vt:variant>
        <vt:lpwstr>http://www.coe.int/ecri</vt:lpwstr>
      </vt:variant>
      <vt:variant>
        <vt:lpwstr/>
      </vt:variant>
      <vt:variant>
        <vt:i4>4390981</vt:i4>
      </vt:variant>
      <vt:variant>
        <vt:i4>120</vt:i4>
      </vt:variant>
      <vt:variant>
        <vt:i4>0</vt:i4>
      </vt:variant>
      <vt:variant>
        <vt:i4>5</vt:i4>
      </vt:variant>
      <vt:variant>
        <vt:lpwstr>http://www.ddip.admin.ch/</vt:lpwstr>
      </vt:variant>
      <vt:variant>
        <vt:lpwstr/>
      </vt:variant>
      <vt:variant>
        <vt:i4>2359361</vt:i4>
      </vt:variant>
      <vt:variant>
        <vt:i4>117</vt:i4>
      </vt:variant>
      <vt:variant>
        <vt:i4>0</vt:i4>
      </vt:variant>
      <vt:variant>
        <vt:i4>5</vt:i4>
      </vt:variant>
      <vt:variant>
        <vt:lpwstr>http://194.8.63.155/documents/odihr/2003/11/1751_fr.pdf</vt:lpwstr>
      </vt:variant>
      <vt:variant>
        <vt:lpwstr/>
      </vt:variant>
      <vt:variant>
        <vt:i4>7929983</vt:i4>
      </vt:variant>
      <vt:variant>
        <vt:i4>114</vt:i4>
      </vt:variant>
      <vt:variant>
        <vt:i4>0</vt:i4>
      </vt:variant>
      <vt:variant>
        <vt:i4>5</vt:i4>
      </vt:variant>
      <vt:variant>
        <vt:lpwstr>http://www.vpb.admin.ch/franz/doc/66/66.50.html</vt:lpwstr>
      </vt:variant>
      <vt:variant>
        <vt:lpwstr/>
      </vt:variant>
      <vt:variant>
        <vt:i4>4718661</vt:i4>
      </vt:variant>
      <vt:variant>
        <vt:i4>111</vt:i4>
      </vt:variant>
      <vt:variant>
        <vt:i4>0</vt:i4>
      </vt:variant>
      <vt:variant>
        <vt:i4>5</vt:i4>
      </vt:variant>
      <vt:variant>
        <vt:lpwstr>http://www.nfp51.ch/</vt:lpwstr>
      </vt:variant>
      <vt:variant>
        <vt:lpwstr/>
      </vt:variant>
      <vt:variant>
        <vt:i4>1769564</vt:i4>
      </vt:variant>
      <vt:variant>
        <vt:i4>108</vt:i4>
      </vt:variant>
      <vt:variant>
        <vt:i4>0</vt:i4>
      </vt:variant>
      <vt:variant>
        <vt:i4>5</vt:i4>
      </vt:variant>
      <vt:variant>
        <vt:lpwstr>http://www.prison.ch/</vt:lpwstr>
      </vt:variant>
      <vt:variant>
        <vt:lpwstr/>
      </vt:variant>
      <vt:variant>
        <vt:i4>1835123</vt:i4>
      </vt:variant>
      <vt:variant>
        <vt:i4>105</vt:i4>
      </vt:variant>
      <vt:variant>
        <vt:i4>0</vt:i4>
      </vt:variant>
      <vt:variant>
        <vt:i4>5</vt:i4>
      </vt:variant>
      <vt:variant>
        <vt:lpwstr>http://www.institut_x001e_police.ch/</vt:lpwstr>
      </vt:variant>
      <vt:variant>
        <vt:lpwstr/>
      </vt:variant>
      <vt:variant>
        <vt:i4>3801202</vt:i4>
      </vt:variant>
      <vt:variant>
        <vt:i4>102</vt:i4>
      </vt:variant>
      <vt:variant>
        <vt:i4>0</vt:i4>
      </vt:variant>
      <vt:variant>
        <vt:i4>5</vt:i4>
      </vt:variant>
      <vt:variant>
        <vt:lpwstr>http://www.om.stzh.ch/</vt:lpwstr>
      </vt:variant>
      <vt:variant>
        <vt:lpwstr/>
      </vt:variant>
      <vt:variant>
        <vt:i4>1572895</vt:i4>
      </vt:variant>
      <vt:variant>
        <vt:i4>99</vt:i4>
      </vt:variant>
      <vt:variant>
        <vt:i4>0</vt:i4>
      </vt:variant>
      <vt:variant>
        <vt:i4>5</vt:i4>
      </vt:variant>
      <vt:variant>
        <vt:lpwstr>http://www.zug.ch/vermittler</vt:lpwstr>
      </vt:variant>
      <vt:variant>
        <vt:lpwstr/>
      </vt:variant>
      <vt:variant>
        <vt:i4>2555955</vt:i4>
      </vt:variant>
      <vt:variant>
        <vt:i4>96</vt:i4>
      </vt:variant>
      <vt:variant>
        <vt:i4>0</vt:i4>
      </vt:variant>
      <vt:variant>
        <vt:i4>5</vt:i4>
      </vt:variant>
      <vt:variant>
        <vt:lpwstr>http://www.coe.int/ecri</vt:lpwstr>
      </vt:variant>
      <vt:variant>
        <vt:lpwstr/>
      </vt:variant>
      <vt:variant>
        <vt:i4>4063311</vt:i4>
      </vt:variant>
      <vt:variant>
        <vt:i4>93</vt:i4>
      </vt:variant>
      <vt:variant>
        <vt:i4>0</vt:i4>
      </vt:variant>
      <vt:variant>
        <vt:i4>5</vt:i4>
      </vt:variant>
      <vt:variant>
        <vt:lpwstr>http://www.edk.ch/PDF_Downloads/Dossiers/Stub19B.pdf</vt:lpwstr>
      </vt:variant>
      <vt:variant>
        <vt:lpwstr/>
      </vt:variant>
      <vt:variant>
        <vt:i4>5177368</vt:i4>
      </vt:variant>
      <vt:variant>
        <vt:i4>90</vt:i4>
      </vt:variant>
      <vt:variant>
        <vt:i4>0</vt:i4>
      </vt:variant>
      <vt:variant>
        <vt:i4>5</vt:i4>
      </vt:variant>
      <vt:variant>
        <vt:lpwstr>http://www.edi.admin.ch/ekr/dokumentation/shop/00019/00142/index.html?lang=fr</vt:lpwstr>
      </vt:variant>
      <vt:variant>
        <vt:lpwstr/>
      </vt:variant>
      <vt:variant>
        <vt:i4>6357093</vt:i4>
      </vt:variant>
      <vt:variant>
        <vt:i4>87</vt:i4>
      </vt:variant>
      <vt:variant>
        <vt:i4>0</vt:i4>
      </vt:variant>
      <vt:variant>
        <vt:i4>5</vt:i4>
      </vt:variant>
      <vt:variant>
        <vt:lpwstr>http://www.tsr.ch/</vt:lpwstr>
      </vt:variant>
      <vt:variant>
        <vt:lpwstr/>
      </vt:variant>
      <vt:variant>
        <vt:i4>917553</vt:i4>
      </vt:variant>
      <vt:variant>
        <vt:i4>84</vt:i4>
      </vt:variant>
      <vt:variant>
        <vt:i4>0</vt:i4>
      </vt:variant>
      <vt:variant>
        <vt:i4>5</vt:i4>
      </vt:variant>
      <vt:variant>
        <vt:lpwstr>http://www2.sfdrs.ch/unternehmen/media/publ_leitlinien.pdf</vt:lpwstr>
      </vt:variant>
      <vt:variant>
        <vt:lpwstr/>
      </vt:variant>
      <vt:variant>
        <vt:i4>1507355</vt:i4>
      </vt:variant>
      <vt:variant>
        <vt:i4>81</vt:i4>
      </vt:variant>
      <vt:variant>
        <vt:i4>0</vt:i4>
      </vt:variant>
      <vt:variant>
        <vt:i4>5</vt:i4>
      </vt:variant>
      <vt:variant>
        <vt:lpwstr>http://www.ubi.admin.ch/verfahr/f/guidelines.html</vt:lpwstr>
      </vt:variant>
      <vt:variant>
        <vt:lpwstr/>
      </vt:variant>
      <vt:variant>
        <vt:i4>1638487</vt:i4>
      </vt:variant>
      <vt:variant>
        <vt:i4>78</vt:i4>
      </vt:variant>
      <vt:variant>
        <vt:i4>0</vt:i4>
      </vt:variant>
      <vt:variant>
        <vt:i4>5</vt:i4>
      </vt:variant>
      <vt:variant>
        <vt:lpwstr>http://www.ubi.admin.ch/</vt:lpwstr>
      </vt:variant>
      <vt:variant>
        <vt:lpwstr/>
      </vt:variant>
      <vt:variant>
        <vt:i4>983104</vt:i4>
      </vt:variant>
      <vt:variant>
        <vt:i4>75</vt:i4>
      </vt:variant>
      <vt:variant>
        <vt:i4>0</vt:i4>
      </vt:variant>
      <vt:variant>
        <vt:i4>5</vt:i4>
      </vt:variant>
      <vt:variant>
        <vt:lpwstr>http://www.medienheft.ch/</vt:lpwstr>
      </vt:variant>
      <vt:variant>
        <vt:lpwstr/>
      </vt:variant>
      <vt:variant>
        <vt:i4>458771</vt:i4>
      </vt:variant>
      <vt:variant>
        <vt:i4>72</vt:i4>
      </vt:variant>
      <vt:variant>
        <vt:i4>0</vt:i4>
      </vt:variant>
      <vt:variant>
        <vt:i4>5</vt:i4>
      </vt:variant>
      <vt:variant>
        <vt:lpwstr>http://www.presserat.ch/</vt:lpwstr>
      </vt:variant>
      <vt:variant>
        <vt:lpwstr/>
      </vt:variant>
      <vt:variant>
        <vt:i4>458771</vt:i4>
      </vt:variant>
      <vt:variant>
        <vt:i4>69</vt:i4>
      </vt:variant>
      <vt:variant>
        <vt:i4>0</vt:i4>
      </vt:variant>
      <vt:variant>
        <vt:i4>5</vt:i4>
      </vt:variant>
      <vt:variant>
        <vt:lpwstr>http://www.presserat.ch/</vt:lpwstr>
      </vt:variant>
      <vt:variant>
        <vt:lpwstr/>
      </vt:variant>
      <vt:variant>
        <vt:i4>3342439</vt:i4>
      </vt:variant>
      <vt:variant>
        <vt:i4>66</vt:i4>
      </vt:variant>
      <vt:variant>
        <vt:i4>0</vt:i4>
      </vt:variant>
      <vt:variant>
        <vt:i4>5</vt:i4>
      </vt:variant>
      <vt:variant>
        <vt:lpwstr>http://www.infoklick.ch/site/fichiers/klartext.php</vt:lpwstr>
      </vt:variant>
      <vt:variant>
        <vt:lpwstr/>
      </vt:variant>
      <vt:variant>
        <vt:i4>1704011</vt:i4>
      </vt:variant>
      <vt:variant>
        <vt:i4>63</vt:i4>
      </vt:variant>
      <vt:variant>
        <vt:i4>0</vt:i4>
      </vt:variant>
      <vt:variant>
        <vt:i4>5</vt:i4>
      </vt:variant>
      <vt:variant>
        <vt:lpwstr>http://www.projetscontreleracisme.ch/</vt:lpwstr>
      </vt:variant>
      <vt:variant>
        <vt:lpwstr/>
      </vt:variant>
      <vt:variant>
        <vt:i4>7864424</vt:i4>
      </vt:variant>
      <vt:variant>
        <vt:i4>60</vt:i4>
      </vt:variant>
      <vt:variant>
        <vt:i4>0</vt:i4>
      </vt:variant>
      <vt:variant>
        <vt:i4>5</vt:i4>
      </vt:variant>
      <vt:variant>
        <vt:lpwstr>http://www.globaleducation.ch/</vt:lpwstr>
      </vt:variant>
      <vt:variant>
        <vt:lpwstr/>
      </vt:variant>
      <vt:variant>
        <vt:i4>4194375</vt:i4>
      </vt:variant>
      <vt:variant>
        <vt:i4>57</vt:i4>
      </vt:variant>
      <vt:variant>
        <vt:i4>0</vt:i4>
      </vt:variant>
      <vt:variant>
        <vt:i4>5</vt:i4>
      </vt:variant>
      <vt:variant>
        <vt:lpwstr>http://www.educa.ch/dyn/1471.htm</vt:lpwstr>
      </vt:variant>
      <vt:variant>
        <vt:lpwstr/>
      </vt:variant>
      <vt:variant>
        <vt:i4>1441809</vt:i4>
      </vt:variant>
      <vt:variant>
        <vt:i4>54</vt:i4>
      </vt:variant>
      <vt:variant>
        <vt:i4>0</vt:i4>
      </vt:variant>
      <vt:variant>
        <vt:i4>5</vt:i4>
      </vt:variant>
      <vt:variant>
        <vt:lpwstr>http://www.educa.ch/</vt:lpwstr>
      </vt:variant>
      <vt:variant>
        <vt:lpwstr/>
      </vt:variant>
      <vt:variant>
        <vt:i4>7667742</vt:i4>
      </vt:variant>
      <vt:variant>
        <vt:i4>51</vt:i4>
      </vt:variant>
      <vt:variant>
        <vt:i4>0</vt:i4>
      </vt:variant>
      <vt:variant>
        <vt:i4>5</vt:i4>
      </vt:variant>
      <vt:variant>
        <vt:lpwstr>http://www.eka_x001e_cfe.ch/f/integration.asp</vt:lpwstr>
      </vt:variant>
      <vt:variant>
        <vt:lpwstr/>
      </vt:variant>
      <vt:variant>
        <vt:i4>8257567</vt:i4>
      </vt:variant>
      <vt:variant>
        <vt:i4>48</vt:i4>
      </vt:variant>
      <vt:variant>
        <vt:i4>0</vt:i4>
      </vt:variant>
      <vt:variant>
        <vt:i4>5</vt:i4>
      </vt:variant>
      <vt:variant>
        <vt:lpwstr>http://www.eka_x001e_cfe.ch/f/publikation.asp</vt:lpwstr>
      </vt:variant>
      <vt:variant>
        <vt:lpwstr/>
      </vt:variant>
      <vt:variant>
        <vt:i4>5439512</vt:i4>
      </vt:variant>
      <vt:variant>
        <vt:i4>45</vt:i4>
      </vt:variant>
      <vt:variant>
        <vt:i4>0</vt:i4>
      </vt:variant>
      <vt:variant>
        <vt:i4>5</vt:i4>
      </vt:variant>
      <vt:variant>
        <vt:lpwstr>http://www.edi.admin.ch/ekr/portraet/00568/5_x001e_punkte_x001e_strategie_lang_fr.pdf</vt:lpwstr>
      </vt:variant>
      <vt:variant>
        <vt:lpwstr/>
      </vt:variant>
      <vt:variant>
        <vt:i4>5505109</vt:i4>
      </vt:variant>
      <vt:variant>
        <vt:i4>42</vt:i4>
      </vt:variant>
      <vt:variant>
        <vt:i4>0</vt:i4>
      </vt:variant>
      <vt:variant>
        <vt:i4>5</vt:i4>
      </vt:variant>
      <vt:variant>
        <vt:lpwstr>http://www.edi.admin.ch/frb/</vt:lpwstr>
      </vt:variant>
      <vt:variant>
        <vt:lpwstr/>
      </vt:variant>
      <vt:variant>
        <vt:i4>393238</vt:i4>
      </vt:variant>
      <vt:variant>
        <vt:i4>39</vt:i4>
      </vt:variant>
      <vt:variant>
        <vt:i4>0</vt:i4>
      </vt:variant>
      <vt:variant>
        <vt:i4>5</vt:i4>
      </vt:variant>
      <vt:variant>
        <vt:lpwstr>http://www.edi.admin.ch/frb/themen/00083/00293/ausbildung.pdf</vt:lpwstr>
      </vt:variant>
      <vt:variant>
        <vt:lpwstr/>
      </vt:variant>
      <vt:variant>
        <vt:i4>1572931</vt:i4>
      </vt:variant>
      <vt:variant>
        <vt:i4>36</vt:i4>
      </vt:variant>
      <vt:variant>
        <vt:i4>0</vt:i4>
      </vt:variant>
      <vt:variant>
        <vt:i4>5</vt:i4>
      </vt:variant>
      <vt:variant>
        <vt:lpwstr>http://www.edi.admin.ch/frb/beratung/adressen/index.html?lang=fr</vt:lpwstr>
      </vt:variant>
      <vt:variant>
        <vt:lpwstr/>
      </vt:variant>
      <vt:variant>
        <vt:i4>589888</vt:i4>
      </vt:variant>
      <vt:variant>
        <vt:i4>33</vt:i4>
      </vt:variant>
      <vt:variant>
        <vt:i4>0</vt:i4>
      </vt:variant>
      <vt:variant>
        <vt:i4>5</vt:i4>
      </vt:variant>
      <vt:variant>
        <vt:lpwstr>http://www.admin.ch/ch/f/ff/2006/2457.pdf</vt:lpwstr>
      </vt:variant>
      <vt:variant>
        <vt:lpwstr/>
      </vt:variant>
      <vt:variant>
        <vt:i4>6684710</vt:i4>
      </vt:variant>
      <vt:variant>
        <vt:i4>30</vt:i4>
      </vt:variant>
      <vt:variant>
        <vt:i4>0</vt:i4>
      </vt:variant>
      <vt:variant>
        <vt:i4>5</vt:i4>
      </vt:variant>
      <vt:variant>
        <vt:lpwstr>http://www.edi.admin.ch/ekr/db/start/index.html?lang=fr</vt:lpwstr>
      </vt:variant>
      <vt:variant>
        <vt:lpwstr/>
      </vt:variant>
      <vt:variant>
        <vt:i4>655381</vt:i4>
      </vt:variant>
      <vt:variant>
        <vt:i4>27</vt:i4>
      </vt:variant>
      <vt:variant>
        <vt:i4>0</vt:i4>
      </vt:variant>
      <vt:variant>
        <vt:i4>5</vt:i4>
      </vt:variant>
      <vt:variant>
        <vt:lpwstr>http://www.snf.ch/fr/com/prr/prr_arh_05oct27.asp</vt:lpwstr>
      </vt:variant>
      <vt:variant>
        <vt:lpwstr/>
      </vt:variant>
      <vt:variant>
        <vt:i4>6881400</vt:i4>
      </vt:variant>
      <vt:variant>
        <vt:i4>24</vt:i4>
      </vt:variant>
      <vt:variant>
        <vt:i4>0</vt:i4>
      </vt:variant>
      <vt:variant>
        <vt:i4>5</vt:i4>
      </vt:variant>
      <vt:variant>
        <vt:lpwstr>http://www.snf.ch/NFP/NFP42</vt:lpwstr>
      </vt:variant>
      <vt:variant>
        <vt:lpwstr/>
      </vt:variant>
      <vt:variant>
        <vt:i4>5963790</vt:i4>
      </vt:variant>
      <vt:variant>
        <vt:i4>21</vt:i4>
      </vt:variant>
      <vt:variant>
        <vt:i4>0</vt:i4>
      </vt:variant>
      <vt:variant>
        <vt:i4>5</vt:i4>
      </vt:variant>
      <vt:variant>
        <vt:lpwstr>http://www.eka-cfe.ch/f/sapa.asp</vt:lpwstr>
      </vt:variant>
      <vt:variant>
        <vt:lpwstr/>
      </vt:variant>
      <vt:variant>
        <vt:i4>3014760</vt:i4>
      </vt:variant>
      <vt:variant>
        <vt:i4>18</vt:i4>
      </vt:variant>
      <vt:variant>
        <vt:i4>0</vt:i4>
      </vt:variant>
      <vt:variant>
        <vt:i4>5</vt:i4>
      </vt:variant>
      <vt:variant>
        <vt:lpwstr>http://www.imes.admin.ch/alt/rechtsgrundlagen/_x000b_aktuell/integration/bericht_f.asp</vt:lpwstr>
      </vt:variant>
      <vt:variant>
        <vt:lpwstr>11</vt:lpwstr>
      </vt:variant>
      <vt:variant>
        <vt:i4>720941</vt:i4>
      </vt:variant>
      <vt:variant>
        <vt:i4>15</vt:i4>
      </vt:variant>
      <vt:variant>
        <vt:i4>0</vt:i4>
      </vt:variant>
      <vt:variant>
        <vt:i4>5</vt:i4>
      </vt:variant>
      <vt:variant>
        <vt:lpwstr>http://www.weisungen.bfm.admin.ch/rechtsgrundlagen/rechtsquellen/weitere/index_f.asp</vt:lpwstr>
      </vt:variant>
      <vt:variant>
        <vt:lpwstr>inte</vt:lpwstr>
      </vt:variant>
      <vt:variant>
        <vt:i4>3342419</vt:i4>
      </vt:variant>
      <vt:variant>
        <vt:i4>12</vt:i4>
      </vt:variant>
      <vt:variant>
        <vt:i4>0</vt:i4>
      </vt:variant>
      <vt:variant>
        <vt:i4>5</vt:i4>
      </vt:variant>
      <vt:variant>
        <vt:lpwstr>http://www.eka_x001e_cfe.ch/f/doku/_x000b_prioritaetenordnung_f.pdf</vt:lpwstr>
      </vt:variant>
      <vt:variant>
        <vt:lpwstr/>
      </vt:variant>
      <vt:variant>
        <vt:i4>3735632</vt:i4>
      </vt:variant>
      <vt:variant>
        <vt:i4>9</vt:i4>
      </vt:variant>
      <vt:variant>
        <vt:i4>0</vt:i4>
      </vt:variant>
      <vt:variant>
        <vt:i4>5</vt:i4>
      </vt:variant>
      <vt:variant>
        <vt:lpwstr>http://www.bfm.admin.ch/_x000b_index.php?id=182&amp;L=0&amp;layout=print</vt:lpwstr>
      </vt:variant>
      <vt:variant>
        <vt:lpwstr/>
      </vt:variant>
      <vt:variant>
        <vt:i4>458780</vt:i4>
      </vt:variant>
      <vt:variant>
        <vt:i4>6</vt:i4>
      </vt:variant>
      <vt:variant>
        <vt:i4>0</vt:i4>
      </vt:variant>
      <vt:variant>
        <vt:i4>5</vt:i4>
      </vt:variant>
      <vt:variant>
        <vt:lpwstr>http://www.edi.admin.ch/ekr/themen/00104/00338/index.html?lang=fr</vt:lpwstr>
      </vt:variant>
      <vt:variant>
        <vt:lpwstr/>
      </vt:variant>
      <vt:variant>
        <vt:i4>2228258</vt:i4>
      </vt:variant>
      <vt:variant>
        <vt:i4>3</vt:i4>
      </vt:variant>
      <vt:variant>
        <vt:i4>0</vt:i4>
      </vt:variant>
      <vt:variant>
        <vt:i4>5</vt:i4>
      </vt:variant>
      <vt:variant>
        <vt:lpwstr>http://www.cybercrime.admin.ch/</vt:lpwstr>
      </vt:variant>
      <vt:variant>
        <vt:lpwstr/>
      </vt:variant>
      <vt:variant>
        <vt:i4>4390981</vt:i4>
      </vt:variant>
      <vt:variant>
        <vt:i4>0</vt:i4>
      </vt:variant>
      <vt:variant>
        <vt:i4>0</vt:i4>
      </vt:variant>
      <vt:variant>
        <vt:i4>5</vt:i4>
      </vt:variant>
      <vt:variant>
        <vt:lpwstr>http://www.ddip.admin.ch/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nicoud</dc:creator>
  <cp:keywords/>
  <dc:description/>
  <cp:lastModifiedBy>nicoud</cp:lastModifiedBy>
  <cp:revision>2</cp:revision>
  <cp:lastPrinted>2007-04-24T15:10:00Z</cp:lastPrinted>
  <dcterms:created xsi:type="dcterms:W3CDTF">2007-04-24T15:13:00Z</dcterms:created>
  <dcterms:modified xsi:type="dcterms:W3CDTF">2007-04-24T15:13:00Z</dcterms:modified>
</cp:coreProperties>
</file>