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0557" w:rsidRDefault="00130557" w:rsidP="00130557">
      <w:pPr>
        <w:spacing w:line="240" w:lineRule="auto"/>
        <w:jc w:val="left"/>
        <w:rPr>
          <w:szCs w:val="6"/>
        </w:rPr>
        <w:sectPr w:rsidR="00130557" w:rsidSect="00130557">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200" w:bottom="1898" w:left="1200" w:header="576" w:footer="1030" w:gutter="0"/>
          <w:cols w:space="720"/>
          <w:titlePg/>
          <w:bidi/>
          <w:rtlGutter/>
          <w:docGrid w:linePitch="278"/>
        </w:sectPr>
      </w:pPr>
      <w:r>
        <w:rPr>
          <w:rStyle w:val="CommentReference"/>
        </w:rPr>
        <w:commentReference w:id="0"/>
      </w:r>
    </w:p>
    <w:p w:rsidR="007303B1" w:rsidRPr="007303B1" w:rsidRDefault="007303B1" w:rsidP="007303B1">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pPr>
      <w:r>
        <w:rPr>
          <w:noProof/>
          <w:w w:val="100"/>
          <w:szCs w:val="6"/>
          <w:rt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7.65pt;margin-top:457.75pt;width:57.6pt;height:57.55pt;z-index:-2">
            <v:imagedata r:id="rId13" o:title="5&amp;Size =1&amp;Lang = A"/>
          </v:shape>
        </w:pict>
      </w:r>
      <w:r w:rsidRPr="007303B1">
        <w:rPr>
          <w:rFonts w:hint="eastAsia"/>
          <w:rtl/>
        </w:rPr>
        <w:t>اللجنة</w:t>
      </w:r>
      <w:r w:rsidRPr="007303B1">
        <w:rPr>
          <w:rtl/>
        </w:rPr>
        <w:t xml:space="preserve"> </w:t>
      </w:r>
      <w:r w:rsidRPr="007303B1">
        <w:rPr>
          <w:rFonts w:hint="eastAsia"/>
          <w:rtl/>
        </w:rPr>
        <w:t>المعنية</w:t>
      </w:r>
      <w:r w:rsidRPr="007303B1">
        <w:rPr>
          <w:rtl/>
        </w:rPr>
        <w:t xml:space="preserve"> </w:t>
      </w:r>
      <w:r w:rsidRPr="007303B1">
        <w:rPr>
          <w:rFonts w:hint="eastAsia"/>
          <w:rtl/>
        </w:rPr>
        <w:t>بالقضاء</w:t>
      </w:r>
      <w:r w:rsidRPr="007303B1">
        <w:rPr>
          <w:rtl/>
        </w:rPr>
        <w:t xml:space="preserve"> </w:t>
      </w:r>
      <w:r w:rsidRPr="007303B1">
        <w:rPr>
          <w:rFonts w:hint="eastAsia"/>
          <w:rtl/>
        </w:rPr>
        <w:t>على</w:t>
      </w:r>
      <w:r w:rsidRPr="007303B1">
        <w:rPr>
          <w:rtl/>
        </w:rPr>
        <w:t xml:space="preserve"> </w:t>
      </w:r>
      <w:r w:rsidRPr="007303B1">
        <w:rPr>
          <w:rFonts w:hint="eastAsia"/>
          <w:rtl/>
        </w:rPr>
        <w:t>التمييز</w:t>
      </w:r>
      <w:r w:rsidRPr="007303B1">
        <w:rPr>
          <w:rtl/>
        </w:rPr>
        <w:t xml:space="preserve"> </w:t>
      </w:r>
      <w:r w:rsidRPr="007303B1">
        <w:rPr>
          <w:rFonts w:hint="eastAsia"/>
          <w:rtl/>
        </w:rPr>
        <w:t>ضدّ</w:t>
      </w:r>
      <w:r w:rsidRPr="007303B1">
        <w:rPr>
          <w:rtl/>
        </w:rPr>
        <w:t xml:space="preserve"> </w:t>
      </w:r>
      <w:r w:rsidRPr="007303B1">
        <w:rPr>
          <w:rFonts w:hint="eastAsia"/>
          <w:rtl/>
        </w:rPr>
        <w:t>المرأة</w:t>
      </w:r>
    </w:p>
    <w:p w:rsidR="007303B1" w:rsidRPr="007303B1" w:rsidRDefault="007303B1" w:rsidP="007303B1">
      <w:pPr>
        <w:textDirection w:val="tbRlV"/>
        <w:rPr>
          <w:b/>
          <w:bCs/>
          <w:sz w:val="24"/>
          <w:rtl/>
          <w:lang w:eastAsia="zh-TW"/>
        </w:rPr>
      </w:pPr>
      <w:r w:rsidRPr="007303B1">
        <w:rPr>
          <w:b/>
          <w:bCs/>
          <w:sz w:val="24"/>
          <w:rtl/>
          <w:lang w:eastAsia="zh-TW"/>
        </w:rPr>
        <w:t>الدورة الثانية والستون</w:t>
      </w:r>
    </w:p>
    <w:p w:rsidR="007303B1" w:rsidRPr="007303B1" w:rsidRDefault="007303B1" w:rsidP="007303B1">
      <w:pPr>
        <w:textDirection w:val="tbRlV"/>
        <w:rPr>
          <w:sz w:val="24"/>
          <w:rtl/>
          <w:lang w:eastAsia="zh-TW"/>
        </w:rPr>
      </w:pPr>
      <w:r w:rsidRPr="007303B1">
        <w:rPr>
          <w:sz w:val="24"/>
          <w:rtl/>
          <w:lang w:eastAsia="zh-TW"/>
        </w:rPr>
        <w:t>26 تشرين الأول/أكتوبر 20 تشرين الثاني/نوفمبر 2015</w:t>
      </w:r>
    </w:p>
    <w:p w:rsidR="007303B1" w:rsidRPr="007303B1" w:rsidRDefault="007303B1" w:rsidP="007303B1">
      <w:pPr>
        <w:textDirection w:val="tbRlV"/>
        <w:rPr>
          <w:rFonts w:hint="cs"/>
          <w:sz w:val="24"/>
          <w:lang w:eastAsia="zh-TW" w:bidi="ar-EG"/>
        </w:rPr>
      </w:pPr>
      <w:r w:rsidRPr="007303B1">
        <w:rPr>
          <w:sz w:val="24"/>
          <w:rtl/>
          <w:lang w:eastAsia="zh-TW"/>
        </w:rPr>
        <w:t>البند 4 من جدول الأعمال المؤقت</w:t>
      </w:r>
      <w:r w:rsidRPr="007303B1">
        <w:rPr>
          <w:rFonts w:hint="cs"/>
          <w:sz w:val="24"/>
          <w:rtl/>
          <w:lang w:eastAsia="zh-TW"/>
        </w:rPr>
        <w:t>*</w:t>
      </w:r>
    </w:p>
    <w:p w:rsidR="007303B1" w:rsidRPr="007303B1" w:rsidRDefault="007303B1" w:rsidP="007303B1">
      <w:pPr>
        <w:ind w:right="4680"/>
        <w:textDirection w:val="tbRlV"/>
        <w:rPr>
          <w:rFonts w:hint="cs"/>
          <w:bCs/>
          <w:sz w:val="24"/>
          <w:rtl/>
          <w:lang w:eastAsia="zh-TW"/>
        </w:rPr>
      </w:pPr>
      <w:r w:rsidRPr="007303B1">
        <w:rPr>
          <w:bCs/>
          <w:sz w:val="24"/>
          <w:rtl/>
          <w:lang w:eastAsia="zh-TW"/>
        </w:rPr>
        <w:t>النظر في التقارير المقدمة من الدول الأطراف بموجب المادة 18 من اتفاقية القضاء على جميع أشكال التمييز ضد المرأة</w:t>
      </w:r>
    </w:p>
    <w:p w:rsidR="007303B1" w:rsidRPr="007303B1" w:rsidRDefault="007303B1" w:rsidP="007303B1">
      <w:pPr>
        <w:spacing w:line="120" w:lineRule="exact"/>
        <w:ind w:right="4680"/>
        <w:textDirection w:val="tbRlV"/>
        <w:rPr>
          <w:rFonts w:hint="cs"/>
          <w:bCs/>
          <w:sz w:val="10"/>
          <w:rtl/>
          <w:lang w:eastAsia="zh-TW"/>
        </w:rPr>
      </w:pPr>
    </w:p>
    <w:p w:rsidR="007303B1" w:rsidRPr="007303B1" w:rsidRDefault="007303B1" w:rsidP="007303B1">
      <w:pPr>
        <w:spacing w:line="120" w:lineRule="exact"/>
        <w:ind w:right="4680"/>
        <w:textDirection w:val="tbRlV"/>
        <w:rPr>
          <w:rFonts w:hint="cs"/>
          <w:sz w:val="10"/>
          <w:rtl/>
          <w:lang w:eastAsia="zh-TW"/>
        </w:rPr>
      </w:pPr>
    </w:p>
    <w:p w:rsidR="007303B1" w:rsidRPr="007303B1" w:rsidRDefault="007303B1" w:rsidP="007303B1">
      <w:pPr>
        <w:spacing w:line="120" w:lineRule="exact"/>
        <w:ind w:right="4680"/>
        <w:textDirection w:val="tbRlV"/>
        <w:rPr>
          <w:rFonts w:hint="cs"/>
          <w:sz w:val="10"/>
          <w:rtl/>
          <w:lang w:eastAsia="zh-TW"/>
        </w:rPr>
      </w:pPr>
    </w:p>
    <w:p w:rsidR="007303B1" w:rsidRPr="007303B1" w:rsidRDefault="007303B1" w:rsidP="007303B1">
      <w:pPr>
        <w:tabs>
          <w:tab w:val="right" w:pos="1022"/>
          <w:tab w:val="left" w:pos="1267"/>
          <w:tab w:val="left" w:pos="1930"/>
          <w:tab w:val="left" w:pos="2592"/>
          <w:tab w:val="left" w:pos="3254"/>
          <w:tab w:val="left" w:pos="3917"/>
          <w:tab w:val="left" w:pos="4579"/>
          <w:tab w:val="left" w:pos="5242"/>
          <w:tab w:val="left" w:pos="5904"/>
          <w:tab w:val="left" w:pos="6566"/>
        </w:tabs>
        <w:spacing w:after="120" w:line="450" w:lineRule="exact"/>
        <w:ind w:left="1267" w:right="1267" w:hanging="1267"/>
        <w:outlineLvl w:val="0"/>
        <w:rPr>
          <w:rFonts w:hint="cs"/>
          <w:b/>
          <w:bCs/>
          <w:spacing w:val="-2"/>
          <w:sz w:val="28"/>
          <w:szCs w:val="38"/>
          <w:rtl/>
          <w:lang w:eastAsia="zh-TW"/>
        </w:rPr>
      </w:pPr>
      <w:r w:rsidRPr="007303B1">
        <w:rPr>
          <w:b/>
          <w:bCs/>
          <w:spacing w:val="-2"/>
          <w:sz w:val="28"/>
          <w:szCs w:val="38"/>
          <w:rtl/>
          <w:lang w:eastAsia="zh-TW"/>
        </w:rPr>
        <w:tab/>
      </w:r>
      <w:r w:rsidRPr="007303B1">
        <w:rPr>
          <w:b/>
          <w:bCs/>
          <w:spacing w:val="-2"/>
          <w:sz w:val="28"/>
          <w:szCs w:val="38"/>
          <w:rtl/>
          <w:lang w:eastAsia="zh-TW"/>
        </w:rPr>
        <w:tab/>
        <w:t>قائمة القضايا والأسئلة المتعلقة بالتقرير الدوري الخامس لأوزبكستان</w:t>
      </w:r>
    </w:p>
    <w:p w:rsidR="007303B1" w:rsidRPr="007303B1" w:rsidRDefault="007303B1" w:rsidP="007303B1">
      <w:pPr>
        <w:spacing w:line="120" w:lineRule="exact"/>
        <w:rPr>
          <w:rFonts w:hint="cs"/>
          <w:sz w:val="10"/>
          <w:rtl/>
          <w:lang w:val="en-GB" w:eastAsia="zh-TW"/>
        </w:rPr>
      </w:pPr>
    </w:p>
    <w:p w:rsidR="007303B1" w:rsidRPr="007303B1" w:rsidRDefault="007303B1" w:rsidP="007303B1">
      <w:pPr>
        <w:spacing w:line="120" w:lineRule="exact"/>
        <w:rPr>
          <w:rFonts w:hint="cs"/>
          <w:sz w:val="10"/>
          <w:rtl/>
          <w:lang w:val="en-GB" w:eastAsia="zh-TW"/>
        </w:rPr>
      </w:pPr>
    </w:p>
    <w:p w:rsidR="007303B1" w:rsidRPr="007303B1" w:rsidRDefault="007303B1" w:rsidP="007303B1">
      <w:pPr>
        <w:spacing w:line="120" w:lineRule="exact"/>
        <w:rPr>
          <w:rFonts w:hint="cs"/>
          <w:sz w:val="10"/>
          <w:rtl/>
          <w:lang w:val="en-GB" w:eastAsia="zh-TW"/>
        </w:rPr>
      </w:pPr>
    </w:p>
    <w:p w:rsidR="007303B1" w:rsidRPr="007303B1" w:rsidRDefault="007303B1" w:rsidP="007303B1">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1"/>
        <w:rPr>
          <w:b/>
          <w:bCs/>
          <w:spacing w:val="2"/>
          <w:rtl/>
          <w:lang w:eastAsia="zh-TW"/>
        </w:rPr>
      </w:pPr>
      <w:r w:rsidRPr="007303B1">
        <w:rPr>
          <w:b/>
          <w:bCs/>
          <w:spacing w:val="2"/>
          <w:rtl/>
          <w:lang w:eastAsia="zh-TW"/>
        </w:rPr>
        <w:tab/>
      </w:r>
      <w:r w:rsidRPr="007303B1">
        <w:rPr>
          <w:b/>
          <w:bCs/>
          <w:spacing w:val="2"/>
          <w:rtl/>
          <w:lang w:eastAsia="zh-TW"/>
        </w:rPr>
        <w:tab/>
        <w:t>الإطار الدستوري والتشريعي</w:t>
      </w:r>
    </w:p>
    <w:p w:rsidR="007303B1" w:rsidRPr="007303B1" w:rsidRDefault="007303B1" w:rsidP="007303B1">
      <w:pPr>
        <w:tabs>
          <w:tab w:val="left" w:pos="1267"/>
          <w:tab w:val="left" w:pos="1930"/>
          <w:tab w:val="left" w:pos="2592"/>
          <w:tab w:val="left" w:pos="3254"/>
          <w:tab w:val="left" w:pos="3917"/>
          <w:tab w:val="left" w:pos="4579"/>
          <w:tab w:val="left" w:pos="5242"/>
          <w:tab w:val="left" w:pos="5904"/>
          <w:tab w:val="left" w:pos="6566"/>
        </w:tabs>
        <w:spacing w:after="120"/>
        <w:ind w:left="1267" w:right="1267"/>
        <w:rPr>
          <w:rtl/>
          <w:lang w:eastAsia="zh-TW"/>
        </w:rPr>
      </w:pPr>
      <w:r w:rsidRPr="007303B1">
        <w:rPr>
          <w:rFonts w:cs="Times New Roman"/>
          <w:szCs w:val="24"/>
          <w:rtl/>
          <w:lang w:eastAsia="zh-TW"/>
        </w:rPr>
        <w:t>١</w:t>
      </w:r>
      <w:r w:rsidRPr="007303B1">
        <w:rPr>
          <w:rtl/>
        </w:rPr>
        <w:t xml:space="preserve"> - </w:t>
      </w:r>
      <w:r w:rsidRPr="007303B1">
        <w:tab/>
      </w:r>
      <w:r w:rsidRPr="007303B1">
        <w:rPr>
          <w:w w:val="100"/>
          <w:rtl/>
          <w:lang w:eastAsia="zh-TW"/>
        </w:rPr>
        <w:t>حثت اللجنة الدولة الطرف، في ملاحظاتها الختامية السابقة</w:t>
      </w:r>
      <w:r w:rsidRPr="007303B1">
        <w:rPr>
          <w:rtl/>
          <w:lang w:eastAsia="zh-TW"/>
        </w:rPr>
        <w:t xml:space="preserve"> (</w:t>
      </w:r>
      <w:hyperlink r:id="rId14" w:history="1">
        <w:r w:rsidRPr="003728BA">
          <w:rPr>
            <w:rStyle w:val="Hyperlink"/>
            <w:lang w:eastAsia="zh-TW"/>
          </w:rPr>
          <w:t>CEDAW/C/UZ</w:t>
        </w:r>
        <w:r w:rsidRPr="003728BA">
          <w:rPr>
            <w:rStyle w:val="Hyperlink"/>
            <w:lang w:eastAsia="zh-TW"/>
          </w:rPr>
          <w:t>B</w:t>
        </w:r>
        <w:r w:rsidRPr="003728BA">
          <w:rPr>
            <w:rStyle w:val="Hyperlink"/>
            <w:lang w:eastAsia="zh-TW"/>
          </w:rPr>
          <w:t>/CO/4</w:t>
        </w:r>
      </w:hyperlink>
      <w:r w:rsidRPr="007303B1">
        <w:rPr>
          <w:rtl/>
          <w:lang w:eastAsia="zh-TW"/>
        </w:rPr>
        <w:t>، الفقرة 10)، على التعجيل بإقرار قانون المساواة في الحقوق والتكافؤ في الفرص بين المرأة والرجل في غضون إطار زمني واضح. ويشار في التقرير (</w:t>
      </w:r>
      <w:hyperlink r:id="rId15" w:history="1">
        <w:r w:rsidRPr="003728BA">
          <w:rPr>
            <w:rStyle w:val="Hyperlink"/>
            <w:szCs w:val="24"/>
          </w:rPr>
          <w:t>CEDAW/C/UZB/5</w:t>
        </w:r>
      </w:hyperlink>
      <w:r w:rsidRPr="007303B1">
        <w:rPr>
          <w:rtl/>
          <w:lang w:eastAsia="zh-TW"/>
        </w:rPr>
        <w:t>) إلى أن مشروع القانون تمت مناقشته وتنقيحه (الفقرتان 31 و32)</w:t>
      </w:r>
      <w:r w:rsidRPr="007303B1">
        <w:rPr>
          <w:vertAlign w:val="superscript"/>
          <w:rtl/>
          <w:lang w:eastAsia="zh-TW"/>
        </w:rPr>
        <w:t>(</w:t>
      </w:r>
      <w:r w:rsidRPr="007303B1">
        <w:rPr>
          <w:spacing w:val="-5"/>
          <w:w w:val="100"/>
          <w:sz w:val="17"/>
          <w:vertAlign w:val="superscript"/>
          <w:rtl/>
          <w:lang w:eastAsia="zh-TW"/>
        </w:rPr>
        <w:footnoteReference w:id="1"/>
      </w:r>
      <w:r w:rsidRPr="007303B1">
        <w:rPr>
          <w:vertAlign w:val="superscript"/>
          <w:rtl/>
          <w:lang w:eastAsia="zh-TW"/>
        </w:rPr>
        <w:t>)</w:t>
      </w:r>
      <w:r w:rsidRPr="007303B1">
        <w:rPr>
          <w:rtl/>
          <w:lang w:eastAsia="zh-TW"/>
        </w:rPr>
        <w:t>. يرجى تقديم معلومات مستكملة بشأن مركزه الحالي ومحتواه والإطار الزمني المحدد لإنفاذه.</w:t>
      </w:r>
    </w:p>
    <w:p w:rsidR="007303B1" w:rsidRPr="007303B1" w:rsidRDefault="007303B1" w:rsidP="007303B1">
      <w:pPr>
        <w:tabs>
          <w:tab w:val="left" w:pos="1267"/>
          <w:tab w:val="left" w:pos="1930"/>
          <w:tab w:val="left" w:pos="2592"/>
          <w:tab w:val="left" w:pos="3254"/>
          <w:tab w:val="left" w:pos="3917"/>
          <w:tab w:val="left" w:pos="4579"/>
          <w:tab w:val="left" w:pos="5242"/>
          <w:tab w:val="left" w:pos="5904"/>
          <w:tab w:val="left" w:pos="6566"/>
        </w:tabs>
        <w:spacing w:after="120"/>
        <w:ind w:left="1267" w:right="1267"/>
        <w:textDirection w:val="tbRlV"/>
        <w:rPr>
          <w:rtl/>
          <w:lang w:eastAsia="zh-TW"/>
        </w:rPr>
      </w:pPr>
      <w:r w:rsidRPr="007303B1">
        <w:rPr>
          <w:rFonts w:cs="Times New Roman"/>
          <w:sz w:val="24"/>
          <w:szCs w:val="24"/>
          <w:rtl/>
          <w:lang w:eastAsia="zh-TW"/>
        </w:rPr>
        <w:t>٢</w:t>
      </w:r>
      <w:r w:rsidRPr="007303B1">
        <w:rPr>
          <w:rtl/>
        </w:rPr>
        <w:t xml:space="preserve"> - </w:t>
      </w:r>
      <w:r w:rsidRPr="007303B1">
        <w:tab/>
      </w:r>
      <w:r w:rsidRPr="007303B1">
        <w:rPr>
          <w:sz w:val="24"/>
          <w:rtl/>
          <w:lang w:eastAsia="zh-TW"/>
        </w:rPr>
        <w:t xml:space="preserve">ويشار في </w:t>
      </w:r>
      <w:r w:rsidRPr="007303B1">
        <w:rPr>
          <w:rtl/>
          <w:lang w:eastAsia="zh-TW"/>
        </w:rPr>
        <w:t>الفقرة 23 إلى إعداد مشروع خطة عمل موحدة لتنفيذ توصيات الفريق العامل المعني بالاستعراض الدوري الشامل (</w:t>
      </w:r>
      <w:hyperlink r:id="rId16" w:history="1">
        <w:r w:rsidRPr="003728BA">
          <w:rPr>
            <w:rStyle w:val="Hyperlink"/>
            <w:lang w:eastAsia="zh-TW"/>
          </w:rPr>
          <w:t>A/HRC/27/7</w:t>
        </w:r>
      </w:hyperlink>
      <w:r w:rsidRPr="007303B1">
        <w:rPr>
          <w:rtl/>
          <w:lang w:eastAsia="zh-TW"/>
        </w:rPr>
        <w:t xml:space="preserve">). يرجى تقديم معلومات عن المركز الحالي لهذا المشروع، لا سيما التدابير المتخذة لمعالجة توصيات الفريق العامل المعني بحقوق المرأة. ويرجى أيضاً توضيح ما إذا تم وضع واعتماد خطة عمل لتنفيذ الاتفاقية. </w:t>
      </w:r>
    </w:p>
    <w:p w:rsidR="007303B1" w:rsidRPr="007303B1" w:rsidRDefault="007303B1" w:rsidP="007303B1">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1"/>
        <w:rPr>
          <w:b/>
          <w:bCs/>
          <w:spacing w:val="2"/>
          <w:rtl/>
          <w:lang w:eastAsia="zh-TW"/>
        </w:rPr>
      </w:pPr>
      <w:r w:rsidRPr="007303B1">
        <w:rPr>
          <w:b/>
          <w:bCs/>
          <w:spacing w:val="2"/>
          <w:rtl/>
          <w:lang w:eastAsia="zh-TW"/>
        </w:rPr>
        <w:tab/>
      </w:r>
      <w:r w:rsidRPr="007303B1">
        <w:rPr>
          <w:b/>
          <w:bCs/>
          <w:spacing w:val="2"/>
          <w:rtl/>
          <w:lang w:eastAsia="zh-TW"/>
        </w:rPr>
        <w:tab/>
        <w:t xml:space="preserve">الآلية الوطنية للنهوض بالمرأة </w:t>
      </w:r>
    </w:p>
    <w:p w:rsidR="007303B1" w:rsidRPr="007303B1" w:rsidRDefault="007303B1" w:rsidP="007303B1">
      <w:pPr>
        <w:tabs>
          <w:tab w:val="left" w:pos="1267"/>
          <w:tab w:val="left" w:pos="1930"/>
          <w:tab w:val="left" w:pos="2592"/>
          <w:tab w:val="left" w:pos="3254"/>
          <w:tab w:val="left" w:pos="3917"/>
          <w:tab w:val="left" w:pos="4579"/>
          <w:tab w:val="left" w:pos="5242"/>
          <w:tab w:val="left" w:pos="5904"/>
          <w:tab w:val="left" w:pos="6566"/>
        </w:tabs>
        <w:spacing w:after="120"/>
        <w:ind w:left="1267" w:right="1267"/>
        <w:textDirection w:val="tbRlV"/>
        <w:rPr>
          <w:lang w:eastAsia="zh-TW"/>
        </w:rPr>
      </w:pPr>
      <w:r w:rsidRPr="007303B1">
        <w:rPr>
          <w:rtl/>
          <w:lang w:eastAsia="zh-TW"/>
        </w:rPr>
        <w:t>٣ -</w:t>
      </w:r>
      <w:r w:rsidRPr="007303B1">
        <w:rPr>
          <w:lang w:eastAsia="zh-TW"/>
        </w:rPr>
        <w:tab/>
      </w:r>
      <w:r w:rsidRPr="007303B1">
        <w:rPr>
          <w:rtl/>
          <w:lang w:eastAsia="zh-TW"/>
        </w:rPr>
        <w:t>أعربت اللجنة عن قلقها في ملاحظاتها الختامية السابقة (</w:t>
      </w:r>
      <w:hyperlink r:id="rId17" w:history="1">
        <w:r w:rsidRPr="003728BA">
          <w:rPr>
            <w:rStyle w:val="Hyperlink"/>
            <w:lang w:eastAsia="zh-TW"/>
          </w:rPr>
          <w:t>CEDAW/C/UZB/CO/4</w:t>
        </w:r>
      </w:hyperlink>
      <w:r w:rsidRPr="007303B1">
        <w:rPr>
          <w:rtl/>
          <w:lang w:eastAsia="zh-TW"/>
        </w:rPr>
        <w:t>، الفقرة 15)، إزاء تعيين لجنة المرأة في أوزبكستان، وهي منظمة غير حكومية، بوصفها الآلية الوطنية للنهوض بالمرأة. يرجى تقديم معلومات بشأن التدابير المتخذة لإنشاء آلية حكومية للنهوض بالمرأة لها من السلطة في الحكومة والموارد البشرية والمالية المتأتية من ميزانية الدولة ما</w:t>
      </w:r>
      <w:r w:rsidRPr="007303B1">
        <w:rPr>
          <w:rFonts w:hint="cs"/>
          <w:rtl/>
          <w:lang w:eastAsia="zh-TW"/>
        </w:rPr>
        <w:t> </w:t>
      </w:r>
      <w:r w:rsidRPr="007303B1">
        <w:rPr>
          <w:rtl/>
          <w:lang w:eastAsia="zh-TW"/>
        </w:rPr>
        <w:t>يكفي للارتقاء بتنفيذ الاتفاقية على نحو فعال.</w:t>
      </w:r>
    </w:p>
    <w:p w:rsidR="007303B1" w:rsidRPr="007303B1" w:rsidRDefault="007303B1" w:rsidP="007303B1">
      <w:pPr>
        <w:tabs>
          <w:tab w:val="left" w:pos="1267"/>
          <w:tab w:val="left" w:pos="1930"/>
          <w:tab w:val="left" w:pos="2592"/>
          <w:tab w:val="left" w:pos="3254"/>
          <w:tab w:val="left" w:pos="3917"/>
          <w:tab w:val="left" w:pos="4579"/>
          <w:tab w:val="left" w:pos="5242"/>
          <w:tab w:val="left" w:pos="5904"/>
          <w:tab w:val="left" w:pos="6566"/>
        </w:tabs>
        <w:spacing w:line="120" w:lineRule="exact"/>
        <w:ind w:left="1267" w:right="1267"/>
        <w:textDirection w:val="tbRlV"/>
        <w:rPr>
          <w:sz w:val="10"/>
          <w:lang w:eastAsia="zh-TW"/>
        </w:rPr>
      </w:pPr>
    </w:p>
    <w:p w:rsidR="007303B1" w:rsidRPr="007303B1" w:rsidRDefault="007303B1" w:rsidP="007303B1">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1"/>
        <w:rPr>
          <w:b/>
          <w:bCs/>
          <w:spacing w:val="2"/>
          <w:rtl/>
          <w:lang w:eastAsia="zh-TW"/>
        </w:rPr>
      </w:pPr>
      <w:r w:rsidRPr="007303B1">
        <w:rPr>
          <w:b/>
          <w:bCs/>
          <w:spacing w:val="2"/>
          <w:rtl/>
          <w:lang w:eastAsia="zh-TW"/>
        </w:rPr>
        <w:tab/>
      </w:r>
      <w:r w:rsidRPr="007303B1">
        <w:rPr>
          <w:b/>
          <w:bCs/>
          <w:spacing w:val="2"/>
          <w:rtl/>
          <w:lang w:eastAsia="zh-TW"/>
        </w:rPr>
        <w:tab/>
        <w:t>المنظمات غير الحكومية</w:t>
      </w:r>
    </w:p>
    <w:p w:rsidR="007303B1" w:rsidRPr="007303B1" w:rsidRDefault="007303B1" w:rsidP="007303B1">
      <w:pPr>
        <w:tabs>
          <w:tab w:val="left" w:pos="1267"/>
          <w:tab w:val="left" w:pos="1930"/>
          <w:tab w:val="left" w:pos="2592"/>
          <w:tab w:val="left" w:pos="3254"/>
          <w:tab w:val="left" w:pos="3917"/>
          <w:tab w:val="left" w:pos="4579"/>
          <w:tab w:val="left" w:pos="5242"/>
          <w:tab w:val="left" w:pos="5904"/>
          <w:tab w:val="left" w:pos="6566"/>
        </w:tabs>
        <w:spacing w:after="120"/>
        <w:ind w:left="1267" w:right="1267"/>
        <w:textDirection w:val="tbRlV"/>
        <w:rPr>
          <w:lang w:eastAsia="zh-TW"/>
        </w:rPr>
      </w:pPr>
      <w:r w:rsidRPr="007303B1">
        <w:rPr>
          <w:rtl/>
          <w:lang w:eastAsia="zh-TW"/>
        </w:rPr>
        <w:t xml:space="preserve">٤ - </w:t>
      </w:r>
      <w:r w:rsidRPr="007303B1">
        <w:rPr>
          <w:lang w:eastAsia="zh-TW"/>
        </w:rPr>
        <w:tab/>
      </w:r>
      <w:r w:rsidRPr="007303B1">
        <w:rPr>
          <w:rtl/>
          <w:lang w:eastAsia="zh-TW"/>
        </w:rPr>
        <w:t>في أعقاب اعتماد مرسوم رئاسي في عام 2013 وقرار صادر عن مجلس الوزراء في عام 2014 لتيسير تسجيل المنظمات غير الحكومية وعملها، يرجى تقديم معلومات عن أثر هذين القرارين في المنظمات غير الحكومية النسائية، ولا سيما عدد المنظمات غير الحكومية النسائية المسجلة في البلد، ومستوى التمويل الذي تتلقاه من الدولة ومجالات عملها.</w:t>
      </w:r>
    </w:p>
    <w:p w:rsidR="007303B1" w:rsidRPr="007303B1" w:rsidRDefault="007303B1" w:rsidP="007303B1">
      <w:pPr>
        <w:tabs>
          <w:tab w:val="left" w:pos="1267"/>
          <w:tab w:val="left" w:pos="1930"/>
          <w:tab w:val="left" w:pos="2592"/>
          <w:tab w:val="left" w:pos="3254"/>
          <w:tab w:val="left" w:pos="3917"/>
          <w:tab w:val="left" w:pos="4579"/>
          <w:tab w:val="left" w:pos="5242"/>
          <w:tab w:val="left" w:pos="5904"/>
          <w:tab w:val="left" w:pos="6566"/>
        </w:tabs>
        <w:spacing w:line="120" w:lineRule="exact"/>
        <w:ind w:left="1267" w:right="1267"/>
        <w:textDirection w:val="tbRlV"/>
        <w:rPr>
          <w:sz w:val="10"/>
          <w:lang w:eastAsia="zh-TW"/>
        </w:rPr>
      </w:pPr>
    </w:p>
    <w:p w:rsidR="007303B1" w:rsidRPr="007303B1" w:rsidRDefault="007303B1" w:rsidP="007303B1">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1"/>
        <w:rPr>
          <w:b/>
          <w:bCs/>
          <w:spacing w:val="2"/>
          <w:rtl/>
          <w:lang w:eastAsia="zh-TW"/>
        </w:rPr>
      </w:pPr>
      <w:r w:rsidRPr="007303B1">
        <w:rPr>
          <w:b/>
          <w:bCs/>
          <w:spacing w:val="2"/>
          <w:rtl/>
          <w:lang w:eastAsia="zh-TW"/>
        </w:rPr>
        <w:tab/>
      </w:r>
      <w:r w:rsidRPr="007303B1">
        <w:rPr>
          <w:b/>
          <w:bCs/>
          <w:spacing w:val="2"/>
          <w:rtl/>
          <w:lang w:eastAsia="zh-TW"/>
        </w:rPr>
        <w:tab/>
        <w:t xml:space="preserve">التدابير الخاصة المؤقتة </w:t>
      </w:r>
    </w:p>
    <w:p w:rsidR="007303B1" w:rsidRPr="007303B1" w:rsidRDefault="007303B1" w:rsidP="007303B1">
      <w:pPr>
        <w:tabs>
          <w:tab w:val="left" w:pos="1267"/>
          <w:tab w:val="left" w:pos="1930"/>
          <w:tab w:val="left" w:pos="2592"/>
          <w:tab w:val="left" w:pos="3254"/>
          <w:tab w:val="left" w:pos="3917"/>
          <w:tab w:val="left" w:pos="4579"/>
          <w:tab w:val="left" w:pos="5242"/>
          <w:tab w:val="left" w:pos="5904"/>
          <w:tab w:val="left" w:pos="6566"/>
        </w:tabs>
        <w:spacing w:after="120"/>
        <w:ind w:left="1267" w:right="1267"/>
        <w:textDirection w:val="tbRlV"/>
        <w:rPr>
          <w:lang w:eastAsia="zh-TW"/>
        </w:rPr>
      </w:pPr>
      <w:r w:rsidRPr="007303B1">
        <w:rPr>
          <w:rtl/>
          <w:lang w:eastAsia="zh-TW"/>
        </w:rPr>
        <w:t xml:space="preserve">٥ - </w:t>
      </w:r>
      <w:r w:rsidRPr="007303B1">
        <w:rPr>
          <w:lang w:eastAsia="zh-TW"/>
        </w:rPr>
        <w:tab/>
      </w:r>
      <w:r w:rsidRPr="007303B1">
        <w:rPr>
          <w:rtl/>
          <w:lang w:eastAsia="zh-TW"/>
        </w:rPr>
        <w:t xml:space="preserve">لا يتطرق التقرير إلى التدابير الخاصة المؤقتة المطبقة خلال الفترة المشمولة بالتقرير. يرجى تقديم أمثلة محددة لهذه التدابير، ومدى إدراجها في السياسات والبرامج الوطنية وتنفيذها عملياً بغرض تعزيز إعمال المساواة الفعلية بين المرأة والرجل والتعجيل بها. </w:t>
      </w:r>
    </w:p>
    <w:p w:rsidR="007303B1" w:rsidRPr="007303B1" w:rsidRDefault="007303B1" w:rsidP="007303B1">
      <w:pPr>
        <w:tabs>
          <w:tab w:val="left" w:pos="1267"/>
          <w:tab w:val="left" w:pos="1930"/>
          <w:tab w:val="left" w:pos="2592"/>
          <w:tab w:val="left" w:pos="3254"/>
          <w:tab w:val="left" w:pos="3917"/>
          <w:tab w:val="left" w:pos="4579"/>
          <w:tab w:val="left" w:pos="5242"/>
          <w:tab w:val="left" w:pos="5904"/>
          <w:tab w:val="left" w:pos="6566"/>
        </w:tabs>
        <w:spacing w:line="120" w:lineRule="exact"/>
        <w:ind w:left="1267" w:right="1267"/>
        <w:textDirection w:val="tbRlV"/>
        <w:rPr>
          <w:sz w:val="10"/>
          <w:lang w:eastAsia="zh-TW"/>
        </w:rPr>
      </w:pPr>
    </w:p>
    <w:p w:rsidR="007303B1" w:rsidRPr="007303B1" w:rsidRDefault="007303B1" w:rsidP="007303B1">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1"/>
        <w:rPr>
          <w:b/>
          <w:bCs/>
          <w:spacing w:val="2"/>
          <w:rtl/>
          <w:lang w:eastAsia="zh-TW"/>
        </w:rPr>
      </w:pPr>
      <w:r w:rsidRPr="007303B1">
        <w:rPr>
          <w:b/>
          <w:bCs/>
          <w:spacing w:val="2"/>
          <w:rtl/>
          <w:lang w:eastAsia="zh-TW"/>
        </w:rPr>
        <w:tab/>
      </w:r>
      <w:r w:rsidRPr="007303B1">
        <w:rPr>
          <w:b/>
          <w:bCs/>
          <w:spacing w:val="2"/>
          <w:rtl/>
          <w:lang w:eastAsia="zh-TW"/>
        </w:rPr>
        <w:tab/>
        <w:t>الصور النمطية الجنسانية</w:t>
      </w:r>
    </w:p>
    <w:p w:rsidR="007303B1" w:rsidRPr="007303B1" w:rsidRDefault="007303B1" w:rsidP="007303B1">
      <w:pPr>
        <w:tabs>
          <w:tab w:val="left" w:pos="1267"/>
          <w:tab w:val="left" w:pos="1930"/>
          <w:tab w:val="left" w:pos="2592"/>
          <w:tab w:val="left" w:pos="3254"/>
          <w:tab w:val="left" w:pos="3917"/>
          <w:tab w:val="left" w:pos="4579"/>
          <w:tab w:val="left" w:pos="5242"/>
          <w:tab w:val="left" w:pos="5904"/>
          <w:tab w:val="left" w:pos="6566"/>
        </w:tabs>
        <w:spacing w:after="120"/>
        <w:ind w:left="1267" w:right="1267"/>
        <w:textDirection w:val="tbRlV"/>
        <w:rPr>
          <w:lang w:eastAsia="zh-TW"/>
        </w:rPr>
      </w:pPr>
      <w:r w:rsidRPr="007303B1">
        <w:rPr>
          <w:rtl/>
          <w:lang w:eastAsia="zh-TW"/>
        </w:rPr>
        <w:t xml:space="preserve">٦ - </w:t>
      </w:r>
      <w:r w:rsidRPr="007303B1">
        <w:rPr>
          <w:lang w:eastAsia="zh-TW"/>
        </w:rPr>
        <w:tab/>
      </w:r>
      <w:r w:rsidRPr="007303B1">
        <w:rPr>
          <w:rtl/>
          <w:lang w:eastAsia="zh-TW"/>
        </w:rPr>
        <w:t>أعربت اللجنة في ملاحظاتها الختامية السابقة (المرجع نفسه، الفقرة 19) عن قلقها إزاء استمرار المواقف الأبوية والقوالب النمطية المتأصلة فيما يتعلق بأدوار المرأة والرجل في الأسرة والمجتمع. يرجى تقديم معلومات عن تنفيذ ورصد التدابير القائمة وكذلك أي تدابير أخرى اتخذت منذ تقديم التقرير بغرض مواجهة المواقف النمطية تجاه النساء والفتيات، بمن فيهن اللاتي يعانين من أشكال متعددة من التمييز على أساس انتمائهن العرقي أو السن أو</w:t>
      </w:r>
      <w:r w:rsidRPr="007303B1">
        <w:rPr>
          <w:rFonts w:hint="cs"/>
          <w:rtl/>
          <w:lang w:eastAsia="zh-TW"/>
        </w:rPr>
        <w:t> </w:t>
      </w:r>
      <w:r w:rsidRPr="007303B1">
        <w:rPr>
          <w:rtl/>
          <w:lang w:eastAsia="zh-TW"/>
        </w:rPr>
        <w:t>الإعاقة أو الميل الجنسي وغير ذلك من الخصائص.</w:t>
      </w:r>
    </w:p>
    <w:p w:rsidR="007303B1" w:rsidRPr="007303B1" w:rsidRDefault="007303B1" w:rsidP="007303B1">
      <w:pPr>
        <w:tabs>
          <w:tab w:val="left" w:pos="1267"/>
          <w:tab w:val="left" w:pos="1930"/>
          <w:tab w:val="left" w:pos="2592"/>
          <w:tab w:val="left" w:pos="3254"/>
          <w:tab w:val="left" w:pos="3917"/>
          <w:tab w:val="left" w:pos="4579"/>
          <w:tab w:val="left" w:pos="5242"/>
          <w:tab w:val="left" w:pos="5904"/>
          <w:tab w:val="left" w:pos="6566"/>
        </w:tabs>
        <w:spacing w:line="120" w:lineRule="exact"/>
        <w:ind w:left="1267" w:right="1267"/>
        <w:textDirection w:val="tbRlV"/>
        <w:rPr>
          <w:sz w:val="10"/>
          <w:lang w:eastAsia="zh-TW"/>
        </w:rPr>
      </w:pPr>
    </w:p>
    <w:p w:rsidR="007303B1" w:rsidRPr="007303B1" w:rsidRDefault="007303B1" w:rsidP="007303B1">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1"/>
        <w:rPr>
          <w:b/>
          <w:bCs/>
          <w:spacing w:val="2"/>
          <w:rtl/>
          <w:lang w:eastAsia="zh-TW"/>
        </w:rPr>
      </w:pPr>
      <w:r w:rsidRPr="007303B1">
        <w:rPr>
          <w:b/>
          <w:bCs/>
          <w:spacing w:val="2"/>
          <w:rtl/>
          <w:lang w:eastAsia="zh-TW"/>
        </w:rPr>
        <w:tab/>
      </w:r>
      <w:r w:rsidRPr="007303B1">
        <w:rPr>
          <w:b/>
          <w:bCs/>
          <w:spacing w:val="2"/>
          <w:rtl/>
          <w:lang w:eastAsia="zh-TW"/>
        </w:rPr>
        <w:tab/>
        <w:t xml:space="preserve">العنف ضد المرأة </w:t>
      </w:r>
    </w:p>
    <w:p w:rsidR="007303B1" w:rsidRPr="007303B1" w:rsidRDefault="007303B1" w:rsidP="007303B1">
      <w:pPr>
        <w:tabs>
          <w:tab w:val="left" w:pos="1267"/>
          <w:tab w:val="left" w:pos="1930"/>
          <w:tab w:val="left" w:pos="2592"/>
          <w:tab w:val="left" w:pos="3254"/>
          <w:tab w:val="left" w:pos="3917"/>
          <w:tab w:val="left" w:pos="4579"/>
          <w:tab w:val="left" w:pos="5242"/>
          <w:tab w:val="left" w:pos="5904"/>
          <w:tab w:val="left" w:pos="6566"/>
        </w:tabs>
        <w:spacing w:after="120"/>
        <w:ind w:left="1267" w:right="1267"/>
        <w:textDirection w:val="tbRlV"/>
        <w:rPr>
          <w:rtl/>
          <w:lang w:eastAsia="zh-TW"/>
        </w:rPr>
      </w:pPr>
      <w:r w:rsidRPr="007303B1">
        <w:rPr>
          <w:rtl/>
          <w:lang w:eastAsia="zh-TW"/>
        </w:rPr>
        <w:t xml:space="preserve">٧ - </w:t>
      </w:r>
      <w:r w:rsidRPr="007303B1">
        <w:rPr>
          <w:lang w:eastAsia="zh-TW"/>
        </w:rPr>
        <w:tab/>
      </w:r>
      <w:r w:rsidRPr="007303B1">
        <w:rPr>
          <w:rtl/>
          <w:lang w:eastAsia="zh-TW"/>
        </w:rPr>
        <w:t xml:space="preserve">يُشار إلى أن إطاراً أُعِدّ، وقت إعداد هذا التقرير، لقانون بشأن منع العنف المنزلي وجرى تقديمه إلى البرلمان (الفقرة 95). يرجى تقديم معلومات مستكملة عن الوضع الحالي لمشروع القانون وفحواه، وتحديداً عما إذا كان يتناول جريمة الاغتصاب الزوجي، وما إذا كان المتهمون بارتكاب أعمال العنف المنزلي سيحاكمون تلقائياً. </w:t>
      </w:r>
    </w:p>
    <w:p w:rsidR="007303B1" w:rsidRPr="007303B1" w:rsidRDefault="007303B1" w:rsidP="007303B1">
      <w:pPr>
        <w:tabs>
          <w:tab w:val="left" w:pos="1267"/>
          <w:tab w:val="left" w:pos="1930"/>
          <w:tab w:val="left" w:pos="2592"/>
          <w:tab w:val="left" w:pos="3254"/>
          <w:tab w:val="left" w:pos="3917"/>
          <w:tab w:val="left" w:pos="4579"/>
          <w:tab w:val="left" w:pos="5242"/>
          <w:tab w:val="left" w:pos="5904"/>
          <w:tab w:val="left" w:pos="6566"/>
        </w:tabs>
        <w:spacing w:after="120"/>
        <w:ind w:left="1267" w:right="1267"/>
        <w:textDirection w:val="tbRlV"/>
        <w:rPr>
          <w:lang w:eastAsia="zh-TW"/>
        </w:rPr>
      </w:pPr>
      <w:r w:rsidRPr="007303B1">
        <w:rPr>
          <w:rtl/>
          <w:lang w:eastAsia="zh-TW"/>
        </w:rPr>
        <w:t xml:space="preserve">٨ - </w:t>
      </w:r>
      <w:r w:rsidRPr="007303B1">
        <w:rPr>
          <w:lang w:eastAsia="zh-TW"/>
        </w:rPr>
        <w:tab/>
      </w:r>
      <w:r w:rsidRPr="007303B1">
        <w:rPr>
          <w:rtl/>
          <w:lang w:eastAsia="zh-TW"/>
        </w:rPr>
        <w:t>ويشار إلى أن نسبة 46.2 في المائة فقط من النساء ضحايا العنف، بناءً على نتائج دراسة استقصائية أجريت في عام 2011، لجأت إلى هيئات إنفاذ القانون طلباً للمساعدة، في حين أن 27.7 في المائة طلبن المساعدة من أقاربهن و17 في المائة طلبنها من المحليات (الفقرة 97). يرجى تقديم معلومات وبيانات عن عدد الشكاوى المقدمة خلال الفترة قيد الاستعراض، وعدد المحاكمات والإدانات والعقوبات المفروضة، مع ذِكْر العلاقة بين الجاني والضحية. ويرجى تقديم معلومات عن التدابير المتخذة لإزالة أي عقبات تواجه النساء ضحايا العنف في الوصول إلى العدالة. ويُرجى أيضاً تقديم معلومات عن عدد دور إيواء الضحايا في الدولة الطرف وطبيعة تمويلها.</w:t>
      </w:r>
    </w:p>
    <w:p w:rsidR="007303B1" w:rsidRPr="007303B1" w:rsidRDefault="007303B1" w:rsidP="007303B1">
      <w:pPr>
        <w:tabs>
          <w:tab w:val="left" w:pos="1267"/>
          <w:tab w:val="left" w:pos="1930"/>
          <w:tab w:val="left" w:pos="2592"/>
          <w:tab w:val="left" w:pos="3254"/>
          <w:tab w:val="left" w:pos="3917"/>
          <w:tab w:val="left" w:pos="4579"/>
          <w:tab w:val="left" w:pos="5242"/>
          <w:tab w:val="left" w:pos="5904"/>
          <w:tab w:val="left" w:pos="6566"/>
        </w:tabs>
        <w:spacing w:line="120" w:lineRule="exact"/>
        <w:ind w:left="1267" w:right="1267"/>
        <w:textDirection w:val="tbRlV"/>
        <w:rPr>
          <w:sz w:val="10"/>
          <w:lang w:eastAsia="zh-TW"/>
        </w:rPr>
      </w:pPr>
    </w:p>
    <w:p w:rsidR="007303B1" w:rsidRPr="007303B1" w:rsidRDefault="007303B1" w:rsidP="007303B1">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1"/>
        <w:rPr>
          <w:b/>
          <w:bCs/>
          <w:spacing w:val="2"/>
          <w:rtl/>
          <w:lang w:eastAsia="zh-TW"/>
        </w:rPr>
      </w:pPr>
      <w:r w:rsidRPr="007303B1">
        <w:rPr>
          <w:b/>
          <w:bCs/>
          <w:spacing w:val="2"/>
          <w:rtl/>
          <w:lang w:eastAsia="zh-TW"/>
        </w:rPr>
        <w:tab/>
      </w:r>
      <w:r w:rsidRPr="007303B1">
        <w:rPr>
          <w:b/>
          <w:bCs/>
          <w:spacing w:val="2"/>
          <w:rtl/>
          <w:lang w:eastAsia="zh-TW"/>
        </w:rPr>
        <w:tab/>
        <w:t>الاتجار بالنساء واستغلالهن في البغاء</w:t>
      </w:r>
    </w:p>
    <w:p w:rsidR="007303B1" w:rsidRPr="007303B1" w:rsidRDefault="007303B1" w:rsidP="007303B1">
      <w:pPr>
        <w:tabs>
          <w:tab w:val="left" w:pos="1267"/>
          <w:tab w:val="left" w:pos="1930"/>
          <w:tab w:val="left" w:pos="2592"/>
          <w:tab w:val="left" w:pos="3254"/>
          <w:tab w:val="left" w:pos="3917"/>
          <w:tab w:val="left" w:pos="4579"/>
          <w:tab w:val="left" w:pos="5242"/>
          <w:tab w:val="left" w:pos="5904"/>
          <w:tab w:val="left" w:pos="6566"/>
        </w:tabs>
        <w:spacing w:after="120"/>
        <w:ind w:left="1267" w:right="1267"/>
        <w:textDirection w:val="tbRlV"/>
        <w:rPr>
          <w:lang w:eastAsia="zh-TW"/>
        </w:rPr>
      </w:pPr>
      <w:r w:rsidRPr="007303B1">
        <w:rPr>
          <w:rtl/>
          <w:lang w:eastAsia="zh-TW"/>
        </w:rPr>
        <w:t xml:space="preserve">٩ - </w:t>
      </w:r>
      <w:r w:rsidRPr="007303B1">
        <w:rPr>
          <w:lang w:eastAsia="zh-TW"/>
        </w:rPr>
        <w:tab/>
      </w:r>
      <w:r w:rsidRPr="007303B1">
        <w:rPr>
          <w:rtl/>
          <w:lang w:eastAsia="zh-TW"/>
        </w:rPr>
        <w:t>يُشار إلى أن الدولة الطرف اعتمدت خطتي عمل للفترتين 2011-2012 و2013-3014 لتعزيز فعالية الإجراءات المتخذة لمكافحة الاتجار بالبشر والتصدي له (الفقرة 109). يرجى تقديم معلومات مستكملة عن تنفيذهما، والإفادة بما إذا جرى تمديدهما إلى ما بعد عام 2014. ويرجى أيضاً تقديم معلومات عن الحالة الراهنة لمشروع القرار الذي أصدره الرئيس بشأن تأسيس صندوق لتقديم المساعدة إلى ضحايا الجرائم، المذكور في الفقرة</w:t>
      </w:r>
      <w:r w:rsidRPr="007303B1">
        <w:rPr>
          <w:rFonts w:hint="cs"/>
          <w:rtl/>
          <w:lang w:eastAsia="zh-TW"/>
        </w:rPr>
        <w:t> </w:t>
      </w:r>
      <w:r w:rsidRPr="007303B1">
        <w:rPr>
          <w:rtl/>
          <w:lang w:eastAsia="zh-TW"/>
        </w:rPr>
        <w:t xml:space="preserve">118. ويرجى أيضاً توفير معلومات وبيانات مصنفة حسب السن، عن النساء والفتيات ضحايا الاتجار بالبشر، ولا سيما في حالات الاتجار بالفتيات دون سن 18 عاماً. ويرجى أيضاً الإشارة إلى الإطار القانوني الذي يطبق على النساء المشتغلات بالبغاء. </w:t>
      </w:r>
    </w:p>
    <w:p w:rsidR="007303B1" w:rsidRPr="007303B1" w:rsidRDefault="007303B1" w:rsidP="007303B1">
      <w:pPr>
        <w:tabs>
          <w:tab w:val="left" w:pos="1267"/>
          <w:tab w:val="left" w:pos="1930"/>
          <w:tab w:val="left" w:pos="2592"/>
          <w:tab w:val="left" w:pos="3254"/>
          <w:tab w:val="left" w:pos="3917"/>
          <w:tab w:val="left" w:pos="4579"/>
          <w:tab w:val="left" w:pos="5242"/>
          <w:tab w:val="left" w:pos="5904"/>
          <w:tab w:val="left" w:pos="6566"/>
        </w:tabs>
        <w:spacing w:line="120" w:lineRule="exact"/>
        <w:ind w:left="1267" w:right="1267"/>
        <w:textDirection w:val="tbRlV"/>
        <w:rPr>
          <w:sz w:val="10"/>
          <w:lang w:eastAsia="zh-TW"/>
        </w:rPr>
      </w:pPr>
    </w:p>
    <w:p w:rsidR="007303B1" w:rsidRPr="007303B1" w:rsidRDefault="007303B1" w:rsidP="007303B1">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1"/>
        <w:rPr>
          <w:b/>
          <w:bCs/>
          <w:spacing w:val="2"/>
          <w:rtl/>
          <w:lang w:eastAsia="zh-TW"/>
        </w:rPr>
      </w:pPr>
      <w:r w:rsidRPr="007303B1">
        <w:rPr>
          <w:b/>
          <w:bCs/>
          <w:spacing w:val="2"/>
          <w:rtl/>
          <w:lang w:eastAsia="zh-TW"/>
        </w:rPr>
        <w:tab/>
      </w:r>
      <w:r w:rsidRPr="007303B1">
        <w:rPr>
          <w:b/>
          <w:bCs/>
          <w:spacing w:val="2"/>
          <w:rtl/>
          <w:lang w:eastAsia="zh-TW"/>
        </w:rPr>
        <w:tab/>
        <w:t xml:space="preserve">مشاركة المرأة في الحياة السياسية والعامة </w:t>
      </w:r>
    </w:p>
    <w:p w:rsidR="007303B1" w:rsidRPr="007303B1" w:rsidRDefault="007303B1" w:rsidP="007303B1">
      <w:pPr>
        <w:tabs>
          <w:tab w:val="left" w:pos="1267"/>
          <w:tab w:val="left" w:pos="1930"/>
          <w:tab w:val="left" w:pos="2592"/>
          <w:tab w:val="left" w:pos="3254"/>
          <w:tab w:val="left" w:pos="3917"/>
          <w:tab w:val="left" w:pos="4579"/>
          <w:tab w:val="left" w:pos="5242"/>
          <w:tab w:val="left" w:pos="5904"/>
          <w:tab w:val="left" w:pos="6566"/>
        </w:tabs>
        <w:spacing w:after="120"/>
        <w:ind w:left="1267" w:right="1267"/>
        <w:textDirection w:val="tbRlV"/>
        <w:rPr>
          <w:lang w:eastAsia="zh-TW"/>
        </w:rPr>
      </w:pPr>
      <w:r w:rsidRPr="007303B1">
        <w:rPr>
          <w:rtl/>
          <w:lang w:eastAsia="zh-TW"/>
        </w:rPr>
        <w:t xml:space="preserve">١٠ - </w:t>
      </w:r>
      <w:r w:rsidRPr="007303B1">
        <w:rPr>
          <w:lang w:eastAsia="zh-TW"/>
        </w:rPr>
        <w:tab/>
      </w:r>
      <w:r w:rsidRPr="007303B1">
        <w:rPr>
          <w:rtl/>
          <w:lang w:eastAsia="zh-TW"/>
        </w:rPr>
        <w:t>يرجى تقديم معلومات عن التدابير المتخذة للوفاء بالحصة المقررة للنساء في البرلمان ونسبتها 30 في المائة (</w:t>
      </w:r>
      <w:r w:rsidRPr="007303B1">
        <w:rPr>
          <w:rFonts w:hint="cs"/>
          <w:rtl/>
          <w:lang w:eastAsia="zh-TW"/>
        </w:rPr>
        <w:t>16,5</w:t>
      </w:r>
      <w:r w:rsidRPr="007303B1">
        <w:rPr>
          <w:rtl/>
          <w:lang w:eastAsia="zh-TW"/>
        </w:rPr>
        <w:t xml:space="preserve"> في المائة في عام 2015)، وعن أي تدابير متخذة وجزاءات مفروضة على الأحزاب السياسية التي لا تحترم تلك الحصص. ويرجى تقديم معلومات عن أي تدابير محددة اتخذت، بما فيها التدابير الخاصة المؤقتة، للنهوض بالمرأة لشغل المناصب التنفيذية في مجلس الوزراء (</w:t>
      </w:r>
      <w:r w:rsidRPr="007303B1">
        <w:rPr>
          <w:rFonts w:hint="cs"/>
          <w:rtl/>
          <w:lang w:eastAsia="zh-TW"/>
        </w:rPr>
        <w:t>6,5</w:t>
      </w:r>
      <w:r w:rsidRPr="007303B1">
        <w:rPr>
          <w:rtl/>
          <w:lang w:eastAsia="zh-TW"/>
        </w:rPr>
        <w:t xml:space="preserve"> في المائة)، وفي السلطة القضائية (13 في المائة)، وفي المناصب العليا في سلك الخارجية (</w:t>
      </w:r>
      <w:r w:rsidRPr="007303B1">
        <w:rPr>
          <w:rFonts w:hint="cs"/>
          <w:rtl/>
          <w:lang w:eastAsia="zh-TW"/>
        </w:rPr>
        <w:t>8,2</w:t>
      </w:r>
      <w:r w:rsidRPr="007303B1">
        <w:rPr>
          <w:rtl/>
          <w:lang w:eastAsia="zh-TW"/>
        </w:rPr>
        <w:t xml:space="preserve"> في المائة) بما يشمل العمل كسفيرات ورئيسات للبعثات في الخارج (3 في المائة). ويرجى أيضاً تقديم معلومات عن أي برامج محددة وتدريبات في مجال الخدمة المدنية لتعزيز مشاركة المرأة في الحياة السياسية والعامة. ويرجى أيضاً تقديم معلومات عن مستوى مشاركة المرأة في الانتخابات كناخبات.</w:t>
      </w:r>
    </w:p>
    <w:p w:rsidR="007303B1" w:rsidRPr="007303B1" w:rsidRDefault="007303B1" w:rsidP="007303B1">
      <w:pPr>
        <w:tabs>
          <w:tab w:val="left" w:pos="1267"/>
          <w:tab w:val="left" w:pos="1930"/>
          <w:tab w:val="left" w:pos="2592"/>
          <w:tab w:val="left" w:pos="3254"/>
          <w:tab w:val="left" w:pos="3917"/>
          <w:tab w:val="left" w:pos="4579"/>
          <w:tab w:val="left" w:pos="5242"/>
          <w:tab w:val="left" w:pos="5904"/>
          <w:tab w:val="left" w:pos="6566"/>
        </w:tabs>
        <w:spacing w:line="120" w:lineRule="exact"/>
        <w:ind w:left="1267" w:right="1267"/>
        <w:textDirection w:val="tbRlV"/>
        <w:rPr>
          <w:sz w:val="10"/>
          <w:lang w:eastAsia="zh-TW"/>
        </w:rPr>
      </w:pPr>
    </w:p>
    <w:p w:rsidR="007303B1" w:rsidRPr="007303B1" w:rsidRDefault="007303B1" w:rsidP="007303B1">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1"/>
        <w:rPr>
          <w:b/>
          <w:bCs/>
          <w:spacing w:val="2"/>
          <w:rtl/>
          <w:lang w:eastAsia="zh-TW"/>
        </w:rPr>
      </w:pPr>
      <w:r w:rsidRPr="007303B1">
        <w:rPr>
          <w:b/>
          <w:bCs/>
          <w:spacing w:val="2"/>
          <w:rtl/>
          <w:lang w:eastAsia="zh-TW"/>
        </w:rPr>
        <w:tab/>
      </w:r>
      <w:r w:rsidRPr="007303B1">
        <w:rPr>
          <w:b/>
          <w:bCs/>
          <w:spacing w:val="2"/>
          <w:rtl/>
          <w:lang w:eastAsia="zh-TW"/>
        </w:rPr>
        <w:tab/>
        <w:t xml:space="preserve">التعليم </w:t>
      </w:r>
    </w:p>
    <w:p w:rsidR="007303B1" w:rsidRPr="007303B1" w:rsidRDefault="007303B1" w:rsidP="007303B1">
      <w:pPr>
        <w:tabs>
          <w:tab w:val="left" w:pos="1267"/>
          <w:tab w:val="left" w:pos="1930"/>
          <w:tab w:val="left" w:pos="2592"/>
          <w:tab w:val="left" w:pos="3254"/>
          <w:tab w:val="left" w:pos="3917"/>
          <w:tab w:val="left" w:pos="4579"/>
          <w:tab w:val="left" w:pos="5242"/>
          <w:tab w:val="left" w:pos="5904"/>
          <w:tab w:val="left" w:pos="6566"/>
        </w:tabs>
        <w:spacing w:after="120"/>
        <w:ind w:left="1267" w:right="1267"/>
        <w:textDirection w:val="tbRlV"/>
        <w:rPr>
          <w:rtl/>
          <w:lang w:eastAsia="zh-TW"/>
        </w:rPr>
      </w:pPr>
      <w:r w:rsidRPr="007303B1">
        <w:rPr>
          <w:rtl/>
          <w:lang w:eastAsia="zh-TW"/>
        </w:rPr>
        <w:t xml:space="preserve">١١ - </w:t>
      </w:r>
      <w:r w:rsidRPr="007303B1">
        <w:rPr>
          <w:lang w:eastAsia="zh-TW"/>
        </w:rPr>
        <w:tab/>
      </w:r>
      <w:r w:rsidRPr="007303B1">
        <w:rPr>
          <w:rtl/>
          <w:lang w:eastAsia="zh-TW"/>
        </w:rPr>
        <w:t>يورَد اعتراف بوجود فروق في نسب التحاق البنات والأولاد بفئتي المعاهد المتوسطة المتخصصة ومعاهد التدريب المهني، وفي معدلات التحاقهم بمؤسسات التعليم العالي وبرامج البكالوريوس والماجستير (الفقرتان 189 و</w:t>
      </w:r>
      <w:r w:rsidRPr="007303B1">
        <w:rPr>
          <w:rFonts w:hint="cs"/>
          <w:rtl/>
          <w:lang w:eastAsia="zh-TW"/>
        </w:rPr>
        <w:t> </w:t>
      </w:r>
      <w:r w:rsidRPr="007303B1">
        <w:rPr>
          <w:rtl/>
          <w:lang w:eastAsia="zh-TW"/>
        </w:rPr>
        <w:t xml:space="preserve">192). يرجى تقديم معلومات عن التدابير المتخذة لمكافحة القوالب النمطية الجنسانية على جميع مستويات النظام التعليمي. ويرجى أيضاً تقديم معلومات عن أثر الممارسة الضارة المتمثلة في الزواج المبكر على معدلات الانقطاع عن الدراسة للفتيات والتدابير المتخذة للتصدي لهذه المشكلة. </w:t>
      </w:r>
    </w:p>
    <w:p w:rsidR="007303B1" w:rsidRPr="007303B1" w:rsidRDefault="007303B1" w:rsidP="007303B1">
      <w:pPr>
        <w:tabs>
          <w:tab w:val="left" w:pos="1267"/>
          <w:tab w:val="left" w:pos="1930"/>
          <w:tab w:val="left" w:pos="2592"/>
          <w:tab w:val="left" w:pos="3254"/>
          <w:tab w:val="left" w:pos="3917"/>
          <w:tab w:val="left" w:pos="4579"/>
          <w:tab w:val="left" w:pos="5242"/>
          <w:tab w:val="left" w:pos="5904"/>
          <w:tab w:val="left" w:pos="6566"/>
        </w:tabs>
        <w:spacing w:after="120"/>
        <w:ind w:left="1267" w:right="1267"/>
        <w:textDirection w:val="tbRlV"/>
        <w:rPr>
          <w:lang w:eastAsia="zh-TW"/>
        </w:rPr>
      </w:pPr>
      <w:r w:rsidRPr="007303B1">
        <w:rPr>
          <w:rtl/>
          <w:lang w:eastAsia="zh-TW"/>
        </w:rPr>
        <w:t xml:space="preserve">١٢ - </w:t>
      </w:r>
      <w:r w:rsidRPr="007303B1">
        <w:rPr>
          <w:lang w:eastAsia="zh-TW"/>
        </w:rPr>
        <w:tab/>
      </w:r>
      <w:r w:rsidRPr="007303B1">
        <w:rPr>
          <w:rtl/>
          <w:lang w:eastAsia="zh-TW"/>
        </w:rPr>
        <w:t xml:space="preserve">يرجى تقديم معلومات عن التدابير المتخذة لمعالجة تركُّز النساء في مجالات التعليم المؤنثة تقليدياً (أُشير إليها في الفقرة 193 بوصفها مجالات مفضلة لدى </w:t>
      </w:r>
      <w:r w:rsidRPr="007303B1">
        <w:rPr>
          <w:rFonts w:hint="cs"/>
          <w:rtl/>
          <w:lang w:eastAsia="zh-TW"/>
        </w:rPr>
        <w:t>72,6</w:t>
      </w:r>
      <w:r w:rsidRPr="007303B1">
        <w:rPr>
          <w:rtl/>
          <w:lang w:eastAsia="zh-TW"/>
        </w:rPr>
        <w:t xml:space="preserve"> في المائة من الطالبات). ويرجى أيضاً تقديم معلومات عن التدابير المتخذة لتمكين النساء والفتيات من الوصول إلى المرافق التعليمية، حيث ذُكِر أيضاً أن الاختيار لا يتأثر بالعوامل الاقتصادية والتقاليد الأسرية فحسب، بل أيضاً بموقع المعاهد التعليمية (الفقرة 189). </w:t>
      </w:r>
    </w:p>
    <w:p w:rsidR="007303B1" w:rsidRPr="007303B1" w:rsidRDefault="007303B1" w:rsidP="007303B1">
      <w:pPr>
        <w:tabs>
          <w:tab w:val="left" w:pos="1267"/>
          <w:tab w:val="left" w:pos="1930"/>
          <w:tab w:val="left" w:pos="2592"/>
          <w:tab w:val="left" w:pos="3254"/>
          <w:tab w:val="left" w:pos="3917"/>
          <w:tab w:val="left" w:pos="4579"/>
          <w:tab w:val="left" w:pos="5242"/>
          <w:tab w:val="left" w:pos="5904"/>
          <w:tab w:val="left" w:pos="6566"/>
        </w:tabs>
        <w:spacing w:line="120" w:lineRule="exact"/>
        <w:ind w:left="1267" w:right="1267"/>
        <w:textDirection w:val="tbRlV"/>
        <w:rPr>
          <w:sz w:val="10"/>
          <w:lang w:eastAsia="zh-TW"/>
        </w:rPr>
      </w:pPr>
    </w:p>
    <w:p w:rsidR="007303B1" w:rsidRPr="007303B1" w:rsidRDefault="007303B1" w:rsidP="007303B1">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1"/>
        <w:rPr>
          <w:b/>
          <w:bCs/>
          <w:spacing w:val="2"/>
          <w:rtl/>
          <w:lang w:eastAsia="zh-TW"/>
        </w:rPr>
      </w:pPr>
      <w:r w:rsidRPr="007303B1">
        <w:rPr>
          <w:b/>
          <w:bCs/>
          <w:spacing w:val="2"/>
          <w:rtl/>
          <w:lang w:eastAsia="zh-TW"/>
        </w:rPr>
        <w:tab/>
      </w:r>
      <w:r w:rsidRPr="007303B1">
        <w:rPr>
          <w:b/>
          <w:bCs/>
          <w:spacing w:val="2"/>
          <w:rtl/>
          <w:lang w:eastAsia="zh-TW"/>
        </w:rPr>
        <w:tab/>
        <w:t>العمالة</w:t>
      </w:r>
    </w:p>
    <w:p w:rsidR="007303B1" w:rsidRPr="007303B1" w:rsidRDefault="007303B1" w:rsidP="007303B1">
      <w:pPr>
        <w:tabs>
          <w:tab w:val="left" w:pos="1267"/>
          <w:tab w:val="left" w:pos="1930"/>
          <w:tab w:val="left" w:pos="2592"/>
          <w:tab w:val="left" w:pos="3254"/>
          <w:tab w:val="left" w:pos="3917"/>
          <w:tab w:val="left" w:pos="4579"/>
          <w:tab w:val="left" w:pos="5242"/>
          <w:tab w:val="left" w:pos="5904"/>
          <w:tab w:val="left" w:pos="6566"/>
        </w:tabs>
        <w:spacing w:after="120"/>
        <w:ind w:left="1267" w:right="1267"/>
        <w:textDirection w:val="tbRlV"/>
        <w:rPr>
          <w:rtl/>
          <w:lang w:eastAsia="zh-TW"/>
        </w:rPr>
      </w:pPr>
      <w:r w:rsidRPr="007303B1">
        <w:rPr>
          <w:rtl/>
          <w:lang w:eastAsia="zh-TW"/>
        </w:rPr>
        <w:t>١٣ -</w:t>
      </w:r>
      <w:r w:rsidRPr="007303B1">
        <w:rPr>
          <w:lang w:eastAsia="zh-TW"/>
        </w:rPr>
        <w:tab/>
      </w:r>
      <w:r w:rsidRPr="007303B1">
        <w:rPr>
          <w:rtl/>
          <w:lang w:eastAsia="zh-TW"/>
        </w:rPr>
        <w:t xml:space="preserve">يشار إلى أن نسبة 40 في المائة فقط من جميع فرص العمل الجديدة المتاحة في الدولة الطرف، تخصص للنساء (الفقرة 194)، وإلى أن المرأة في عام 2012 ترأست نسبة </w:t>
      </w:r>
      <w:r w:rsidRPr="007303B1">
        <w:rPr>
          <w:rFonts w:hint="cs"/>
          <w:rtl/>
          <w:lang w:eastAsia="zh-TW" w:bidi="ar-EG"/>
        </w:rPr>
        <w:t xml:space="preserve">40,4 </w:t>
      </w:r>
      <w:r w:rsidRPr="007303B1">
        <w:rPr>
          <w:rtl/>
          <w:lang w:eastAsia="zh-TW"/>
        </w:rPr>
        <w:t xml:space="preserve">في المائة من المشاريع الصغيرة ونسبة </w:t>
      </w:r>
      <w:r w:rsidRPr="007303B1">
        <w:rPr>
          <w:rFonts w:hint="cs"/>
          <w:rtl/>
          <w:lang w:eastAsia="zh-TW"/>
        </w:rPr>
        <w:t>13,7</w:t>
      </w:r>
      <w:r w:rsidRPr="007303B1">
        <w:rPr>
          <w:rtl/>
          <w:lang w:eastAsia="zh-TW"/>
        </w:rPr>
        <w:t xml:space="preserve"> في المائة فقط من الأعمال الحرة المتناهية الصغر (الفقرة 197). يرجى توضيح ما إذا فُرِضَت حدود أو محاذير على الوظائف المقررة للنساء في الدولة الطرف. ويرجى تقديم معلومات عن التدابير المتخذة لمعالجة نقص تمثيل المرأة في صفوف مباشري الأعمال الحرة. ويرجى أيضاً تقديم معلومات عن توافر مرافق رعاية الأطفال وميسوريتها بما يمكن النساء من التوفيق بين العمل والحياة الأسرية. </w:t>
      </w:r>
    </w:p>
    <w:p w:rsidR="007303B1" w:rsidRPr="007303B1" w:rsidRDefault="007303B1" w:rsidP="007303B1">
      <w:pPr>
        <w:tabs>
          <w:tab w:val="left" w:pos="1267"/>
          <w:tab w:val="left" w:pos="1930"/>
          <w:tab w:val="left" w:pos="2592"/>
          <w:tab w:val="left" w:pos="3254"/>
          <w:tab w:val="left" w:pos="3917"/>
          <w:tab w:val="left" w:pos="4579"/>
          <w:tab w:val="left" w:pos="5242"/>
          <w:tab w:val="left" w:pos="5904"/>
          <w:tab w:val="left" w:pos="6566"/>
        </w:tabs>
        <w:spacing w:after="120"/>
        <w:ind w:left="1267" w:right="1267"/>
        <w:textDirection w:val="tbRlV"/>
        <w:rPr>
          <w:rtl/>
          <w:lang w:eastAsia="zh-TW"/>
        </w:rPr>
      </w:pPr>
      <w:r w:rsidRPr="007303B1">
        <w:rPr>
          <w:rtl/>
          <w:lang w:eastAsia="zh-TW"/>
        </w:rPr>
        <w:t>١٤ -</w:t>
      </w:r>
      <w:r w:rsidRPr="007303B1">
        <w:rPr>
          <w:lang w:eastAsia="zh-TW"/>
        </w:rPr>
        <w:tab/>
      </w:r>
      <w:r w:rsidRPr="007303B1">
        <w:rPr>
          <w:rtl/>
          <w:lang w:eastAsia="zh-TW"/>
        </w:rPr>
        <w:t>ويرجى تقديم معلومات عن أي خطوات تتخذ للإعمال القانوني الكامل لمبدأ الأجر المتساوي لقاء العمل المتساوي القيمة ومعلومات وافية عن التشريعات المحددة لحظر التحرش الجنسي في مكان العمل، على النحو الموصى به في الملاحظات الختامية السابقة للجنة (</w:t>
      </w:r>
      <w:hyperlink r:id="rId18" w:history="1">
        <w:r w:rsidRPr="003728BA">
          <w:rPr>
            <w:rStyle w:val="Hyperlink"/>
            <w:lang w:eastAsia="zh-TW"/>
          </w:rPr>
          <w:t>CEDAW/C/UZB/CO/4</w:t>
        </w:r>
      </w:hyperlink>
      <w:r w:rsidRPr="007303B1">
        <w:rPr>
          <w:rtl/>
          <w:lang w:eastAsia="zh-TW"/>
        </w:rPr>
        <w:t xml:space="preserve">، الفقرة 33). ويرجى أيضاً تقديم معلومات وافية عن التدابير المتخذة لدعم وحماية العدد الكبير من النساء المشتغلات في القطاع غير الرسمي. </w:t>
      </w:r>
    </w:p>
    <w:p w:rsidR="007303B1" w:rsidRPr="007303B1" w:rsidRDefault="007303B1" w:rsidP="007303B1">
      <w:pPr>
        <w:tabs>
          <w:tab w:val="left" w:pos="1267"/>
          <w:tab w:val="left" w:pos="1930"/>
          <w:tab w:val="left" w:pos="2592"/>
          <w:tab w:val="left" w:pos="3254"/>
          <w:tab w:val="left" w:pos="3917"/>
          <w:tab w:val="left" w:pos="4579"/>
          <w:tab w:val="left" w:pos="5242"/>
          <w:tab w:val="left" w:pos="5904"/>
          <w:tab w:val="left" w:pos="6566"/>
        </w:tabs>
        <w:spacing w:after="120"/>
        <w:ind w:left="1267" w:right="1267"/>
        <w:textDirection w:val="tbRlV"/>
        <w:rPr>
          <w:lang w:eastAsia="zh-TW"/>
        </w:rPr>
      </w:pPr>
      <w:r w:rsidRPr="007303B1">
        <w:rPr>
          <w:rtl/>
          <w:lang w:eastAsia="zh-TW"/>
        </w:rPr>
        <w:t>١٥ -</w:t>
      </w:r>
      <w:r w:rsidRPr="007303B1">
        <w:rPr>
          <w:lang w:eastAsia="zh-TW"/>
        </w:rPr>
        <w:tab/>
      </w:r>
      <w:r w:rsidRPr="007303B1">
        <w:rPr>
          <w:rtl/>
          <w:lang w:eastAsia="zh-TW"/>
        </w:rPr>
        <w:t xml:space="preserve">يشار إلى تقديم مشروع قانون للهجرة إلى مجلس الوزراء لينظر فيه، وإلى أن الدولة الطرف ترى أن من السابق لأوانه أن تنضم إلى الاتفاقية الدولية لحماية حقوق جميع العمال المهاجرين وأفراد أسرهم قبل اعتماد هذا القانون (الفقرة 212). يرجى تقديم معلومات مستكملة عن وضعه الحالي وعن التدابير المتخذة لحماية حقوق العاملات المهاجرات. </w:t>
      </w:r>
    </w:p>
    <w:p w:rsidR="007303B1" w:rsidRPr="007303B1" w:rsidRDefault="007303B1" w:rsidP="007303B1">
      <w:pPr>
        <w:tabs>
          <w:tab w:val="left" w:pos="1267"/>
          <w:tab w:val="left" w:pos="1930"/>
          <w:tab w:val="left" w:pos="2592"/>
          <w:tab w:val="left" w:pos="3254"/>
          <w:tab w:val="left" w:pos="3917"/>
          <w:tab w:val="left" w:pos="4579"/>
          <w:tab w:val="left" w:pos="5242"/>
          <w:tab w:val="left" w:pos="5904"/>
          <w:tab w:val="left" w:pos="6566"/>
        </w:tabs>
        <w:spacing w:line="120" w:lineRule="exact"/>
        <w:ind w:left="1267" w:right="1267"/>
        <w:textDirection w:val="tbRlV"/>
        <w:rPr>
          <w:sz w:val="10"/>
          <w:rtl/>
          <w:lang w:eastAsia="zh-TW"/>
        </w:rPr>
      </w:pPr>
    </w:p>
    <w:p w:rsidR="007303B1" w:rsidRPr="007303B1" w:rsidRDefault="007303B1" w:rsidP="007303B1">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1"/>
        <w:rPr>
          <w:b/>
          <w:bCs/>
          <w:spacing w:val="2"/>
          <w:rtl/>
          <w:lang w:eastAsia="zh-TW"/>
        </w:rPr>
      </w:pPr>
      <w:r w:rsidRPr="007303B1">
        <w:rPr>
          <w:b/>
          <w:bCs/>
          <w:spacing w:val="2"/>
          <w:rtl/>
          <w:lang w:eastAsia="zh-TW"/>
        </w:rPr>
        <w:tab/>
      </w:r>
      <w:r w:rsidRPr="007303B1">
        <w:rPr>
          <w:b/>
          <w:bCs/>
          <w:spacing w:val="2"/>
          <w:rtl/>
          <w:lang w:eastAsia="zh-TW"/>
        </w:rPr>
        <w:tab/>
        <w:t>الصحة</w:t>
      </w:r>
    </w:p>
    <w:p w:rsidR="007303B1" w:rsidRPr="007303B1" w:rsidRDefault="007303B1" w:rsidP="007303B1">
      <w:pPr>
        <w:tabs>
          <w:tab w:val="left" w:pos="1267"/>
          <w:tab w:val="left" w:pos="1930"/>
          <w:tab w:val="left" w:pos="2592"/>
          <w:tab w:val="left" w:pos="3254"/>
          <w:tab w:val="left" w:pos="3917"/>
          <w:tab w:val="left" w:pos="4579"/>
          <w:tab w:val="left" w:pos="5242"/>
          <w:tab w:val="left" w:pos="5904"/>
          <w:tab w:val="left" w:pos="6566"/>
        </w:tabs>
        <w:spacing w:after="120"/>
        <w:ind w:left="1267" w:right="1267"/>
        <w:textDirection w:val="tbRlV"/>
        <w:rPr>
          <w:lang w:eastAsia="zh-TW"/>
        </w:rPr>
      </w:pPr>
      <w:r w:rsidRPr="007303B1">
        <w:rPr>
          <w:rtl/>
          <w:lang w:eastAsia="zh-TW"/>
        </w:rPr>
        <w:t xml:space="preserve">١٦ - </w:t>
      </w:r>
      <w:r w:rsidRPr="007303B1">
        <w:rPr>
          <w:lang w:eastAsia="zh-TW"/>
        </w:rPr>
        <w:tab/>
      </w:r>
      <w:r w:rsidRPr="007303B1">
        <w:rPr>
          <w:rtl/>
          <w:lang w:eastAsia="zh-TW"/>
        </w:rPr>
        <w:t>وفقاً للمعلومات المعروضة على اللجنة، توجد مزاعم بإجراء عمليات تعقيم قسري للنساء في الدولة الطرف، تُجرى بدون علم النساء، كما أن التوصيات التي قدمها الفريق العامل المعني بالاستعراض الدوري الشامل في هذا الشأن أثناء نظره في تقرير الدولة الطرف في عام 2013 لم تلق تأييداً من الدولة الطرف. يرجى تقديم معلومات عن التدابير المتخذة للقضاء على التعقيم القسري وضمان توفير سبل مأمونة لمنع الحمل. ويرجى أيضاً تقديم معلومات عن الإطار القانوني المقرر لعمليات الإجهاض في الدولة الطرف.</w:t>
      </w:r>
    </w:p>
    <w:p w:rsidR="007303B1" w:rsidRPr="007303B1" w:rsidRDefault="007303B1" w:rsidP="007303B1">
      <w:pPr>
        <w:tabs>
          <w:tab w:val="left" w:pos="1267"/>
          <w:tab w:val="left" w:pos="1930"/>
          <w:tab w:val="left" w:pos="2592"/>
          <w:tab w:val="left" w:pos="3254"/>
          <w:tab w:val="left" w:pos="3917"/>
          <w:tab w:val="left" w:pos="4579"/>
          <w:tab w:val="left" w:pos="5242"/>
          <w:tab w:val="left" w:pos="5904"/>
          <w:tab w:val="left" w:pos="6566"/>
        </w:tabs>
        <w:spacing w:line="120" w:lineRule="exact"/>
        <w:ind w:left="1267" w:right="1267"/>
        <w:textDirection w:val="tbRlV"/>
        <w:rPr>
          <w:sz w:val="10"/>
          <w:lang w:eastAsia="zh-TW"/>
        </w:rPr>
      </w:pPr>
    </w:p>
    <w:p w:rsidR="007303B1" w:rsidRPr="007303B1" w:rsidRDefault="007303B1" w:rsidP="007303B1">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1"/>
        <w:rPr>
          <w:b/>
          <w:bCs/>
          <w:spacing w:val="2"/>
          <w:rtl/>
          <w:lang w:eastAsia="zh-TW"/>
        </w:rPr>
      </w:pPr>
      <w:r w:rsidRPr="007303B1">
        <w:rPr>
          <w:b/>
          <w:bCs/>
          <w:spacing w:val="2"/>
          <w:rtl/>
          <w:lang w:eastAsia="zh-TW"/>
        </w:rPr>
        <w:tab/>
      </w:r>
      <w:r w:rsidRPr="007303B1">
        <w:rPr>
          <w:b/>
          <w:bCs/>
          <w:spacing w:val="2"/>
          <w:rtl/>
          <w:lang w:eastAsia="zh-TW"/>
        </w:rPr>
        <w:tab/>
        <w:t xml:space="preserve">المرأة الريفية </w:t>
      </w:r>
    </w:p>
    <w:p w:rsidR="007303B1" w:rsidRPr="007303B1" w:rsidRDefault="007303B1" w:rsidP="007303B1">
      <w:pPr>
        <w:tabs>
          <w:tab w:val="left" w:pos="1267"/>
          <w:tab w:val="left" w:pos="1930"/>
          <w:tab w:val="left" w:pos="2592"/>
          <w:tab w:val="left" w:pos="3254"/>
          <w:tab w:val="left" w:pos="3917"/>
          <w:tab w:val="left" w:pos="4579"/>
          <w:tab w:val="left" w:pos="5242"/>
          <w:tab w:val="left" w:pos="5904"/>
          <w:tab w:val="left" w:pos="6566"/>
        </w:tabs>
        <w:spacing w:after="120"/>
        <w:ind w:left="1267" w:right="1267"/>
        <w:textDirection w:val="tbRlV"/>
        <w:rPr>
          <w:lang w:eastAsia="zh-TW"/>
        </w:rPr>
      </w:pPr>
      <w:r w:rsidRPr="007303B1">
        <w:rPr>
          <w:rtl/>
          <w:lang w:eastAsia="zh-TW"/>
        </w:rPr>
        <w:t xml:space="preserve">١٧ - </w:t>
      </w:r>
      <w:r w:rsidRPr="007303B1">
        <w:rPr>
          <w:lang w:eastAsia="zh-TW"/>
        </w:rPr>
        <w:tab/>
      </w:r>
      <w:r w:rsidRPr="007303B1">
        <w:rPr>
          <w:rtl/>
          <w:lang w:eastAsia="zh-TW"/>
        </w:rPr>
        <w:t>يشار إلى أن المزارع التي تديرها النساء، اعتباراً من كانون الثاني/يناير 2013، لا</w:t>
      </w:r>
      <w:r w:rsidRPr="007303B1">
        <w:rPr>
          <w:lang w:eastAsia="zh-TW"/>
        </w:rPr>
        <w:t> </w:t>
      </w:r>
      <w:r w:rsidRPr="007303B1">
        <w:rPr>
          <w:rtl/>
          <w:lang w:eastAsia="zh-TW"/>
        </w:rPr>
        <w:t>تشكل إلا نسبة 9 في المائة من جميع المزارع المسجلة في الدولة الطرف (الفقرة 249). يرجى تقديم معلومات عن التدابير المتخذة لتعزيز دور النساء الريفيات وقدراتهن كمديرات للمزارع، ولزيادة مشاركة الريفيات في الحياة السياسية والعامة، وتعزيز إمكانية لجوئهن إلى القضاء وحصولهن على الفرص الاقتصادية والإدارية. ويرجى أيضاً تقديم معلومات مستكملة عن نتائج المشروع المتعلق بتعزيز الحقوق الاقتصادية للمرأة في أوزبكستان الذي نُفِّذ بالتعاون مع هيئة الأمم المتحدة للمساواة بين الجنسين وتمكين المرأة في ست مناطق تجريبية (الفقرة</w:t>
      </w:r>
      <w:r w:rsidRPr="007303B1">
        <w:rPr>
          <w:lang w:eastAsia="zh-TW"/>
        </w:rPr>
        <w:t> </w:t>
      </w:r>
      <w:r w:rsidRPr="007303B1">
        <w:rPr>
          <w:rtl/>
          <w:lang w:eastAsia="zh-TW"/>
        </w:rPr>
        <w:t>250).</w:t>
      </w:r>
    </w:p>
    <w:p w:rsidR="007303B1" w:rsidRPr="007303B1" w:rsidRDefault="007303B1" w:rsidP="007303B1">
      <w:pPr>
        <w:tabs>
          <w:tab w:val="left" w:pos="1267"/>
          <w:tab w:val="left" w:pos="1930"/>
          <w:tab w:val="left" w:pos="2592"/>
          <w:tab w:val="left" w:pos="3254"/>
          <w:tab w:val="left" w:pos="3917"/>
          <w:tab w:val="left" w:pos="4579"/>
          <w:tab w:val="left" w:pos="5242"/>
          <w:tab w:val="left" w:pos="5904"/>
          <w:tab w:val="left" w:pos="6566"/>
        </w:tabs>
        <w:spacing w:line="120" w:lineRule="exact"/>
        <w:ind w:left="1267" w:right="1267"/>
        <w:textDirection w:val="tbRlV"/>
        <w:rPr>
          <w:sz w:val="10"/>
          <w:lang w:eastAsia="zh-TW"/>
        </w:rPr>
      </w:pPr>
    </w:p>
    <w:p w:rsidR="007303B1" w:rsidRPr="007303B1" w:rsidRDefault="007303B1" w:rsidP="007303B1">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1"/>
        <w:rPr>
          <w:b/>
          <w:bCs/>
          <w:spacing w:val="2"/>
          <w:rtl/>
          <w:lang w:eastAsia="zh-TW"/>
        </w:rPr>
      </w:pPr>
      <w:r w:rsidRPr="007303B1">
        <w:rPr>
          <w:b/>
          <w:bCs/>
          <w:spacing w:val="2"/>
          <w:rtl/>
          <w:lang w:eastAsia="zh-TW"/>
        </w:rPr>
        <w:tab/>
      </w:r>
      <w:r w:rsidRPr="007303B1">
        <w:rPr>
          <w:b/>
          <w:bCs/>
          <w:spacing w:val="2"/>
          <w:rtl/>
          <w:lang w:eastAsia="zh-TW"/>
        </w:rPr>
        <w:tab/>
        <w:t xml:space="preserve">النساء المحتجزات </w:t>
      </w:r>
    </w:p>
    <w:p w:rsidR="007303B1" w:rsidRPr="007303B1" w:rsidRDefault="007303B1" w:rsidP="007303B1">
      <w:pPr>
        <w:tabs>
          <w:tab w:val="left" w:pos="1267"/>
          <w:tab w:val="left" w:pos="1930"/>
          <w:tab w:val="left" w:pos="2592"/>
          <w:tab w:val="left" w:pos="3254"/>
          <w:tab w:val="left" w:pos="3917"/>
          <w:tab w:val="left" w:pos="4579"/>
          <w:tab w:val="left" w:pos="5242"/>
          <w:tab w:val="left" w:pos="5904"/>
          <w:tab w:val="left" w:pos="6566"/>
        </w:tabs>
        <w:spacing w:after="120"/>
        <w:ind w:left="1267" w:right="1267"/>
        <w:textDirection w:val="tbRlV"/>
        <w:rPr>
          <w:rtl/>
          <w:lang w:eastAsia="zh-TW"/>
        </w:rPr>
      </w:pPr>
      <w:r w:rsidRPr="007303B1">
        <w:rPr>
          <w:rtl/>
          <w:lang w:eastAsia="zh-TW"/>
        </w:rPr>
        <w:t xml:space="preserve">١٨ - </w:t>
      </w:r>
      <w:r w:rsidRPr="007303B1">
        <w:rPr>
          <w:lang w:eastAsia="zh-TW"/>
        </w:rPr>
        <w:tab/>
      </w:r>
      <w:r w:rsidRPr="007303B1">
        <w:rPr>
          <w:rtl/>
          <w:lang w:eastAsia="zh-TW"/>
        </w:rPr>
        <w:t xml:space="preserve">يشار إلى أن هيئة السجون الرئيسية أنشأت، على سبيل التجربة، منصباً لأمين مظالم معني بحقوق المساجين الأحداث والنساء في مرفق التحقيق مع المحتجزين بمدينة بخارى (الفقرة 99). يرجى تقديم معلومات مستكملة بشأن نتائج هذه المبادرة. ويرجى بيان ما إذا كانت ظروف السجون متوافقة مع قواعد الأمم المتحدة لمعاملة السجينات والتدابير غير الاحتجازية للمجرمات (قواعد بانكوك). </w:t>
      </w:r>
    </w:p>
    <w:p w:rsidR="007303B1" w:rsidRPr="007303B1" w:rsidRDefault="007303B1" w:rsidP="007303B1">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1"/>
        <w:rPr>
          <w:b/>
          <w:bCs/>
          <w:spacing w:val="2"/>
          <w:rtl/>
          <w:lang w:eastAsia="zh-TW"/>
        </w:rPr>
      </w:pPr>
      <w:r w:rsidRPr="007303B1">
        <w:rPr>
          <w:b/>
          <w:bCs/>
          <w:spacing w:val="2"/>
          <w:rtl/>
          <w:lang w:eastAsia="zh-TW"/>
        </w:rPr>
        <w:tab/>
      </w:r>
      <w:r w:rsidRPr="007303B1">
        <w:rPr>
          <w:b/>
          <w:bCs/>
          <w:spacing w:val="2"/>
          <w:rtl/>
          <w:lang w:eastAsia="zh-TW"/>
        </w:rPr>
        <w:tab/>
        <w:t>الزواج والعلاقات الأسرية</w:t>
      </w:r>
    </w:p>
    <w:p w:rsidR="007303B1" w:rsidRPr="007303B1" w:rsidRDefault="007303B1" w:rsidP="007303B1">
      <w:pPr>
        <w:tabs>
          <w:tab w:val="left" w:pos="1267"/>
          <w:tab w:val="left" w:pos="1930"/>
          <w:tab w:val="left" w:pos="2592"/>
          <w:tab w:val="left" w:pos="3254"/>
          <w:tab w:val="left" w:pos="3917"/>
          <w:tab w:val="left" w:pos="4579"/>
          <w:tab w:val="left" w:pos="5242"/>
          <w:tab w:val="left" w:pos="5904"/>
          <w:tab w:val="left" w:pos="6566"/>
        </w:tabs>
        <w:spacing w:after="120"/>
        <w:ind w:left="1267" w:right="1267"/>
        <w:textDirection w:val="tbRlV"/>
        <w:rPr>
          <w:rtl/>
          <w:lang w:eastAsia="zh-TW"/>
        </w:rPr>
      </w:pPr>
      <w:r w:rsidRPr="007303B1">
        <w:rPr>
          <w:rtl/>
          <w:lang w:eastAsia="zh-TW"/>
        </w:rPr>
        <w:t xml:space="preserve">١٩ - </w:t>
      </w:r>
      <w:r w:rsidRPr="007303B1">
        <w:rPr>
          <w:lang w:eastAsia="zh-TW"/>
        </w:rPr>
        <w:tab/>
      </w:r>
      <w:r w:rsidRPr="007303B1">
        <w:rPr>
          <w:rtl/>
          <w:lang w:eastAsia="zh-TW"/>
        </w:rPr>
        <w:t xml:space="preserve">يشار إلى أن الحد الأدنى لسن الزواج، بموجب المادة 15 من قانون الأسرة، يبلغ 18 عاماً للرجال و17 عاماً للنساء، ويجوز تخفيض سن الزواج بسنة واحدة في حالات استثنائية (الفقرة 270). يرجى تقديم معلومات عن التدابير المتخذة لزيادة السن القانونية لزواج الفتيات إلى 18 عاماً، وفقاً للمعايير الدولية. </w:t>
      </w:r>
    </w:p>
    <w:p w:rsidR="007303B1" w:rsidRPr="007303B1" w:rsidRDefault="007303B1" w:rsidP="007303B1">
      <w:pPr>
        <w:tabs>
          <w:tab w:val="left" w:pos="1267"/>
          <w:tab w:val="left" w:pos="1930"/>
          <w:tab w:val="left" w:pos="2592"/>
          <w:tab w:val="left" w:pos="3254"/>
          <w:tab w:val="left" w:pos="3917"/>
          <w:tab w:val="left" w:pos="4579"/>
          <w:tab w:val="left" w:pos="5242"/>
          <w:tab w:val="left" w:pos="5904"/>
          <w:tab w:val="left" w:pos="6566"/>
        </w:tabs>
        <w:spacing w:after="120"/>
        <w:ind w:left="1267" w:right="1267"/>
        <w:textDirection w:val="tbRlV"/>
        <w:rPr>
          <w:rtl/>
          <w:lang w:eastAsia="zh-TW"/>
        </w:rPr>
      </w:pPr>
      <w:r w:rsidRPr="007303B1">
        <w:rPr>
          <w:rtl/>
          <w:lang w:eastAsia="zh-TW"/>
        </w:rPr>
        <w:t xml:space="preserve">٢٠ - </w:t>
      </w:r>
      <w:r w:rsidRPr="007303B1">
        <w:rPr>
          <w:lang w:eastAsia="zh-TW"/>
        </w:rPr>
        <w:tab/>
      </w:r>
      <w:r w:rsidRPr="007303B1">
        <w:rPr>
          <w:rtl/>
          <w:lang w:eastAsia="zh-TW"/>
        </w:rPr>
        <w:t>وتشير الأرقام الواردة في التقرير إلى أن عدد الأشخاص الذين ارتكبوا الجرائم المحددة في المادة 126 من القانون الجنائي (بشأن الجمع بين زوجتين) ازداد من 15 شخصاً في عام 2010 إلى 23 شخصاً في عام 2013 (الفقرة 274). يرجى تقديم معلومات عن الأسباب الجذرية لاستمرار وزيادة عدد حالات تعدد الزوجات في الدولة الطرف، وعن التدابير المتخذة للقضاء على تلك الممارسة الضارة وحماية حقوق المرأة في هذه العلاقات.</w:t>
      </w:r>
    </w:p>
    <w:p w:rsidR="007303B1" w:rsidRPr="007303B1" w:rsidRDefault="007303B1" w:rsidP="003728BA">
      <w:pPr>
        <w:pStyle w:val="SingleTxt"/>
        <w:rPr>
          <w:lang w:eastAsia="zh-TW"/>
        </w:rPr>
      </w:pPr>
      <w:r w:rsidRPr="007303B1">
        <w:rPr>
          <w:rtl/>
          <w:lang w:eastAsia="zh-TW"/>
        </w:rPr>
        <w:t xml:space="preserve">٢١ - </w:t>
      </w:r>
      <w:r w:rsidRPr="007303B1">
        <w:rPr>
          <w:lang w:eastAsia="zh-TW"/>
        </w:rPr>
        <w:tab/>
      </w:r>
      <w:r w:rsidRPr="007303B1">
        <w:rPr>
          <w:rtl/>
          <w:lang w:eastAsia="zh-TW"/>
        </w:rPr>
        <w:t xml:space="preserve">ويشار إلى اللوائح المعمول بها فيما يتعلق بالممتلكات الزوجية في الدولة الطرف، واتفاقات ما قبل الزواج، وتقسيم الممتلكات عند فسخ الزواج (الفقرات 257-267). غير أنه لم تورَد إشارة إلى اللوائح المطبقة في حالات علاقات الارتباط بحكم الواقع. يرجى تقديم معلومات عن التدابير التشريعية المتخذة لحماية حقوق المرأة عند فسخ علاقات الارتباط بحكم الواقع، بغض النظر عن وضع هذه العلاقة من حيث التسجيل، بما يتوافق مع التوصية العامة للجنة رقم 29 المتعلقة بالمادة 16 من الاتفاقية (الآثار الاقتصاديـة المترتبة علـى الــزواج والعلاقات الأُسرية وعلى فسخ الزواج وإنهاء العلاقات الأسرية). </w:t>
      </w:r>
    </w:p>
    <w:p w:rsidR="007303B1" w:rsidRPr="007303B1" w:rsidRDefault="007303B1" w:rsidP="007303B1">
      <w:pPr>
        <w:tabs>
          <w:tab w:val="left" w:pos="1267"/>
          <w:tab w:val="left" w:pos="1930"/>
          <w:tab w:val="left" w:pos="2592"/>
          <w:tab w:val="left" w:pos="3254"/>
          <w:tab w:val="left" w:pos="3917"/>
          <w:tab w:val="left" w:pos="4579"/>
          <w:tab w:val="left" w:pos="5242"/>
          <w:tab w:val="left" w:pos="5904"/>
          <w:tab w:val="left" w:pos="6566"/>
        </w:tabs>
        <w:spacing w:line="120" w:lineRule="exact"/>
        <w:ind w:left="1267" w:right="1267"/>
        <w:textDirection w:val="tbRlV"/>
        <w:rPr>
          <w:sz w:val="10"/>
          <w:lang w:eastAsia="zh-TW"/>
        </w:rPr>
      </w:pPr>
    </w:p>
    <w:p w:rsidR="007303B1" w:rsidRPr="007303B1" w:rsidRDefault="007303B1" w:rsidP="007303B1">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1"/>
        <w:rPr>
          <w:b/>
          <w:bCs/>
          <w:spacing w:val="2"/>
          <w:rtl/>
          <w:lang w:eastAsia="zh-TW"/>
        </w:rPr>
      </w:pPr>
      <w:r w:rsidRPr="007303B1">
        <w:rPr>
          <w:b/>
          <w:bCs/>
          <w:spacing w:val="2"/>
          <w:rtl/>
          <w:lang w:eastAsia="zh-TW"/>
        </w:rPr>
        <w:tab/>
      </w:r>
      <w:r w:rsidRPr="007303B1">
        <w:rPr>
          <w:b/>
          <w:bCs/>
          <w:spacing w:val="2"/>
          <w:rtl/>
          <w:lang w:eastAsia="zh-TW"/>
        </w:rPr>
        <w:tab/>
        <w:t xml:space="preserve">البروتوكول الاختياري وتعديل الفقرة 1 من المادة 20 من الاتفاقية </w:t>
      </w:r>
    </w:p>
    <w:p w:rsidR="00130557" w:rsidRDefault="007303B1" w:rsidP="003728BA">
      <w:pPr>
        <w:pStyle w:val="SingleTxt"/>
        <w:rPr>
          <w:rFonts w:hint="cs"/>
          <w:rtl/>
        </w:rPr>
      </w:pPr>
      <w:r w:rsidRPr="007303B1">
        <w:rPr>
          <w:rtl/>
          <w:lang w:eastAsia="zh-TW"/>
        </w:rPr>
        <w:t xml:space="preserve">٢٢ - </w:t>
      </w:r>
      <w:r w:rsidRPr="007303B1">
        <w:rPr>
          <w:lang w:eastAsia="zh-TW"/>
        </w:rPr>
        <w:tab/>
      </w:r>
      <w:r w:rsidRPr="007303B1">
        <w:rPr>
          <w:rtl/>
          <w:lang w:eastAsia="zh-TW"/>
        </w:rPr>
        <w:t>يرجى بيان التقدم المحرز نحو التصديق على البروتوكول الاختياري الملحق بالاتفاقية وقبول التعديل الذي أدخل على الفقرة 1 من المادة 20 من الاتفاقية المتعلقة بموعد اجتماع اللجنة.</w:t>
      </w:r>
      <w:bookmarkStart w:id="1" w:name="TmpSave"/>
      <w:bookmarkEnd w:id="1"/>
    </w:p>
    <w:p w:rsidR="007303B1" w:rsidRPr="007303B1" w:rsidRDefault="007303B1" w:rsidP="007303B1">
      <w:pPr>
        <w:pStyle w:val="SingleTxt"/>
        <w:spacing w:after="0" w:line="240" w:lineRule="auto"/>
        <w:rPr>
          <w:rFonts w:hint="cs"/>
          <w:rtl/>
        </w:rPr>
      </w:pPr>
      <w:r>
        <w:rPr>
          <w:rFonts w:hint="cs"/>
          <w:noProof/>
          <w:w w:val="100"/>
          <w:rtl/>
        </w:rPr>
        <w:pict>
          <v:line id="_x0000_s1027" style="position:absolute;left:0;text-align:left;z-index:2" from="206.6pt,24pt" to="278.6pt,24pt" strokecolor="#010000" strokeweight=".25pt"/>
        </w:pict>
      </w:r>
    </w:p>
    <w:sectPr w:rsidR="007303B1" w:rsidRPr="007303B1" w:rsidSect="00130557">
      <w:endnotePr>
        <w:numFmt w:val="decimal"/>
      </w:endnotePr>
      <w:type w:val="continuous"/>
      <w:pgSz w:w="12240" w:h="15840" w:code="1"/>
      <w:pgMar w:top="1742" w:right="1200" w:bottom="1898" w:left="1200" w:header="576" w:footer="1030" w:gutter="0"/>
      <w:cols w:space="720"/>
      <w:noEndnote/>
      <w:bidi/>
      <w:rtlGutter/>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4-02T16:19:00Z" w:initials="Start">
    <w:p w:rsidR="00130557" w:rsidRDefault="00130557">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NO&gt;&gt;N1507281A&lt;&lt;ODS JOB NO&gt;&gt;</w:t>
      </w:r>
    </w:p>
    <w:p w:rsidR="00130557" w:rsidRDefault="00130557">
      <w:pPr>
        <w:pStyle w:val="CommentText"/>
      </w:pPr>
      <w:r>
        <w:t>&lt;&lt;ODS DOC SYMBOL1&gt;&gt;CEDAW/C/UZB/Q/5&lt;&lt;ODS DOC SYMBOL1&gt;&gt;</w:t>
      </w:r>
    </w:p>
    <w:p w:rsidR="00130557" w:rsidRDefault="00130557">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C0529" w:rsidRDefault="000C0529" w:rsidP="00693CF9">
      <w:pPr>
        <w:spacing w:line="240" w:lineRule="auto"/>
      </w:pPr>
      <w:r>
        <w:separator/>
      </w:r>
    </w:p>
  </w:endnote>
  <w:endnote w:type="continuationSeparator" w:id="0">
    <w:p w:rsidR="000C0529" w:rsidRDefault="000C0529" w:rsidP="00693CF9">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130557" w:rsidTr="00130557">
      <w:tblPrEx>
        <w:tblCellMar>
          <w:top w:w="0" w:type="dxa"/>
          <w:bottom w:w="0" w:type="dxa"/>
        </w:tblCellMar>
      </w:tblPrEx>
      <w:tc>
        <w:tcPr>
          <w:tcW w:w="5028" w:type="dxa"/>
          <w:shd w:val="clear" w:color="auto" w:fill="auto"/>
        </w:tcPr>
        <w:p w:rsidR="00130557" w:rsidRPr="008E12AE" w:rsidRDefault="00130557" w:rsidP="00130557">
          <w:pPr>
            <w:pStyle w:val="Footer"/>
            <w:rPr>
              <w:rFonts w:cs="Traditional Arabic"/>
              <w:w w:val="103"/>
            </w:rPr>
          </w:pPr>
          <w:r w:rsidRPr="008E12AE">
            <w:rPr>
              <w:rFonts w:cs="Traditional Arabic"/>
              <w:w w:val="103"/>
            </w:rPr>
            <w:fldChar w:fldCharType="begin"/>
          </w:r>
          <w:r w:rsidRPr="008E12AE">
            <w:rPr>
              <w:rFonts w:cs="Traditional Arabic"/>
              <w:w w:val="103"/>
            </w:rPr>
            <w:instrText xml:space="preserve"> PAGE  \* Arabic  \* MERGEFORMAT </w:instrText>
          </w:r>
          <w:r w:rsidRPr="008E12AE">
            <w:rPr>
              <w:rFonts w:cs="Traditional Arabic"/>
              <w:w w:val="103"/>
            </w:rPr>
            <w:fldChar w:fldCharType="separate"/>
          </w:r>
          <w:r w:rsidR="00E51BAA" w:rsidRPr="008E12AE">
            <w:rPr>
              <w:rFonts w:cs="Traditional Arabic"/>
              <w:noProof/>
              <w:w w:val="103"/>
            </w:rPr>
            <w:t>2</w:t>
          </w:r>
          <w:r w:rsidRPr="008E12AE">
            <w:rPr>
              <w:rFonts w:cs="Traditional Arabic"/>
              <w:w w:val="103"/>
            </w:rPr>
            <w:fldChar w:fldCharType="end"/>
          </w:r>
          <w:r w:rsidRPr="008E12AE">
            <w:rPr>
              <w:rFonts w:cs="Traditional Arabic"/>
              <w:w w:val="103"/>
            </w:rPr>
            <w:t>/</w:t>
          </w:r>
          <w:fldSimple w:instr=" NUMPAGES  \* Arabic  \* MERGEFORMAT ">
            <w:r w:rsidR="00E51BAA" w:rsidRPr="008E12AE">
              <w:rPr>
                <w:rFonts w:cs="Traditional Arabic"/>
                <w:noProof/>
                <w:w w:val="103"/>
              </w:rPr>
              <w:t>6</w:t>
            </w:r>
          </w:fldSimple>
        </w:p>
      </w:tc>
      <w:tc>
        <w:tcPr>
          <w:tcW w:w="5028" w:type="dxa"/>
          <w:shd w:val="clear" w:color="auto" w:fill="auto"/>
        </w:tcPr>
        <w:p w:rsidR="00130557" w:rsidRPr="008E12AE" w:rsidRDefault="00130557" w:rsidP="00130557">
          <w:pPr>
            <w:pStyle w:val="Footer"/>
            <w:jc w:val="left"/>
            <w:rPr>
              <w:rFonts w:cs="Traditional Arabic"/>
              <w:b w:val="0"/>
              <w:w w:val="103"/>
            </w:rPr>
          </w:pPr>
          <w:fldSimple w:instr=" DOCVARIABLE &quot;FooterJN&quot; \* MERGEFORMAT ">
            <w:r w:rsidR="003728BA" w:rsidRPr="008E12AE">
              <w:rPr>
                <w:rFonts w:cs="Traditional Arabic"/>
                <w:b w:val="0"/>
                <w:w w:val="103"/>
              </w:rPr>
              <w:t>15-04044</w:t>
            </w:r>
          </w:fldSimple>
        </w:p>
      </w:tc>
    </w:tr>
  </w:tbl>
  <w:p w:rsidR="00130557" w:rsidRPr="00130557" w:rsidRDefault="00130557" w:rsidP="00130557">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130557" w:rsidTr="00130557">
      <w:tblPrEx>
        <w:tblCellMar>
          <w:top w:w="0" w:type="dxa"/>
          <w:bottom w:w="0" w:type="dxa"/>
        </w:tblCellMar>
      </w:tblPrEx>
      <w:tc>
        <w:tcPr>
          <w:tcW w:w="5028" w:type="dxa"/>
          <w:shd w:val="clear" w:color="auto" w:fill="auto"/>
        </w:tcPr>
        <w:p w:rsidR="00130557" w:rsidRPr="008E12AE" w:rsidRDefault="00130557" w:rsidP="00130557">
          <w:pPr>
            <w:pStyle w:val="Footer"/>
            <w:rPr>
              <w:rFonts w:cs="Traditional Arabic"/>
              <w:b w:val="0"/>
              <w:w w:val="103"/>
            </w:rPr>
          </w:pPr>
          <w:fldSimple w:instr=" DOCVARIABLE &quot;FooterJN&quot; \* MERGEFORMAT ">
            <w:r w:rsidR="003728BA" w:rsidRPr="008E12AE">
              <w:rPr>
                <w:rFonts w:cs="Traditional Arabic"/>
                <w:b w:val="0"/>
                <w:w w:val="103"/>
              </w:rPr>
              <w:t>15-04044</w:t>
            </w:r>
          </w:fldSimple>
        </w:p>
      </w:tc>
      <w:tc>
        <w:tcPr>
          <w:tcW w:w="5028" w:type="dxa"/>
          <w:shd w:val="clear" w:color="auto" w:fill="auto"/>
        </w:tcPr>
        <w:p w:rsidR="00130557" w:rsidRPr="008E12AE" w:rsidRDefault="00130557" w:rsidP="00130557">
          <w:pPr>
            <w:pStyle w:val="Footer"/>
            <w:jc w:val="left"/>
            <w:rPr>
              <w:rFonts w:cs="Traditional Arabic"/>
              <w:w w:val="103"/>
            </w:rPr>
          </w:pPr>
          <w:r w:rsidRPr="008E12AE">
            <w:rPr>
              <w:rFonts w:cs="Traditional Arabic"/>
              <w:w w:val="103"/>
            </w:rPr>
            <w:fldChar w:fldCharType="begin"/>
          </w:r>
          <w:r w:rsidRPr="008E12AE">
            <w:rPr>
              <w:rFonts w:cs="Traditional Arabic"/>
              <w:w w:val="103"/>
            </w:rPr>
            <w:instrText xml:space="preserve"> PAGE  \* Arabic  \* MERGEFORMAT </w:instrText>
          </w:r>
          <w:r w:rsidRPr="008E12AE">
            <w:rPr>
              <w:rFonts w:cs="Traditional Arabic"/>
              <w:w w:val="103"/>
            </w:rPr>
            <w:fldChar w:fldCharType="separate"/>
          </w:r>
          <w:r w:rsidR="00E51BAA" w:rsidRPr="008E12AE">
            <w:rPr>
              <w:rFonts w:cs="Traditional Arabic"/>
              <w:noProof/>
              <w:w w:val="103"/>
            </w:rPr>
            <w:t>5</w:t>
          </w:r>
          <w:r w:rsidRPr="008E12AE">
            <w:rPr>
              <w:rFonts w:cs="Traditional Arabic"/>
              <w:w w:val="103"/>
            </w:rPr>
            <w:fldChar w:fldCharType="end"/>
          </w:r>
          <w:r w:rsidRPr="008E12AE">
            <w:rPr>
              <w:rFonts w:cs="Traditional Arabic"/>
              <w:w w:val="103"/>
            </w:rPr>
            <w:t>/</w:t>
          </w:r>
          <w:fldSimple w:instr=" NUMPAGES  \* Arabic  \* MERGEFORMAT ">
            <w:r w:rsidR="00E51BAA" w:rsidRPr="008E12AE">
              <w:rPr>
                <w:rFonts w:cs="Traditional Arabic"/>
                <w:noProof/>
                <w:w w:val="103"/>
              </w:rPr>
              <w:t>5</w:t>
            </w:r>
          </w:fldSimple>
        </w:p>
      </w:tc>
    </w:tr>
  </w:tbl>
  <w:p w:rsidR="00130557" w:rsidRPr="00130557" w:rsidRDefault="00130557" w:rsidP="00130557">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right"/>
      <w:tblLayout w:type="fixed"/>
      <w:tblLook w:val="0000"/>
    </w:tblPr>
    <w:tblGrid>
      <w:gridCol w:w="3888"/>
      <w:gridCol w:w="5028"/>
    </w:tblGrid>
    <w:tr w:rsidR="00130557" w:rsidTr="007303B1">
      <w:tblPrEx>
        <w:tblCellMar>
          <w:top w:w="0" w:type="dxa"/>
          <w:bottom w:w="0" w:type="dxa"/>
        </w:tblCellMar>
      </w:tblPrEx>
      <w:trPr>
        <w:jc w:val="right"/>
      </w:trPr>
      <w:tc>
        <w:tcPr>
          <w:tcW w:w="3888" w:type="dxa"/>
        </w:tcPr>
        <w:p w:rsidR="00130557" w:rsidRDefault="00130557" w:rsidP="00130557">
          <w:pPr>
            <w:pStyle w:val="Footer"/>
            <w:spacing w:line="240" w:lineRule="atLeast"/>
            <w:jc w:val="left"/>
            <w:rPr>
              <w:b w:val="0"/>
              <w:w w:val="103"/>
              <w:sz w:val="20"/>
            </w:rPr>
          </w:pPr>
          <w:r>
            <w:rPr>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2.25pt;height:25.5pt">
                <v:imagedata r:id="rId1" o:title="PleaseRecycleArabic"/>
              </v:shape>
            </w:pict>
          </w:r>
        </w:p>
      </w:tc>
      <w:tc>
        <w:tcPr>
          <w:tcW w:w="5028" w:type="dxa"/>
        </w:tcPr>
        <w:p w:rsidR="00130557" w:rsidRDefault="00130557" w:rsidP="00130557">
          <w:pPr>
            <w:pStyle w:val="ReleaseDate"/>
          </w:pPr>
          <w:r>
            <w:t>020415    020415    15-04044</w:t>
          </w:r>
          <w:r w:rsidR="007303B1">
            <w:t>X</w:t>
          </w:r>
          <w:r>
            <w:t xml:space="preserve"> (A)</w:t>
          </w:r>
        </w:p>
        <w:p w:rsidR="00130557" w:rsidRPr="008E12AE" w:rsidRDefault="00130557" w:rsidP="00130557">
          <w:pPr>
            <w:pStyle w:val="Footer"/>
            <w:spacing w:before="80"/>
            <w:rPr>
              <w:rFonts w:ascii="Barcode 3 of 9 by request" w:hAnsi="Barcode 3 of 9 by request" w:cs="Traditional Arabic"/>
              <w:sz w:val="24"/>
            </w:rPr>
          </w:pPr>
          <w:fldSimple w:instr=" DOCVARIABLE &quot;Barcode&quot; \* MERGEFORMAT ">
            <w:r w:rsidR="003728BA" w:rsidRPr="008E12AE">
              <w:rPr>
                <w:rFonts w:ascii="Barcode 3 of 9 by request" w:hAnsi="Barcode 3 of 9 by request" w:cs="Traditional Arabic"/>
                <w:sz w:val="24"/>
              </w:rPr>
              <w:t>*1504044*</w:t>
            </w:r>
          </w:fldSimple>
        </w:p>
      </w:tc>
    </w:tr>
  </w:tbl>
  <w:p w:rsidR="00130557" w:rsidRPr="00130557" w:rsidRDefault="00130557" w:rsidP="00130557">
    <w:pPr>
      <w:pStyle w:val="Footer"/>
      <w:spacing w:line="14" w:lineRule="exact"/>
      <w:rPr>
        <w:b w:val="0"/>
        <w:w w:val="103"/>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C0529" w:rsidRPr="007303B1" w:rsidRDefault="000C0529" w:rsidP="007303B1">
      <w:pPr>
        <w:pStyle w:val="Footer"/>
        <w:bidi/>
        <w:spacing w:after="80"/>
        <w:ind w:left="792"/>
        <w:jc w:val="left"/>
        <w:rPr>
          <w:sz w:val="16"/>
        </w:rPr>
      </w:pPr>
      <w:r w:rsidRPr="007303B1">
        <w:rPr>
          <w:sz w:val="16"/>
          <w:rtl/>
        </w:rPr>
        <w:t>__________</w:t>
      </w:r>
    </w:p>
  </w:footnote>
  <w:footnote w:type="continuationSeparator" w:id="0">
    <w:p w:rsidR="000C0529" w:rsidRPr="007303B1" w:rsidRDefault="000C0529" w:rsidP="007303B1">
      <w:pPr>
        <w:pStyle w:val="Footer"/>
        <w:bidi/>
        <w:spacing w:after="80"/>
        <w:ind w:left="792"/>
        <w:jc w:val="left"/>
        <w:rPr>
          <w:sz w:val="16"/>
        </w:rPr>
      </w:pPr>
      <w:r w:rsidRPr="007303B1">
        <w:rPr>
          <w:sz w:val="16"/>
          <w:rtl/>
        </w:rPr>
        <w:t>__________</w:t>
      </w:r>
    </w:p>
  </w:footnote>
  <w:footnote w:id="1">
    <w:p w:rsidR="007303B1" w:rsidRDefault="007303B1" w:rsidP="007303B1">
      <w:pPr>
        <w:pStyle w:val="FootnoteText"/>
        <w:tabs>
          <w:tab w:val="clear" w:pos="418"/>
          <w:tab w:val="right" w:pos="1195"/>
          <w:tab w:val="left" w:pos="1267"/>
          <w:tab w:val="left" w:pos="1656"/>
          <w:tab w:val="left" w:pos="2088"/>
        </w:tabs>
        <w:spacing w:after="80"/>
        <w:ind w:left="1267" w:right="1267" w:hanging="547"/>
        <w:rPr>
          <w:rFonts w:hint="cs"/>
          <w:rtl/>
        </w:rPr>
      </w:pPr>
      <w:r>
        <w:rPr>
          <w:rFonts w:hint="cs"/>
          <w:rtl/>
        </w:rPr>
        <w:tab/>
        <w:t>*</w:t>
      </w:r>
      <w:r>
        <w:rPr>
          <w:rFonts w:hint="cs"/>
          <w:rtl/>
        </w:rPr>
        <w:tab/>
      </w:r>
      <w:hyperlink r:id="rId1" w:history="1">
        <w:r w:rsidRPr="003728BA">
          <w:rPr>
            <w:rStyle w:val="Hyperlink"/>
            <w:sz w:val="20"/>
            <w:lang w:eastAsia="zh-TW"/>
          </w:rPr>
          <w:t>CEDAW/C/62/1</w:t>
        </w:r>
      </w:hyperlink>
      <w:r>
        <w:rPr>
          <w:rFonts w:hint="cs"/>
          <w:sz w:val="20"/>
          <w:rtl/>
          <w:lang w:eastAsia="zh-TW"/>
        </w:rPr>
        <w:t>.</w:t>
      </w:r>
    </w:p>
    <w:p w:rsidR="007303B1" w:rsidRPr="0024419F" w:rsidRDefault="007303B1" w:rsidP="007303B1">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24419F">
        <w:rPr>
          <w:w w:val="103"/>
          <w:sz w:val="24"/>
          <w:rtl/>
          <w:lang w:eastAsia="zh-TW"/>
        </w:rPr>
        <w:t>(</w:t>
      </w:r>
      <w:r w:rsidRPr="0024419F">
        <w:rPr>
          <w:rStyle w:val="FootnoteReference"/>
          <w:spacing w:val="0"/>
          <w:w w:val="103"/>
          <w:vertAlign w:val="baseline"/>
          <w:rtl/>
          <w:lang w:eastAsia="zh-TW"/>
        </w:rPr>
        <w:footnoteRef/>
      </w:r>
      <w:r w:rsidRPr="0024419F">
        <w:rPr>
          <w:w w:val="103"/>
          <w:sz w:val="24"/>
          <w:rtl/>
          <w:lang w:eastAsia="zh-TW"/>
        </w:rPr>
        <w:t>)</w:t>
      </w:r>
      <w:r w:rsidRPr="0024419F">
        <w:rPr>
          <w:w w:val="103"/>
          <w:rtl/>
        </w:rPr>
        <w:tab/>
      </w:r>
      <w:r w:rsidRPr="001C4ADC">
        <w:rPr>
          <w:sz w:val="20"/>
          <w:rtl/>
          <w:lang w:eastAsia="zh-TW"/>
        </w:rPr>
        <w:t xml:space="preserve">تشير أرقام الفقرات إلى التقرير الدوري الخامس </w:t>
      </w:r>
      <w:r>
        <w:rPr>
          <w:sz w:val="20"/>
          <w:rtl/>
          <w:lang w:eastAsia="zh-TW"/>
        </w:rPr>
        <w:t>لأوزبكستان،</w:t>
      </w:r>
      <w:r w:rsidRPr="001C4ADC">
        <w:rPr>
          <w:sz w:val="20"/>
          <w:rtl/>
          <w:lang w:eastAsia="zh-TW"/>
        </w:rPr>
        <w:t xml:space="preserve"> ما لم يُذكر خلاف ذلك.</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859"/>
      <w:gridCol w:w="4981"/>
    </w:tblGrid>
    <w:tr w:rsidR="00130557" w:rsidTr="00130557">
      <w:tblPrEx>
        <w:tblCellMar>
          <w:top w:w="0" w:type="dxa"/>
          <w:bottom w:w="0" w:type="dxa"/>
        </w:tblCellMar>
      </w:tblPrEx>
      <w:trPr>
        <w:trHeight w:hRule="exact" w:val="864"/>
        <w:jc w:val="center"/>
      </w:trPr>
      <w:tc>
        <w:tcPr>
          <w:tcW w:w="4925" w:type="dxa"/>
          <w:shd w:val="clear" w:color="auto" w:fill="auto"/>
          <w:vAlign w:val="bottom"/>
        </w:tcPr>
        <w:p w:rsidR="00130557" w:rsidRPr="008E12AE" w:rsidRDefault="00130557" w:rsidP="00130557">
          <w:pPr>
            <w:pStyle w:val="Header"/>
            <w:bidi/>
            <w:rPr>
              <w:rFonts w:cs="Traditional Arabic"/>
            </w:rPr>
          </w:pPr>
        </w:p>
      </w:tc>
      <w:tc>
        <w:tcPr>
          <w:tcW w:w="5028" w:type="dxa"/>
          <w:shd w:val="clear" w:color="auto" w:fill="auto"/>
          <w:vAlign w:val="bottom"/>
        </w:tcPr>
        <w:p w:rsidR="00130557" w:rsidRPr="008E12AE" w:rsidRDefault="00130557" w:rsidP="00130557">
          <w:pPr>
            <w:pStyle w:val="Header"/>
            <w:spacing w:after="80"/>
            <w:rPr>
              <w:rFonts w:cs="Traditional Arabic"/>
              <w:w w:val="103"/>
            </w:rPr>
          </w:pPr>
          <w:fldSimple w:instr=" DOCVARIABLE sss1  \* MERGEFORMAT ">
            <w:r w:rsidR="003728BA" w:rsidRPr="008E12AE">
              <w:rPr>
                <w:rFonts w:cs="Traditional Arabic"/>
                <w:w w:val="103"/>
              </w:rPr>
              <w:t>CEDAW/C/UZB/Q/5</w:t>
            </w:r>
          </w:fldSimple>
        </w:p>
      </w:tc>
    </w:tr>
  </w:tbl>
  <w:p w:rsidR="00130557" w:rsidRPr="00130557" w:rsidRDefault="00130557" w:rsidP="00130557">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880"/>
      <w:gridCol w:w="4960"/>
    </w:tblGrid>
    <w:tr w:rsidR="00130557" w:rsidTr="00130557">
      <w:tblPrEx>
        <w:tblCellMar>
          <w:top w:w="0" w:type="dxa"/>
          <w:bottom w:w="0" w:type="dxa"/>
        </w:tblCellMar>
      </w:tblPrEx>
      <w:trPr>
        <w:trHeight w:hRule="exact" w:val="864"/>
        <w:jc w:val="center"/>
      </w:trPr>
      <w:tc>
        <w:tcPr>
          <w:tcW w:w="4925" w:type="dxa"/>
          <w:shd w:val="clear" w:color="auto" w:fill="auto"/>
          <w:vAlign w:val="bottom"/>
        </w:tcPr>
        <w:p w:rsidR="00130557" w:rsidRPr="008E12AE" w:rsidRDefault="00130557" w:rsidP="00130557">
          <w:pPr>
            <w:pStyle w:val="Header"/>
            <w:spacing w:after="80"/>
            <w:jc w:val="left"/>
            <w:rPr>
              <w:rFonts w:cs="Traditional Arabic"/>
              <w:w w:val="103"/>
            </w:rPr>
          </w:pPr>
          <w:fldSimple w:instr=" DOCVARIABLE sss1  \* MERGEFORMAT ">
            <w:r w:rsidR="003728BA" w:rsidRPr="008E12AE">
              <w:rPr>
                <w:rFonts w:cs="Traditional Arabic"/>
                <w:w w:val="103"/>
              </w:rPr>
              <w:t>CEDAW/C/UZB/Q/5</w:t>
            </w:r>
          </w:fldSimple>
        </w:p>
      </w:tc>
      <w:tc>
        <w:tcPr>
          <w:tcW w:w="5028" w:type="dxa"/>
          <w:shd w:val="clear" w:color="auto" w:fill="auto"/>
          <w:vAlign w:val="bottom"/>
        </w:tcPr>
        <w:p w:rsidR="00130557" w:rsidRPr="008E12AE" w:rsidRDefault="00130557" w:rsidP="00130557">
          <w:pPr>
            <w:pStyle w:val="Header"/>
            <w:rPr>
              <w:rFonts w:cs="Traditional Arabic"/>
            </w:rPr>
          </w:pPr>
        </w:p>
      </w:tc>
    </w:tr>
  </w:tbl>
  <w:p w:rsidR="00130557" w:rsidRPr="00130557" w:rsidRDefault="00130557" w:rsidP="00130557">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9854" w:type="dxa"/>
      <w:tblLayout w:type="fixed"/>
      <w:tblCellMar>
        <w:left w:w="0" w:type="dxa"/>
        <w:right w:w="0" w:type="dxa"/>
      </w:tblCellMar>
      <w:tblLook w:val="0000"/>
    </w:tblPr>
    <w:tblGrid>
      <w:gridCol w:w="1282"/>
      <w:gridCol w:w="1786"/>
      <w:gridCol w:w="245"/>
      <w:gridCol w:w="3196"/>
      <w:gridCol w:w="245"/>
      <w:gridCol w:w="3082"/>
      <w:gridCol w:w="18"/>
    </w:tblGrid>
    <w:tr w:rsidR="00130557" w:rsidTr="00130557">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130557" w:rsidRPr="008E12AE" w:rsidRDefault="00130557" w:rsidP="00130557">
          <w:pPr>
            <w:pStyle w:val="Header"/>
            <w:spacing w:after="120"/>
            <w:rPr>
              <w:rFonts w:cs="Traditional Arabic"/>
            </w:rPr>
          </w:pPr>
        </w:p>
      </w:tc>
      <w:tc>
        <w:tcPr>
          <w:tcW w:w="1786" w:type="dxa"/>
          <w:tcBorders>
            <w:bottom w:val="single" w:sz="4" w:space="0" w:color="auto"/>
          </w:tcBorders>
          <w:shd w:val="clear" w:color="auto" w:fill="auto"/>
          <w:vAlign w:val="bottom"/>
        </w:tcPr>
        <w:p w:rsidR="00130557" w:rsidRPr="00130557" w:rsidRDefault="00130557" w:rsidP="00130557">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130557" w:rsidRPr="008E12AE" w:rsidRDefault="00130557" w:rsidP="00130557">
          <w:pPr>
            <w:pStyle w:val="Header"/>
            <w:spacing w:after="120"/>
            <w:rPr>
              <w:rFonts w:cs="Traditional Arabic"/>
            </w:rPr>
          </w:pPr>
        </w:p>
      </w:tc>
      <w:tc>
        <w:tcPr>
          <w:tcW w:w="6523" w:type="dxa"/>
          <w:gridSpan w:val="3"/>
          <w:tcBorders>
            <w:bottom w:val="single" w:sz="4" w:space="0" w:color="auto"/>
          </w:tcBorders>
          <w:shd w:val="clear" w:color="auto" w:fill="auto"/>
          <w:vAlign w:val="bottom"/>
        </w:tcPr>
        <w:p w:rsidR="00130557" w:rsidRPr="00130557" w:rsidRDefault="00130557" w:rsidP="00130557">
          <w:pPr>
            <w:spacing w:line="380" w:lineRule="exact"/>
            <w:jc w:val="right"/>
          </w:pPr>
          <w:r>
            <w:rPr>
              <w:sz w:val="40"/>
            </w:rPr>
            <w:t>CEDAW</w:t>
          </w:r>
          <w:r>
            <w:t>/C/UZB/Q/5</w:t>
          </w:r>
        </w:p>
      </w:tc>
    </w:tr>
    <w:tr w:rsidR="00130557" w:rsidRPr="00130557" w:rsidTr="00130557">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130557" w:rsidRPr="008E12AE" w:rsidRDefault="00130557" w:rsidP="00130557">
          <w:pPr>
            <w:pStyle w:val="Header"/>
            <w:spacing w:before="109"/>
            <w:rPr>
              <w:rFonts w:cs="Traditional Arabic"/>
            </w:rPr>
          </w:pPr>
          <w:r w:rsidRPr="008E12AE">
            <w:rPr>
              <w:rFonts w:cs="Traditional Arabic"/>
            </w:rPr>
            <w:t xml:space="preserve"> </w:t>
          </w:r>
          <w:r w:rsidRPr="008E12AE">
            <w:rPr>
              <w:rFonts w:cs="Traditional Arabic"/>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130557" w:rsidRPr="008E12AE" w:rsidRDefault="00130557" w:rsidP="00130557">
          <w:pPr>
            <w:pStyle w:val="Header"/>
            <w:spacing w:before="109"/>
            <w:rPr>
              <w:rFonts w:cs="Traditional Arabic"/>
            </w:rPr>
          </w:pPr>
        </w:p>
      </w:tc>
      <w:tc>
        <w:tcPr>
          <w:tcW w:w="5227" w:type="dxa"/>
          <w:gridSpan w:val="3"/>
          <w:tcBorders>
            <w:top w:val="single" w:sz="4" w:space="0" w:color="auto"/>
            <w:bottom w:val="single" w:sz="12" w:space="0" w:color="auto"/>
          </w:tcBorders>
          <w:shd w:val="clear" w:color="auto" w:fill="auto"/>
        </w:tcPr>
        <w:p w:rsidR="00130557" w:rsidRPr="00130557" w:rsidRDefault="00130557" w:rsidP="00130557">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130557" w:rsidRPr="008E12AE" w:rsidRDefault="00130557" w:rsidP="00130557">
          <w:pPr>
            <w:pStyle w:val="Header"/>
            <w:spacing w:before="109"/>
            <w:rPr>
              <w:rFonts w:cs="Traditional Arabic"/>
            </w:rPr>
          </w:pPr>
        </w:p>
      </w:tc>
      <w:tc>
        <w:tcPr>
          <w:tcW w:w="3100" w:type="dxa"/>
          <w:gridSpan w:val="2"/>
          <w:tcBorders>
            <w:top w:val="single" w:sz="4" w:space="0" w:color="auto"/>
            <w:bottom w:val="single" w:sz="12" w:space="0" w:color="auto"/>
          </w:tcBorders>
          <w:shd w:val="clear" w:color="auto" w:fill="auto"/>
        </w:tcPr>
        <w:p w:rsidR="00130557" w:rsidRDefault="00130557" w:rsidP="00130557">
          <w:pPr>
            <w:pStyle w:val="Distribution"/>
            <w:bidi w:val="0"/>
            <w:spacing w:before="240"/>
          </w:pPr>
          <w:r>
            <w:t>Distr.: General</w:t>
          </w:r>
        </w:p>
        <w:p w:rsidR="00130557" w:rsidRDefault="00130557" w:rsidP="00130557">
          <w:pPr>
            <w:pStyle w:val="Publication"/>
            <w:bidi w:val="0"/>
          </w:pPr>
          <w:r>
            <w:t>17 March 2015</w:t>
          </w:r>
        </w:p>
        <w:p w:rsidR="00130557" w:rsidRDefault="00130557" w:rsidP="00130557">
          <w:pPr>
            <w:bidi w:val="0"/>
            <w:spacing w:line="240" w:lineRule="exact"/>
            <w:jc w:val="left"/>
          </w:pPr>
          <w:r>
            <w:t>Arabic</w:t>
          </w:r>
        </w:p>
        <w:p w:rsidR="00130557" w:rsidRDefault="00130557" w:rsidP="00130557">
          <w:pPr>
            <w:pStyle w:val="Original"/>
            <w:bidi w:val="0"/>
          </w:pPr>
          <w:r>
            <w:t>Original: English</w:t>
          </w:r>
        </w:p>
        <w:p w:rsidR="00130557" w:rsidRPr="00130557" w:rsidRDefault="00130557" w:rsidP="00130557">
          <w:pPr>
            <w:bidi w:val="0"/>
            <w:spacing w:line="240" w:lineRule="exact"/>
            <w:jc w:val="left"/>
          </w:pPr>
        </w:p>
      </w:tc>
    </w:tr>
  </w:tbl>
  <w:p w:rsidR="00130557" w:rsidRPr="00130557" w:rsidRDefault="00130557" w:rsidP="00130557">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stylePaneFormatFilter w:val="3F01"/>
  <w:revisionView w:markup="0"/>
  <w:doNotTrackMoves/>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504044*"/>
    <w:docVar w:name="CreationDt" w:val="02/04/2015 4:19: PM"/>
    <w:docVar w:name="DocCategory" w:val="Doc"/>
    <w:docVar w:name="DocType" w:val="Final"/>
    <w:docVar w:name="DutyStation" w:val="New York"/>
    <w:docVar w:name="FooterJN" w:val="15-04044"/>
    <w:docVar w:name="jobn" w:val="15-04044 (A)"/>
    <w:docVar w:name="jobnDT" w:val="15-04044 (A)   020415"/>
    <w:docVar w:name="jobnDTDT" w:val="15-04044 (A)   020415   020415"/>
    <w:docVar w:name="JobNo" w:val="1504044A"/>
    <w:docVar w:name="OandT" w:val=" "/>
    <w:docVar w:name="PaperSize" w:val="Letter"/>
    <w:docVar w:name="sss1" w:val="CEDAW/C/UZB/Q/5"/>
    <w:docVar w:name="sss2" w:val="-"/>
    <w:docVar w:name="Symbol1" w:val="CEDAW/C/UZB/Q/5"/>
    <w:docVar w:name="Symbol2" w:val="-"/>
  </w:docVars>
  <w:rsids>
    <w:rsidRoot w:val="002B3D06"/>
    <w:rsid w:val="000170D3"/>
    <w:rsid w:val="000311C9"/>
    <w:rsid w:val="00042425"/>
    <w:rsid w:val="00047F6A"/>
    <w:rsid w:val="0005137B"/>
    <w:rsid w:val="00056AA7"/>
    <w:rsid w:val="0006648F"/>
    <w:rsid w:val="00070E09"/>
    <w:rsid w:val="00087310"/>
    <w:rsid w:val="000927B5"/>
    <w:rsid w:val="0009732C"/>
    <w:rsid w:val="000B640C"/>
    <w:rsid w:val="000C0529"/>
    <w:rsid w:val="000C4EED"/>
    <w:rsid w:val="000D2CEC"/>
    <w:rsid w:val="000F3F48"/>
    <w:rsid w:val="00101EE8"/>
    <w:rsid w:val="0010461F"/>
    <w:rsid w:val="00113349"/>
    <w:rsid w:val="0012522B"/>
    <w:rsid w:val="00130557"/>
    <w:rsid w:val="001519A9"/>
    <w:rsid w:val="001568A8"/>
    <w:rsid w:val="00165F18"/>
    <w:rsid w:val="00170A5E"/>
    <w:rsid w:val="001737F8"/>
    <w:rsid w:val="001775EA"/>
    <w:rsid w:val="0018030C"/>
    <w:rsid w:val="00182D99"/>
    <w:rsid w:val="00187870"/>
    <w:rsid w:val="001A0D70"/>
    <w:rsid w:val="001E5A5A"/>
    <w:rsid w:val="001E5A7A"/>
    <w:rsid w:val="001F6786"/>
    <w:rsid w:val="002141DD"/>
    <w:rsid w:val="00233E2A"/>
    <w:rsid w:val="00236A29"/>
    <w:rsid w:val="002416C5"/>
    <w:rsid w:val="0025002E"/>
    <w:rsid w:val="0025075C"/>
    <w:rsid w:val="0025236C"/>
    <w:rsid w:val="00252B9B"/>
    <w:rsid w:val="00252D19"/>
    <w:rsid w:val="002606E6"/>
    <w:rsid w:val="00266F59"/>
    <w:rsid w:val="00272B6C"/>
    <w:rsid w:val="00275EB3"/>
    <w:rsid w:val="0027623A"/>
    <w:rsid w:val="0028685E"/>
    <w:rsid w:val="00290F2F"/>
    <w:rsid w:val="002937DA"/>
    <w:rsid w:val="002971E7"/>
    <w:rsid w:val="002A09C6"/>
    <w:rsid w:val="002B0A3E"/>
    <w:rsid w:val="002B120A"/>
    <w:rsid w:val="002B3D06"/>
    <w:rsid w:val="002B4F37"/>
    <w:rsid w:val="002C2AF2"/>
    <w:rsid w:val="002C4E1B"/>
    <w:rsid w:val="002D58BC"/>
    <w:rsid w:val="002E1490"/>
    <w:rsid w:val="002E750A"/>
    <w:rsid w:val="002F0398"/>
    <w:rsid w:val="002F0573"/>
    <w:rsid w:val="00307CFF"/>
    <w:rsid w:val="00312162"/>
    <w:rsid w:val="00312525"/>
    <w:rsid w:val="003501D5"/>
    <w:rsid w:val="00351324"/>
    <w:rsid w:val="003676A8"/>
    <w:rsid w:val="00371AC4"/>
    <w:rsid w:val="003728BA"/>
    <w:rsid w:val="00376CFA"/>
    <w:rsid w:val="00383A67"/>
    <w:rsid w:val="00383CA8"/>
    <w:rsid w:val="00383EF3"/>
    <w:rsid w:val="003A65ED"/>
    <w:rsid w:val="003A68CC"/>
    <w:rsid w:val="003C4B86"/>
    <w:rsid w:val="003D4612"/>
    <w:rsid w:val="003E1BB9"/>
    <w:rsid w:val="003E26D7"/>
    <w:rsid w:val="003E6DF8"/>
    <w:rsid w:val="003F4B8C"/>
    <w:rsid w:val="00401BDF"/>
    <w:rsid w:val="00411BBD"/>
    <w:rsid w:val="00415922"/>
    <w:rsid w:val="00423BD7"/>
    <w:rsid w:val="0042757D"/>
    <w:rsid w:val="00437C14"/>
    <w:rsid w:val="004521CF"/>
    <w:rsid w:val="004527C9"/>
    <w:rsid w:val="00453069"/>
    <w:rsid w:val="00475FF6"/>
    <w:rsid w:val="0048330E"/>
    <w:rsid w:val="00483F5B"/>
    <w:rsid w:val="00490874"/>
    <w:rsid w:val="00494EE2"/>
    <w:rsid w:val="00496E83"/>
    <w:rsid w:val="00497193"/>
    <w:rsid w:val="004A2886"/>
    <w:rsid w:val="004B14A0"/>
    <w:rsid w:val="004B1CBB"/>
    <w:rsid w:val="004B2CC5"/>
    <w:rsid w:val="004B440C"/>
    <w:rsid w:val="004C219B"/>
    <w:rsid w:val="004D1B0C"/>
    <w:rsid w:val="004D3ACE"/>
    <w:rsid w:val="004D4EA9"/>
    <w:rsid w:val="004F0D2B"/>
    <w:rsid w:val="004F1402"/>
    <w:rsid w:val="004F75CD"/>
    <w:rsid w:val="0050659B"/>
    <w:rsid w:val="00521CAC"/>
    <w:rsid w:val="00524A2E"/>
    <w:rsid w:val="005279DE"/>
    <w:rsid w:val="00534772"/>
    <w:rsid w:val="00537FCD"/>
    <w:rsid w:val="00545F76"/>
    <w:rsid w:val="005545BB"/>
    <w:rsid w:val="00556882"/>
    <w:rsid w:val="00561E43"/>
    <w:rsid w:val="0057078E"/>
    <w:rsid w:val="005838F5"/>
    <w:rsid w:val="00590CD4"/>
    <w:rsid w:val="00591B45"/>
    <w:rsid w:val="00596606"/>
    <w:rsid w:val="005A0F27"/>
    <w:rsid w:val="005A0F73"/>
    <w:rsid w:val="005A2EA3"/>
    <w:rsid w:val="005A43F7"/>
    <w:rsid w:val="005B4C28"/>
    <w:rsid w:val="005C07BD"/>
    <w:rsid w:val="005C2ECE"/>
    <w:rsid w:val="005C7ED8"/>
    <w:rsid w:val="005E46BF"/>
    <w:rsid w:val="006007BD"/>
    <w:rsid w:val="00616E82"/>
    <w:rsid w:val="006218A3"/>
    <w:rsid w:val="006564CE"/>
    <w:rsid w:val="00663F64"/>
    <w:rsid w:val="006905A9"/>
    <w:rsid w:val="00692B46"/>
    <w:rsid w:val="00693CF9"/>
    <w:rsid w:val="00696B7A"/>
    <w:rsid w:val="006A1E4E"/>
    <w:rsid w:val="006C1E40"/>
    <w:rsid w:val="006C38EE"/>
    <w:rsid w:val="006D3170"/>
    <w:rsid w:val="006E7E51"/>
    <w:rsid w:val="00700F06"/>
    <w:rsid w:val="0070631F"/>
    <w:rsid w:val="00714319"/>
    <w:rsid w:val="0071531E"/>
    <w:rsid w:val="0071645B"/>
    <w:rsid w:val="00716E9D"/>
    <w:rsid w:val="007303B1"/>
    <w:rsid w:val="00740D62"/>
    <w:rsid w:val="00747B9E"/>
    <w:rsid w:val="007524BE"/>
    <w:rsid w:val="007525FA"/>
    <w:rsid w:val="00767151"/>
    <w:rsid w:val="00770CF8"/>
    <w:rsid w:val="00774FF0"/>
    <w:rsid w:val="00784F2B"/>
    <w:rsid w:val="00786F0C"/>
    <w:rsid w:val="0079046D"/>
    <w:rsid w:val="0079753A"/>
    <w:rsid w:val="007A296C"/>
    <w:rsid w:val="007A6DD9"/>
    <w:rsid w:val="007C7274"/>
    <w:rsid w:val="007D489C"/>
    <w:rsid w:val="007D60E0"/>
    <w:rsid w:val="007D6B8D"/>
    <w:rsid w:val="007E32B9"/>
    <w:rsid w:val="0081284F"/>
    <w:rsid w:val="00814843"/>
    <w:rsid w:val="008170DE"/>
    <w:rsid w:val="00830E32"/>
    <w:rsid w:val="00845A14"/>
    <w:rsid w:val="0085331D"/>
    <w:rsid w:val="00853F0F"/>
    <w:rsid w:val="00873A11"/>
    <w:rsid w:val="00873AF9"/>
    <w:rsid w:val="008760B6"/>
    <w:rsid w:val="00881022"/>
    <w:rsid w:val="0088317F"/>
    <w:rsid w:val="008A3FCA"/>
    <w:rsid w:val="008D1C04"/>
    <w:rsid w:val="008E12AE"/>
    <w:rsid w:val="008E739A"/>
    <w:rsid w:val="008F04A0"/>
    <w:rsid w:val="008F3D2C"/>
    <w:rsid w:val="008F419C"/>
    <w:rsid w:val="008F5850"/>
    <w:rsid w:val="008F64A7"/>
    <w:rsid w:val="0090012B"/>
    <w:rsid w:val="0090351F"/>
    <w:rsid w:val="00964FA8"/>
    <w:rsid w:val="00970BAD"/>
    <w:rsid w:val="009768D1"/>
    <w:rsid w:val="009807FF"/>
    <w:rsid w:val="00981E99"/>
    <w:rsid w:val="009829B7"/>
    <w:rsid w:val="009927C0"/>
    <w:rsid w:val="00996063"/>
    <w:rsid w:val="009961E6"/>
    <w:rsid w:val="009975A9"/>
    <w:rsid w:val="009B6C08"/>
    <w:rsid w:val="009B6C65"/>
    <w:rsid w:val="009B752D"/>
    <w:rsid w:val="009C0017"/>
    <w:rsid w:val="009C15F4"/>
    <w:rsid w:val="009C785C"/>
    <w:rsid w:val="009D62A3"/>
    <w:rsid w:val="009E23AC"/>
    <w:rsid w:val="009E2A1F"/>
    <w:rsid w:val="009E5241"/>
    <w:rsid w:val="009F231F"/>
    <w:rsid w:val="009F5698"/>
    <w:rsid w:val="009F60C8"/>
    <w:rsid w:val="00A140D9"/>
    <w:rsid w:val="00A37C4B"/>
    <w:rsid w:val="00A47282"/>
    <w:rsid w:val="00A50991"/>
    <w:rsid w:val="00A56F63"/>
    <w:rsid w:val="00A66F66"/>
    <w:rsid w:val="00A71AE5"/>
    <w:rsid w:val="00A77F16"/>
    <w:rsid w:val="00A90909"/>
    <w:rsid w:val="00A93FB9"/>
    <w:rsid w:val="00AA0963"/>
    <w:rsid w:val="00AA1E16"/>
    <w:rsid w:val="00AC002C"/>
    <w:rsid w:val="00AC0E42"/>
    <w:rsid w:val="00AC2EE0"/>
    <w:rsid w:val="00AC6CDD"/>
    <w:rsid w:val="00AD1A68"/>
    <w:rsid w:val="00AD38D0"/>
    <w:rsid w:val="00AE108C"/>
    <w:rsid w:val="00AE5AE2"/>
    <w:rsid w:val="00AF1A53"/>
    <w:rsid w:val="00AF7AC7"/>
    <w:rsid w:val="00B05ADC"/>
    <w:rsid w:val="00B272BE"/>
    <w:rsid w:val="00B36AFF"/>
    <w:rsid w:val="00B5784C"/>
    <w:rsid w:val="00B9542C"/>
    <w:rsid w:val="00B95560"/>
    <w:rsid w:val="00BA7FAB"/>
    <w:rsid w:val="00BB6B6E"/>
    <w:rsid w:val="00BC2F4C"/>
    <w:rsid w:val="00BC43AD"/>
    <w:rsid w:val="00BC4A05"/>
    <w:rsid w:val="00BC567D"/>
    <w:rsid w:val="00BE15C1"/>
    <w:rsid w:val="00BF0B15"/>
    <w:rsid w:val="00C12CBB"/>
    <w:rsid w:val="00C25A2D"/>
    <w:rsid w:val="00C260F8"/>
    <w:rsid w:val="00C3050C"/>
    <w:rsid w:val="00C32889"/>
    <w:rsid w:val="00C43FBE"/>
    <w:rsid w:val="00C449C6"/>
    <w:rsid w:val="00C564B0"/>
    <w:rsid w:val="00C61F0B"/>
    <w:rsid w:val="00C6283F"/>
    <w:rsid w:val="00C71487"/>
    <w:rsid w:val="00C814A5"/>
    <w:rsid w:val="00C84B2B"/>
    <w:rsid w:val="00C855F6"/>
    <w:rsid w:val="00C96573"/>
    <w:rsid w:val="00CA4791"/>
    <w:rsid w:val="00CD0BB8"/>
    <w:rsid w:val="00CD3849"/>
    <w:rsid w:val="00CF4D77"/>
    <w:rsid w:val="00CF7384"/>
    <w:rsid w:val="00D0526B"/>
    <w:rsid w:val="00D2343D"/>
    <w:rsid w:val="00D30EAE"/>
    <w:rsid w:val="00D318F1"/>
    <w:rsid w:val="00D40B0E"/>
    <w:rsid w:val="00D44FE0"/>
    <w:rsid w:val="00D4694F"/>
    <w:rsid w:val="00D5423E"/>
    <w:rsid w:val="00D66413"/>
    <w:rsid w:val="00DA66B7"/>
    <w:rsid w:val="00DB0865"/>
    <w:rsid w:val="00DB0C91"/>
    <w:rsid w:val="00DB7206"/>
    <w:rsid w:val="00DC5C1E"/>
    <w:rsid w:val="00DE5433"/>
    <w:rsid w:val="00DE68A7"/>
    <w:rsid w:val="00DF2A65"/>
    <w:rsid w:val="00DF2AE6"/>
    <w:rsid w:val="00DF5A43"/>
    <w:rsid w:val="00DF5F38"/>
    <w:rsid w:val="00DF6AA9"/>
    <w:rsid w:val="00E21491"/>
    <w:rsid w:val="00E23336"/>
    <w:rsid w:val="00E31661"/>
    <w:rsid w:val="00E32B52"/>
    <w:rsid w:val="00E35D91"/>
    <w:rsid w:val="00E3652F"/>
    <w:rsid w:val="00E47EB8"/>
    <w:rsid w:val="00E51BAA"/>
    <w:rsid w:val="00E52103"/>
    <w:rsid w:val="00E52F1E"/>
    <w:rsid w:val="00E704FD"/>
    <w:rsid w:val="00E71F5F"/>
    <w:rsid w:val="00E750E1"/>
    <w:rsid w:val="00E7795A"/>
    <w:rsid w:val="00E829A3"/>
    <w:rsid w:val="00E9114A"/>
    <w:rsid w:val="00EA0D5B"/>
    <w:rsid w:val="00EA3948"/>
    <w:rsid w:val="00EA489C"/>
    <w:rsid w:val="00EA7B59"/>
    <w:rsid w:val="00EB0CA7"/>
    <w:rsid w:val="00EB4992"/>
    <w:rsid w:val="00EC2B29"/>
    <w:rsid w:val="00ED3C2E"/>
    <w:rsid w:val="00EF2E52"/>
    <w:rsid w:val="00EF4F85"/>
    <w:rsid w:val="00F031FB"/>
    <w:rsid w:val="00F32E4A"/>
    <w:rsid w:val="00F36D8C"/>
    <w:rsid w:val="00F4710F"/>
    <w:rsid w:val="00F53DA5"/>
    <w:rsid w:val="00F90A71"/>
    <w:rsid w:val="00F93545"/>
    <w:rsid w:val="00F96337"/>
    <w:rsid w:val="00F96FBA"/>
    <w:rsid w:val="00FB2B5B"/>
    <w:rsid w:val="00FB4E06"/>
    <w:rsid w:val="00FC3483"/>
    <w:rsid w:val="00FC4D68"/>
    <w:rsid w:val="00FC56D7"/>
    <w:rsid w:val="00FD2ADA"/>
    <w:rsid w:val="00FD675B"/>
    <w:rsid w:val="00FE04FB"/>
    <w:rsid w:val="00FE5D1E"/>
    <w:rsid w:val="00FF706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AD1A68"/>
    <w:pPr>
      <w:bidi/>
      <w:spacing w:line="400" w:lineRule="exact"/>
      <w:jc w:val="lowKashida"/>
    </w:pPr>
    <w:rPr>
      <w:w w:val="103"/>
      <w:kern w:val="14"/>
      <w:szCs w:val="30"/>
    </w:rPr>
  </w:style>
  <w:style w:type="paragraph" w:styleId="Heading1">
    <w:name w:val="heading 1"/>
    <w:basedOn w:val="Normal"/>
    <w:next w:val="Normal"/>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SimSun" w:hAnsi="Arial" w:cs="Times New Roman"/>
      <w:b/>
      <w:bCs/>
      <w:sz w:val="26"/>
      <w:szCs w:val="26"/>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383EF3"/>
    <w:pPr>
      <w:outlineLvl w:val="0"/>
    </w:pPr>
    <w:rPr>
      <w:b/>
      <w:bCs/>
      <w:sz w:val="24"/>
      <w:szCs w:val="34"/>
    </w:rPr>
  </w:style>
  <w:style w:type="paragraph" w:customStyle="1" w:styleId="HCh">
    <w:name w:val="_ H _Ch"/>
    <w:basedOn w:val="H1"/>
    <w:next w:val="SingleTxt"/>
    <w:qFormat/>
    <w:rsid w:val="00383EF3"/>
    <w:pPr>
      <w:spacing w:line="450" w:lineRule="exact"/>
    </w:pPr>
    <w:rPr>
      <w:spacing w:val="-2"/>
      <w:sz w:val="28"/>
      <w:szCs w:val="38"/>
    </w:rPr>
  </w:style>
  <w:style w:type="character" w:styleId="CommentReference">
    <w:name w:val="annotation reference"/>
    <w:semiHidden/>
    <w:rsid w:val="00EB4992"/>
    <w:rPr>
      <w:sz w:val="6"/>
      <w:szCs w:val="9"/>
    </w:rPr>
  </w:style>
  <w:style w:type="paragraph" w:styleId="FootnoteText">
    <w:name w:val="footnote text"/>
    <w:aliases w:val="5_G"/>
    <w:basedOn w:val="Normal"/>
    <w:link w:val="FootnoteTextChar"/>
    <w:semiHidden/>
    <w:rsid w:val="00EB4992"/>
    <w:pPr>
      <w:tabs>
        <w:tab w:val="right" w:pos="418"/>
      </w:tabs>
      <w:spacing w:line="300" w:lineRule="exact"/>
      <w:ind w:left="662" w:right="662" w:hanging="662"/>
    </w:pPr>
    <w:rPr>
      <w:rFonts w:cs="Times New Roman"/>
      <w:w w:val="100"/>
      <w:sz w:val="17"/>
      <w:szCs w:val="26"/>
      <w:lang/>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3EF3"/>
    <w:pPr>
      <w:keepNext/>
      <w:keepLines/>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51324"/>
    <w:pPr>
      <w:keepNext/>
      <w:keepLines/>
      <w:suppressAutoHyphens/>
      <w:outlineLvl w:val="1"/>
    </w:pPr>
    <w:rPr>
      <w:spacing w:val="2"/>
      <w:sz w:val="20"/>
      <w:szCs w:val="30"/>
    </w:rPr>
  </w:style>
  <w:style w:type="paragraph" w:customStyle="1" w:styleId="H4">
    <w:name w:val="_ H_4"/>
    <w:basedOn w:val="Normal"/>
    <w:next w:val="Normal"/>
    <w:qFormat/>
    <w:rsid w:val="00351324"/>
    <w:pPr>
      <w:keepNext/>
      <w:keepLines/>
      <w:suppressAutoHyphens/>
      <w:spacing w:line="360" w:lineRule="exact"/>
      <w:outlineLvl w:val="3"/>
    </w:pPr>
    <w:rPr>
      <w:i/>
      <w:iCs/>
      <w:spacing w:val="3"/>
    </w:rPr>
  </w:style>
  <w:style w:type="paragraph" w:customStyle="1" w:styleId="H56">
    <w:name w:val="_ H_5/6"/>
    <w:basedOn w:val="Normal"/>
    <w:next w:val="Normal"/>
    <w:qFormat/>
    <w:rsid w:val="00351324"/>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rFonts w:cs="Times New Roman"/>
      <w:b/>
      <w:bCs/>
      <w:kern w:val="14"/>
      <w:sz w:val="17"/>
      <w:szCs w:val="25"/>
    </w:rPr>
  </w:style>
  <w:style w:type="character" w:customStyle="1" w:styleId="FooterChar">
    <w:name w:val="Footer Char"/>
    <w:link w:val="Footer"/>
    <w:rsid w:val="007D489C"/>
    <w:rPr>
      <w:rFonts w:cs="Times New Roman"/>
      <w:b/>
      <w:bCs/>
      <w:kern w:val="14"/>
      <w:sz w:val="17"/>
      <w:szCs w:val="25"/>
      <w:lang w:bidi="ar-SA"/>
    </w:rPr>
  </w:style>
  <w:style w:type="paragraph" w:styleId="Header">
    <w:name w:val="header"/>
    <w:link w:val="HeaderChar"/>
    <w:qFormat/>
    <w:rsid w:val="007D489C"/>
    <w:pPr>
      <w:tabs>
        <w:tab w:val="center" w:pos="4320"/>
        <w:tab w:val="right" w:pos="8640"/>
      </w:tabs>
      <w:jc w:val="right"/>
    </w:pPr>
    <w:rPr>
      <w:rFonts w:cs="Times New Roman"/>
      <w:b/>
      <w:bCs/>
      <w:w w:val="105"/>
      <w:kern w:val="14"/>
      <w:sz w:val="17"/>
      <w:szCs w:val="25"/>
    </w:rPr>
  </w:style>
  <w:style w:type="character" w:customStyle="1" w:styleId="HeaderChar">
    <w:name w:val="Header Char"/>
    <w:link w:val="Header"/>
    <w:rsid w:val="007D489C"/>
    <w:rPr>
      <w:rFonts w:cs="Times New Roman"/>
      <w:b/>
      <w:bCs/>
      <w:w w:val="105"/>
      <w:kern w:val="14"/>
      <w:sz w:val="17"/>
      <w:szCs w:val="25"/>
      <w:lang w:bidi="ar-SA"/>
    </w:rPr>
  </w:style>
  <w:style w:type="character" w:customStyle="1" w:styleId="Heading3Char">
    <w:name w:val="Heading 3 Char"/>
    <w:link w:val="Heading3"/>
    <w:rsid w:val="00D4694F"/>
    <w:rPr>
      <w:rFonts w:ascii="Arial" w:eastAsia="SimSun"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rsid w:val="0025236C"/>
    <w:rPr>
      <w:color w:val="0000FF"/>
      <w:u w:val="none"/>
    </w:rPr>
  </w:style>
  <w:style w:type="character" w:styleId="FollowedHyperlink">
    <w:name w:val="FollowedHyperlink"/>
    <w:rsid w:val="0025236C"/>
    <w:rPr>
      <w:color w:val="0000FF"/>
      <w:u w:val="none"/>
    </w:rPr>
  </w:style>
  <w:style w:type="paragraph" w:styleId="CommentText">
    <w:name w:val="annotation text"/>
    <w:basedOn w:val="Normal"/>
    <w:link w:val="CommentTextChar"/>
    <w:rsid w:val="00130557"/>
    <w:rPr>
      <w:rFonts w:cs="Times New Roman"/>
      <w:szCs w:val="20"/>
      <w:lang/>
    </w:rPr>
  </w:style>
  <w:style w:type="character" w:customStyle="1" w:styleId="CommentTextChar">
    <w:name w:val="Comment Text Char"/>
    <w:link w:val="CommentText"/>
    <w:rsid w:val="00130557"/>
    <w:rPr>
      <w:w w:val="103"/>
      <w:kern w:val="14"/>
    </w:rPr>
  </w:style>
  <w:style w:type="paragraph" w:styleId="CommentSubject">
    <w:name w:val="annotation subject"/>
    <w:basedOn w:val="CommentText"/>
    <w:next w:val="CommentText"/>
    <w:link w:val="CommentSubjectChar"/>
    <w:rsid w:val="00130557"/>
    <w:rPr>
      <w:b/>
      <w:bCs/>
    </w:rPr>
  </w:style>
  <w:style w:type="character" w:customStyle="1" w:styleId="CommentSubjectChar">
    <w:name w:val="Comment Subject Char"/>
    <w:link w:val="CommentSubject"/>
    <w:rsid w:val="00130557"/>
    <w:rPr>
      <w:b/>
      <w:bCs/>
      <w:w w:val="103"/>
      <w:kern w:val="14"/>
    </w:rPr>
  </w:style>
  <w:style w:type="character" w:customStyle="1" w:styleId="FootnoteTextChar">
    <w:name w:val="Footnote Text Char"/>
    <w:aliases w:val="5_G Char"/>
    <w:link w:val="FootnoteText"/>
    <w:semiHidden/>
    <w:locked/>
    <w:rsid w:val="007303B1"/>
    <w:rPr>
      <w:kern w:val="14"/>
      <w:sz w:val="17"/>
      <w:szCs w:val="26"/>
    </w:rPr>
  </w:style>
</w:styles>
</file>

<file path=word/webSettings.xml><?xml version="1.0" encoding="utf-8"?>
<w:webSettings xmlns:r="http://schemas.openxmlformats.org/officeDocument/2006/relationships" xmlns:w="http://schemas.openxmlformats.org/wordprocessingml/2006/main">
  <w:encoding w:val="windows-1256"/>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png"/><Relationship Id="rId18" Type="http://schemas.openxmlformats.org/officeDocument/2006/relationships/hyperlink" Target="http://undocs.org/ar/CEDAW/C/UZB/CO/4" TargetMode="Externa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17" Type="http://schemas.openxmlformats.org/officeDocument/2006/relationships/hyperlink" Target="http://undocs.org/ar/CEDAW/C/UZB/CO/4" TargetMode="External"/><Relationship Id="rId2" Type="http://schemas.openxmlformats.org/officeDocument/2006/relationships/settings" Target="settings.xml"/><Relationship Id="rId16" Type="http://schemas.openxmlformats.org/officeDocument/2006/relationships/hyperlink" Target="http://undocs.org/ar/A/HRC/27/7"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hyperlink" Target="http://undocs.org/ar/CEDAW/C/UZB/5" TargetMode="External"/><Relationship Id="rId10" Type="http://schemas.openxmlformats.org/officeDocument/2006/relationships/header" Target="header3.xm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undocs.org/ar/CEDAW/C/UZB/CO/4"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ar/CEDAW/C/62/1"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6</Pages>
  <Words>1679</Words>
  <Characters>8735</Characters>
  <Application>Microsoft Office Outlook</Application>
  <DocSecurity>4</DocSecurity>
  <Lines>171</Lines>
  <Paragraphs>52</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10362</CharactersWithSpaces>
  <SharedDoc>false</SharedDoc>
  <HLinks>
    <vt:vector size="36" baseType="variant">
      <vt:variant>
        <vt:i4>1048579</vt:i4>
      </vt:variant>
      <vt:variant>
        <vt:i4>12</vt:i4>
      </vt:variant>
      <vt:variant>
        <vt:i4>0</vt:i4>
      </vt:variant>
      <vt:variant>
        <vt:i4>5</vt:i4>
      </vt:variant>
      <vt:variant>
        <vt:lpwstr>http://undocs.org/ar/CEDAW/C/UZB/CO/4</vt:lpwstr>
      </vt:variant>
      <vt:variant>
        <vt:lpwstr/>
      </vt:variant>
      <vt:variant>
        <vt:i4>1048579</vt:i4>
      </vt:variant>
      <vt:variant>
        <vt:i4>9</vt:i4>
      </vt:variant>
      <vt:variant>
        <vt:i4>0</vt:i4>
      </vt:variant>
      <vt:variant>
        <vt:i4>5</vt:i4>
      </vt:variant>
      <vt:variant>
        <vt:lpwstr>http://undocs.org/ar/CEDAW/C/UZB/CO/4</vt:lpwstr>
      </vt:variant>
      <vt:variant>
        <vt:lpwstr/>
      </vt:variant>
      <vt:variant>
        <vt:i4>3080312</vt:i4>
      </vt:variant>
      <vt:variant>
        <vt:i4>6</vt:i4>
      </vt:variant>
      <vt:variant>
        <vt:i4>0</vt:i4>
      </vt:variant>
      <vt:variant>
        <vt:i4>5</vt:i4>
      </vt:variant>
      <vt:variant>
        <vt:lpwstr>http://undocs.org/ar/A/HRC/27/7</vt:lpwstr>
      </vt:variant>
      <vt:variant>
        <vt:lpwstr/>
      </vt:variant>
      <vt:variant>
        <vt:i4>6881388</vt:i4>
      </vt:variant>
      <vt:variant>
        <vt:i4>3</vt:i4>
      </vt:variant>
      <vt:variant>
        <vt:i4>0</vt:i4>
      </vt:variant>
      <vt:variant>
        <vt:i4>5</vt:i4>
      </vt:variant>
      <vt:variant>
        <vt:lpwstr>http://undocs.org/ar/CEDAW/C/UZB/5</vt:lpwstr>
      </vt:variant>
      <vt:variant>
        <vt:lpwstr/>
      </vt:variant>
      <vt:variant>
        <vt:i4>1048579</vt:i4>
      </vt:variant>
      <vt:variant>
        <vt:i4>0</vt:i4>
      </vt:variant>
      <vt:variant>
        <vt:i4>0</vt:i4>
      </vt:variant>
      <vt:variant>
        <vt:i4>5</vt:i4>
      </vt:variant>
      <vt:variant>
        <vt:lpwstr>http://undocs.org/ar/CEDAW/C/UZB/CO/4</vt:lpwstr>
      </vt:variant>
      <vt:variant>
        <vt:lpwstr/>
      </vt:variant>
      <vt:variant>
        <vt:i4>5373963</vt:i4>
      </vt:variant>
      <vt:variant>
        <vt:i4>0</vt:i4>
      </vt:variant>
      <vt:variant>
        <vt:i4>0</vt:i4>
      </vt:variant>
      <vt:variant>
        <vt:i4>5</vt:i4>
      </vt:variant>
      <vt:variant>
        <vt:lpwstr>http://undocs.org/ar/CEDAW/C/62/1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Fady Gergis</dc:creator>
  <cp:keywords/>
  <cp:lastModifiedBy>Fady Gergis</cp:lastModifiedBy>
  <cp:revision>4</cp:revision>
  <cp:lastPrinted>2014-05-15T15:29:00Z</cp:lastPrinted>
  <dcterms:created xsi:type="dcterms:W3CDTF">2015-04-02T14:23:00Z</dcterms:created>
  <dcterms:modified xsi:type="dcterms:W3CDTF">2015-04-02T14:31:00Z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1504044</vt:lpwstr>
  </property>
  <property fmtid="{D5CDD505-2E9C-101B-9397-08002B2CF9AE}" pid="3" name="ODSRefJobNo">
    <vt:lpwstr>1507281A</vt:lpwstr>
  </property>
  <property fmtid="{D5CDD505-2E9C-101B-9397-08002B2CF9AE}" pid="4" name="Symbol1">
    <vt:lpwstr>CEDAW/C/UZB/Q/5</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17 March 2015</vt:lpwstr>
  </property>
  <property fmtid="{D5CDD505-2E9C-101B-9397-08002B2CF9AE}" pid="9" name="Original">
    <vt:lpwstr>English</vt:lpwstr>
  </property>
  <property fmtid="{D5CDD505-2E9C-101B-9397-08002B2CF9AE}" pid="10" name="Release Date">
    <vt:lpwstr>020415</vt:lpwstr>
  </property>
  <property fmtid="{D5CDD505-2E9C-101B-9397-08002B2CF9AE}" pid="11" name="Comment">
    <vt:lpwstr>Fady</vt:lpwstr>
  </property>
  <property fmtid="{D5CDD505-2E9C-101B-9397-08002B2CF9AE}" pid="12" name="DraftPages">
    <vt:lpwstr> </vt:lpwstr>
  </property>
  <property fmtid="{D5CDD505-2E9C-101B-9397-08002B2CF9AE}" pid="13" name="Operator">
    <vt:lpwstr>External</vt:lpwstr>
  </property>
</Properties>
</file>