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C41A9EB" w14:textId="77777777" w:rsidTr="00281242">
        <w:trPr>
          <w:trHeight w:hRule="exact" w:val="851"/>
        </w:trPr>
        <w:tc>
          <w:tcPr>
            <w:tcW w:w="1274" w:type="dxa"/>
            <w:tcBorders>
              <w:bottom w:val="single" w:sz="4" w:space="0" w:color="auto"/>
            </w:tcBorders>
            <w:shd w:val="clear" w:color="auto" w:fill="auto"/>
          </w:tcPr>
          <w:p w14:paraId="2A4D892E"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7B94820C"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0B4E0C7C" w14:textId="77777777" w:rsidR="006B3E27" w:rsidRPr="00281242" w:rsidRDefault="00DA5A3F" w:rsidP="007748D9">
            <w:pPr>
              <w:bidi w:val="0"/>
              <w:spacing w:after="20"/>
              <w:jc w:val="left"/>
              <w:rPr>
                <w:szCs w:val="20"/>
              </w:rPr>
            </w:pPr>
            <w:r w:rsidRPr="00DA5A3F">
              <w:rPr>
                <w:sz w:val="40"/>
                <w:szCs w:val="20"/>
              </w:rPr>
              <w:t>A</w:t>
            </w:r>
            <w:r>
              <w:rPr>
                <w:szCs w:val="20"/>
              </w:rPr>
              <w:t>/HRC/RES/</w:t>
            </w:r>
            <w:r w:rsidRPr="007748D9">
              <w:rPr>
                <w:szCs w:val="20"/>
              </w:rPr>
              <w:t>43</w:t>
            </w:r>
            <w:r>
              <w:rPr>
                <w:szCs w:val="20"/>
              </w:rPr>
              <w:t>/</w:t>
            </w:r>
            <w:r w:rsidRPr="007748D9">
              <w:rPr>
                <w:szCs w:val="20"/>
              </w:rPr>
              <w:t>14</w:t>
            </w:r>
          </w:p>
        </w:tc>
      </w:tr>
      <w:tr w:rsidR="006B3E27" w:rsidRPr="00ED7442" w14:paraId="20C712C1" w14:textId="77777777" w:rsidTr="00281242">
        <w:trPr>
          <w:trHeight w:hRule="exact" w:val="2835"/>
        </w:trPr>
        <w:tc>
          <w:tcPr>
            <w:tcW w:w="1274" w:type="dxa"/>
            <w:tcBorders>
              <w:top w:val="single" w:sz="4" w:space="0" w:color="auto"/>
              <w:bottom w:val="single" w:sz="12" w:space="0" w:color="auto"/>
            </w:tcBorders>
            <w:shd w:val="clear" w:color="auto" w:fill="auto"/>
          </w:tcPr>
          <w:p w14:paraId="0E20710B" w14:textId="7F13D930" w:rsidR="006B3E27" w:rsidRPr="00281242" w:rsidRDefault="00AF50BF" w:rsidP="00281242">
            <w:pPr>
              <w:jc w:val="center"/>
              <w:rPr>
                <w:sz w:val="56"/>
                <w:szCs w:val="56"/>
                <w:rtl/>
              </w:rPr>
            </w:pPr>
            <w:r>
              <w:rPr>
                <w:noProof/>
                <w:sz w:val="56"/>
                <w:szCs w:val="56"/>
              </w:rPr>
              <w:drawing>
                <wp:inline distT="0" distB="0" distL="0" distR="0" wp14:anchorId="3B224326" wp14:editId="55C198E8">
                  <wp:extent cx="628015" cy="6121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214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D9D7037"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6BE6B0D0" w14:textId="77777777" w:rsidR="006B3E27" w:rsidRDefault="007748D9" w:rsidP="007748D9">
            <w:pPr>
              <w:bidi w:val="0"/>
              <w:spacing w:before="240"/>
              <w:jc w:val="left"/>
              <w:rPr>
                <w:szCs w:val="20"/>
              </w:rPr>
            </w:pPr>
            <w:r>
              <w:rPr>
                <w:szCs w:val="20"/>
              </w:rPr>
              <w:t>Distr.: General</w:t>
            </w:r>
          </w:p>
          <w:p w14:paraId="0C1A1CAB" w14:textId="37F438C8" w:rsidR="007748D9" w:rsidRDefault="007748D9" w:rsidP="007748D9">
            <w:pPr>
              <w:bidi w:val="0"/>
              <w:jc w:val="left"/>
              <w:rPr>
                <w:szCs w:val="20"/>
              </w:rPr>
            </w:pPr>
            <w:r>
              <w:rPr>
                <w:szCs w:val="20"/>
              </w:rPr>
              <w:t>6 July 2020</w:t>
            </w:r>
          </w:p>
          <w:p w14:paraId="60CA7E65" w14:textId="77777777" w:rsidR="007748D9" w:rsidRDefault="007748D9" w:rsidP="007748D9">
            <w:pPr>
              <w:bidi w:val="0"/>
              <w:jc w:val="left"/>
              <w:rPr>
                <w:szCs w:val="20"/>
              </w:rPr>
            </w:pPr>
            <w:r>
              <w:rPr>
                <w:szCs w:val="20"/>
              </w:rPr>
              <w:t>Arabic</w:t>
            </w:r>
          </w:p>
          <w:p w14:paraId="535FE452" w14:textId="77777777" w:rsidR="007748D9" w:rsidRPr="00281242" w:rsidRDefault="007748D9" w:rsidP="007748D9">
            <w:pPr>
              <w:bidi w:val="0"/>
              <w:jc w:val="left"/>
              <w:rPr>
                <w:szCs w:val="20"/>
              </w:rPr>
            </w:pPr>
            <w:r>
              <w:rPr>
                <w:szCs w:val="20"/>
              </w:rPr>
              <w:t>Original: English</w:t>
            </w:r>
          </w:p>
        </w:tc>
      </w:tr>
    </w:tbl>
    <w:p w14:paraId="10273E59" w14:textId="77777777" w:rsidR="007748D9" w:rsidRDefault="00673245" w:rsidP="007748D9">
      <w:pPr>
        <w:pStyle w:val="SingleTxtGA"/>
        <w:spacing w:before="120" w:after="0"/>
        <w:ind w:left="0"/>
        <w:rPr>
          <w:b/>
          <w:bCs/>
          <w:sz w:val="36"/>
          <w:szCs w:val="36"/>
          <w:rtl/>
        </w:rPr>
      </w:pPr>
      <w:r w:rsidRPr="00673245">
        <w:rPr>
          <w:rFonts w:hint="cs"/>
          <w:b/>
          <w:bCs/>
          <w:sz w:val="36"/>
          <w:szCs w:val="36"/>
          <w:rtl/>
        </w:rPr>
        <w:t>مجلس حقوق الإنسان</w:t>
      </w:r>
    </w:p>
    <w:p w14:paraId="44D237CE" w14:textId="77777777" w:rsidR="007748D9" w:rsidRPr="00244459" w:rsidRDefault="007748D9" w:rsidP="007748D9">
      <w:pPr>
        <w:spacing w:line="342" w:lineRule="exact"/>
        <w:textDirection w:val="tbRlV"/>
        <w:rPr>
          <w:rFonts w:eastAsia="SimSun"/>
          <w:b/>
          <w:szCs w:val="20"/>
          <w:lang w:val="ar-SA" w:eastAsia="zh-TW" w:bidi="en-GB"/>
        </w:rPr>
      </w:pPr>
      <w:r w:rsidRPr="00244459">
        <w:rPr>
          <w:rFonts w:eastAsia="SimSun"/>
          <w:b/>
          <w:bCs/>
          <w:rtl/>
        </w:rPr>
        <w:t>الدورة الثالثة والأربعون</w:t>
      </w:r>
    </w:p>
    <w:p w14:paraId="4FB3A18B" w14:textId="77777777" w:rsidR="007748D9" w:rsidRPr="00244459" w:rsidRDefault="007748D9" w:rsidP="007748D9">
      <w:pPr>
        <w:spacing w:line="342" w:lineRule="exact"/>
        <w:textDirection w:val="tbRlV"/>
        <w:rPr>
          <w:rFonts w:eastAsia="SimSun"/>
          <w:szCs w:val="20"/>
          <w:lang w:val="ar-SA" w:eastAsia="zh-TW" w:bidi="en-GB"/>
        </w:rPr>
      </w:pPr>
      <w:r w:rsidRPr="007748D9">
        <w:rPr>
          <w:rFonts w:eastAsia="SimSun"/>
          <w:szCs w:val="20"/>
          <w:rtl/>
        </w:rPr>
        <w:t>24</w:t>
      </w:r>
      <w:r w:rsidRPr="00244459">
        <w:rPr>
          <w:rFonts w:eastAsia="SimSun"/>
          <w:rtl/>
        </w:rPr>
        <w:t xml:space="preserve"> شباط/فبراير - </w:t>
      </w:r>
      <w:r w:rsidRPr="007748D9">
        <w:rPr>
          <w:rFonts w:eastAsia="SimSun" w:hint="cs"/>
          <w:szCs w:val="20"/>
          <w:rtl/>
        </w:rPr>
        <w:t>13</w:t>
      </w:r>
      <w:r w:rsidRPr="00244459">
        <w:rPr>
          <w:rFonts w:eastAsia="SimSun"/>
          <w:rtl/>
        </w:rPr>
        <w:t xml:space="preserve"> آذار/مارس</w:t>
      </w:r>
      <w:r>
        <w:rPr>
          <w:rFonts w:eastAsia="SimSun" w:hint="cs"/>
          <w:rtl/>
        </w:rPr>
        <w:t xml:space="preserve"> و</w:t>
      </w:r>
      <w:r w:rsidRPr="007748D9">
        <w:rPr>
          <w:rFonts w:eastAsia="SimSun" w:hint="cs"/>
          <w:szCs w:val="20"/>
          <w:rtl/>
        </w:rPr>
        <w:t>15</w:t>
      </w:r>
      <w:r>
        <w:rPr>
          <w:rFonts w:eastAsia="SimSun" w:hint="cs"/>
          <w:rtl/>
        </w:rPr>
        <w:t>-</w:t>
      </w:r>
      <w:r w:rsidRPr="007748D9">
        <w:rPr>
          <w:rFonts w:eastAsia="SimSun" w:hint="cs"/>
          <w:szCs w:val="20"/>
          <w:rtl/>
        </w:rPr>
        <w:t>23</w:t>
      </w:r>
      <w:r>
        <w:rPr>
          <w:rFonts w:eastAsia="SimSun" w:hint="cs"/>
          <w:rtl/>
        </w:rPr>
        <w:t xml:space="preserve"> حزيران/يونيه</w:t>
      </w:r>
      <w:r w:rsidRPr="00244459">
        <w:rPr>
          <w:rFonts w:eastAsia="SimSun"/>
          <w:rtl/>
        </w:rPr>
        <w:t xml:space="preserve"> </w:t>
      </w:r>
      <w:r w:rsidRPr="007748D9">
        <w:rPr>
          <w:rFonts w:eastAsia="SimSun"/>
          <w:szCs w:val="20"/>
          <w:rtl/>
        </w:rPr>
        <w:t>2020</w:t>
      </w:r>
    </w:p>
    <w:p w14:paraId="394924D1" w14:textId="77777777" w:rsidR="007748D9" w:rsidRPr="00244459" w:rsidRDefault="007748D9" w:rsidP="007748D9">
      <w:pPr>
        <w:spacing w:line="342" w:lineRule="exact"/>
        <w:textDirection w:val="tbRlV"/>
        <w:rPr>
          <w:rFonts w:eastAsia="SimSun"/>
          <w:szCs w:val="20"/>
          <w:lang w:eastAsia="zh-TW" w:bidi="en-GB"/>
        </w:rPr>
      </w:pPr>
      <w:r w:rsidRPr="00244459">
        <w:rPr>
          <w:rFonts w:eastAsia="SimSun"/>
          <w:rtl/>
        </w:rPr>
        <w:t xml:space="preserve">البند </w:t>
      </w:r>
      <w:r w:rsidRPr="007748D9">
        <w:rPr>
          <w:rFonts w:eastAsia="SimSun" w:hint="cs"/>
          <w:szCs w:val="20"/>
          <w:rtl/>
        </w:rPr>
        <w:t>3</w:t>
      </w:r>
      <w:r w:rsidRPr="00244459">
        <w:rPr>
          <w:rFonts w:eastAsia="SimSun"/>
          <w:rtl/>
        </w:rPr>
        <w:t xml:space="preserve"> من جدول الأعمال</w:t>
      </w:r>
    </w:p>
    <w:p w14:paraId="46163F2A" w14:textId="77777777" w:rsidR="007748D9" w:rsidRPr="00244459" w:rsidRDefault="007748D9" w:rsidP="007748D9">
      <w:pPr>
        <w:spacing w:line="342" w:lineRule="exact"/>
        <w:ind w:right="4678"/>
        <w:rPr>
          <w:rFonts w:eastAsia="SimSun"/>
          <w:b/>
          <w:bCs/>
          <w:rtl/>
        </w:rPr>
      </w:pPr>
      <w:r w:rsidRPr="00244459">
        <w:rPr>
          <w:rFonts w:eastAsia="SimSun"/>
          <w:b/>
          <w:bCs/>
          <w:rtl/>
        </w:rPr>
        <w:t>تعزيز وحماية جميع حقوق الإنسان، المدنية والسياسية والاقتصادية والاجتماعية والثقافية، بما في ذلك الحق في التنمية</w:t>
      </w:r>
    </w:p>
    <w:p w14:paraId="5E8214E8" w14:textId="77777777" w:rsidR="007748D9" w:rsidRPr="00244459" w:rsidRDefault="007748D9" w:rsidP="0016264F">
      <w:pPr>
        <w:pStyle w:val="HChGA"/>
        <w:rPr>
          <w:rtl/>
        </w:rPr>
      </w:pPr>
      <w:r w:rsidRPr="00244459">
        <w:rPr>
          <w:rtl/>
        </w:rPr>
        <w:tab/>
      </w:r>
      <w:r w:rsidRPr="00244459">
        <w:rPr>
          <w:rtl/>
        </w:rPr>
        <w:tab/>
        <w:t xml:space="preserve">قرار </w:t>
      </w:r>
      <w:r>
        <w:rPr>
          <w:rFonts w:hint="cs"/>
          <w:rtl/>
        </w:rPr>
        <w:t xml:space="preserve">اعتمده مجلس حقوق الإنسان في </w:t>
      </w:r>
      <w:r w:rsidRPr="0016264F">
        <w:rPr>
          <w:rFonts w:hint="cs"/>
          <w:szCs w:val="28"/>
          <w:rtl/>
        </w:rPr>
        <w:t>19</w:t>
      </w:r>
      <w:r>
        <w:rPr>
          <w:rFonts w:hint="cs"/>
          <w:rtl/>
        </w:rPr>
        <w:t xml:space="preserve"> حزيران/يونيه </w:t>
      </w:r>
      <w:r w:rsidRPr="0016264F">
        <w:rPr>
          <w:rFonts w:hint="cs"/>
          <w:szCs w:val="28"/>
          <w:rtl/>
        </w:rPr>
        <w:t>2020</w:t>
      </w:r>
    </w:p>
    <w:p w14:paraId="3F6902A4" w14:textId="720DE8C6" w:rsidR="007748D9" w:rsidRPr="00244459" w:rsidRDefault="0016264F" w:rsidP="0016264F">
      <w:pPr>
        <w:pStyle w:val="H1GA"/>
        <w:rPr>
          <w:rtl/>
        </w:rPr>
      </w:pPr>
      <w:r>
        <w:rPr>
          <w:sz w:val="30"/>
          <w:szCs w:val="24"/>
          <w:rtl/>
        </w:rPr>
        <w:tab/>
      </w:r>
      <w:r w:rsidR="007748D9" w:rsidRPr="007748D9">
        <w:rPr>
          <w:sz w:val="30"/>
          <w:szCs w:val="24"/>
          <w:rtl/>
        </w:rPr>
        <w:t>43</w:t>
      </w:r>
      <w:r w:rsidR="007748D9" w:rsidRPr="00244459">
        <w:rPr>
          <w:rtl/>
        </w:rPr>
        <w:t>/</w:t>
      </w:r>
      <w:r w:rsidR="007748D9" w:rsidRPr="007748D9">
        <w:rPr>
          <w:rFonts w:hint="cs"/>
          <w:szCs w:val="24"/>
          <w:rtl/>
        </w:rPr>
        <w:t>14</w:t>
      </w:r>
      <w:r>
        <w:rPr>
          <w:rFonts w:hint="cs"/>
          <w:rtl/>
        </w:rPr>
        <w:t>-</w:t>
      </w:r>
      <w:r w:rsidR="007748D9" w:rsidRPr="00244459">
        <w:rPr>
          <w:rtl/>
        </w:rPr>
        <w:tab/>
        <w:t>السكن اللائق كعنصر من عناصر الحق في مستوى معيشي مناسب، والحق في عدم التمييز في هذا السياق</w:t>
      </w:r>
    </w:p>
    <w:p w14:paraId="3A9718CF" w14:textId="77777777" w:rsidR="007748D9" w:rsidRPr="00244459" w:rsidRDefault="007748D9" w:rsidP="0016264F">
      <w:pPr>
        <w:pStyle w:val="SingleTxtGA"/>
        <w:spacing w:line="340" w:lineRule="exact"/>
        <w:rPr>
          <w:i/>
          <w:iCs/>
          <w:rtl/>
        </w:rPr>
      </w:pPr>
      <w:r w:rsidRPr="00244459">
        <w:rPr>
          <w:i/>
          <w:iCs/>
          <w:rtl/>
        </w:rPr>
        <w:tab/>
        <w:t xml:space="preserve">إن مجلس حقوق الإنسان، </w:t>
      </w:r>
    </w:p>
    <w:p w14:paraId="519F7EC3" w14:textId="77777777" w:rsidR="007748D9" w:rsidRPr="00244459" w:rsidRDefault="007748D9" w:rsidP="0016264F">
      <w:pPr>
        <w:pStyle w:val="SingleTxtGA"/>
        <w:spacing w:line="340" w:lineRule="exact"/>
        <w:rPr>
          <w:rtl/>
        </w:rPr>
      </w:pPr>
      <w:r w:rsidRPr="00244459">
        <w:rPr>
          <w:rtl/>
        </w:rPr>
        <w:tab/>
      </w:r>
      <w:r w:rsidRPr="00244459">
        <w:rPr>
          <w:i/>
          <w:iCs/>
          <w:rtl/>
        </w:rPr>
        <w:t>إذ يؤكد من جديد</w:t>
      </w:r>
      <w:r w:rsidRPr="00244459">
        <w:rPr>
          <w:rtl/>
        </w:rPr>
        <w:t xml:space="preserve"> أن صكوك القانون الدولي لحقوق الإنسان، بما فيها الإعلان العالمي لحقوق الإنسان والعهد الدولي الخاص بالحقوق الاقتصادية والاجتماعية والثقافية والعهد الدولي الخاص بالحقوق المدنية والسياسية، تستتبع واجبات والتزامات تقع على عاتق الدول الأطراف، تشمل جميع مستويات الحكومة، فيما يتعلق بإتاحة الحصول على سكن لائق،</w:t>
      </w:r>
    </w:p>
    <w:p w14:paraId="6ECED634" w14:textId="1F8C9CC0" w:rsidR="007748D9" w:rsidRPr="00D27EC6" w:rsidRDefault="007748D9" w:rsidP="0016264F">
      <w:pPr>
        <w:pStyle w:val="SingleTxtGA"/>
        <w:spacing w:line="340" w:lineRule="exact"/>
        <w:rPr>
          <w:spacing w:val="-7"/>
          <w:rtl/>
        </w:rPr>
      </w:pPr>
      <w:r w:rsidRPr="00D27EC6">
        <w:rPr>
          <w:spacing w:val="-7"/>
          <w:rtl/>
        </w:rPr>
        <w:tab/>
      </w:r>
      <w:r w:rsidRPr="00D27EC6">
        <w:rPr>
          <w:i/>
          <w:iCs/>
          <w:spacing w:val="-7"/>
          <w:rtl/>
        </w:rPr>
        <w:t>وإذ يؤكد من جديد أيضاً</w:t>
      </w:r>
      <w:r w:rsidRPr="00D27EC6">
        <w:rPr>
          <w:spacing w:val="-7"/>
          <w:rtl/>
        </w:rPr>
        <w:t xml:space="preserve"> أن لكل إنسان الحق في الحصول على سكن لائق كعنصر من عناصر الحق في مستوى معيشي مناسب دون أي تمييز بسبب العرق، أو اللون، أو الجنس، أو اللغة، أو الدين، أو</w:t>
      </w:r>
      <w:r w:rsidR="00D27EC6" w:rsidRPr="00D27EC6">
        <w:rPr>
          <w:rFonts w:hint="cs"/>
          <w:spacing w:val="-7"/>
          <w:rtl/>
        </w:rPr>
        <w:t> </w:t>
      </w:r>
      <w:r w:rsidRPr="00D27EC6">
        <w:rPr>
          <w:spacing w:val="-7"/>
          <w:rtl/>
        </w:rPr>
        <w:t xml:space="preserve">الرأي السياسي أو غير السياسي، أو الأصل القومي أو الاجتماعي، أو الثروة، أو النسب، أو أي وضع آخر، </w:t>
      </w:r>
    </w:p>
    <w:p w14:paraId="0FFC8127" w14:textId="77777777" w:rsidR="007748D9" w:rsidRPr="00244459" w:rsidRDefault="007748D9" w:rsidP="0016264F">
      <w:pPr>
        <w:pStyle w:val="SingleTxtGA"/>
        <w:spacing w:line="340" w:lineRule="exact"/>
        <w:rPr>
          <w:rtl/>
        </w:rPr>
      </w:pPr>
      <w:r w:rsidRPr="00244459">
        <w:rPr>
          <w:rtl/>
        </w:rPr>
        <w:tab/>
      </w:r>
      <w:r w:rsidRPr="00244459">
        <w:rPr>
          <w:i/>
          <w:iCs/>
          <w:rtl/>
        </w:rPr>
        <w:t>وإذ يشير</w:t>
      </w:r>
      <w:r w:rsidRPr="00244459">
        <w:rPr>
          <w:rtl/>
        </w:rPr>
        <w:t xml:space="preserve"> إلى أن الدول مسؤولة في المقام الأول عن ضمان الإعمال الكامل لجميع حقوق الإنسان والسعي، منفردة وعن طريق المساعدة والتعاون الدوليين، وبخاصة على الصعيدين الاقتصادي والتقني، وبأقصى ما تسمح به مواردها المتاحة، إلى اتخاذ خطوات لكي تحقق تدريجياً الإعمال الكامل للحق في السكن اللائق كعنصر من عناصر الحق في مستوى معيشي مناسب بجميع الوسائل المناسبة، بما في ذلك اعتماد تدابير تشريعية،</w:t>
      </w:r>
    </w:p>
    <w:p w14:paraId="64F37D2C" w14:textId="77777777" w:rsidR="007748D9" w:rsidRPr="00244459" w:rsidRDefault="007748D9" w:rsidP="0016264F">
      <w:pPr>
        <w:pStyle w:val="SingleTxtGA"/>
        <w:spacing w:line="340" w:lineRule="exact"/>
        <w:rPr>
          <w:rtl/>
        </w:rPr>
      </w:pPr>
      <w:r w:rsidRPr="00244459">
        <w:rPr>
          <w:rtl/>
        </w:rPr>
        <w:tab/>
      </w:r>
      <w:r w:rsidRPr="00244459">
        <w:rPr>
          <w:i/>
          <w:iCs/>
          <w:rtl/>
        </w:rPr>
        <w:t>وإذ يشير أيضاً</w:t>
      </w:r>
      <w:r w:rsidRPr="00244459">
        <w:rPr>
          <w:rtl/>
        </w:rPr>
        <w:t xml:space="preserve"> إلى جميع القرارات السابقة التي اعتمدها مجلس حقوق الإنسان ولجنة حقوق الإنسان بشأن مسألة الحق في السكن اللائق كعنصر من عناصر الحق في مستوى معيشي مناسب، </w:t>
      </w:r>
    </w:p>
    <w:p w14:paraId="6C15F02D" w14:textId="77777777" w:rsidR="007748D9" w:rsidRPr="00244459" w:rsidRDefault="007748D9" w:rsidP="0016264F">
      <w:pPr>
        <w:pStyle w:val="SingleTxtGA"/>
        <w:spacing w:line="340" w:lineRule="exact"/>
        <w:rPr>
          <w:rtl/>
        </w:rPr>
      </w:pPr>
      <w:r w:rsidRPr="00244459">
        <w:rPr>
          <w:rtl/>
        </w:rPr>
        <w:tab/>
      </w:r>
      <w:r w:rsidRPr="00244459">
        <w:rPr>
          <w:i/>
          <w:iCs/>
          <w:rtl/>
        </w:rPr>
        <w:t>وإذ يشير كذلك</w:t>
      </w:r>
      <w:r w:rsidRPr="00244459">
        <w:rPr>
          <w:rtl/>
        </w:rPr>
        <w:t xml:space="preserve"> إلى جميع القرارات السابقة التي اعتمدتها لجنة حقوق الإنسان بشأن مسألة </w:t>
      </w:r>
      <w:r w:rsidRPr="00244459">
        <w:rPr>
          <w:spacing w:val="-4"/>
          <w:rtl/>
        </w:rPr>
        <w:t>مساواة المرأة في حقوق ملكية الأرض وإمكانية حيازتها والتحكم فيها وتمتعها بالمساواة في حقوق التملك</w:t>
      </w:r>
      <w:r w:rsidRPr="00244459">
        <w:rPr>
          <w:rtl/>
        </w:rPr>
        <w:t xml:space="preserve"> وفي وراثة الممتلكات وفي السكن اللائق</w:t>
      </w:r>
      <w:r w:rsidRPr="00244459">
        <w:rPr>
          <w:rFonts w:cs="Times New Roman" w:hint="cs"/>
          <w:rtl/>
        </w:rPr>
        <w:t>‬</w:t>
      </w:r>
      <w:r w:rsidRPr="00244459">
        <w:rPr>
          <w:rFonts w:ascii="Traditional Arabic" w:hAnsi="Traditional Arabic" w:hint="cs"/>
          <w:rtl/>
        </w:rPr>
        <w:t>،</w:t>
      </w:r>
      <w:r w:rsidRPr="00244459">
        <w:rPr>
          <w:rtl/>
        </w:rPr>
        <w:t xml:space="preserve"> </w:t>
      </w:r>
      <w:r w:rsidRPr="00244459">
        <w:rPr>
          <w:rFonts w:ascii="Traditional Arabic" w:hAnsi="Traditional Arabic" w:hint="cs"/>
          <w:rtl/>
        </w:rPr>
        <w:t>ومنها</w:t>
      </w:r>
      <w:r w:rsidRPr="00244459">
        <w:rPr>
          <w:rtl/>
        </w:rPr>
        <w:t xml:space="preserve"> </w:t>
      </w:r>
      <w:r w:rsidRPr="00244459">
        <w:rPr>
          <w:rFonts w:ascii="Traditional Arabic" w:hAnsi="Traditional Arabic" w:hint="cs"/>
          <w:rtl/>
        </w:rPr>
        <w:t>القرار</w:t>
      </w:r>
      <w:r w:rsidRPr="00244459">
        <w:rPr>
          <w:rtl/>
        </w:rPr>
        <w:t xml:space="preserve"> </w:t>
      </w:r>
      <w:r w:rsidRPr="007748D9">
        <w:rPr>
          <w:szCs w:val="20"/>
          <w:rtl/>
        </w:rPr>
        <w:t>2005</w:t>
      </w:r>
      <w:r w:rsidRPr="00244459">
        <w:rPr>
          <w:rtl/>
        </w:rPr>
        <w:t>/</w:t>
      </w:r>
      <w:r w:rsidRPr="007748D9">
        <w:rPr>
          <w:szCs w:val="20"/>
          <w:rtl/>
        </w:rPr>
        <w:t>25</w:t>
      </w:r>
      <w:r w:rsidRPr="00244459">
        <w:rPr>
          <w:rtl/>
        </w:rPr>
        <w:t xml:space="preserve"> </w:t>
      </w:r>
      <w:r w:rsidRPr="00244459">
        <w:rPr>
          <w:rFonts w:ascii="Traditional Arabic" w:hAnsi="Traditional Arabic" w:hint="cs"/>
          <w:rtl/>
        </w:rPr>
        <w:t>المؤرخ</w:t>
      </w:r>
      <w:r w:rsidRPr="00244459">
        <w:rPr>
          <w:rtl/>
        </w:rPr>
        <w:t xml:space="preserve"> </w:t>
      </w:r>
      <w:r w:rsidRPr="007748D9">
        <w:rPr>
          <w:szCs w:val="20"/>
          <w:rtl/>
        </w:rPr>
        <w:t>15</w:t>
      </w:r>
      <w:r w:rsidRPr="00244459">
        <w:rPr>
          <w:rtl/>
        </w:rPr>
        <w:t xml:space="preserve"> </w:t>
      </w:r>
      <w:r w:rsidRPr="00244459">
        <w:rPr>
          <w:rFonts w:ascii="Traditional Arabic" w:hAnsi="Traditional Arabic" w:hint="cs"/>
          <w:rtl/>
        </w:rPr>
        <w:t>نيسان</w:t>
      </w:r>
      <w:r w:rsidRPr="00244459">
        <w:rPr>
          <w:rtl/>
        </w:rPr>
        <w:t>/</w:t>
      </w:r>
      <w:r w:rsidRPr="00244459">
        <w:rPr>
          <w:rFonts w:ascii="Traditional Arabic" w:hAnsi="Traditional Arabic" w:hint="cs"/>
          <w:rtl/>
        </w:rPr>
        <w:t>أبريل</w:t>
      </w:r>
      <w:r w:rsidRPr="00244459">
        <w:rPr>
          <w:rtl/>
        </w:rPr>
        <w:t xml:space="preserve"> </w:t>
      </w:r>
      <w:r w:rsidRPr="007748D9">
        <w:rPr>
          <w:szCs w:val="20"/>
          <w:rtl/>
        </w:rPr>
        <w:t>2005</w:t>
      </w:r>
      <w:r w:rsidRPr="00244459">
        <w:rPr>
          <w:rFonts w:ascii="Traditional Arabic" w:hAnsi="Traditional Arabic" w:hint="cs"/>
          <w:rtl/>
        </w:rPr>
        <w:t>،</w:t>
      </w:r>
    </w:p>
    <w:p w14:paraId="20ABDD78" w14:textId="77777777" w:rsidR="007748D9" w:rsidRPr="00244459" w:rsidRDefault="007748D9" w:rsidP="007748D9">
      <w:pPr>
        <w:pStyle w:val="SingleTxtGA"/>
        <w:rPr>
          <w:rtl/>
        </w:rPr>
      </w:pPr>
      <w:r w:rsidRPr="00244459">
        <w:rPr>
          <w:rtl/>
        </w:rPr>
        <w:lastRenderedPageBreak/>
        <w:tab/>
      </w:r>
      <w:r w:rsidRPr="00244459">
        <w:rPr>
          <w:i/>
          <w:iCs/>
          <w:rtl/>
        </w:rPr>
        <w:t>وإذ يشير</w:t>
      </w:r>
      <w:r w:rsidRPr="00244459">
        <w:rPr>
          <w:rtl/>
        </w:rPr>
        <w:t xml:space="preserve"> إلى قراريه </w:t>
      </w:r>
      <w:r w:rsidRPr="007748D9">
        <w:rPr>
          <w:szCs w:val="20"/>
          <w:rtl/>
        </w:rPr>
        <w:t>5</w:t>
      </w:r>
      <w:r w:rsidRPr="00244459">
        <w:rPr>
          <w:rtl/>
        </w:rPr>
        <w:t>/</w:t>
      </w:r>
      <w:r w:rsidRPr="007748D9">
        <w:rPr>
          <w:szCs w:val="20"/>
          <w:rtl/>
        </w:rPr>
        <w:t>1</w:t>
      </w:r>
      <w:r w:rsidRPr="00244459">
        <w:rPr>
          <w:rtl/>
        </w:rPr>
        <w:t xml:space="preserve"> المتعلق ببناء مؤسسات مجلس حقوق الإنسان، و</w:t>
      </w:r>
      <w:r w:rsidRPr="007748D9">
        <w:rPr>
          <w:szCs w:val="20"/>
          <w:rtl/>
        </w:rPr>
        <w:t>5</w:t>
      </w:r>
      <w:r w:rsidRPr="00244459">
        <w:rPr>
          <w:rtl/>
        </w:rPr>
        <w:t>/</w:t>
      </w:r>
      <w:r w:rsidRPr="007748D9">
        <w:rPr>
          <w:szCs w:val="20"/>
          <w:rtl/>
        </w:rPr>
        <w:t>2</w:t>
      </w:r>
      <w:r w:rsidRPr="00244459">
        <w:rPr>
          <w:rtl/>
        </w:rPr>
        <w:t xml:space="preserve"> المتعلق بمدونة </w:t>
      </w:r>
      <w:r w:rsidRPr="00244459">
        <w:rPr>
          <w:spacing w:val="-4"/>
          <w:rtl/>
        </w:rPr>
        <w:t>قواعد السلوك لأصحاب الولايات في إطار الإجراءات الخاصة للمجلس، المؤرخين</w:t>
      </w:r>
      <w:r w:rsidRPr="00244459">
        <w:rPr>
          <w:rtl/>
        </w:rPr>
        <w:t xml:space="preserve"> </w:t>
      </w:r>
      <w:r w:rsidRPr="007748D9">
        <w:rPr>
          <w:szCs w:val="20"/>
          <w:rtl/>
        </w:rPr>
        <w:t>18</w:t>
      </w:r>
      <w:r w:rsidRPr="00244459">
        <w:rPr>
          <w:rtl/>
        </w:rPr>
        <w:t xml:space="preserve"> </w:t>
      </w:r>
      <w:r w:rsidRPr="00244459">
        <w:rPr>
          <w:spacing w:val="-4"/>
          <w:rtl/>
        </w:rPr>
        <w:t>حزيران/يونيه</w:t>
      </w:r>
      <w:r w:rsidRPr="00244459">
        <w:rPr>
          <w:rtl/>
        </w:rPr>
        <w:t xml:space="preserve"> </w:t>
      </w:r>
      <w:r w:rsidRPr="007748D9">
        <w:rPr>
          <w:szCs w:val="20"/>
          <w:rtl/>
        </w:rPr>
        <w:t>2007</w:t>
      </w:r>
      <w:r w:rsidRPr="00244459">
        <w:rPr>
          <w:rtl/>
        </w:rPr>
        <w:t>، وإذ يشدد على أن يضطلع</w:t>
      </w:r>
      <w:r>
        <w:rPr>
          <w:rFonts w:hint="cs"/>
          <w:rtl/>
        </w:rPr>
        <w:t>/تضطلع</w:t>
      </w:r>
      <w:r w:rsidRPr="00244459">
        <w:rPr>
          <w:rtl/>
        </w:rPr>
        <w:t xml:space="preserve"> المكلَّف</w:t>
      </w:r>
      <w:r>
        <w:rPr>
          <w:rFonts w:hint="cs"/>
          <w:rtl/>
        </w:rPr>
        <w:t>(ة)</w:t>
      </w:r>
      <w:r w:rsidRPr="00244459">
        <w:rPr>
          <w:rtl/>
        </w:rPr>
        <w:t xml:space="preserve"> بالولاية بواجباته</w:t>
      </w:r>
      <w:r>
        <w:rPr>
          <w:rFonts w:hint="cs"/>
          <w:rtl/>
        </w:rPr>
        <w:t>(ا)</w:t>
      </w:r>
      <w:r w:rsidRPr="00244459">
        <w:rPr>
          <w:rtl/>
        </w:rPr>
        <w:t xml:space="preserve"> وفقاً لهذين القرارين ومرفقيهما،</w:t>
      </w:r>
    </w:p>
    <w:p w14:paraId="7C5C0674" w14:textId="77777777" w:rsidR="007748D9" w:rsidRPr="00D27EC6" w:rsidRDefault="007748D9" w:rsidP="007748D9">
      <w:pPr>
        <w:pStyle w:val="SingleTxtGA"/>
        <w:rPr>
          <w:spacing w:val="-6"/>
          <w:rtl/>
        </w:rPr>
      </w:pPr>
      <w:r w:rsidRPr="00D27EC6">
        <w:rPr>
          <w:spacing w:val="-6"/>
          <w:rtl/>
        </w:rPr>
        <w:tab/>
      </w:r>
      <w:r w:rsidRPr="00D27EC6">
        <w:rPr>
          <w:i/>
          <w:iCs/>
          <w:spacing w:val="-6"/>
          <w:rtl/>
        </w:rPr>
        <w:t>وإذ يؤكد من جديد</w:t>
      </w:r>
      <w:r w:rsidRPr="00D27EC6">
        <w:rPr>
          <w:spacing w:val="-6"/>
          <w:rtl/>
        </w:rPr>
        <w:t xml:space="preserve"> المبادئ والالتزامات المتعلقة بالسكن اللائق المكرسة في الأحكام ذات الصلة الواردة في الإعلانات والبرامج التي اعتمدتها المؤتمرات الرئيسية ومؤتمرات القمة التي عقدتها الأمم المتحدة، ومن بينها الخطة الحضرية الجديدة التي اعتُمدت في مؤتمر الأمم المتحدة المعني بالإسكان والتنمية الحضرية المستدامة (الموئل الثالث)، وإذ يشدد على أهمية تنفيذ خطة التنمية المستدامة لعام </w:t>
      </w:r>
      <w:r w:rsidRPr="00D27EC6">
        <w:rPr>
          <w:spacing w:val="-6"/>
          <w:szCs w:val="20"/>
          <w:rtl/>
        </w:rPr>
        <w:t>2030</w:t>
      </w:r>
      <w:r w:rsidRPr="00D27EC6">
        <w:rPr>
          <w:spacing w:val="-6"/>
          <w:rtl/>
        </w:rPr>
        <w:t xml:space="preserve">، ومن ضمنها الغاية </w:t>
      </w:r>
      <w:r w:rsidRPr="00D27EC6">
        <w:rPr>
          <w:spacing w:val="-6"/>
          <w:szCs w:val="20"/>
          <w:rtl/>
        </w:rPr>
        <w:t>11</w:t>
      </w:r>
      <w:r w:rsidRPr="00D27EC6">
        <w:rPr>
          <w:spacing w:val="-6"/>
          <w:rtl/>
        </w:rPr>
        <w:t>-</w:t>
      </w:r>
      <w:r w:rsidRPr="00D27EC6">
        <w:rPr>
          <w:spacing w:val="-6"/>
          <w:szCs w:val="20"/>
          <w:rtl/>
        </w:rPr>
        <w:t>1</w:t>
      </w:r>
      <w:r w:rsidRPr="00D27EC6">
        <w:rPr>
          <w:spacing w:val="-6"/>
          <w:rtl/>
        </w:rPr>
        <w:t>،</w:t>
      </w:r>
    </w:p>
    <w:p w14:paraId="71708361" w14:textId="197E15F2" w:rsidR="007748D9" w:rsidRPr="00D27EC6" w:rsidRDefault="007748D9" w:rsidP="007748D9">
      <w:pPr>
        <w:pStyle w:val="SingleTxtGA"/>
        <w:rPr>
          <w:spacing w:val="-4"/>
          <w:rtl/>
        </w:rPr>
      </w:pPr>
      <w:r w:rsidRPr="00D27EC6">
        <w:rPr>
          <w:spacing w:val="-4"/>
          <w:rtl/>
        </w:rPr>
        <w:tab/>
      </w:r>
      <w:r w:rsidRPr="00D27EC6">
        <w:rPr>
          <w:i/>
          <w:iCs/>
          <w:spacing w:val="-4"/>
          <w:rtl/>
        </w:rPr>
        <w:t>وإذ يساوره القلق</w:t>
      </w:r>
      <w:r w:rsidRPr="00D27EC6">
        <w:rPr>
          <w:spacing w:val="-4"/>
          <w:rtl/>
        </w:rPr>
        <w:t xml:space="preserve"> من عدم إعمال الحق في السكن اللائق للكثيرين في جميع أنحاء العالم، ولكون الملايين لا يزالون يعيشون في مساكن دون المستوى ولوجود ملايين آخرين من الأشخاص المشردين أو</w:t>
      </w:r>
      <w:r w:rsidR="00D27EC6" w:rsidRPr="00D27EC6">
        <w:rPr>
          <w:rFonts w:hint="cs"/>
          <w:spacing w:val="-4"/>
          <w:rtl/>
        </w:rPr>
        <w:t> </w:t>
      </w:r>
      <w:r w:rsidRPr="00D27EC6">
        <w:rPr>
          <w:spacing w:val="-4"/>
          <w:rtl/>
        </w:rPr>
        <w:t>المعرضين لخطر التشرد الداهم، وإذ يسلم بأنه ينبغي للدول التصدي لهذا الوضع بتدابير عاجلة وفورية وفقاً للتعهدات والالتزامات الدولية القائمة المتصلة بحقوق الإنسان، وبدعم من المجتمع الدولي، عند الضرورة،</w:t>
      </w:r>
    </w:p>
    <w:p w14:paraId="046D082B" w14:textId="77777777" w:rsidR="007748D9" w:rsidRPr="00244459" w:rsidRDefault="007748D9" w:rsidP="007748D9">
      <w:pPr>
        <w:pStyle w:val="SingleTxtGA"/>
        <w:rPr>
          <w:rtl/>
        </w:rPr>
      </w:pPr>
      <w:r w:rsidRPr="00244459">
        <w:rPr>
          <w:rtl/>
        </w:rPr>
        <w:tab/>
      </w:r>
      <w:r w:rsidRPr="00244459">
        <w:rPr>
          <w:i/>
          <w:iCs/>
          <w:rtl/>
        </w:rPr>
        <w:t>وإذ يعرب عن بالغ قلقه</w:t>
      </w:r>
      <w:r w:rsidRPr="00244459">
        <w:rPr>
          <w:rtl/>
        </w:rPr>
        <w:t xml:space="preserve"> إزاء عدد ونطاق الكوارث الطبيعية وأثرها السلبي على الحق في </w:t>
      </w:r>
      <w:r w:rsidRPr="00244459">
        <w:rPr>
          <w:spacing w:val="-4"/>
          <w:rtl/>
        </w:rPr>
        <w:t>السكن اللائق، وإذ يؤكد في هذا السياق ضرورة التنفيذ المستمر لإطار سِنداي للحد من مخاطر الكوارث</w:t>
      </w:r>
      <w:r w:rsidRPr="00244459">
        <w:rPr>
          <w:rtl/>
        </w:rPr>
        <w:t xml:space="preserve"> للفترة </w:t>
      </w:r>
      <w:r w:rsidRPr="007748D9">
        <w:rPr>
          <w:szCs w:val="20"/>
          <w:rtl/>
        </w:rPr>
        <w:t>2015</w:t>
      </w:r>
      <w:r w:rsidRPr="00244459">
        <w:rPr>
          <w:rtl/>
        </w:rPr>
        <w:t>-</w:t>
      </w:r>
      <w:r w:rsidRPr="007748D9">
        <w:rPr>
          <w:szCs w:val="20"/>
          <w:rtl/>
        </w:rPr>
        <w:t>2030</w:t>
      </w:r>
      <w:r w:rsidRPr="00244459">
        <w:rPr>
          <w:rtl/>
        </w:rPr>
        <w:t>،</w:t>
      </w:r>
    </w:p>
    <w:p w14:paraId="65DF0AB2" w14:textId="77777777" w:rsidR="007748D9" w:rsidRPr="00244459" w:rsidRDefault="007748D9" w:rsidP="007748D9">
      <w:pPr>
        <w:pStyle w:val="SingleTxtGA"/>
        <w:rPr>
          <w:rtl/>
        </w:rPr>
      </w:pPr>
      <w:r w:rsidRPr="00244459">
        <w:rPr>
          <w:rtl/>
        </w:rPr>
        <w:tab/>
      </w:r>
      <w:r w:rsidRPr="00244459">
        <w:rPr>
          <w:i/>
          <w:iCs/>
          <w:rtl/>
        </w:rPr>
        <w:t>وإذ يشدد</w:t>
      </w:r>
      <w:r w:rsidRPr="00244459">
        <w:rPr>
          <w:rtl/>
        </w:rPr>
        <w:t xml:space="preserve"> على أن للآثار الضارة الناجمة عن تغير المناخ مجموعة من الانعكاسات، المباشرة وغير المباشرة، على التمتع الفعلي بحقوق الإنسان تشمل فيما تشمل الحق في السكن اللائق كعنصر من عناصر الحق في مستوى معيشي مناسب،</w:t>
      </w:r>
    </w:p>
    <w:p w14:paraId="38AA4DE5" w14:textId="77777777" w:rsidR="007748D9" w:rsidRPr="00244459" w:rsidRDefault="007748D9" w:rsidP="007748D9">
      <w:pPr>
        <w:pStyle w:val="SingleTxtGA"/>
        <w:rPr>
          <w:rtl/>
        </w:rPr>
      </w:pPr>
      <w:r w:rsidRPr="00244459">
        <w:rPr>
          <w:rtl/>
        </w:rPr>
        <w:tab/>
      </w:r>
      <w:r w:rsidRPr="00244459">
        <w:rPr>
          <w:i/>
          <w:iCs/>
          <w:rtl/>
        </w:rPr>
        <w:t>وإذ يساوره قلق بالغ</w:t>
      </w:r>
      <w:r w:rsidRPr="00244459">
        <w:rPr>
          <w:rtl/>
        </w:rPr>
        <w:t xml:space="preserve"> لأن الاستثمار في السكن أصبح في كثير من الأحيان، وفي المقام الأول، </w:t>
      </w:r>
      <w:r w:rsidRPr="00244459">
        <w:rPr>
          <w:spacing w:val="-4"/>
          <w:rtl/>
        </w:rPr>
        <w:t>أداة مالية تركز فقط وحصراً على تحقيق عائدات كبيرة، مما يفصل السكن عن وظيفته الاجتماعية كمكان</w:t>
      </w:r>
      <w:r w:rsidRPr="00244459">
        <w:rPr>
          <w:rtl/>
        </w:rPr>
        <w:t xml:space="preserve"> للعيش في أمن وكرامة،</w:t>
      </w:r>
    </w:p>
    <w:p w14:paraId="787B0E00" w14:textId="77777777" w:rsidR="007748D9" w:rsidRPr="00244459" w:rsidRDefault="007748D9" w:rsidP="007748D9">
      <w:pPr>
        <w:pStyle w:val="SingleTxtGA"/>
        <w:rPr>
          <w:rtl/>
        </w:rPr>
      </w:pPr>
      <w:r w:rsidRPr="00244459">
        <w:rPr>
          <w:rtl/>
        </w:rPr>
        <w:tab/>
      </w:r>
      <w:r w:rsidRPr="00244459">
        <w:rPr>
          <w:i/>
          <w:iCs/>
          <w:rtl/>
        </w:rPr>
        <w:t>وإذ يسلم</w:t>
      </w:r>
      <w:r w:rsidRPr="00244459">
        <w:rPr>
          <w:rtl/>
        </w:rPr>
        <w:t xml:space="preserve"> بأن أمن الحيازة يحسِّن التمتع بالحق في السكن اللائق، وأنه عامل مهم في التمتع بكثير من الحقوق الاقتصادية والاجتماعية والثقافية والمدنية والسياسية الأخرى، وبأن جميع الأشخاص ينبغي أن يتمتعوا بدرجة من أمن الحيازة تكفل لهم الحماية القانونية من الإخلاء القسري والمضايقات وغير ذلك من التهديدات،</w:t>
      </w:r>
    </w:p>
    <w:p w14:paraId="23D4FE9A" w14:textId="77777777" w:rsidR="007748D9" w:rsidRPr="00244459" w:rsidRDefault="007748D9" w:rsidP="007748D9">
      <w:pPr>
        <w:pStyle w:val="SingleTxtGA"/>
        <w:rPr>
          <w:rtl/>
        </w:rPr>
      </w:pPr>
      <w:r w:rsidRPr="00244459">
        <w:rPr>
          <w:rtl/>
        </w:rPr>
        <w:tab/>
      </w:r>
      <w:r w:rsidRPr="00244459">
        <w:rPr>
          <w:i/>
          <w:iCs/>
          <w:rtl/>
        </w:rPr>
        <w:t>وإذ يشير</w:t>
      </w:r>
      <w:r w:rsidRPr="00244459">
        <w:rPr>
          <w:rtl/>
        </w:rPr>
        <w:t xml:space="preserve"> إلى المبادئ التوجيهية المتعلقة بأمن الحيازة لفقراء الحضر، والمبادئ الأساسية والمبادئ التوجيهية المتعلقة بعمليات الإخلاء والترحيل بدافع التنمية، التي قدمها مكلفون سابقون بالولاية إلى</w:t>
      </w:r>
      <w:r w:rsidRPr="00244459">
        <w:rPr>
          <w:rFonts w:hint="cs"/>
          <w:rtl/>
        </w:rPr>
        <w:t> </w:t>
      </w:r>
      <w:r w:rsidRPr="00244459">
        <w:rPr>
          <w:rtl/>
        </w:rPr>
        <w:t xml:space="preserve">مجلس حقوق الإنسان، </w:t>
      </w:r>
    </w:p>
    <w:p w14:paraId="3D38234D" w14:textId="5BAED9CB" w:rsidR="007748D9" w:rsidRPr="00244459" w:rsidRDefault="007748D9" w:rsidP="007748D9">
      <w:pPr>
        <w:pStyle w:val="SingleTxtGA"/>
        <w:spacing w:line="350" w:lineRule="exact"/>
        <w:rPr>
          <w:rtl/>
        </w:rPr>
      </w:pPr>
      <w:r w:rsidRPr="00244459">
        <w:rPr>
          <w:rtl/>
        </w:rPr>
        <w:tab/>
      </w:r>
      <w:r w:rsidRPr="00244459">
        <w:rPr>
          <w:i/>
          <w:iCs/>
          <w:rtl/>
        </w:rPr>
        <w:t>وإذ يلاحظ مع التقدير</w:t>
      </w:r>
      <w:r w:rsidRPr="00244459">
        <w:rPr>
          <w:rtl/>
        </w:rPr>
        <w:t xml:space="preserve"> العمل الذي تقوم به هيئات المعاهدات، وبخاصة اللجنة المعنية بالحقوق الاقتصادية والاجتماعية والثقافية، في تعزيز الحقوق المتصلة بالسكن اللائق كعنصر من عناصر الحق في مستوى معيشي مناسب، بما في ذلك جميع تعليقاتها العامة ذات الصلة، ونظرها في البلاغات </w:t>
      </w:r>
      <w:r w:rsidRPr="00244459">
        <w:rPr>
          <w:spacing w:val="-2"/>
          <w:rtl/>
        </w:rPr>
        <w:t>الفردية بالنسبة للدول الأطراف في البروتوكول الاختياري الملحق بالعهد الدولي الخاص بالحقوق الاقتصادية</w:t>
      </w:r>
      <w:r w:rsidRPr="00244459">
        <w:rPr>
          <w:rtl/>
        </w:rPr>
        <w:t xml:space="preserve"> والاجتماعية والثقافية،</w:t>
      </w:r>
    </w:p>
    <w:p w14:paraId="2DAF1425" w14:textId="273D3345" w:rsidR="007748D9" w:rsidRPr="00244459" w:rsidRDefault="007748D9" w:rsidP="007748D9">
      <w:pPr>
        <w:pStyle w:val="SingleTxtGA"/>
        <w:spacing w:line="350" w:lineRule="exact"/>
        <w:rPr>
          <w:rtl/>
        </w:rPr>
      </w:pPr>
      <w:r w:rsidRPr="00244459">
        <w:rPr>
          <w:szCs w:val="20"/>
          <w:rtl/>
        </w:rPr>
        <w:tab/>
      </w:r>
      <w:r w:rsidRPr="007748D9">
        <w:rPr>
          <w:szCs w:val="20"/>
          <w:rtl/>
        </w:rPr>
        <w:t>1</w:t>
      </w:r>
      <w:r w:rsidRPr="00244459">
        <w:rPr>
          <w:rtl/>
        </w:rPr>
        <w:t>-</w:t>
      </w:r>
      <w:r w:rsidRPr="00244459">
        <w:rPr>
          <w:rtl/>
        </w:rPr>
        <w:tab/>
      </w:r>
      <w:r w:rsidRPr="00244459">
        <w:rPr>
          <w:i/>
          <w:iCs/>
          <w:rtl/>
        </w:rPr>
        <w:t>يهيب</w:t>
      </w:r>
      <w:r w:rsidRPr="00244459">
        <w:rPr>
          <w:rtl/>
        </w:rPr>
        <w:t xml:space="preserve"> بالدول:</w:t>
      </w:r>
    </w:p>
    <w:p w14:paraId="30A49ABF" w14:textId="77777777" w:rsidR="007748D9" w:rsidRPr="00244459" w:rsidRDefault="007748D9" w:rsidP="007748D9">
      <w:pPr>
        <w:pStyle w:val="SingleTxtGA"/>
        <w:spacing w:line="350" w:lineRule="exact"/>
        <w:rPr>
          <w:rtl/>
        </w:rPr>
      </w:pPr>
      <w:r w:rsidRPr="00244459">
        <w:rPr>
          <w:rtl/>
        </w:rPr>
        <w:tab/>
        <w:t>(أ)</w:t>
      </w:r>
      <w:r w:rsidRPr="00244459">
        <w:rPr>
          <w:rtl/>
        </w:rPr>
        <w:tab/>
        <w:t xml:space="preserve">أن تولي الاعتبار الواجب لإدماج حق الإنسان في السكن اللائق في عملية تنفيذ الخطة الحضرية الجديدة وخطة التنمية المستدامة لعام </w:t>
      </w:r>
      <w:r w:rsidRPr="007748D9">
        <w:rPr>
          <w:szCs w:val="20"/>
          <w:rtl/>
        </w:rPr>
        <w:t>2030</w:t>
      </w:r>
      <w:r w:rsidRPr="00244459">
        <w:rPr>
          <w:rtl/>
        </w:rPr>
        <w:t>؛</w:t>
      </w:r>
    </w:p>
    <w:p w14:paraId="35D159EB" w14:textId="77777777" w:rsidR="007748D9" w:rsidRPr="00244459" w:rsidRDefault="007748D9" w:rsidP="0016264F">
      <w:pPr>
        <w:pStyle w:val="SingleTxtGA"/>
        <w:spacing w:after="100" w:line="340" w:lineRule="exact"/>
        <w:rPr>
          <w:rtl/>
        </w:rPr>
      </w:pPr>
      <w:r w:rsidRPr="00244459">
        <w:rPr>
          <w:rtl/>
        </w:rPr>
        <w:lastRenderedPageBreak/>
        <w:tab/>
        <w:t>(</w:t>
      </w:r>
      <w:r w:rsidRPr="00244459">
        <w:rPr>
          <w:spacing w:val="-2"/>
          <w:rtl/>
        </w:rPr>
        <w:t>ب)</w:t>
      </w:r>
      <w:r w:rsidRPr="00244459">
        <w:rPr>
          <w:spacing w:val="-2"/>
          <w:rtl/>
        </w:rPr>
        <w:tab/>
        <w:t xml:space="preserve">أن تتخذ تدابير عاجلة لمعالجة مسألة السكن غير اللائق ولتحسين الظروف المعيشية </w:t>
      </w:r>
      <w:r w:rsidRPr="00244459">
        <w:rPr>
          <w:rtl/>
        </w:rPr>
        <w:t>للأشخاص المقيمين في المستوطنات العشوائية، امتثالاً للقانون الدولي لحقوق الإنسان؛</w:t>
      </w:r>
    </w:p>
    <w:p w14:paraId="3B735F9E" w14:textId="77777777" w:rsidR="007748D9" w:rsidRPr="00244459" w:rsidRDefault="007748D9" w:rsidP="0016264F">
      <w:pPr>
        <w:pStyle w:val="SingleTxtGA"/>
        <w:spacing w:after="100" w:line="340" w:lineRule="exact"/>
        <w:rPr>
          <w:rtl/>
        </w:rPr>
      </w:pPr>
      <w:r w:rsidRPr="00244459">
        <w:rPr>
          <w:spacing w:val="-4"/>
          <w:rtl/>
        </w:rPr>
        <w:tab/>
        <w:t>(ج)</w:t>
      </w:r>
      <w:r w:rsidRPr="00244459">
        <w:rPr>
          <w:spacing w:val="-4"/>
          <w:rtl/>
        </w:rPr>
        <w:tab/>
        <w:t>أن تتخذ التدابير الضرورية لكبح العوامل التي يترتب عليها الافتقار إلى السكن الميسور</w:t>
      </w:r>
      <w:r w:rsidRPr="00244459">
        <w:rPr>
          <w:rtl/>
        </w:rPr>
        <w:t xml:space="preserve"> التكلفة، مثل المضاربة في المساكن و"أمولة السكن"</w:t>
      </w:r>
      <w:r w:rsidRPr="00244459">
        <w:rPr>
          <w:vertAlign w:val="superscript"/>
          <w:rtl/>
        </w:rPr>
        <w:t>(</w:t>
      </w:r>
      <w:r w:rsidRPr="007748D9">
        <w:rPr>
          <w:rStyle w:val="FootnoteReference"/>
          <w:rFonts w:ascii="Times New Roman" w:hAnsi="Times New Roman" w:cs="Times New Roman"/>
          <w:b w:val="0"/>
          <w:position w:val="4"/>
          <w:sz w:val="20"/>
        </w:rPr>
        <w:footnoteReference w:id="1"/>
      </w:r>
      <w:r w:rsidRPr="00244459">
        <w:rPr>
          <w:vertAlign w:val="superscript"/>
          <w:rtl/>
        </w:rPr>
        <w:t>)</w:t>
      </w:r>
      <w:r w:rsidRPr="00244459">
        <w:rPr>
          <w:rtl/>
        </w:rPr>
        <w:t>؛</w:t>
      </w:r>
    </w:p>
    <w:p w14:paraId="542802AB" w14:textId="77777777" w:rsidR="007748D9" w:rsidRPr="00244459" w:rsidRDefault="007748D9" w:rsidP="0016264F">
      <w:pPr>
        <w:pStyle w:val="SingleTxtGA"/>
        <w:spacing w:after="100" w:line="340" w:lineRule="exact"/>
        <w:rPr>
          <w:rtl/>
        </w:rPr>
      </w:pPr>
      <w:r w:rsidRPr="00244459">
        <w:rPr>
          <w:spacing w:val="-4"/>
          <w:rtl/>
        </w:rPr>
        <w:tab/>
        <w:t>(د)</w:t>
      </w:r>
      <w:r w:rsidRPr="00244459">
        <w:rPr>
          <w:spacing w:val="-4"/>
          <w:rtl/>
        </w:rPr>
        <w:tab/>
        <w:t>أن تأخذ في اعتبارها الحق في السكن اللائق عند وضع استراتيجيات التكيف مع تغير</w:t>
      </w:r>
      <w:r w:rsidRPr="00244459">
        <w:rPr>
          <w:rtl/>
        </w:rPr>
        <w:t xml:space="preserve"> المناخ والتخفيف من آثاره؛</w:t>
      </w:r>
    </w:p>
    <w:p w14:paraId="1DFB44E5" w14:textId="77777777" w:rsidR="007748D9" w:rsidRPr="00244459" w:rsidRDefault="007748D9" w:rsidP="0016264F">
      <w:pPr>
        <w:pStyle w:val="SingleTxtGA"/>
        <w:spacing w:after="100" w:line="340" w:lineRule="exact"/>
        <w:rPr>
          <w:rtl/>
        </w:rPr>
      </w:pPr>
      <w:r w:rsidRPr="00244459">
        <w:rPr>
          <w:spacing w:val="-4"/>
          <w:rtl/>
        </w:rPr>
        <w:tab/>
        <w:t>(هـ)</w:t>
      </w:r>
      <w:r w:rsidRPr="00244459">
        <w:rPr>
          <w:spacing w:val="-4"/>
          <w:rtl/>
        </w:rPr>
        <w:tab/>
        <w:t>أن تعمل مع المتضررين من المجتمعات المحلية والأفراد على تطوير وتعزيز تصميم المساكن</w:t>
      </w:r>
      <w:r w:rsidRPr="00244459">
        <w:rPr>
          <w:rtl/>
        </w:rPr>
        <w:t xml:space="preserve"> وبنائها وصيانتها على نحو مستدام وسليم بيئياً من أجل التصدي لآثار تغير المناخ مع القيام في الوقت نفسه بضمان الحق في السكن اللائق؛</w:t>
      </w:r>
    </w:p>
    <w:p w14:paraId="4B8ED8D0" w14:textId="77777777" w:rsidR="007748D9" w:rsidRPr="00244459" w:rsidRDefault="007748D9" w:rsidP="0016264F">
      <w:pPr>
        <w:pStyle w:val="SingleTxtGA"/>
        <w:spacing w:after="100" w:line="340" w:lineRule="exact"/>
        <w:rPr>
          <w:rtl/>
        </w:rPr>
      </w:pPr>
      <w:r w:rsidRPr="00244459">
        <w:rPr>
          <w:rtl/>
        </w:rPr>
        <w:tab/>
        <w:t>(و)</w:t>
      </w:r>
      <w:r w:rsidRPr="00244459">
        <w:rPr>
          <w:rtl/>
        </w:rPr>
        <w:tab/>
        <w:t>أن تنظر في اعتماد برامج وتشريعات وطنية تمتثل لقانون حقوق الإنسان والأصول القانونية وبما يحترم الكرامة الإنسانية ومبدأ التناسب، من أجل منع وتلافي وتقليل حالات الإخلاء، ومن أجل تعزيز السكن الميسور التكلفة للجميع؛</w:t>
      </w:r>
    </w:p>
    <w:p w14:paraId="42207250" w14:textId="77777777" w:rsidR="007748D9" w:rsidRPr="00D27EC6" w:rsidRDefault="007748D9" w:rsidP="0016264F">
      <w:pPr>
        <w:pStyle w:val="SingleTxtGA"/>
        <w:spacing w:after="100" w:line="340" w:lineRule="exact"/>
        <w:rPr>
          <w:spacing w:val="-4"/>
          <w:rtl/>
        </w:rPr>
      </w:pPr>
      <w:r w:rsidRPr="00D27EC6">
        <w:rPr>
          <w:spacing w:val="-4"/>
          <w:rtl/>
        </w:rPr>
        <w:tab/>
        <w:t>(ز)</w:t>
      </w:r>
      <w:r w:rsidRPr="00D27EC6">
        <w:rPr>
          <w:spacing w:val="-4"/>
          <w:rtl/>
        </w:rPr>
        <w:tab/>
        <w:t xml:space="preserve">أن تنفذ خطة التنمية المستدامة لعام </w:t>
      </w:r>
      <w:r w:rsidRPr="00D27EC6">
        <w:rPr>
          <w:spacing w:val="-4"/>
          <w:szCs w:val="20"/>
          <w:rtl/>
        </w:rPr>
        <w:t>2030</w:t>
      </w:r>
      <w:r w:rsidRPr="00D27EC6">
        <w:rPr>
          <w:spacing w:val="-4"/>
          <w:rtl/>
        </w:rPr>
        <w:t xml:space="preserve">، بما في ذلك الغاية </w:t>
      </w:r>
      <w:r w:rsidRPr="00D27EC6">
        <w:rPr>
          <w:spacing w:val="-4"/>
          <w:szCs w:val="20"/>
          <w:rtl/>
        </w:rPr>
        <w:t>11</w:t>
      </w:r>
      <w:r w:rsidRPr="00D27EC6">
        <w:rPr>
          <w:spacing w:val="-4"/>
          <w:rtl/>
        </w:rPr>
        <w:t>-</w:t>
      </w:r>
      <w:r w:rsidRPr="00D27EC6">
        <w:rPr>
          <w:spacing w:val="-4"/>
          <w:szCs w:val="20"/>
          <w:rtl/>
        </w:rPr>
        <w:t>1</w:t>
      </w:r>
      <w:r w:rsidRPr="00D27EC6">
        <w:rPr>
          <w:spacing w:val="-4"/>
          <w:rtl/>
        </w:rPr>
        <w:t>، ويحث الدول في هذا السياق على أن تعتمد، بالتشاور مع الجهات المعنية ذات الصلة، بما في ذلك المجتمع المدني والمؤسسات الوطنية لحقوق الإنسان والقطاع الخاص، استراتيجيات شاملة للجميع ولعدة قطاعات تحترم حقوق الإنسان للجميع وتحميها وترمي إلى إعمالها، وأن تضمن أن تبين هذه الاستراتيجيات المسؤوليات بوضوح في جميع مستويات الحكومة، وأن تتضمن أهدافاً وغايات وأطراً زمنية قابلة للقياس، وأن تشمل آليات مناسبة للرصد والاستعراض المنتظمين، مع التشديد بصفة خاصة على احتياجات الأشخاص المهمشين والأكثر ضعفاً؛</w:t>
      </w:r>
    </w:p>
    <w:p w14:paraId="71CE3D3A" w14:textId="77777777" w:rsidR="007748D9" w:rsidRPr="00244459" w:rsidRDefault="007748D9" w:rsidP="0016264F">
      <w:pPr>
        <w:pStyle w:val="SingleTxtGA"/>
        <w:spacing w:after="100" w:line="340" w:lineRule="exact"/>
        <w:rPr>
          <w:rtl/>
        </w:rPr>
      </w:pPr>
      <w:r w:rsidRPr="00244459">
        <w:rPr>
          <w:spacing w:val="-4"/>
          <w:rtl/>
        </w:rPr>
        <w:tab/>
        <w:t>(ح)</w:t>
      </w:r>
      <w:r w:rsidRPr="00244459">
        <w:rPr>
          <w:spacing w:val="-4"/>
          <w:rtl/>
        </w:rPr>
        <w:tab/>
        <w:t>أن تضمن المساواة وعدم التمييز في سياق إعمال الحق في السكن اللائق، وأن تسعى</w:t>
      </w:r>
      <w:r w:rsidRPr="00244459">
        <w:rPr>
          <w:rtl/>
        </w:rPr>
        <w:t xml:space="preserve"> جاهدة إلى تحقيق الإعمال الكامل للحق في السكن اللائق للجميع؛ </w:t>
      </w:r>
    </w:p>
    <w:p w14:paraId="100FD5EE" w14:textId="77777777" w:rsidR="007748D9" w:rsidRPr="00244459" w:rsidRDefault="007748D9" w:rsidP="0016264F">
      <w:pPr>
        <w:pStyle w:val="SingleTxtGA"/>
        <w:spacing w:after="100" w:line="340" w:lineRule="exact"/>
        <w:rPr>
          <w:rtl/>
        </w:rPr>
      </w:pPr>
      <w:r w:rsidRPr="00244459">
        <w:rPr>
          <w:rtl/>
        </w:rPr>
        <w:tab/>
        <w:t>(ط)</w:t>
      </w:r>
      <w:r w:rsidRPr="00244459">
        <w:rPr>
          <w:rtl/>
        </w:rPr>
        <w:tab/>
        <w:t>أن تضمن تمتع المرأة بالمساواة في الحق في السكن اللائق كعنصر من عناصر الحق في مستوى معيشي مناسب، وذلك في جميع جوانب استراتيجيات السكن، بطرق منها المساواة في إمكانية الحصول على الائتمان، والرهن العقاري، وملكية المسكن، ومساكن الإيجار، وأن تأخذ في الاعتبار على النحو الواجب أمان هذا السكن، وخاصة عنما تواجه النساء والأطفال أي شكل من العنف أو</w:t>
      </w:r>
      <w:r w:rsidRPr="00244459">
        <w:rPr>
          <w:rFonts w:hint="cs"/>
          <w:rtl/>
        </w:rPr>
        <w:t> </w:t>
      </w:r>
      <w:r w:rsidRPr="00244459">
        <w:rPr>
          <w:rtl/>
        </w:rPr>
        <w:t>التهديد بالعنف، وأن تجري إصلاحات تشريعية وإصلاحات أخرى من أجل تحقيق المساواة في الحقوق للجميع فيما يتعلق بالملكية والإرث؛</w:t>
      </w:r>
    </w:p>
    <w:p w14:paraId="4A8EC8AD" w14:textId="77777777" w:rsidR="007748D9" w:rsidRPr="00244459" w:rsidRDefault="007748D9" w:rsidP="0016264F">
      <w:pPr>
        <w:pStyle w:val="SingleTxtGA"/>
        <w:spacing w:after="100" w:line="340" w:lineRule="exact"/>
        <w:rPr>
          <w:rtl/>
        </w:rPr>
      </w:pPr>
      <w:r w:rsidRPr="00244459">
        <w:rPr>
          <w:rtl/>
        </w:rPr>
        <w:tab/>
        <w:t>(ي)</w:t>
      </w:r>
      <w:r w:rsidRPr="00244459">
        <w:rPr>
          <w:rtl/>
        </w:rPr>
        <w:tab/>
        <w:t>أن تتخذ جميع التدابير اللازمة لإلغاء التشريعات التي تجرم التشرد، وأن تتخذ تدابير إيجابية بغية الوقاية من التشرد والقضاء عليه عن طريق اعتماد وتنفيذ قوانين وأوامر إدارية واستراتيجيات شاملة لعدة قطاعات وبرامج على جميع الصُعد تراعي أموراً من بينها المنظور الجنساني والسن والإعاقة وتقوم على القانون الدولي لحقوق الإنسان؛</w:t>
      </w:r>
    </w:p>
    <w:p w14:paraId="62B57E0C" w14:textId="77777777" w:rsidR="007748D9" w:rsidRPr="00244459" w:rsidRDefault="007748D9" w:rsidP="0016264F">
      <w:pPr>
        <w:pStyle w:val="SingleTxtGA"/>
        <w:spacing w:after="100" w:line="340" w:lineRule="exact"/>
        <w:rPr>
          <w:spacing w:val="-4"/>
          <w:rtl/>
        </w:rPr>
      </w:pPr>
      <w:r w:rsidRPr="00244459">
        <w:rPr>
          <w:spacing w:val="-4"/>
          <w:rtl/>
        </w:rPr>
        <w:tab/>
        <w:t>(ك)</w:t>
      </w:r>
      <w:r w:rsidRPr="00244459">
        <w:rPr>
          <w:spacing w:val="-4"/>
          <w:rtl/>
        </w:rPr>
        <w:tab/>
        <w:t xml:space="preserve">أن تضمن عمل شركات الإنشاءات وفقاً لأنظمة البناء وعلى نحو يمتثل لمعايير الأمان؛ </w:t>
      </w:r>
    </w:p>
    <w:p w14:paraId="67B16D18" w14:textId="77777777" w:rsidR="007748D9" w:rsidRPr="00244459" w:rsidRDefault="007748D9" w:rsidP="0016264F">
      <w:pPr>
        <w:pStyle w:val="SingleTxtGA"/>
        <w:spacing w:after="100" w:line="340" w:lineRule="exact"/>
        <w:rPr>
          <w:rtl/>
        </w:rPr>
      </w:pPr>
      <w:r w:rsidRPr="00244459">
        <w:rPr>
          <w:szCs w:val="20"/>
          <w:rtl/>
        </w:rPr>
        <w:tab/>
      </w:r>
      <w:r w:rsidRPr="007748D9">
        <w:rPr>
          <w:szCs w:val="20"/>
          <w:rtl/>
        </w:rPr>
        <w:t>2</w:t>
      </w:r>
      <w:r w:rsidRPr="00244459">
        <w:rPr>
          <w:rtl/>
        </w:rPr>
        <w:t>-</w:t>
      </w:r>
      <w:r w:rsidRPr="00244459">
        <w:rPr>
          <w:rtl/>
        </w:rPr>
        <w:tab/>
      </w:r>
      <w:r w:rsidRPr="00244459">
        <w:rPr>
          <w:i/>
          <w:iCs/>
          <w:rtl/>
        </w:rPr>
        <w:t>يهيب</w:t>
      </w:r>
      <w:r w:rsidRPr="00244459">
        <w:rPr>
          <w:rtl/>
        </w:rPr>
        <w:t xml:space="preserve"> بالدول </w:t>
      </w:r>
      <w:r w:rsidRPr="00244459">
        <w:rPr>
          <w:i/>
          <w:iCs/>
          <w:rtl/>
        </w:rPr>
        <w:t>أيضاً</w:t>
      </w:r>
      <w:r w:rsidRPr="00244459">
        <w:rPr>
          <w:rtl/>
        </w:rPr>
        <w:t xml:space="preserve"> أن توفر للجميع، بطريقة تتسم بسهولة الوصول ويسر التكلفة وحُسن التوقيت والفعالية، سبيلَ انتصاف فعالاً وإمكانية متساوية في اللجوء إلى القضاء والإجراءات </w:t>
      </w:r>
      <w:r w:rsidRPr="00244459">
        <w:rPr>
          <w:spacing w:val="-4"/>
          <w:rtl/>
        </w:rPr>
        <w:t>الإدارية في سياق استكمال أوجه التقاضي فيما يتعلق بالانتهاكات والتجاوزات للحق في السكن اللائق،</w:t>
      </w:r>
      <w:r w:rsidRPr="00244459">
        <w:rPr>
          <w:rtl/>
        </w:rPr>
        <w:t xml:space="preserve"> وذلك عن طريق النظر في ما يلي:</w:t>
      </w:r>
    </w:p>
    <w:p w14:paraId="1CB330A6" w14:textId="77777777" w:rsidR="007748D9" w:rsidRPr="00244459" w:rsidRDefault="007748D9" w:rsidP="0016264F">
      <w:pPr>
        <w:pStyle w:val="SingleTxtGA"/>
        <w:spacing w:line="340" w:lineRule="exact"/>
        <w:rPr>
          <w:rtl/>
        </w:rPr>
      </w:pPr>
      <w:r w:rsidRPr="00244459">
        <w:rPr>
          <w:rtl/>
        </w:rPr>
        <w:tab/>
        <w:t>(أ)</w:t>
      </w:r>
      <w:r w:rsidRPr="00244459">
        <w:rPr>
          <w:rtl/>
        </w:rPr>
        <w:tab/>
        <w:t xml:space="preserve">اعتماد تشريعات وأوامر إدارية محلية تنص على الإعمال الكامل للحق في السكن اللائق وعلى التعويض عن انتهاكات ذلك الحق؛ </w:t>
      </w:r>
    </w:p>
    <w:p w14:paraId="215E1E9B" w14:textId="77777777" w:rsidR="007748D9" w:rsidRPr="00244459" w:rsidRDefault="007748D9" w:rsidP="007748D9">
      <w:pPr>
        <w:pStyle w:val="SingleTxtGA"/>
        <w:rPr>
          <w:rtl/>
        </w:rPr>
      </w:pPr>
      <w:r w:rsidRPr="00244459">
        <w:rPr>
          <w:rtl/>
        </w:rPr>
        <w:lastRenderedPageBreak/>
        <w:tab/>
        <w:t>(ب)</w:t>
      </w:r>
      <w:r w:rsidRPr="00244459">
        <w:rPr>
          <w:rtl/>
        </w:rPr>
        <w:tab/>
        <w:t xml:space="preserve">وضع أحكام للدعم القانوني والمعونة القانونية؛ </w:t>
      </w:r>
    </w:p>
    <w:p w14:paraId="32C8F308" w14:textId="77777777" w:rsidR="007748D9" w:rsidRPr="00D27EC6" w:rsidRDefault="007748D9" w:rsidP="007748D9">
      <w:pPr>
        <w:pStyle w:val="SingleTxtGA"/>
        <w:rPr>
          <w:spacing w:val="-6"/>
          <w:rtl/>
        </w:rPr>
      </w:pPr>
      <w:r w:rsidRPr="00D27EC6">
        <w:rPr>
          <w:spacing w:val="-6"/>
          <w:rtl/>
        </w:rPr>
        <w:tab/>
        <w:t>(ج)</w:t>
      </w:r>
      <w:r w:rsidRPr="00D27EC6">
        <w:rPr>
          <w:spacing w:val="-6"/>
          <w:rtl/>
        </w:rPr>
        <w:tab/>
        <w:t>تعزيز إنشاء المؤسسات الوطنية لحقوق الإنسان، والهيئات المعنية بالمساواة، ومكاتب أمناء المظالم، ومنظمات المجتمع المدني الداعمة لمصالح الأشخاص المتضررين وفقاً للقانون الإجرائي لكل</w:t>
      </w:r>
      <w:r w:rsidRPr="00D27EC6">
        <w:rPr>
          <w:rFonts w:hint="cs"/>
          <w:spacing w:val="-6"/>
          <w:rtl/>
        </w:rPr>
        <w:t> </w:t>
      </w:r>
      <w:r w:rsidRPr="00D27EC6">
        <w:rPr>
          <w:spacing w:val="-6"/>
          <w:rtl/>
        </w:rPr>
        <w:t xml:space="preserve">منها؛ </w:t>
      </w:r>
    </w:p>
    <w:p w14:paraId="622041C3" w14:textId="77777777" w:rsidR="007748D9" w:rsidRPr="00244459" w:rsidRDefault="007748D9" w:rsidP="007748D9">
      <w:pPr>
        <w:pStyle w:val="SingleTxtGA"/>
        <w:rPr>
          <w:rtl/>
        </w:rPr>
      </w:pPr>
      <w:r w:rsidRPr="00244459">
        <w:rPr>
          <w:spacing w:val="-4"/>
          <w:rtl/>
        </w:rPr>
        <w:tab/>
        <w:t>(د)</w:t>
      </w:r>
      <w:r w:rsidRPr="00244459">
        <w:rPr>
          <w:spacing w:val="-4"/>
          <w:rtl/>
        </w:rPr>
        <w:tab/>
        <w:t xml:space="preserve">التصديق على البروتوكول الاختياري الملحق بالعهد الدولي الخاص بالحقوق الاقتصادية </w:t>
      </w:r>
      <w:r w:rsidRPr="00244459">
        <w:rPr>
          <w:rtl/>
        </w:rPr>
        <w:t xml:space="preserve">والاجتماعية والثقافية، إن لم يكن قد تم التصديق عليه بعد؛ </w:t>
      </w:r>
    </w:p>
    <w:p w14:paraId="0A87B71A" w14:textId="77777777" w:rsidR="007748D9" w:rsidRPr="00244459" w:rsidRDefault="007748D9" w:rsidP="007748D9">
      <w:pPr>
        <w:pStyle w:val="SingleTxtGA"/>
        <w:rPr>
          <w:rtl/>
        </w:rPr>
      </w:pPr>
      <w:r w:rsidRPr="00244459">
        <w:rPr>
          <w:szCs w:val="20"/>
          <w:rtl/>
        </w:rPr>
        <w:tab/>
      </w:r>
      <w:r w:rsidRPr="007748D9">
        <w:rPr>
          <w:szCs w:val="20"/>
          <w:rtl/>
        </w:rPr>
        <w:t>3</w:t>
      </w:r>
      <w:r w:rsidRPr="00244459">
        <w:rPr>
          <w:rtl/>
        </w:rPr>
        <w:t>-</w:t>
      </w:r>
      <w:r w:rsidRPr="00244459">
        <w:rPr>
          <w:rtl/>
        </w:rPr>
        <w:tab/>
      </w:r>
      <w:r w:rsidRPr="00244459">
        <w:rPr>
          <w:i/>
          <w:iCs/>
          <w:rtl/>
        </w:rPr>
        <w:t>يرحب</w:t>
      </w:r>
      <w:r w:rsidRPr="00244459">
        <w:rPr>
          <w:rtl/>
        </w:rPr>
        <w:t xml:space="preserve"> بالعمل الذي تقوم به المقررة الخاصة المعنية بالسكن اللائق كعنصر من </w:t>
      </w:r>
      <w:r w:rsidRPr="00244459">
        <w:rPr>
          <w:spacing w:val="-4"/>
          <w:rtl/>
        </w:rPr>
        <w:t>عناصر الحق في مستوى معيشي مناسب وبالحق في عدم التمييز في هذا السياق، بما في ذلك اضطلاعها</w:t>
      </w:r>
      <w:r w:rsidRPr="00244459">
        <w:rPr>
          <w:rtl/>
        </w:rPr>
        <w:t xml:space="preserve"> بزيارات قطرية، ويحيط علماً بتقاريرها بما في ذلك أحدث تقرير أعدته ويتضمن مبادئ توجيهية لإعمال الحق في السكن اللائق</w:t>
      </w:r>
      <w:r w:rsidRPr="00244459">
        <w:rPr>
          <w:vertAlign w:val="superscript"/>
          <w:rtl/>
        </w:rPr>
        <w:t>(</w:t>
      </w:r>
      <w:r w:rsidRPr="007748D9">
        <w:rPr>
          <w:rStyle w:val="FootnoteReference"/>
          <w:rFonts w:ascii="Times New Roman" w:hAnsi="Times New Roman" w:cs="Times New Roman"/>
          <w:b w:val="0"/>
          <w:position w:val="4"/>
          <w:sz w:val="20"/>
        </w:rPr>
        <w:footnoteReference w:id="2"/>
      </w:r>
      <w:r w:rsidRPr="00244459">
        <w:rPr>
          <w:vertAlign w:val="superscript"/>
          <w:rtl/>
        </w:rPr>
        <w:t>)</w:t>
      </w:r>
      <w:r w:rsidRPr="00244459">
        <w:rPr>
          <w:rtl/>
        </w:rPr>
        <w:t>؛</w:t>
      </w:r>
    </w:p>
    <w:p w14:paraId="13880B15" w14:textId="77777777" w:rsidR="007748D9" w:rsidRPr="00244459" w:rsidRDefault="007748D9" w:rsidP="007748D9">
      <w:pPr>
        <w:pStyle w:val="SingleTxtGA"/>
        <w:rPr>
          <w:spacing w:val="-4"/>
          <w:rtl/>
        </w:rPr>
      </w:pPr>
      <w:r w:rsidRPr="00244459">
        <w:rPr>
          <w:rtl/>
        </w:rPr>
        <w:tab/>
      </w:r>
      <w:r w:rsidRPr="007748D9">
        <w:rPr>
          <w:spacing w:val="-4"/>
          <w:szCs w:val="20"/>
          <w:rtl/>
        </w:rPr>
        <w:t>4</w:t>
      </w:r>
      <w:r w:rsidRPr="00244459">
        <w:rPr>
          <w:spacing w:val="-4"/>
          <w:rtl/>
        </w:rPr>
        <w:t>-</w:t>
      </w:r>
      <w:r w:rsidRPr="00244459">
        <w:rPr>
          <w:spacing w:val="-4"/>
          <w:rtl/>
        </w:rPr>
        <w:tab/>
      </w:r>
      <w:r w:rsidRPr="00244459">
        <w:rPr>
          <w:i/>
          <w:iCs/>
          <w:spacing w:val="-4"/>
          <w:rtl/>
        </w:rPr>
        <w:t>يقرر</w:t>
      </w:r>
      <w:r w:rsidRPr="00244459">
        <w:rPr>
          <w:spacing w:val="-4"/>
          <w:rtl/>
        </w:rPr>
        <w:t xml:space="preserve"> تمديد ولاية المقرر</w:t>
      </w:r>
      <w:r>
        <w:rPr>
          <w:rFonts w:hint="cs"/>
          <w:spacing w:val="-4"/>
          <w:rtl/>
        </w:rPr>
        <w:t>(</w:t>
      </w:r>
      <w:r w:rsidRPr="00244459">
        <w:rPr>
          <w:spacing w:val="-4"/>
          <w:rtl/>
        </w:rPr>
        <w:t>ة</w:t>
      </w:r>
      <w:r>
        <w:rPr>
          <w:rFonts w:hint="cs"/>
          <w:spacing w:val="-4"/>
          <w:rtl/>
        </w:rPr>
        <w:t>)</w:t>
      </w:r>
      <w:r w:rsidRPr="00244459">
        <w:rPr>
          <w:spacing w:val="-4"/>
          <w:rtl/>
        </w:rPr>
        <w:t xml:space="preserve"> الخاص</w:t>
      </w:r>
      <w:r>
        <w:rPr>
          <w:rFonts w:hint="cs"/>
          <w:spacing w:val="-4"/>
          <w:rtl/>
        </w:rPr>
        <w:t>(</w:t>
      </w:r>
      <w:r w:rsidRPr="00244459">
        <w:rPr>
          <w:spacing w:val="-4"/>
          <w:rtl/>
        </w:rPr>
        <w:t>ة</w:t>
      </w:r>
      <w:r>
        <w:rPr>
          <w:rFonts w:hint="cs"/>
          <w:spacing w:val="-4"/>
          <w:rtl/>
        </w:rPr>
        <w:t>)</w:t>
      </w:r>
      <w:r w:rsidRPr="00244459">
        <w:rPr>
          <w:spacing w:val="-4"/>
          <w:rtl/>
        </w:rPr>
        <w:t xml:space="preserve"> المعني</w:t>
      </w:r>
      <w:r>
        <w:rPr>
          <w:rFonts w:hint="cs"/>
          <w:spacing w:val="-4"/>
          <w:rtl/>
        </w:rPr>
        <w:t>(</w:t>
      </w:r>
      <w:r w:rsidRPr="00244459">
        <w:rPr>
          <w:spacing w:val="-4"/>
          <w:rtl/>
        </w:rPr>
        <w:t>ة</w:t>
      </w:r>
      <w:r>
        <w:rPr>
          <w:rFonts w:hint="cs"/>
          <w:spacing w:val="-4"/>
          <w:rtl/>
        </w:rPr>
        <w:t>)</w:t>
      </w:r>
      <w:r w:rsidRPr="00244459">
        <w:rPr>
          <w:spacing w:val="-4"/>
          <w:rtl/>
        </w:rPr>
        <w:t xml:space="preserve"> بالسكن اللائق كعنصر من عناصر الحق في مستوى معيشي مناسب وبالحق في عدم التمييز في هذا السياق، لمدة ثلاث سنوات، على النحو الذي حدده مجلس حقوق الإنسان في قرارات سابقة، وخاصة قرار المجلس </w:t>
      </w:r>
      <w:r w:rsidRPr="007748D9">
        <w:rPr>
          <w:spacing w:val="-4"/>
          <w:szCs w:val="20"/>
          <w:rtl/>
        </w:rPr>
        <w:t>15</w:t>
      </w:r>
      <w:r w:rsidRPr="00244459">
        <w:rPr>
          <w:spacing w:val="-4"/>
          <w:rtl/>
        </w:rPr>
        <w:t>/</w:t>
      </w:r>
      <w:r w:rsidRPr="007748D9">
        <w:rPr>
          <w:spacing w:val="-4"/>
          <w:szCs w:val="20"/>
          <w:rtl/>
        </w:rPr>
        <w:t>8</w:t>
      </w:r>
      <w:r w:rsidRPr="00244459">
        <w:rPr>
          <w:spacing w:val="-4"/>
          <w:rtl/>
        </w:rPr>
        <w:t xml:space="preserve"> المؤرخ </w:t>
      </w:r>
      <w:r w:rsidRPr="007748D9">
        <w:rPr>
          <w:spacing w:val="-4"/>
          <w:szCs w:val="20"/>
          <w:rtl/>
        </w:rPr>
        <w:t>30</w:t>
      </w:r>
      <w:r w:rsidRPr="00244459">
        <w:rPr>
          <w:spacing w:val="-4"/>
          <w:rtl/>
        </w:rPr>
        <w:t xml:space="preserve"> أيلول/سبتمبر </w:t>
      </w:r>
      <w:r w:rsidRPr="007748D9">
        <w:rPr>
          <w:spacing w:val="-4"/>
          <w:szCs w:val="20"/>
          <w:rtl/>
        </w:rPr>
        <w:t>2010</w:t>
      </w:r>
      <w:r w:rsidRPr="00244459">
        <w:rPr>
          <w:spacing w:val="-4"/>
          <w:rtl/>
        </w:rPr>
        <w:t xml:space="preserve">؛ </w:t>
      </w:r>
    </w:p>
    <w:p w14:paraId="651DE5AA" w14:textId="77777777" w:rsidR="007748D9" w:rsidRPr="00244459" w:rsidRDefault="007748D9" w:rsidP="007748D9">
      <w:pPr>
        <w:pStyle w:val="SingleTxtGA"/>
      </w:pPr>
      <w:r w:rsidRPr="00244459">
        <w:rPr>
          <w:szCs w:val="20"/>
          <w:rtl/>
        </w:rPr>
        <w:tab/>
      </w:r>
      <w:r w:rsidRPr="007748D9">
        <w:rPr>
          <w:szCs w:val="20"/>
          <w:rtl/>
        </w:rPr>
        <w:t>5</w:t>
      </w:r>
      <w:r w:rsidRPr="00244459">
        <w:rPr>
          <w:rtl/>
        </w:rPr>
        <w:t>-</w:t>
      </w:r>
      <w:r w:rsidRPr="00244459">
        <w:rPr>
          <w:rtl/>
        </w:rPr>
        <w:tab/>
      </w:r>
      <w:r w:rsidRPr="00244459">
        <w:rPr>
          <w:i/>
          <w:iCs/>
          <w:spacing w:val="-4"/>
          <w:rtl/>
        </w:rPr>
        <w:t>يطلب</w:t>
      </w:r>
      <w:r w:rsidRPr="00244459">
        <w:rPr>
          <w:spacing w:val="-4"/>
          <w:rtl/>
        </w:rPr>
        <w:t xml:space="preserve"> إلى المقرر</w:t>
      </w:r>
      <w:r>
        <w:rPr>
          <w:rFonts w:hint="cs"/>
          <w:spacing w:val="-4"/>
          <w:rtl/>
        </w:rPr>
        <w:t>(</w:t>
      </w:r>
      <w:r w:rsidRPr="00244459">
        <w:rPr>
          <w:spacing w:val="-4"/>
          <w:rtl/>
        </w:rPr>
        <w:t>ة</w:t>
      </w:r>
      <w:r>
        <w:rPr>
          <w:rFonts w:hint="cs"/>
          <w:spacing w:val="-4"/>
          <w:rtl/>
        </w:rPr>
        <w:t>)</w:t>
      </w:r>
      <w:r w:rsidRPr="00244459">
        <w:rPr>
          <w:spacing w:val="-4"/>
          <w:rtl/>
        </w:rPr>
        <w:t xml:space="preserve"> الخاص</w:t>
      </w:r>
      <w:r>
        <w:rPr>
          <w:rFonts w:hint="cs"/>
          <w:spacing w:val="-4"/>
          <w:rtl/>
        </w:rPr>
        <w:t>(</w:t>
      </w:r>
      <w:r w:rsidRPr="00244459">
        <w:rPr>
          <w:spacing w:val="-4"/>
          <w:rtl/>
        </w:rPr>
        <w:t>ة</w:t>
      </w:r>
      <w:r>
        <w:rPr>
          <w:rFonts w:hint="cs"/>
          <w:spacing w:val="-4"/>
          <w:rtl/>
        </w:rPr>
        <w:t>)</w:t>
      </w:r>
      <w:r w:rsidRPr="00244459">
        <w:rPr>
          <w:spacing w:val="-4"/>
          <w:rtl/>
        </w:rPr>
        <w:t xml:space="preserve">، في سياق الاضطلاع بالولاية، أن </w:t>
      </w:r>
      <w:r>
        <w:rPr>
          <w:rFonts w:hint="cs"/>
          <w:spacing w:val="-4"/>
          <w:rtl/>
        </w:rPr>
        <w:t>يواصل/</w:t>
      </w:r>
      <w:r w:rsidRPr="00244459">
        <w:rPr>
          <w:spacing w:val="-4"/>
          <w:rtl/>
        </w:rPr>
        <w:t>تواصل العمل مع الدول في إعمال الحق في السكن اللائق وتنفيذ الخطة الحضرية الجديدة وأهداف وغايات التنمية المستدامة المتصلة</w:t>
      </w:r>
      <w:r w:rsidRPr="00244459">
        <w:rPr>
          <w:rtl/>
        </w:rPr>
        <w:t xml:space="preserve"> </w:t>
      </w:r>
      <w:r w:rsidRPr="00244459">
        <w:rPr>
          <w:spacing w:val="-4"/>
          <w:rtl/>
        </w:rPr>
        <w:t xml:space="preserve">بالسكن، وأن </w:t>
      </w:r>
      <w:r>
        <w:rPr>
          <w:rFonts w:hint="cs"/>
          <w:spacing w:val="-4"/>
          <w:rtl/>
        </w:rPr>
        <w:t>يتشاور/</w:t>
      </w:r>
      <w:r w:rsidRPr="00244459">
        <w:rPr>
          <w:spacing w:val="-4"/>
          <w:rtl/>
        </w:rPr>
        <w:t xml:space="preserve">تتشاور مع المجتمع المدني وغيره من الجهات المعنية، وفقاً لقرار مجلس حقوق الإنسان </w:t>
      </w:r>
      <w:r w:rsidRPr="007748D9">
        <w:rPr>
          <w:spacing w:val="-4"/>
          <w:szCs w:val="20"/>
          <w:rtl/>
        </w:rPr>
        <w:t>37</w:t>
      </w:r>
      <w:r w:rsidRPr="00244459">
        <w:rPr>
          <w:spacing w:val="-4"/>
          <w:rtl/>
        </w:rPr>
        <w:t>/</w:t>
      </w:r>
      <w:r w:rsidRPr="007748D9">
        <w:rPr>
          <w:spacing w:val="-4"/>
          <w:szCs w:val="20"/>
          <w:rtl/>
        </w:rPr>
        <w:t>4</w:t>
      </w:r>
      <w:r w:rsidRPr="00244459">
        <w:rPr>
          <w:rtl/>
        </w:rPr>
        <w:t xml:space="preserve"> المؤرخ </w:t>
      </w:r>
      <w:r w:rsidRPr="007748D9">
        <w:rPr>
          <w:szCs w:val="20"/>
          <w:rtl/>
        </w:rPr>
        <w:t>22</w:t>
      </w:r>
      <w:r w:rsidRPr="00244459">
        <w:rPr>
          <w:rtl/>
        </w:rPr>
        <w:t xml:space="preserve"> آذار/مارس </w:t>
      </w:r>
      <w:r w:rsidRPr="007748D9">
        <w:rPr>
          <w:szCs w:val="20"/>
          <w:rtl/>
        </w:rPr>
        <w:t>2018</w:t>
      </w:r>
      <w:r w:rsidRPr="00244459">
        <w:rPr>
          <w:rtl/>
        </w:rPr>
        <w:t xml:space="preserve">؛ </w:t>
      </w:r>
      <w:bookmarkStart w:id="0" w:name="_GoBack"/>
      <w:bookmarkEnd w:id="0"/>
    </w:p>
    <w:p w14:paraId="47009E13" w14:textId="77777777" w:rsidR="007748D9" w:rsidRPr="00244459" w:rsidRDefault="007748D9" w:rsidP="007748D9">
      <w:pPr>
        <w:pStyle w:val="SingleTxtGA"/>
        <w:rPr>
          <w:rtl/>
        </w:rPr>
      </w:pPr>
      <w:r w:rsidRPr="00244459">
        <w:rPr>
          <w:spacing w:val="-4"/>
          <w:szCs w:val="20"/>
          <w:rtl/>
        </w:rPr>
        <w:tab/>
      </w:r>
      <w:r w:rsidRPr="007748D9">
        <w:rPr>
          <w:spacing w:val="-4"/>
          <w:szCs w:val="20"/>
          <w:rtl/>
        </w:rPr>
        <w:t>6</w:t>
      </w:r>
      <w:r w:rsidRPr="00244459">
        <w:rPr>
          <w:spacing w:val="-4"/>
          <w:rtl/>
        </w:rPr>
        <w:t>-</w:t>
      </w:r>
      <w:r w:rsidRPr="00244459">
        <w:rPr>
          <w:spacing w:val="-4"/>
          <w:rtl/>
        </w:rPr>
        <w:tab/>
      </w:r>
      <w:r w:rsidRPr="00244459">
        <w:rPr>
          <w:i/>
          <w:iCs/>
          <w:spacing w:val="-4"/>
          <w:rtl/>
        </w:rPr>
        <w:t>يلاحظ مع التقدير</w:t>
      </w:r>
      <w:r w:rsidRPr="00244459">
        <w:rPr>
          <w:spacing w:val="-4"/>
          <w:rtl/>
        </w:rPr>
        <w:t xml:space="preserve"> ما أبدته الجهات الفاعلة المختلفة حتى الآن من تعاون مع المقرر</w:t>
      </w:r>
      <w:r>
        <w:rPr>
          <w:rFonts w:hint="cs"/>
          <w:spacing w:val="-4"/>
          <w:rtl/>
        </w:rPr>
        <w:t>(</w:t>
      </w:r>
      <w:r w:rsidRPr="00244459">
        <w:rPr>
          <w:spacing w:val="-4"/>
          <w:rtl/>
        </w:rPr>
        <w:t>ة</w:t>
      </w:r>
      <w:r>
        <w:rPr>
          <w:rFonts w:hint="cs"/>
          <w:spacing w:val="-4"/>
          <w:rtl/>
        </w:rPr>
        <w:t>)</w:t>
      </w:r>
      <w:r w:rsidRPr="00244459">
        <w:rPr>
          <w:rtl/>
        </w:rPr>
        <w:t xml:space="preserve"> الخاص</w:t>
      </w:r>
      <w:r>
        <w:rPr>
          <w:rFonts w:hint="cs"/>
          <w:rtl/>
        </w:rPr>
        <w:t>(</w:t>
      </w:r>
      <w:r w:rsidRPr="00244459">
        <w:rPr>
          <w:rtl/>
        </w:rPr>
        <w:t>ة</w:t>
      </w:r>
      <w:r>
        <w:rPr>
          <w:rFonts w:hint="cs"/>
          <w:rtl/>
        </w:rPr>
        <w:t>)</w:t>
      </w:r>
      <w:r w:rsidRPr="00244459">
        <w:rPr>
          <w:rtl/>
        </w:rPr>
        <w:t>، ويدعو الدول إلى ما يلي:</w:t>
      </w:r>
    </w:p>
    <w:p w14:paraId="7DBD0748" w14:textId="77777777" w:rsidR="007748D9" w:rsidRPr="00244459" w:rsidRDefault="007748D9" w:rsidP="007748D9">
      <w:pPr>
        <w:pStyle w:val="SingleTxtGA"/>
        <w:rPr>
          <w:rtl/>
        </w:rPr>
      </w:pPr>
      <w:r w:rsidRPr="00244459">
        <w:rPr>
          <w:rtl/>
        </w:rPr>
        <w:tab/>
        <w:t>(أ)</w:t>
      </w:r>
      <w:r w:rsidRPr="00244459">
        <w:rPr>
          <w:rtl/>
        </w:rPr>
        <w:tab/>
      </w:r>
      <w:r w:rsidRPr="00244459">
        <w:rPr>
          <w:spacing w:val="-4"/>
          <w:rtl/>
        </w:rPr>
        <w:t>مواصلة التعاون مع المقرر</w:t>
      </w:r>
      <w:r>
        <w:rPr>
          <w:rFonts w:hint="cs"/>
          <w:spacing w:val="-4"/>
          <w:rtl/>
        </w:rPr>
        <w:t>(</w:t>
      </w:r>
      <w:r w:rsidRPr="00244459">
        <w:rPr>
          <w:spacing w:val="-4"/>
          <w:rtl/>
        </w:rPr>
        <w:t>ة</w:t>
      </w:r>
      <w:r>
        <w:rPr>
          <w:rFonts w:hint="cs"/>
          <w:spacing w:val="-4"/>
          <w:rtl/>
        </w:rPr>
        <w:t>)</w:t>
      </w:r>
      <w:r w:rsidRPr="00244459">
        <w:rPr>
          <w:spacing w:val="-4"/>
          <w:rtl/>
        </w:rPr>
        <w:t xml:space="preserve"> الخاص</w:t>
      </w:r>
      <w:r>
        <w:rPr>
          <w:rFonts w:hint="cs"/>
          <w:spacing w:val="-4"/>
          <w:rtl/>
        </w:rPr>
        <w:t>(</w:t>
      </w:r>
      <w:r w:rsidRPr="00244459">
        <w:rPr>
          <w:spacing w:val="-4"/>
          <w:rtl/>
        </w:rPr>
        <w:t>ة</w:t>
      </w:r>
      <w:r>
        <w:rPr>
          <w:rFonts w:hint="cs"/>
          <w:spacing w:val="-4"/>
          <w:rtl/>
        </w:rPr>
        <w:t>)</w:t>
      </w:r>
      <w:r w:rsidRPr="00244459">
        <w:rPr>
          <w:spacing w:val="-4"/>
          <w:rtl/>
        </w:rPr>
        <w:t xml:space="preserve"> في اضطلاعه</w:t>
      </w:r>
      <w:r>
        <w:rPr>
          <w:rFonts w:hint="cs"/>
          <w:spacing w:val="-4"/>
          <w:rtl/>
        </w:rPr>
        <w:t>(</w:t>
      </w:r>
      <w:r w:rsidRPr="00244459">
        <w:rPr>
          <w:spacing w:val="-4"/>
          <w:rtl/>
        </w:rPr>
        <w:t>ا</w:t>
      </w:r>
      <w:r>
        <w:rPr>
          <w:rFonts w:hint="cs"/>
          <w:spacing w:val="-4"/>
          <w:rtl/>
        </w:rPr>
        <w:t>)</w:t>
      </w:r>
      <w:r w:rsidRPr="00244459">
        <w:rPr>
          <w:spacing w:val="-4"/>
          <w:rtl/>
        </w:rPr>
        <w:t xml:space="preserve"> بولايته</w:t>
      </w:r>
      <w:r>
        <w:rPr>
          <w:rFonts w:hint="cs"/>
          <w:spacing w:val="-4"/>
          <w:rtl/>
        </w:rPr>
        <w:t>(</w:t>
      </w:r>
      <w:r w:rsidRPr="00244459">
        <w:rPr>
          <w:spacing w:val="-4"/>
          <w:rtl/>
        </w:rPr>
        <w:t>ا</w:t>
      </w:r>
      <w:r>
        <w:rPr>
          <w:rFonts w:hint="cs"/>
          <w:spacing w:val="-4"/>
          <w:rtl/>
        </w:rPr>
        <w:t>)</w:t>
      </w:r>
      <w:r w:rsidRPr="00244459">
        <w:rPr>
          <w:spacing w:val="-4"/>
          <w:rtl/>
        </w:rPr>
        <w:t xml:space="preserve"> والاستجابة لطلباته</w:t>
      </w:r>
      <w:r>
        <w:rPr>
          <w:rFonts w:hint="cs"/>
          <w:spacing w:val="-4"/>
          <w:rtl/>
        </w:rPr>
        <w:t>(</w:t>
      </w:r>
      <w:r w:rsidRPr="00244459">
        <w:rPr>
          <w:spacing w:val="-4"/>
          <w:rtl/>
        </w:rPr>
        <w:t>ا</w:t>
      </w:r>
      <w:r>
        <w:rPr>
          <w:rFonts w:hint="cs"/>
          <w:spacing w:val="-4"/>
          <w:rtl/>
        </w:rPr>
        <w:t>)</w:t>
      </w:r>
      <w:r w:rsidRPr="00244459">
        <w:rPr>
          <w:spacing w:val="-4"/>
          <w:rtl/>
        </w:rPr>
        <w:t xml:space="preserve"> المتعلقة</w:t>
      </w:r>
      <w:r w:rsidRPr="00244459">
        <w:rPr>
          <w:rtl/>
        </w:rPr>
        <w:t xml:space="preserve"> بالحصول على معلومات والقيام بزيارات؛ </w:t>
      </w:r>
    </w:p>
    <w:p w14:paraId="57CD40D4" w14:textId="77777777" w:rsidR="007748D9" w:rsidRPr="00244459" w:rsidRDefault="007748D9" w:rsidP="007748D9">
      <w:pPr>
        <w:pStyle w:val="SingleTxtGA"/>
        <w:rPr>
          <w:rtl/>
        </w:rPr>
      </w:pPr>
      <w:r w:rsidRPr="00244459">
        <w:rPr>
          <w:rtl/>
        </w:rPr>
        <w:tab/>
        <w:t>(ب)</w:t>
      </w:r>
      <w:r w:rsidRPr="00244459">
        <w:rPr>
          <w:rtl/>
        </w:rPr>
        <w:tab/>
        <w:t>الدخول في حوار بنَّاء مع المقرر</w:t>
      </w:r>
      <w:r>
        <w:rPr>
          <w:rFonts w:hint="cs"/>
          <w:rtl/>
        </w:rPr>
        <w:t>(</w:t>
      </w:r>
      <w:r w:rsidRPr="00244459">
        <w:rPr>
          <w:rtl/>
        </w:rPr>
        <w:t>ة</w:t>
      </w:r>
      <w:r>
        <w:rPr>
          <w:rFonts w:hint="cs"/>
          <w:rtl/>
        </w:rPr>
        <w:t>)</w:t>
      </w:r>
      <w:r w:rsidRPr="00244459">
        <w:rPr>
          <w:rtl/>
        </w:rPr>
        <w:t xml:space="preserve"> الخاص</w:t>
      </w:r>
      <w:r>
        <w:rPr>
          <w:rFonts w:hint="cs"/>
          <w:rtl/>
        </w:rPr>
        <w:t>(</w:t>
      </w:r>
      <w:r w:rsidRPr="00244459">
        <w:rPr>
          <w:rtl/>
        </w:rPr>
        <w:t>ة</w:t>
      </w:r>
      <w:r>
        <w:rPr>
          <w:rFonts w:hint="cs"/>
          <w:rtl/>
        </w:rPr>
        <w:t>)</w:t>
      </w:r>
      <w:r w:rsidRPr="00244459">
        <w:rPr>
          <w:rtl/>
        </w:rPr>
        <w:t xml:space="preserve"> بشأن متابعة توصياته</w:t>
      </w:r>
      <w:r>
        <w:rPr>
          <w:rFonts w:hint="cs"/>
          <w:rtl/>
        </w:rPr>
        <w:t>(</w:t>
      </w:r>
      <w:r w:rsidRPr="00244459">
        <w:rPr>
          <w:rtl/>
        </w:rPr>
        <w:t>ا</w:t>
      </w:r>
      <w:r>
        <w:rPr>
          <w:rFonts w:hint="cs"/>
          <w:rtl/>
        </w:rPr>
        <w:t>)</w:t>
      </w:r>
      <w:r w:rsidRPr="00244459">
        <w:rPr>
          <w:rtl/>
        </w:rPr>
        <w:t xml:space="preserve"> وتنفيذها؛</w:t>
      </w:r>
    </w:p>
    <w:p w14:paraId="783CDF9A" w14:textId="77777777" w:rsidR="007748D9" w:rsidRPr="00244459" w:rsidRDefault="007748D9" w:rsidP="007748D9">
      <w:pPr>
        <w:pStyle w:val="SingleTxtGA"/>
        <w:rPr>
          <w:rtl/>
        </w:rPr>
      </w:pPr>
      <w:r w:rsidRPr="00244459">
        <w:rPr>
          <w:spacing w:val="-4"/>
          <w:szCs w:val="20"/>
          <w:rtl/>
        </w:rPr>
        <w:tab/>
      </w:r>
      <w:r w:rsidRPr="007748D9">
        <w:rPr>
          <w:spacing w:val="-4"/>
          <w:szCs w:val="20"/>
          <w:rtl/>
        </w:rPr>
        <w:t>7</w:t>
      </w:r>
      <w:r w:rsidRPr="00244459">
        <w:rPr>
          <w:spacing w:val="-4"/>
          <w:rtl/>
        </w:rPr>
        <w:t>-</w:t>
      </w:r>
      <w:r w:rsidRPr="00244459">
        <w:rPr>
          <w:spacing w:val="-4"/>
          <w:rtl/>
        </w:rPr>
        <w:tab/>
      </w:r>
      <w:r w:rsidRPr="00244459">
        <w:rPr>
          <w:i/>
          <w:iCs/>
          <w:spacing w:val="-4"/>
          <w:rtl/>
        </w:rPr>
        <w:t>يطلب</w:t>
      </w:r>
      <w:r w:rsidRPr="00244459">
        <w:rPr>
          <w:spacing w:val="-4"/>
          <w:rtl/>
        </w:rPr>
        <w:t xml:space="preserve"> إلى الأمين العام ومفوضة الأمم المتحدة السامية لحقوق الإنسان مواصلة توفير</w:t>
      </w:r>
      <w:r w:rsidRPr="00244459">
        <w:rPr>
          <w:rtl/>
        </w:rPr>
        <w:t xml:space="preserve"> كل ما يلزم من موارد ومساعدة لتمكين المقرر</w:t>
      </w:r>
      <w:r>
        <w:rPr>
          <w:rFonts w:hint="cs"/>
          <w:rtl/>
        </w:rPr>
        <w:t>(</w:t>
      </w:r>
      <w:r w:rsidRPr="00244459">
        <w:rPr>
          <w:rtl/>
        </w:rPr>
        <w:t>ة</w:t>
      </w:r>
      <w:r>
        <w:rPr>
          <w:rFonts w:hint="cs"/>
          <w:rtl/>
        </w:rPr>
        <w:t>)</w:t>
      </w:r>
      <w:r w:rsidRPr="00244459">
        <w:rPr>
          <w:rtl/>
        </w:rPr>
        <w:t xml:space="preserve"> الخاص</w:t>
      </w:r>
      <w:r>
        <w:rPr>
          <w:rFonts w:hint="cs"/>
          <w:rtl/>
        </w:rPr>
        <w:t>(</w:t>
      </w:r>
      <w:r w:rsidRPr="00244459">
        <w:rPr>
          <w:rtl/>
        </w:rPr>
        <w:t>ة</w:t>
      </w:r>
      <w:r>
        <w:rPr>
          <w:rFonts w:hint="cs"/>
          <w:rtl/>
        </w:rPr>
        <w:t>)</w:t>
      </w:r>
      <w:r w:rsidRPr="00244459">
        <w:rPr>
          <w:rtl/>
        </w:rPr>
        <w:t xml:space="preserve"> من الاضطلاع بولايته</w:t>
      </w:r>
      <w:r>
        <w:rPr>
          <w:rFonts w:hint="cs"/>
          <w:rtl/>
        </w:rPr>
        <w:t>(</w:t>
      </w:r>
      <w:r w:rsidRPr="00244459">
        <w:rPr>
          <w:rtl/>
        </w:rPr>
        <w:t>ا</w:t>
      </w:r>
      <w:r>
        <w:rPr>
          <w:rFonts w:hint="cs"/>
          <w:rtl/>
        </w:rPr>
        <w:t>)</w:t>
      </w:r>
      <w:r w:rsidRPr="00244459">
        <w:rPr>
          <w:rtl/>
        </w:rPr>
        <w:t xml:space="preserve"> بفعالية؛</w:t>
      </w:r>
    </w:p>
    <w:p w14:paraId="525B07F0" w14:textId="77777777" w:rsidR="007748D9" w:rsidRPr="00244459" w:rsidRDefault="007748D9" w:rsidP="007748D9">
      <w:pPr>
        <w:pStyle w:val="SingleTxtGA"/>
        <w:rPr>
          <w:rtl/>
        </w:rPr>
      </w:pPr>
      <w:r w:rsidRPr="00244459">
        <w:rPr>
          <w:szCs w:val="20"/>
          <w:rtl/>
        </w:rPr>
        <w:tab/>
      </w:r>
      <w:r w:rsidRPr="007748D9">
        <w:rPr>
          <w:szCs w:val="20"/>
          <w:rtl/>
        </w:rPr>
        <w:t>8</w:t>
      </w:r>
      <w:r w:rsidRPr="00244459">
        <w:rPr>
          <w:rtl/>
        </w:rPr>
        <w:t>-</w:t>
      </w:r>
      <w:r w:rsidRPr="00244459">
        <w:rPr>
          <w:rtl/>
        </w:rPr>
        <w:tab/>
      </w:r>
      <w:r w:rsidRPr="00244459">
        <w:rPr>
          <w:i/>
          <w:iCs/>
          <w:rtl/>
        </w:rPr>
        <w:t>يطلب</w:t>
      </w:r>
      <w:r w:rsidRPr="00244459">
        <w:rPr>
          <w:rtl/>
        </w:rPr>
        <w:t xml:space="preserve"> إلى المقرر</w:t>
      </w:r>
      <w:r>
        <w:rPr>
          <w:rFonts w:hint="cs"/>
          <w:rtl/>
        </w:rPr>
        <w:t>(</w:t>
      </w:r>
      <w:r w:rsidRPr="00244459">
        <w:rPr>
          <w:rtl/>
        </w:rPr>
        <w:t>ة</w:t>
      </w:r>
      <w:r>
        <w:rPr>
          <w:rFonts w:hint="cs"/>
          <w:rtl/>
        </w:rPr>
        <w:t>)</w:t>
      </w:r>
      <w:r w:rsidRPr="00244459">
        <w:rPr>
          <w:rtl/>
        </w:rPr>
        <w:t xml:space="preserve"> الخاص</w:t>
      </w:r>
      <w:r>
        <w:rPr>
          <w:rFonts w:hint="cs"/>
          <w:rtl/>
        </w:rPr>
        <w:t>(</w:t>
      </w:r>
      <w:r w:rsidRPr="00244459">
        <w:rPr>
          <w:rtl/>
        </w:rPr>
        <w:t>ة</w:t>
      </w:r>
      <w:r>
        <w:rPr>
          <w:rFonts w:hint="cs"/>
          <w:rtl/>
        </w:rPr>
        <w:t>)</w:t>
      </w:r>
      <w:r w:rsidRPr="00244459">
        <w:rPr>
          <w:rtl/>
        </w:rPr>
        <w:t xml:space="preserve"> أن </w:t>
      </w:r>
      <w:r>
        <w:rPr>
          <w:rFonts w:hint="cs"/>
          <w:rtl/>
        </w:rPr>
        <w:t>يقدم/</w:t>
      </w:r>
      <w:r w:rsidRPr="00244459">
        <w:rPr>
          <w:rtl/>
        </w:rPr>
        <w:t>تقدم تقريراً سنوياً عن تنفيذ الولاية إلى مجلس حقوق الإنسان والجمعية العامة، وفقاً لبرنامج العمل السنوي لكل منهما؛</w:t>
      </w:r>
    </w:p>
    <w:p w14:paraId="094C58BC" w14:textId="77777777" w:rsidR="007748D9" w:rsidRDefault="007748D9" w:rsidP="007748D9">
      <w:pPr>
        <w:pStyle w:val="SingleTxtGA"/>
        <w:rPr>
          <w:rtl/>
        </w:rPr>
      </w:pPr>
      <w:r w:rsidRPr="00244459">
        <w:rPr>
          <w:szCs w:val="20"/>
          <w:rtl/>
        </w:rPr>
        <w:tab/>
      </w:r>
      <w:r w:rsidRPr="007748D9">
        <w:rPr>
          <w:szCs w:val="20"/>
          <w:rtl/>
        </w:rPr>
        <w:t>9</w:t>
      </w:r>
      <w:r w:rsidRPr="00244459">
        <w:rPr>
          <w:rtl/>
        </w:rPr>
        <w:t>-</w:t>
      </w:r>
      <w:r w:rsidRPr="00244459">
        <w:rPr>
          <w:rtl/>
        </w:rPr>
        <w:tab/>
      </w:r>
      <w:r w:rsidRPr="00244459">
        <w:rPr>
          <w:i/>
          <w:iCs/>
          <w:rtl/>
        </w:rPr>
        <w:t>يقرر</w:t>
      </w:r>
      <w:r w:rsidRPr="00244459">
        <w:rPr>
          <w:rtl/>
        </w:rPr>
        <w:t xml:space="preserve"> مواصلة نظره في هذه المسألة في إطار البند نفسه من جدول الأعمال.</w:t>
      </w:r>
    </w:p>
    <w:p w14:paraId="50F4CFE8" w14:textId="77777777" w:rsidR="007748D9" w:rsidRPr="00D27EC6" w:rsidRDefault="007748D9" w:rsidP="007748D9">
      <w:pPr>
        <w:pStyle w:val="SingleTxtGA"/>
        <w:spacing w:after="0"/>
        <w:jc w:val="right"/>
        <w:rPr>
          <w:i/>
          <w:iCs/>
          <w:szCs w:val="20"/>
          <w:rtl/>
        </w:rPr>
      </w:pPr>
      <w:r w:rsidRPr="00D27EC6">
        <w:rPr>
          <w:rFonts w:hint="eastAsia"/>
          <w:i/>
          <w:iCs/>
          <w:rtl/>
          <w:lang w:val="fr-CH"/>
        </w:rPr>
        <w:t>الجلسة</w:t>
      </w:r>
      <w:r w:rsidRPr="00D27EC6">
        <w:rPr>
          <w:rFonts w:hint="cs"/>
          <w:i/>
          <w:iCs/>
          <w:szCs w:val="20"/>
          <w:rtl/>
          <w:lang w:val="fr-CH"/>
        </w:rPr>
        <w:t xml:space="preserve"> 44</w:t>
      </w:r>
    </w:p>
    <w:p w14:paraId="5AD8C62E" w14:textId="77777777" w:rsidR="007748D9" w:rsidRPr="00D27EC6" w:rsidRDefault="007748D9" w:rsidP="007748D9">
      <w:pPr>
        <w:pStyle w:val="SingleTxtGA"/>
        <w:jc w:val="right"/>
        <w:rPr>
          <w:i/>
          <w:iCs/>
          <w:szCs w:val="20"/>
          <w:rtl/>
          <w:lang w:val="fr-CH"/>
        </w:rPr>
      </w:pPr>
      <w:r w:rsidRPr="00D27EC6">
        <w:rPr>
          <w:rFonts w:hint="cs"/>
          <w:i/>
          <w:iCs/>
          <w:szCs w:val="20"/>
          <w:rtl/>
          <w:lang w:val="fr-CH"/>
        </w:rPr>
        <w:t xml:space="preserve">19 </w:t>
      </w:r>
      <w:r w:rsidRPr="00D27EC6">
        <w:rPr>
          <w:rFonts w:hint="eastAsia"/>
          <w:i/>
          <w:iCs/>
          <w:rtl/>
          <w:lang w:val="fr-CH"/>
        </w:rPr>
        <w:t>حزيران</w:t>
      </w:r>
      <w:r w:rsidRPr="00D27EC6">
        <w:rPr>
          <w:i/>
          <w:iCs/>
          <w:rtl/>
          <w:lang w:val="fr-CH"/>
        </w:rPr>
        <w:t>/</w:t>
      </w:r>
      <w:r w:rsidRPr="00D27EC6">
        <w:rPr>
          <w:rFonts w:hint="eastAsia"/>
          <w:i/>
          <w:iCs/>
          <w:rtl/>
          <w:lang w:val="fr-CH"/>
        </w:rPr>
        <w:t>يونيه</w:t>
      </w:r>
      <w:r w:rsidRPr="00D27EC6">
        <w:rPr>
          <w:rFonts w:hint="cs"/>
          <w:i/>
          <w:iCs/>
          <w:szCs w:val="20"/>
          <w:rtl/>
          <w:lang w:val="fr-CH"/>
        </w:rPr>
        <w:t xml:space="preserve"> 2020</w:t>
      </w:r>
    </w:p>
    <w:p w14:paraId="4937B6D1" w14:textId="77777777" w:rsidR="007748D9" w:rsidRPr="00831A32" w:rsidRDefault="007748D9" w:rsidP="007748D9">
      <w:pPr>
        <w:pStyle w:val="SingleTxtGA"/>
        <w:rPr>
          <w:sz w:val="30"/>
          <w:szCs w:val="30"/>
          <w:lang w:val="fr-CH"/>
        </w:rPr>
      </w:pPr>
      <w:r w:rsidRPr="00831A32">
        <w:rPr>
          <w:sz w:val="30"/>
          <w:szCs w:val="30"/>
          <w:rtl/>
          <w:lang w:val="fr-CH"/>
        </w:rPr>
        <w:t xml:space="preserve">[اعتُمِد </w:t>
      </w:r>
      <w:r w:rsidRPr="00831A32">
        <w:rPr>
          <w:rFonts w:hint="eastAsia"/>
          <w:sz w:val="30"/>
          <w:szCs w:val="30"/>
          <w:rtl/>
          <w:lang w:val="fr-CH"/>
        </w:rPr>
        <w:t>دون</w:t>
      </w:r>
      <w:r w:rsidRPr="00831A32">
        <w:rPr>
          <w:sz w:val="30"/>
          <w:szCs w:val="30"/>
          <w:rtl/>
          <w:lang w:val="fr-CH"/>
        </w:rPr>
        <w:t xml:space="preserve"> </w:t>
      </w:r>
      <w:r w:rsidRPr="00831A32">
        <w:rPr>
          <w:rFonts w:hint="eastAsia"/>
          <w:sz w:val="30"/>
          <w:szCs w:val="30"/>
          <w:rtl/>
          <w:lang w:val="fr-CH"/>
        </w:rPr>
        <w:t>تصويت</w:t>
      </w:r>
      <w:r w:rsidRPr="00831A32">
        <w:rPr>
          <w:sz w:val="30"/>
          <w:szCs w:val="30"/>
          <w:rtl/>
          <w:lang w:val="fr-CH"/>
        </w:rPr>
        <w:t>.]</w:t>
      </w:r>
    </w:p>
    <w:p w14:paraId="796D3D2C" w14:textId="77777777" w:rsidR="007748D9" w:rsidRPr="00CF3F3B" w:rsidRDefault="007748D9" w:rsidP="007748D9">
      <w:pPr>
        <w:spacing w:before="120"/>
        <w:jc w:val="center"/>
        <w:rPr>
          <w:u w:val="single"/>
          <w:rtl/>
        </w:rPr>
      </w:pPr>
      <w:r>
        <w:rPr>
          <w:u w:val="single"/>
          <w:rtl/>
        </w:rPr>
        <w:tab/>
      </w:r>
      <w:r>
        <w:rPr>
          <w:u w:val="single"/>
          <w:rtl/>
        </w:rPr>
        <w:tab/>
      </w:r>
      <w:r>
        <w:rPr>
          <w:u w:val="single"/>
          <w:rtl/>
        </w:rPr>
        <w:tab/>
      </w:r>
    </w:p>
    <w:sectPr w:rsidR="007748D9" w:rsidRPr="00CF3F3B" w:rsidSect="00DA5A3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6399E" w14:textId="77777777" w:rsidR="00843511" w:rsidRPr="002901D9" w:rsidRDefault="00843511" w:rsidP="002901D9">
      <w:pPr>
        <w:spacing w:after="60" w:line="240" w:lineRule="auto"/>
        <w:rPr>
          <w:i/>
          <w:iCs/>
        </w:rPr>
      </w:pPr>
      <w:r>
        <w:rPr>
          <w:rFonts w:hint="cs"/>
          <w:i/>
          <w:iCs/>
          <w:rtl/>
        </w:rPr>
        <w:t>الحواشي</w:t>
      </w:r>
    </w:p>
  </w:endnote>
  <w:endnote w:type="continuationSeparator" w:id="0">
    <w:p w14:paraId="44B59D82" w14:textId="77777777" w:rsidR="00843511" w:rsidRDefault="0084351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8CDC2" w14:textId="77777777" w:rsidR="00DA5A3F" w:rsidRPr="007748D9" w:rsidRDefault="007748D9" w:rsidP="007748D9">
    <w:pPr>
      <w:pStyle w:val="Footer"/>
      <w:tabs>
        <w:tab w:val="right" w:pos="9598"/>
      </w:tabs>
      <w:rPr>
        <w:sz w:val="17"/>
      </w:rPr>
    </w:pPr>
    <w:r>
      <w:rPr>
        <w:sz w:val="17"/>
      </w:rPr>
      <w:t>GE.20-08981</w:t>
    </w:r>
    <w:r>
      <w:rPr>
        <w:sz w:val="17"/>
      </w:rPr>
      <w:tab/>
    </w:r>
    <w:r w:rsidRPr="007748D9">
      <w:rPr>
        <w:b/>
        <w:sz w:val="18"/>
      </w:rPr>
      <w:fldChar w:fldCharType="begin"/>
    </w:r>
    <w:r w:rsidRPr="007748D9">
      <w:rPr>
        <w:b/>
        <w:sz w:val="18"/>
      </w:rPr>
      <w:instrText xml:space="preserve"> PAGE  \* MERGEFORMAT </w:instrText>
    </w:r>
    <w:r w:rsidRPr="007748D9">
      <w:rPr>
        <w:b/>
        <w:sz w:val="18"/>
      </w:rPr>
      <w:fldChar w:fldCharType="separate"/>
    </w:r>
    <w:r>
      <w:rPr>
        <w:b/>
        <w:sz w:val="18"/>
      </w:rPr>
      <w:t>2</w:t>
    </w:r>
    <w:r w:rsidRPr="007748D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EBFF6" w14:textId="77777777" w:rsidR="006959B0" w:rsidRPr="007748D9" w:rsidRDefault="007748D9" w:rsidP="006959B0">
    <w:pPr>
      <w:pStyle w:val="Footer"/>
      <w:tabs>
        <w:tab w:val="right" w:pos="9599"/>
      </w:tabs>
      <w:jc w:val="left"/>
      <w:rPr>
        <w:b/>
        <w:sz w:val="18"/>
        <w:lang w:val="en-US"/>
      </w:rPr>
    </w:pPr>
    <w:r w:rsidRPr="007748D9">
      <w:rPr>
        <w:b/>
        <w:sz w:val="18"/>
        <w:lang w:val="en-US"/>
      </w:rPr>
      <w:fldChar w:fldCharType="begin"/>
    </w:r>
    <w:r w:rsidRPr="007748D9">
      <w:rPr>
        <w:b/>
        <w:sz w:val="18"/>
        <w:lang w:val="en-US"/>
      </w:rPr>
      <w:instrText xml:space="preserve"> PAGE  \* MERGEFORMAT </w:instrText>
    </w:r>
    <w:r w:rsidRPr="007748D9">
      <w:rPr>
        <w:b/>
        <w:sz w:val="18"/>
        <w:lang w:val="en-US"/>
      </w:rPr>
      <w:fldChar w:fldCharType="separate"/>
    </w:r>
    <w:r w:rsidRPr="007748D9">
      <w:rPr>
        <w:b/>
        <w:noProof/>
        <w:sz w:val="18"/>
        <w:lang w:val="en-US"/>
      </w:rPr>
      <w:t>3</w:t>
    </w:r>
    <w:r w:rsidRPr="007748D9">
      <w:rPr>
        <w:b/>
        <w:sz w:val="18"/>
        <w:lang w:val="en-US"/>
      </w:rPr>
      <w:fldChar w:fldCharType="end"/>
    </w:r>
    <w:r>
      <w:rPr>
        <w:b/>
        <w:sz w:val="18"/>
        <w:lang w:val="en-US"/>
      </w:rPr>
      <w:tab/>
    </w:r>
    <w:r>
      <w:rPr>
        <w:sz w:val="17"/>
        <w:lang w:val="en-US"/>
      </w:rPr>
      <w:t>GE.20-08981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CD5A0" w14:textId="2B776FFC" w:rsidR="00FD4BC9" w:rsidRDefault="00DA5A3F" w:rsidP="00F6741C">
    <w:pPr>
      <w:pStyle w:val="Footer"/>
      <w:spacing w:before="360"/>
      <w:jc w:val="right"/>
      <w:rPr>
        <w:sz w:val="20"/>
        <w:szCs w:val="20"/>
      </w:rPr>
    </w:pPr>
    <w:r>
      <w:rPr>
        <w:sz w:val="20"/>
        <w:szCs w:val="20"/>
      </w:rPr>
      <w:t>GE.20-08981</w:t>
    </w:r>
    <w:r w:rsidR="00AF50BF">
      <w:rPr>
        <w:noProof/>
      </w:rPr>
      <w:drawing>
        <wp:anchor distT="0" distB="0" distL="114300" distR="114300" simplePos="0" relativeHeight="251657728" behindDoc="1" locked="1" layoutInCell="0" allowOverlap="1" wp14:anchorId="4C65CD52" wp14:editId="1603D10C">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B1C5B08" w14:textId="23D0C358" w:rsidR="00DA5A3F" w:rsidRPr="00DA5A3F" w:rsidRDefault="00DA5A3F" w:rsidP="00DA5A3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AF50BF">
      <w:rPr>
        <w:noProof/>
      </w:rPr>
      <w:drawing>
        <wp:anchor distT="0" distB="0" distL="114300" distR="114300" simplePos="0" relativeHeight="251659776" behindDoc="0" locked="0" layoutInCell="1" allowOverlap="1" wp14:anchorId="78829D00" wp14:editId="096932DB">
          <wp:simplePos x="0" y="0"/>
          <wp:positionH relativeFrom="page">
            <wp:posOffset>719455</wp:posOffset>
          </wp:positionH>
          <wp:positionV relativeFrom="page">
            <wp:posOffset>9611995</wp:posOffset>
          </wp:positionV>
          <wp:extent cx="558165" cy="558165"/>
          <wp:effectExtent l="0" t="0" r="0" b="0"/>
          <wp:wrapNone/>
          <wp:docPr id="2" name="Picture 2" descr="1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165" cy="5581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4A1E2" w14:textId="77777777" w:rsidR="00843511" w:rsidRPr="0054762C" w:rsidRDefault="00843511" w:rsidP="000E524A">
      <w:pPr>
        <w:pStyle w:val="Footer"/>
        <w:bidi/>
        <w:spacing w:after="80" w:line="200" w:lineRule="exact"/>
        <w:ind w:left="680"/>
      </w:pPr>
      <w:r>
        <w:rPr>
          <w:rtl/>
        </w:rPr>
        <w:t>__________</w:t>
      </w:r>
    </w:p>
  </w:footnote>
  <w:footnote w:type="continuationSeparator" w:id="0">
    <w:p w14:paraId="4ED4338E" w14:textId="77777777" w:rsidR="00843511" w:rsidRDefault="00843511" w:rsidP="00656392">
      <w:pPr>
        <w:spacing w:line="240" w:lineRule="auto"/>
      </w:pPr>
      <w:r>
        <w:continuationSeparator/>
      </w:r>
    </w:p>
  </w:footnote>
  <w:footnote w:id="1">
    <w:p w14:paraId="6ED0CB99" w14:textId="77777777" w:rsidR="007748D9" w:rsidRPr="003A7423" w:rsidRDefault="007748D9" w:rsidP="0016264F">
      <w:pPr>
        <w:pStyle w:val="FootnoteText1"/>
        <w:spacing w:line="260" w:lineRule="exact"/>
      </w:pPr>
      <w:r w:rsidRPr="003A7423">
        <w:rPr>
          <w:rtl/>
        </w:rPr>
        <w:t>(</w:t>
      </w:r>
      <w:r w:rsidRPr="007748D9">
        <w:rPr>
          <w:rStyle w:val="FootnoteReference"/>
          <w:rFonts w:ascii="Times New Roman" w:hAnsi="Times New Roman" w:cs="Times New Roman"/>
          <w:b w:val="0"/>
          <w:vertAlign w:val="baseline"/>
        </w:rPr>
        <w:footnoteRef/>
      </w:r>
      <w:r>
        <w:rPr>
          <w:sz w:val="26"/>
          <w:rtl/>
        </w:rPr>
        <w:t>)</w:t>
      </w:r>
      <w:r>
        <w:rPr>
          <w:sz w:val="26"/>
          <w:rtl/>
        </w:rPr>
        <w:tab/>
      </w:r>
      <w:r>
        <w:rPr>
          <w:rFonts w:hint="cs"/>
          <w:rtl/>
        </w:rPr>
        <w:t xml:space="preserve">انظر </w:t>
      </w:r>
      <w:r>
        <w:t>A/HRC/</w:t>
      </w:r>
      <w:r w:rsidRPr="007748D9">
        <w:rPr>
          <w:szCs w:val="18"/>
        </w:rPr>
        <w:t>34</w:t>
      </w:r>
      <w:r>
        <w:t>/</w:t>
      </w:r>
      <w:r w:rsidRPr="007748D9">
        <w:rPr>
          <w:szCs w:val="18"/>
        </w:rPr>
        <w:t>51</w:t>
      </w:r>
      <w:r>
        <w:rPr>
          <w:rFonts w:hint="cs"/>
          <w:rtl/>
        </w:rPr>
        <w:t>.</w:t>
      </w:r>
      <w:r w:rsidRPr="003A7423">
        <w:rPr>
          <w:rtl/>
        </w:rPr>
        <w:t xml:space="preserve"> </w:t>
      </w:r>
    </w:p>
  </w:footnote>
  <w:footnote w:id="2">
    <w:p w14:paraId="5B1FAE48" w14:textId="77777777" w:rsidR="007748D9" w:rsidRPr="003A7423" w:rsidRDefault="007748D9" w:rsidP="007748D9">
      <w:pPr>
        <w:pStyle w:val="FootnoteText1"/>
      </w:pPr>
      <w:r w:rsidRPr="003A7423">
        <w:rPr>
          <w:rtl/>
        </w:rPr>
        <w:t>(</w:t>
      </w:r>
      <w:r w:rsidRPr="007748D9">
        <w:rPr>
          <w:rStyle w:val="FootnoteReference"/>
          <w:rFonts w:ascii="Times New Roman" w:hAnsi="Times New Roman" w:cs="Times New Roman"/>
          <w:b w:val="0"/>
          <w:vertAlign w:val="baseline"/>
        </w:rPr>
        <w:footnoteRef/>
      </w:r>
      <w:r>
        <w:rPr>
          <w:sz w:val="26"/>
          <w:rtl/>
        </w:rPr>
        <w:t>)</w:t>
      </w:r>
      <w:r>
        <w:rPr>
          <w:sz w:val="26"/>
          <w:rtl/>
        </w:rPr>
        <w:tab/>
      </w:r>
      <w:r w:rsidRPr="00DD01F2">
        <w:rPr>
          <w:noProof/>
        </w:rPr>
        <w:t>A/HRC/</w:t>
      </w:r>
      <w:r w:rsidRPr="007748D9">
        <w:rPr>
          <w:noProof/>
          <w:szCs w:val="18"/>
        </w:rPr>
        <w:t>43</w:t>
      </w:r>
      <w:r w:rsidRPr="00DD01F2">
        <w:rPr>
          <w:noProof/>
        </w:rPr>
        <w:t>/</w:t>
      </w:r>
      <w:r w:rsidRPr="007748D9">
        <w:rPr>
          <w:noProof/>
          <w:szCs w:val="18"/>
        </w:rPr>
        <w:t>43</w:t>
      </w:r>
      <w:r>
        <w:rPr>
          <w:rFonts w:hint="cs"/>
          <w:rtl/>
        </w:rPr>
        <w:t>.</w:t>
      </w:r>
      <w:r w:rsidRPr="003A742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B0566" w14:textId="77777777" w:rsidR="00DA5A3F" w:rsidRPr="007748D9" w:rsidRDefault="007748D9" w:rsidP="007748D9">
    <w:pPr>
      <w:pStyle w:val="Header"/>
      <w:jc w:val="right"/>
    </w:pPr>
    <w:r w:rsidRPr="007748D9">
      <w:t>A/HRC/RES/43/14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39793" w14:textId="77777777" w:rsidR="00DA5A3F" w:rsidRPr="007748D9" w:rsidRDefault="007748D9" w:rsidP="007748D9">
    <w:pPr>
      <w:pStyle w:val="Header"/>
      <w:jc w:val="left"/>
    </w:pPr>
    <w:r w:rsidRPr="007748D9">
      <w:t>A/HRC/RES/43/14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843511"/>
    <w:rsid w:val="000076D5"/>
    <w:rsid w:val="00043663"/>
    <w:rsid w:val="000505CF"/>
    <w:rsid w:val="000C0B09"/>
    <w:rsid w:val="000D701C"/>
    <w:rsid w:val="000E2A71"/>
    <w:rsid w:val="000E524A"/>
    <w:rsid w:val="000F4D63"/>
    <w:rsid w:val="00160263"/>
    <w:rsid w:val="0016264F"/>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748D9"/>
    <w:rsid w:val="0078071A"/>
    <w:rsid w:val="007A70BB"/>
    <w:rsid w:val="00843511"/>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AF50BF"/>
    <w:rsid w:val="00B13763"/>
    <w:rsid w:val="00B477A4"/>
    <w:rsid w:val="00B54045"/>
    <w:rsid w:val="00BA5E8B"/>
    <w:rsid w:val="00C022F5"/>
    <w:rsid w:val="00C06421"/>
    <w:rsid w:val="00C438D7"/>
    <w:rsid w:val="00C53FE8"/>
    <w:rsid w:val="00C81B50"/>
    <w:rsid w:val="00CA655B"/>
    <w:rsid w:val="00CB3C3C"/>
    <w:rsid w:val="00CD1801"/>
    <w:rsid w:val="00D10EF1"/>
    <w:rsid w:val="00D27EC6"/>
    <w:rsid w:val="00D42810"/>
    <w:rsid w:val="00D914A7"/>
    <w:rsid w:val="00DA5A3F"/>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34AE52A"/>
  <w15:docId w15:val="{84EF8673-5BF6-407F-B108-F42EAA290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92112-A05C-4A66-A614-C056B1FA8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A/HRC/RES/43/14</vt:lpstr>
    </vt:vector>
  </TitlesOfParts>
  <Company>DCM</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A/HRC/RES/43/14</dc:title>
  <dc:subject>GE.2008981A</dc:subject>
  <dc:creator>bah/ASF</dc:creator>
  <cp:keywords>ODS No.2016409</cp:keywords>
  <dc:description>Original: English _x000d_
Distribution: General_x000d_
Date:</dc:description>
  <cp:lastModifiedBy>Gamal MAHMOUD</cp:lastModifiedBy>
  <cp:revision>2</cp:revision>
  <dcterms:created xsi:type="dcterms:W3CDTF">2020-08-11T12:47:00Z</dcterms:created>
  <dcterms:modified xsi:type="dcterms:W3CDTF">2020-08-11T12:47:00Z</dcterms:modified>
  <cp:category>Final</cp:category>
</cp:coreProperties>
</file>